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right"/>
        <w:rPr>
          <w:rFonts w:ascii="inherit" w:hAnsi="inherit"/>
          <w:sz w:val="17"/>
        </w:rPr>
      </w:pPr>
      <w:r>
        <w:rPr>
          <w:rFonts w:ascii="inherit" w:hAnsi="inherit"/>
          <w:sz w:val="17"/>
        </w:rPr>
      </w:r>
      <w:bookmarkStart w:id="0" w:name="s299396F0F1C4582CAA295A3294346F83"/>
      <w:bookmarkStart w:id="1" w:name="bkh10qq12019.htm"/>
      <w:bookmarkStart w:id="2" w:name="ksbkh10qq12019"/>
      <w:bookmarkStart w:id="3" w:name="s299396F0F1C4582CAA295A3294346F83"/>
      <w:bookmarkStart w:id="4" w:name="bkh10qq12019.htm"/>
      <w:bookmarkStart w:id="5" w:name="ksbkh10qq12019"/>
      <w:bookmarkEnd w:id="3"/>
      <w:bookmarkEnd w:id="4"/>
      <w:bookmarkEnd w:id="5"/>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UNITED STATES</w:t>
      </w:r>
    </w:p>
    <w:p>
      <w:pPr>
        <w:pStyle w:val="TextBody"/>
        <w:spacing w:lineRule="auto" w:line="288" w:before="0" w:after="0"/>
        <w:jc w:val="center"/>
        <w:rPr>
          <w:rFonts w:ascii="inherit" w:hAnsi="inherit"/>
          <w:b/>
          <w:sz w:val="17"/>
        </w:rPr>
      </w:pPr>
      <w:r>
        <w:rPr>
          <w:rFonts w:ascii="inherit" w:hAnsi="inherit"/>
          <w:b/>
          <w:sz w:val="17"/>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sz w:val="17"/>
        </w:rPr>
      </w:pPr>
      <w:r>
        <w:rPr>
          <w:rFonts w:ascii="inherit" w:hAnsi="inherit"/>
          <w:b/>
          <w:sz w:val="17"/>
        </w:rPr>
        <w:t xml:space="preserve">Form </w:t>
      </w:r>
      <w:r>
        <w:rPr>
          <w:b/>
          <w:sz w:val="17"/>
        </w:rPr>
        <w:t>10-Q</w:t>
      </w:r>
      <w:r>
        <w:rPr>
          <w:sz w:val="17"/>
        </w:rPr>
        <w:t xml:space="preserve"> </w:t>
      </w:r>
    </w:p>
    <w:tbl>
      <w:tblPr>
        <w:tblW w:w="6835" w:type="dxa"/>
        <w:jc w:val="center"/>
        <w:tblInd w:w="0" w:type="dxa"/>
        <w:tblCellMar>
          <w:top w:w="0" w:type="dxa"/>
          <w:left w:w="0" w:type="dxa"/>
          <w:bottom w:w="0" w:type="dxa"/>
          <w:right w:w="0" w:type="dxa"/>
        </w:tblCellMar>
      </w:tblPr>
      <w:tblGrid>
        <w:gridCol w:w="290"/>
        <w:gridCol w:w="6545"/>
      </w:tblGrid>
      <w:tr>
        <w:trPr/>
        <w:tc>
          <w:tcPr>
            <w:tcW w:w="6835" w:type="dxa"/>
            <w:gridSpan w:val="2"/>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vAlign w:val="center"/>
          </w:tcPr>
          <w:p>
            <w:pPr>
              <w:pStyle w:val="TableContents"/>
              <w:spacing w:before="0" w:after="283"/>
              <w:rPr>
                <w:sz w:val="4"/>
                <w:szCs w:val="4"/>
              </w:rPr>
            </w:pPr>
            <w:r>
              <w:rPr>
                <w:sz w:val="4"/>
                <w:szCs w:val="4"/>
              </w:rPr>
            </w:r>
          </w:p>
        </w:tc>
        <w:tc>
          <w:tcPr>
            <w:tcW w:w="65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 w:type="dxa"/>
            <w:tcBorders/>
            <w:shd w:fill="auto" w:val="clear"/>
            <w:vAlign w:val="center"/>
          </w:tcPr>
          <w:p>
            <w:pPr>
              <w:pStyle w:val="TableContents"/>
              <w:spacing w:before="0" w:after="0"/>
              <w:ind w:left="0" w:right="0" w:firstLine="30"/>
              <w:jc w:val="center"/>
              <w:rPr>
                <w:rFonts w:ascii="Wingdings" w:hAnsi="Wingdings"/>
                <w:sz w:val="27"/>
              </w:rPr>
            </w:pPr>
            <w:r>
              <w:rPr>
                <w:rFonts w:ascii="Wingdings" w:hAnsi="Wingdings"/>
                <w:sz w:val="27"/>
              </w:rPr>
              <w:t>x</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REPORT PURSUANT TO SECTION 13 OR 15(d) OF THE SECURITIES</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EXCHANGE ACT OF 1934</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 the quarterly period ended March 31, 2019</w:t>
            </w:r>
          </w:p>
        </w:tc>
      </w:tr>
      <w:tr>
        <w:trPr/>
        <w:tc>
          <w:tcPr>
            <w:tcW w:w="29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OR</w:t>
            </w:r>
          </w:p>
        </w:tc>
        <w:tc>
          <w:tcPr>
            <w:tcW w:w="6545" w:type="dxa"/>
            <w:tcBorders/>
            <w:shd w:fill="auto" w:val="clear"/>
            <w:vAlign w:val="center"/>
          </w:tcPr>
          <w:p>
            <w:pPr>
              <w:pStyle w:val="TableContents"/>
              <w:spacing w:before="0" w:after="0"/>
              <w:ind w:left="0" w:right="0" w:firstLine="30"/>
              <w:rPr/>
            </w:pPr>
            <w:r>
              <w:rPr/>
              <w:t> </w:t>
            </w:r>
          </w:p>
        </w:tc>
      </w:tr>
      <w:tr>
        <w:trPr/>
        <w:tc>
          <w:tcPr>
            <w:tcW w:w="290" w:type="dxa"/>
            <w:tcBorders/>
            <w:shd w:fill="auto" w:val="clear"/>
            <w:vAlign w:val="center"/>
          </w:tcPr>
          <w:p>
            <w:pPr>
              <w:pStyle w:val="TableContents"/>
              <w:spacing w:before="0" w:after="0"/>
              <w:ind w:left="0" w:right="0" w:firstLine="30"/>
              <w:jc w:val="center"/>
              <w:rPr>
                <w:rFonts w:ascii="Wingdings" w:hAnsi="Wingdings"/>
                <w:sz w:val="27"/>
              </w:rPr>
            </w:pPr>
            <w:r>
              <w:rPr>
                <w:rFonts w:ascii="Wingdings" w:hAnsi="Wingdings"/>
                <w:sz w:val="27"/>
              </w:rPr>
              <w:t>o</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TRANSITION REPORT PURSUANT TO SECTION 13 OR 15(d) OF THE SECURITIES</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EXCHANGE ACT OF 1934</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 the transition period from __________ to __________.</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ind w:left="0" w:right="0" w:firstLine="30"/>
              <w:rPr/>
            </w:pPr>
            <w:r>
              <w:rPr/>
              <w:t> </w:t>
            </w:r>
          </w:p>
        </w:tc>
      </w:tr>
      <w:tr>
        <w:trPr/>
        <w:tc>
          <w:tcPr>
            <w:tcW w:w="290" w:type="dxa"/>
            <w:tcBorders/>
            <w:shd w:fill="auto" w:val="clear"/>
            <w:vAlign w:val="center"/>
          </w:tcPr>
          <w:p>
            <w:pPr>
              <w:pStyle w:val="TableContents"/>
              <w:spacing w:before="0" w:after="0"/>
              <w:ind w:left="0" w:right="0" w:firstLine="30"/>
              <w:rPr/>
            </w:pPr>
            <w:r>
              <w:rPr/>
              <w:t> </w:t>
            </w:r>
          </w:p>
        </w:tc>
        <w:tc>
          <w:tcPr>
            <w:tcW w:w="6545" w:type="dxa"/>
            <w:tcBorders/>
            <w:shd w:fill="auto" w:val="clear"/>
            <w:vAlign w:val="center"/>
          </w:tcPr>
          <w:p>
            <w:pPr>
              <w:pStyle w:val="TableContents"/>
              <w:spacing w:before="0" w:after="0"/>
              <w:jc w:val="left"/>
              <w:rPr>
                <w:rFonts w:ascii="inherit" w:hAnsi="inherit"/>
                <w:sz w:val="17"/>
              </w:rPr>
            </w:pPr>
            <w:r>
              <w:rPr>
                <w:rFonts w:ascii="inherit" w:hAnsi="inherit"/>
                <w:sz w:val="17"/>
              </w:rPr>
              <w:t>Commission File Number 001-31303</w:t>
            </w:r>
          </w:p>
        </w:tc>
      </w:tr>
    </w:tbl>
    <w:tbl>
      <w:tblPr>
        <w:tblW w:w="6873" w:type="dxa"/>
        <w:jc w:val="left"/>
        <w:tblInd w:w="0" w:type="dxa"/>
        <w:tblCellMar>
          <w:top w:w="0" w:type="dxa"/>
          <w:left w:w="0" w:type="dxa"/>
          <w:bottom w:w="0" w:type="dxa"/>
          <w:right w:w="0" w:type="dxa"/>
        </w:tblCellMar>
      </w:tblPr>
      <w:tblGrid>
        <w:gridCol w:w="2949"/>
        <w:gridCol w:w="106"/>
        <w:gridCol w:w="3818"/>
      </w:tblGrid>
      <w:tr>
        <w:trPr/>
        <w:tc>
          <w:tcPr>
            <w:tcW w:w="6873" w:type="dxa"/>
            <w:gridSpan w:val="3"/>
            <w:tcBorders/>
            <w:shd w:fill="auto" w:val="clear"/>
            <w:vAlign w:val="center"/>
          </w:tcPr>
          <w:p>
            <w:pPr>
              <w:pStyle w:val="TableContents"/>
              <w:spacing w:before="0" w:after="283"/>
              <w:rPr>
                <w:sz w:val="4"/>
                <w:szCs w:val="4"/>
              </w:rPr>
            </w:pPr>
            <w:r>
              <w:rPr>
                <w:sz w:val="4"/>
                <w:szCs w:val="4"/>
              </w:rPr>
            </w:r>
          </w:p>
        </w:tc>
      </w:tr>
      <w:tr>
        <w:trPr/>
        <w:tc>
          <w:tcPr>
            <w:tcW w:w="294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8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73" w:type="dxa"/>
            <w:gridSpan w:val="3"/>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Black Hills Corporation</w:t>
            </w:r>
          </w:p>
        </w:tc>
      </w:tr>
      <w:tr>
        <w:trPr/>
        <w:tc>
          <w:tcPr>
            <w:tcW w:w="29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Incorporated in South Dakota</w:t>
            </w:r>
          </w:p>
        </w:tc>
        <w:tc>
          <w:tcPr>
            <w:tcW w:w="106" w:type="dxa"/>
            <w:tcBorders/>
            <w:shd w:fill="auto" w:val="clear"/>
            <w:vAlign w:val="center"/>
          </w:tcPr>
          <w:p>
            <w:pPr>
              <w:pStyle w:val="TableContents"/>
              <w:spacing w:before="0" w:after="0"/>
              <w:ind w:left="0" w:right="0" w:firstLine="30"/>
              <w:rPr/>
            </w:pPr>
            <w:r>
              <w:rPr/>
              <w:t> </w:t>
            </w:r>
          </w:p>
        </w:tc>
        <w:tc>
          <w:tcPr>
            <w:tcW w:w="381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IRS Identification Number 46-0458824</w:t>
            </w:r>
          </w:p>
        </w:tc>
      </w:tr>
      <w:tr>
        <w:trPr/>
        <w:tc>
          <w:tcPr>
            <w:tcW w:w="687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7001 Mount Rushmore Road</w:t>
            </w:r>
          </w:p>
        </w:tc>
      </w:tr>
      <w:tr>
        <w:trPr/>
        <w:tc>
          <w:tcPr>
            <w:tcW w:w="687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Rapid City, South Dakota 57702</w:t>
            </w:r>
          </w:p>
        </w:tc>
      </w:tr>
      <w:tr>
        <w:trPr/>
        <w:tc>
          <w:tcPr>
            <w:tcW w:w="687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Registrant’s telephone number (605) 721-1700</w:t>
            </w:r>
          </w:p>
        </w:tc>
      </w:tr>
      <w:tr>
        <w:trPr/>
        <w:tc>
          <w:tcPr>
            <w:tcW w:w="687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Former name, former address, and former fiscal year if changed since last report</w:t>
            </w:r>
          </w:p>
        </w:tc>
      </w:tr>
      <w:tr>
        <w:trPr/>
        <w:tc>
          <w:tcPr>
            <w:tcW w:w="6873" w:type="dxa"/>
            <w:gridSpan w:val="3"/>
            <w:tcBorders/>
            <w:shd w:fill="auto" w:val="clear"/>
            <w:vAlign w:val="center"/>
          </w:tcPr>
          <w:p>
            <w:pPr>
              <w:pStyle w:val="TableContents"/>
              <w:spacing w:before="0" w:after="0"/>
              <w:jc w:val="center"/>
              <w:rPr>
                <w:rFonts w:ascii="inherit" w:hAnsi="inherit"/>
                <w:sz w:val="17"/>
              </w:rPr>
            </w:pPr>
            <w:r>
              <w:rPr>
                <w:rFonts w:ascii="inherit" w:hAnsi="inherit"/>
                <w:sz w:val="17"/>
              </w:rPr>
              <w:t>NONE</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195" w:type="dxa"/>
        <w:jc w:val="center"/>
        <w:tblInd w:w="0" w:type="dxa"/>
        <w:tblCellMar>
          <w:top w:w="0" w:type="dxa"/>
          <w:left w:w="0" w:type="dxa"/>
          <w:bottom w:w="0" w:type="dxa"/>
          <w:right w:w="0" w:type="dxa"/>
        </w:tblCellMar>
      </w:tblPr>
      <w:tblGrid>
        <w:gridCol w:w="105"/>
        <w:gridCol w:w="500"/>
        <w:gridCol w:w="90"/>
        <w:gridCol w:w="425"/>
        <w:gridCol w:w="75"/>
      </w:tblGrid>
      <w:tr>
        <w:trPr/>
        <w:tc>
          <w:tcPr>
            <w:tcW w:w="119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Yes </w:t>
            </w:r>
            <w:r>
              <w:rPr>
                <w:rFonts w:ascii="Wingdings" w:hAnsi="Wingdings"/>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No </w:t>
            </w:r>
            <w:r>
              <w:rPr>
                <w:rFonts w:ascii="Wingdings" w:hAnsi="Wingdings"/>
                <w:sz w:val="17"/>
              </w:rPr>
              <w:t>o</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tbl>
      <w:tblPr>
        <w:tblW w:w="1195" w:type="dxa"/>
        <w:jc w:val="center"/>
        <w:tblInd w:w="0" w:type="dxa"/>
        <w:tblCellMar>
          <w:top w:w="0" w:type="dxa"/>
          <w:left w:w="0" w:type="dxa"/>
          <w:bottom w:w="0" w:type="dxa"/>
          <w:right w:w="0" w:type="dxa"/>
        </w:tblCellMar>
      </w:tblPr>
      <w:tblGrid>
        <w:gridCol w:w="105"/>
        <w:gridCol w:w="500"/>
        <w:gridCol w:w="90"/>
        <w:gridCol w:w="425"/>
        <w:gridCol w:w="75"/>
      </w:tblGrid>
      <w:tr>
        <w:trPr/>
        <w:tc>
          <w:tcPr>
            <w:tcW w:w="119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Yes </w:t>
            </w:r>
            <w:r>
              <w:rPr>
                <w:rFonts w:ascii="Wingdings" w:hAnsi="Wingdings"/>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No </w:t>
            </w:r>
            <w:r>
              <w:rPr>
                <w:rFonts w:ascii="Wingdings" w:hAnsi="Wingdings"/>
                <w:sz w:val="17"/>
              </w:rPr>
              <w:t>o</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85" w:type="dxa"/>
        <w:jc w:val="center"/>
        <w:tblInd w:w="0" w:type="dxa"/>
        <w:tblCellMar>
          <w:top w:w="0" w:type="dxa"/>
          <w:left w:w="0" w:type="dxa"/>
          <w:bottom w:w="0" w:type="dxa"/>
          <w:right w:w="0" w:type="dxa"/>
        </w:tblCellMar>
      </w:tblPr>
      <w:tblGrid>
        <w:gridCol w:w="105"/>
        <w:gridCol w:w="2090"/>
        <w:gridCol w:w="90"/>
        <w:gridCol w:w="2495"/>
        <w:gridCol w:w="105"/>
      </w:tblGrid>
      <w:tr>
        <w:trPr/>
        <w:tc>
          <w:tcPr>
            <w:tcW w:w="488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jc w:val="left"/>
              <w:rPr>
                <w:sz w:val="17"/>
              </w:rPr>
            </w:pPr>
            <w:r>
              <w:rPr>
                <w:rFonts w:ascii="inherit" w:hAnsi="inherit"/>
                <w:sz w:val="17"/>
              </w:rPr>
              <w:t xml:space="preserve">Large accelerated filer </w:t>
            </w:r>
            <w:r>
              <w:rPr>
                <w:rFonts w:ascii="Wingdings" w:hAnsi="Wingdings"/>
                <w:sz w:val="17"/>
              </w:rPr>
              <w:t>x</w:t>
            </w:r>
          </w:p>
        </w:tc>
        <w:tc>
          <w:tcPr>
            <w:tcW w:w="90" w:type="dxa"/>
            <w:tcBorders/>
            <w:shd w:fill="auto" w:val="clear"/>
            <w:vAlign w:val="center"/>
          </w:tcPr>
          <w:p>
            <w:pPr>
              <w:pStyle w:val="TableContents"/>
              <w:spacing w:before="0" w:after="0"/>
              <w:ind w:left="0" w:right="0" w:firstLine="30"/>
              <w:rPr/>
            </w:pPr>
            <w:r>
              <w:rPr/>
              <w:t> </w:t>
            </w:r>
          </w:p>
        </w:tc>
        <w:tc>
          <w:tcPr>
            <w:tcW w:w="2495" w:type="dxa"/>
            <w:tcBorders/>
            <w:shd w:fill="auto" w:val="clear"/>
            <w:vAlign w:val="center"/>
          </w:tcPr>
          <w:p>
            <w:pPr>
              <w:pStyle w:val="TableContents"/>
              <w:spacing w:before="0" w:after="0"/>
              <w:ind w:left="0" w:right="0" w:firstLine="30"/>
              <w:jc w:val="left"/>
              <w:rPr>
                <w:sz w:val="17"/>
              </w:rPr>
            </w:pPr>
            <w:r>
              <w:rPr>
                <w:rFonts w:ascii="inherit" w:hAnsi="inherit"/>
                <w:sz w:val="17"/>
              </w:rPr>
              <w:t xml:space="preserve">Accelerated filer </w:t>
            </w:r>
            <w:r>
              <w:rPr>
                <w:rFonts w:ascii="Wingdings" w:hAnsi="Wingdings"/>
                <w:sz w:val="17"/>
              </w:rPr>
              <w:t>o</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9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jc w:val="left"/>
              <w:rPr>
                <w:sz w:val="17"/>
              </w:rPr>
            </w:pPr>
            <w:r>
              <w:rPr>
                <w:rFonts w:ascii="inherit" w:hAnsi="inherit"/>
                <w:sz w:val="17"/>
              </w:rPr>
              <w:t xml:space="preserve">Non-accelerated filer </w:t>
            </w:r>
            <w:r>
              <w:rPr>
                <w:rFonts w:ascii="Wingdings" w:hAnsi="Wingdings"/>
                <w:sz w:val="17"/>
              </w:rPr>
              <w:t>o</w:t>
            </w:r>
          </w:p>
        </w:tc>
        <w:tc>
          <w:tcPr>
            <w:tcW w:w="90" w:type="dxa"/>
            <w:tcBorders/>
            <w:shd w:fill="auto" w:val="clear"/>
            <w:vAlign w:val="center"/>
          </w:tcPr>
          <w:p>
            <w:pPr>
              <w:pStyle w:val="TableContents"/>
              <w:spacing w:before="0" w:after="0"/>
              <w:ind w:left="0" w:right="0" w:firstLine="30"/>
              <w:rPr/>
            </w:pPr>
            <w:r>
              <w:rPr/>
              <w:t> </w:t>
            </w:r>
          </w:p>
        </w:tc>
        <w:tc>
          <w:tcPr>
            <w:tcW w:w="2495"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Smaller reporting company </w:t>
            </w:r>
            <w:r>
              <w:rPr>
                <w:rFonts w:ascii="Wingdings" w:hAnsi="Wingdings"/>
                <w:sz w:val="17"/>
              </w:rPr>
              <w:t>o</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9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95" w:type="dxa"/>
            <w:tcBorders/>
            <w:shd w:fill="auto" w:val="clear"/>
            <w:vAlign w:val="center"/>
          </w:tcPr>
          <w:p>
            <w:pPr>
              <w:pStyle w:val="TableContents"/>
              <w:spacing w:before="0" w:after="0"/>
              <w:ind w:left="0" w:right="0" w:firstLine="30"/>
              <w:jc w:val="center"/>
              <w:rPr>
                <w:sz w:val="17"/>
              </w:rPr>
            </w:pPr>
            <w:r>
              <w:rPr>
                <w:rFonts w:ascii="inherit" w:hAnsi="inherit"/>
                <w:sz w:val="17"/>
              </w:rPr>
              <w:t xml:space="preserve">Emerging growth company </w:t>
            </w:r>
            <w:r>
              <w:rPr>
                <w:rFonts w:ascii="Wingdings" w:hAnsi="Wingdings"/>
                <w:sz w:val="17"/>
              </w:rPr>
              <w:t>o</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Indicate by check mark whether the Registrant is a shell company (as defined in Rule 12b-2 of the Exchange Act).</w:t>
      </w:r>
    </w:p>
    <w:tbl>
      <w:tblPr>
        <w:tblW w:w="1195" w:type="dxa"/>
        <w:jc w:val="center"/>
        <w:tblInd w:w="0" w:type="dxa"/>
        <w:tblCellMar>
          <w:top w:w="0" w:type="dxa"/>
          <w:left w:w="0" w:type="dxa"/>
          <w:bottom w:w="0" w:type="dxa"/>
          <w:right w:w="0" w:type="dxa"/>
        </w:tblCellMar>
      </w:tblPr>
      <w:tblGrid>
        <w:gridCol w:w="105"/>
        <w:gridCol w:w="500"/>
        <w:gridCol w:w="90"/>
        <w:gridCol w:w="425"/>
        <w:gridCol w:w="75"/>
      </w:tblGrid>
      <w:tr>
        <w:trPr/>
        <w:tc>
          <w:tcPr>
            <w:tcW w:w="119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ind w:left="0" w:right="0" w:firstLine="30"/>
              <w:jc w:val="left"/>
              <w:rPr>
                <w:sz w:val="17"/>
              </w:rPr>
            </w:pPr>
            <w:r>
              <w:rPr>
                <w:rFonts w:ascii="inherit" w:hAnsi="inherit"/>
                <w:sz w:val="17"/>
              </w:rPr>
              <w:t xml:space="preserve">Yes </w:t>
            </w:r>
            <w:r>
              <w:rPr>
                <w:rFonts w:ascii="Wingdings" w:hAnsi="Wingdings"/>
                <w:sz w:val="17"/>
              </w:rPr>
              <w:t>o</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jc w:val="left"/>
              <w:rPr>
                <w:sz w:val="17"/>
              </w:rPr>
            </w:pPr>
            <w:r>
              <w:rPr>
                <w:rFonts w:ascii="inherit" w:hAnsi="inherit"/>
                <w:sz w:val="17"/>
              </w:rPr>
              <w:t xml:space="preserve">No </w:t>
            </w:r>
            <w:r>
              <w:rPr>
                <w:rFonts w:ascii="Wingdings" w:hAnsi="Wingdings"/>
                <w:sz w:val="17"/>
              </w:rPr>
              <w:t>x</w:t>
            </w:r>
          </w:p>
        </w:tc>
        <w:tc>
          <w:tcPr>
            <w:tcW w:w="75" w:type="dxa"/>
            <w:tcBorders/>
            <w:shd w:fill="auto" w:val="clear"/>
            <w:vAlign w:val="center"/>
          </w:tcPr>
          <w:p>
            <w:pPr>
              <w:pStyle w:val="TableContents"/>
              <w:spacing w:before="0" w:after="0"/>
              <w:rPr/>
            </w:pPr>
            <w:r>
              <w:rPr/>
              <w:t> </w:t>
            </w:r>
          </w:p>
        </w:tc>
      </w:tr>
    </w:tbl>
    <w:tbl>
      <w:tblPr>
        <w:tblW w:w="8235" w:type="dxa"/>
        <w:jc w:val="center"/>
        <w:tblInd w:w="0" w:type="dxa"/>
        <w:tblCellMar>
          <w:top w:w="0" w:type="dxa"/>
          <w:left w:w="0" w:type="dxa"/>
          <w:bottom w:w="0" w:type="dxa"/>
          <w:right w:w="0" w:type="dxa"/>
        </w:tblCellMar>
      </w:tblPr>
      <w:tblGrid>
        <w:gridCol w:w="2870"/>
        <w:gridCol w:w="1580"/>
        <w:gridCol w:w="3785"/>
      </w:tblGrid>
      <w:tr>
        <w:trPr/>
        <w:tc>
          <w:tcPr>
            <w:tcW w:w="8235" w:type="dxa"/>
            <w:gridSpan w:val="3"/>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37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23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Securities registered pursuant to Section 12(b) of the Act:</w:t>
            </w:r>
          </w:p>
        </w:tc>
      </w:tr>
      <w:tr>
        <w:trPr/>
        <w:tc>
          <w:tcPr>
            <w:tcW w:w="28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Title of each class</w:t>
            </w:r>
          </w:p>
        </w:tc>
        <w:tc>
          <w:tcPr>
            <w:tcW w:w="158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Trading Symbol(s)</w:t>
            </w:r>
          </w:p>
        </w:tc>
        <w:tc>
          <w:tcPr>
            <w:tcW w:w="3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Name of each exchange on which registered</w:t>
            </w:r>
          </w:p>
        </w:tc>
      </w:tr>
      <w:tr>
        <w:trPr/>
        <w:tc>
          <w:tcPr>
            <w:tcW w:w="28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Common stock of $1.00 par value</w:t>
            </w:r>
          </w:p>
        </w:tc>
        <w:tc>
          <w:tcPr>
            <w:tcW w:w="158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BKH</w:t>
            </w:r>
          </w:p>
        </w:tc>
        <w:tc>
          <w:tcPr>
            <w:tcW w:w="3785" w:type="dxa"/>
            <w:tcBorders/>
            <w:shd w:fill="auto" w:val="clear"/>
            <w:vAlign w:val="center"/>
          </w:tcPr>
          <w:p>
            <w:pPr>
              <w:pStyle w:val="TableContents"/>
              <w:spacing w:before="0" w:after="0"/>
              <w:jc w:val="center"/>
              <w:rPr>
                <w:rFonts w:ascii="inherit" w:hAnsi="inherit"/>
                <w:sz w:val="17"/>
              </w:rPr>
            </w:pPr>
            <w:r>
              <w:rPr>
                <w:rFonts w:ascii="inherit" w:hAnsi="inherit"/>
                <w:sz w:val="17"/>
              </w:rPr>
              <w:t>New York Stock Exchange</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Indicate the number of shares outstanding of each of the issuer’s classes of common stock as of the latest practicable date.</w:t>
      </w:r>
    </w:p>
    <w:tbl>
      <w:tblPr>
        <w:tblW w:w="5199" w:type="dxa"/>
        <w:jc w:val="center"/>
        <w:tblInd w:w="0" w:type="dxa"/>
        <w:tblCellMar>
          <w:top w:w="0" w:type="dxa"/>
          <w:left w:w="0" w:type="dxa"/>
          <w:bottom w:w="0" w:type="dxa"/>
          <w:right w:w="0" w:type="dxa"/>
        </w:tblCellMar>
      </w:tblPr>
      <w:tblGrid>
        <w:gridCol w:w="2705"/>
        <w:gridCol w:w="1495"/>
        <w:gridCol w:w="47"/>
        <w:gridCol w:w="952"/>
      </w:tblGrid>
      <w:tr>
        <w:trPr/>
        <w:tc>
          <w:tcPr>
            <w:tcW w:w="5199" w:type="dxa"/>
            <w:gridSpan w:val="4"/>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Class</w:t>
            </w:r>
          </w:p>
        </w:tc>
        <w:tc>
          <w:tcPr>
            <w:tcW w:w="249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Outstanding at April 30, 2019</w:t>
            </w:r>
          </w:p>
        </w:tc>
      </w:tr>
      <w:tr>
        <w:trPr/>
        <w:tc>
          <w:tcPr>
            <w:tcW w:w="27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Common stock, $1.00 par value</w:t>
            </w:r>
          </w:p>
        </w:tc>
        <w:tc>
          <w:tcPr>
            <w:tcW w:w="1495" w:type="dxa"/>
            <w:tcBorders/>
            <w:shd w:fill="auto" w:val="clear"/>
            <w:vAlign w:val="center"/>
          </w:tcPr>
          <w:p>
            <w:pPr>
              <w:pStyle w:val="TableContents"/>
              <w:spacing w:before="0" w:after="0"/>
              <w:jc w:val="right"/>
              <w:rPr>
                <w:rFonts w:ascii="inherit" w:hAnsi="inherit"/>
                <w:sz w:val="17"/>
              </w:rPr>
            </w:pPr>
            <w:r>
              <w:rPr>
                <w:rFonts w:ascii="inherit" w:hAnsi="inherit"/>
                <w:sz w:val="17"/>
              </w:rPr>
              <w:t>60,367,972</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2" w:type="dxa"/>
            <w:tcBorders/>
            <w:shd w:fill="auto" w:val="clear"/>
            <w:vAlign w:val="center"/>
          </w:tcPr>
          <w:p>
            <w:pPr>
              <w:pStyle w:val="TableContents"/>
              <w:spacing w:before="0" w:after="0"/>
              <w:jc w:val="left"/>
              <w:rPr>
                <w:rFonts w:ascii="inherit" w:hAnsi="inherit"/>
                <w:sz w:val="17"/>
              </w:rPr>
            </w:pPr>
            <w:r>
              <w:rPr>
                <w:rFonts w:ascii="inherit" w:hAnsi="inherit"/>
                <w:sz w:val="17"/>
              </w:rPr>
              <w:t>shares</w:t>
            </w:r>
          </w:p>
        </w:tc>
      </w:tr>
    </w:tbl>
    <w:p>
      <w:pPr>
        <w:pStyle w:val="TextBody"/>
        <w:rPr/>
      </w:pPr>
      <w:r>
        <w:rPr/>
      </w:r>
      <w:r>
        <w:br w:type="page"/>
      </w:r>
    </w:p>
    <w:p>
      <w:pPr>
        <w:pStyle w:val="TextBody"/>
        <w:spacing w:lineRule="auto" w:line="288" w:before="0" w:after="0"/>
        <w:jc w:val="right"/>
        <w:rPr>
          <w:rFonts w:ascii="inherit" w:hAnsi="inherit"/>
          <w:sz w:val="17"/>
        </w:rPr>
      </w:pPr>
      <w:r>
        <w:rPr>
          <w:rFonts w:ascii="inherit" w:hAnsi="inherit"/>
          <w:sz w:val="17"/>
        </w:rPr>
      </w:r>
      <w:bookmarkStart w:id="6" w:name="sEE5960C1535354068338F4EA7D6876C9"/>
      <w:bookmarkStart w:id="7" w:name="sEE5960C1535354068338F4EA7D6876C9"/>
      <w:bookmarkEnd w:id="7"/>
    </w:p>
    <w:p>
      <w:pPr>
        <w:pStyle w:val="TextBody"/>
        <w:spacing w:before="0" w:after="0"/>
        <w:rPr/>
      </w:pPr>
      <w:r>
        <w:rPr/>
      </w:r>
    </w:p>
    <w:p>
      <w:pPr>
        <w:pStyle w:val="TextBody"/>
        <w:spacing w:lineRule="auto" w:line="240" w:before="0" w:after="0"/>
        <w:jc w:val="center"/>
        <w:rPr>
          <w:rFonts w:ascii="inherit" w:hAnsi="inherit"/>
          <w:sz w:val="17"/>
        </w:rPr>
      </w:pPr>
      <w:r>
        <w:rPr>
          <w:rFonts w:ascii="inherit" w:hAnsi="inherit"/>
          <w:sz w:val="17"/>
        </w:rPr>
      </w:r>
    </w:p>
    <w:tbl>
      <w:tblPr>
        <w:tblW w:w="8685" w:type="dxa"/>
        <w:jc w:val="center"/>
        <w:tblInd w:w="0" w:type="dxa"/>
        <w:tblCellMar>
          <w:top w:w="0" w:type="dxa"/>
          <w:left w:w="0" w:type="dxa"/>
          <w:bottom w:w="0" w:type="dxa"/>
          <w:right w:w="0" w:type="dxa"/>
        </w:tblCellMar>
      </w:tblPr>
      <w:tblGrid>
        <w:gridCol w:w="755"/>
        <w:gridCol w:w="7355"/>
        <w:gridCol w:w="90"/>
        <w:gridCol w:w="485"/>
      </w:tblGrid>
      <w:tr>
        <w:trPr/>
        <w:tc>
          <w:tcPr>
            <w:tcW w:w="8685" w:type="dxa"/>
            <w:gridSpan w:val="4"/>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before="0" w:after="283"/>
              <w:rPr>
                <w:sz w:val="4"/>
                <w:szCs w:val="4"/>
              </w:rPr>
            </w:pPr>
            <w:r>
              <w:rPr>
                <w:sz w:val="4"/>
                <w:szCs w:val="4"/>
              </w:rPr>
            </w:r>
          </w:p>
        </w:tc>
        <w:tc>
          <w:tcPr>
            <w:tcW w:w="7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85" w:type="dxa"/>
            <w:gridSpan w:val="4"/>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TABLE OF CONTENTS</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Page</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Glossary of Terms and Abbreviations</w:t>
            </w:r>
          </w:p>
        </w:tc>
        <w:tc>
          <w:tcPr>
            <w:tcW w:w="90" w:type="dxa"/>
            <w:tcBorders/>
            <w:shd w:fill="auto" w:val="clear"/>
            <w:vAlign w:val="center"/>
          </w:tcPr>
          <w:p>
            <w:pPr>
              <w:pStyle w:val="TableContents"/>
              <w:spacing w:before="0" w:after="0"/>
              <w:ind w:left="0" w:right="0" w:firstLine="30"/>
              <w:rPr/>
            </w:pPr>
            <w:r>
              <w:rPr/>
              <w:t> </w:t>
            </w:r>
          </w:p>
        </w:tc>
        <w:tc>
          <w:tcPr>
            <w:tcW w:w="485" w:type="dxa"/>
            <w:tcBorders>
              <w:top w:val="single" w:sz="2" w:space="0" w:color="000000"/>
            </w:tcBorders>
            <w:shd w:fill="auto" w:val="clear"/>
            <w:tcMar>
              <w:top w:w="30" w:type="dxa"/>
            </w:tcMar>
            <w:vAlign w:val="center"/>
          </w:tcPr>
          <w:p>
            <w:pPr>
              <w:pStyle w:val="TableContents"/>
              <w:spacing w:before="0" w:after="0"/>
              <w:ind w:left="0" w:right="0" w:firstLine="30"/>
              <w:jc w:val="center"/>
              <w:rPr/>
            </w:pPr>
            <w:hyperlink w:anchor="s49D62C2BDCB95E59AD4844FABB41AC9E">
              <w:r>
                <w:rPr>
                  <w:rStyle w:val="InternetLink"/>
                  <w:rFonts w:ascii="inherit" w:hAnsi="inherit"/>
                  <w:sz w:val="17"/>
                </w:rPr>
                <w:t>3</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PART I.</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INFORMATION</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51E3B10EC9D654A1B8E304835C68024F">
              <w:r>
                <w:rPr>
                  <w:rStyle w:val="InternetLink"/>
                  <w:rFonts w:ascii="inherit" w:hAnsi="inherit"/>
                  <w:sz w:val="17"/>
                </w:rPr>
                <w:t>5</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Statements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6503B421317E5B42940B608124E10B38">
              <w:r>
                <w:rPr>
                  <w:rStyle w:val="InternetLink"/>
                  <w:rFonts w:ascii="inherit" w:hAnsi="inherit"/>
                  <w:sz w:val="17"/>
                </w:rPr>
                <w:t>5</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Condensed Consolidated Statements of Income - unaudited</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pPr>
            <w:r>
              <w:rPr/>
              <w:t>   </w:t>
            </w:r>
            <w:r>
              <w:rPr>
                <w:rFonts w:ascii="inherit" w:hAnsi="inherit"/>
                <w:sz w:val="17"/>
              </w:rPr>
              <w:t>Three Months Ended March 31, 2019 and 2018</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887ED1AD87B85E79BA29C98D24536A54">
              <w:r>
                <w:rPr>
                  <w:rStyle w:val="InternetLink"/>
                  <w:rFonts w:ascii="inherit" w:hAnsi="inherit"/>
                  <w:sz w:val="17"/>
                </w:rPr>
                <w:t>5</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Condensed Consolidated Statements of Comprehensive Income - unaudited</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pPr>
            <w:r>
              <w:rPr/>
              <w:t>   </w:t>
            </w:r>
            <w:r>
              <w:rPr>
                <w:rFonts w:ascii="inherit" w:hAnsi="inherit"/>
                <w:sz w:val="17"/>
              </w:rPr>
              <w:t>Three Months Ended March 31, 2019 and 2018</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777CF9D30723508CA6EDADC0C53A9B3F">
              <w:r>
                <w:rPr>
                  <w:rStyle w:val="InternetLink"/>
                  <w:rFonts w:ascii="inherit" w:hAnsi="inherit"/>
                  <w:sz w:val="17"/>
                </w:rPr>
                <w:t>6</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Condensed Consolidated Balance Sheets - unaudited</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pPr>
            <w:r>
              <w:rPr/>
              <w:t>   </w:t>
            </w:r>
            <w:r>
              <w:rPr>
                <w:rFonts w:ascii="inherit" w:hAnsi="inherit"/>
                <w:sz w:val="17"/>
              </w:rPr>
              <w:t>March 31, 2019, December 31, 2018 and March 31, 2018</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20DF528FD7155BDC83EE4EDEE78AECF2">
              <w:r>
                <w:rPr>
                  <w:rStyle w:val="InternetLink"/>
                  <w:rFonts w:ascii="inherit" w:hAnsi="inherit"/>
                  <w:sz w:val="17"/>
                </w:rPr>
                <w:t>7</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Condensed Consolidated Statements of Cash Flows - unaudited</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pPr>
            <w:r>
              <w:rPr/>
              <w:t>   </w:t>
            </w:r>
            <w:r>
              <w:rPr>
                <w:rFonts w:ascii="inherit" w:hAnsi="inherit"/>
                <w:sz w:val="17"/>
              </w:rPr>
              <w:t>Three Months Ended March 31, 2019 and 2018</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CF2BB474F9B6596E8BEAA5C3183A5028">
              <w:r>
                <w:rPr>
                  <w:rStyle w:val="InternetLink"/>
                  <w:rFonts w:ascii="inherit" w:hAnsi="inherit"/>
                  <w:sz w:val="17"/>
                </w:rPr>
                <w:t>9</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to Condensed Consolidated Financial Statements - unaudited</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69750249F7405E72A00CC3710DC868DA">
              <w:r>
                <w:rPr>
                  <w:rStyle w:val="InternetLink"/>
                  <w:rFonts w:ascii="inherit" w:hAnsi="inherit"/>
                  <w:sz w:val="17"/>
                </w:rPr>
                <w:t>10</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2.</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Management’s Discussion and Analysis of Financial Condition and Results of Operations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E9EB7457B6315DC3B20540B32BDC8EFF">
              <w:r>
                <w:rPr>
                  <w:rStyle w:val="InternetLink"/>
                  <w:rFonts w:ascii="inherit" w:hAnsi="inherit"/>
                  <w:sz w:val="17"/>
                </w:rPr>
                <w:t>35</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3.</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Quantitative and Qualitative Disclosures about Market Risk</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15BC581F268E59A2A5FB04ADBF4A2512">
              <w:r>
                <w:rPr>
                  <w:rStyle w:val="InternetLink"/>
                  <w:rFonts w:ascii="inherit" w:hAnsi="inherit"/>
                  <w:sz w:val="17"/>
                </w:rPr>
                <w:t>53</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4.</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Controls and Procedures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A25BEDE13A2952F9A1D1727A642BF46F">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PART II.</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INFORMATION</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D2B6939509565A0D9A9E85068A1F057B">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Legal Proceedings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72C154120E6652929F311924DE7D1111">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1A.</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Risk Factors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967AAF27A248584DA5D61A6E6333D653">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2.</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Unregistered Sales of Equity Securities and Use of Proceeds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0DE26D1812B7597EA68722CF0B5443AE">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4.</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Mine Safety Disclosures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AC358EABC5E9555BB4725FBE9487D9DA">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5.</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Information</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65B6BEE8B37859DA81B4A67C41C79017">
              <w:r>
                <w:rPr>
                  <w:rStyle w:val="InternetLink"/>
                  <w:rFonts w:ascii="inherit" w:hAnsi="inherit"/>
                  <w:sz w:val="17"/>
                </w:rPr>
                <w:t>54</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6.</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jc w:val="center"/>
              <w:rPr/>
            </w:pPr>
            <w:hyperlink w:anchor="s9696EEC7C6F05D6EA5C222FFC0D88B05">
              <w:r>
                <w:rPr>
                  <w:rStyle w:val="InternetLink"/>
                  <w:rFonts w:ascii="inherit" w:hAnsi="inherit"/>
                  <w:sz w:val="17"/>
                </w:rPr>
                <w:t>55</w:t>
              </w:r>
            </w:hyperlink>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ind w:left="0" w:right="0" w:firstLine="30"/>
              <w:rPr/>
            </w:pPr>
            <w:r>
              <w:rPr/>
              <w:t> </w:t>
            </w:r>
          </w:p>
        </w:tc>
      </w:tr>
      <w:tr>
        <w:trPr/>
        <w:tc>
          <w:tcPr>
            <w:tcW w:w="755" w:type="dxa"/>
            <w:tcBorders/>
            <w:shd w:fill="auto" w:val="clear"/>
            <w:vAlign w:val="center"/>
          </w:tcPr>
          <w:p>
            <w:pPr>
              <w:pStyle w:val="TableContents"/>
              <w:spacing w:before="0" w:after="0"/>
              <w:ind w:left="0" w:right="0" w:firstLine="30"/>
              <w:rPr/>
            </w:pPr>
            <w:r>
              <w:rPr/>
              <w:t> </w:t>
            </w:r>
          </w:p>
        </w:tc>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Signatures</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center"/>
              <w:rPr/>
            </w:pPr>
            <w:hyperlink w:anchor="sE1CDB694A7E7586CB8C059378BAA50A7">
              <w:r>
                <w:rPr>
                  <w:rStyle w:val="InternetLink"/>
                  <w:rFonts w:ascii="inherit" w:hAnsi="inherit"/>
                  <w:sz w:val="17"/>
                </w:rPr>
                <w:t>57</w:t>
              </w:r>
            </w:hyperlink>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right"/>
        <w:rPr>
          <w:rFonts w:ascii="inherit" w:hAnsi="inherit"/>
          <w:sz w:val="17"/>
        </w:rPr>
      </w:pPr>
      <w:r>
        <w:rPr>
          <w:rFonts w:ascii="inherit" w:hAnsi="inherit"/>
          <w:sz w:val="17"/>
        </w:rPr>
      </w:r>
      <w:bookmarkStart w:id="8" w:name="s49D62C2BDCB95E59AD4844FABB41AC9E"/>
      <w:bookmarkStart w:id="9" w:name="s49D62C2BDCB95E59AD4844FABB41AC9E"/>
      <w:bookmarkEnd w:id="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GLOSSARY OF TERMS AND ABBREVIATIONS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terms and abbreviations appear in the text of this report and have the definitions described below:</w:t>
      </w:r>
    </w:p>
    <w:tbl>
      <w:tblPr>
        <w:tblW w:w="10205" w:type="dxa"/>
        <w:jc w:val="center"/>
        <w:tblInd w:w="0" w:type="dxa"/>
        <w:tblCellMar>
          <w:top w:w="0" w:type="dxa"/>
          <w:left w:w="0" w:type="dxa"/>
          <w:bottom w:w="0" w:type="dxa"/>
          <w:right w:w="0" w:type="dxa"/>
        </w:tblCellMar>
      </w:tblPr>
      <w:tblGrid>
        <w:gridCol w:w="1757"/>
        <w:gridCol w:w="8448"/>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283"/>
              <w:rPr>
                <w:sz w:val="4"/>
                <w:szCs w:val="4"/>
              </w:rPr>
            </w:pPr>
            <w:r>
              <w:rPr>
                <w:sz w:val="4"/>
                <w:szCs w:val="4"/>
              </w:rPr>
            </w:r>
          </w:p>
        </w:tc>
        <w:tc>
          <w:tcPr>
            <w:tcW w:w="84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AFUDC</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Funds Used During Construction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AOCI</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Arkansas Gas</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Energy Arkansas, Inc., a direct, wholly-owned subsidiary of Black Hills Gas Inc.</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ASC</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Accounting Standards Codification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ASU</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Accounting Standards Update issued by the FASB</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ATM</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At-the-market equity offering program</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Availability</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availability factor of a power plant is the percentage of the time that it is available to provide energy.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BHC</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Corporation; the Company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Electric Generation</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Electric Generation, LLC, a direct, wholly-owned subsidiary of Black Hills Non-regulated Holdings</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Energy</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name used to conduct the business of our utility companies</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Power</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Power, Inc., a direct, wholly-owned subsidiary of Black Hills Corporation (doing business as Black Hills Energy)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Utility Holdings</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Utility Holdings, Inc., a direct, wholly-owned subsidiary of Black Hills Corporation (doing business as Black Hills Energy)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Wyoming</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Wyoming, LLC, a direct, wholly-owned subsidiary of Black Hills Electric Generation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Busch Ranch I</w:t>
            </w:r>
          </w:p>
        </w:tc>
        <w:tc>
          <w:tcPr>
            <w:tcW w:w="8448" w:type="dxa"/>
            <w:tcBorders/>
            <w:shd w:fill="auto" w:val="clear"/>
            <w:vAlign w:val="center"/>
          </w:tcPr>
          <w:p>
            <w:pPr>
              <w:pStyle w:val="TableContents"/>
              <w:spacing w:before="0" w:after="0"/>
              <w:rPr>
                <w:rFonts w:ascii="inherit" w:hAnsi="inherit"/>
                <w:sz w:val="17"/>
              </w:rPr>
            </w:pPr>
            <w:r>
              <w:rPr>
                <w:rFonts w:ascii="inherit" w:hAnsi="inherit"/>
                <w:sz w:val="17"/>
              </w:rPr>
              <w:t>Busch Ranch Wind Farm is a 29 MW wind farm near Pueblo, Colorado, jointly owned</w:t>
            </w:r>
          </w:p>
          <w:p>
            <w:pPr>
              <w:pStyle w:val="TableContents"/>
              <w:spacing w:before="0" w:after="0"/>
              <w:rPr>
                <w:rFonts w:ascii="inherit" w:hAnsi="inherit"/>
                <w:sz w:val="17"/>
              </w:rPr>
            </w:pPr>
            <w:r>
              <w:rPr>
                <w:rFonts w:ascii="inherit" w:hAnsi="inherit"/>
                <w:sz w:val="17"/>
              </w:rPr>
              <w:t>by Colorado Electric and Black Hills Electric Generation. Colorado Electric and Black</w:t>
            </w:r>
          </w:p>
          <w:p>
            <w:pPr>
              <w:pStyle w:val="TableContents"/>
              <w:spacing w:before="0" w:after="0"/>
              <w:rPr>
                <w:rFonts w:ascii="inherit" w:hAnsi="inherit"/>
                <w:sz w:val="17"/>
              </w:rPr>
            </w:pPr>
            <w:r>
              <w:rPr>
                <w:rFonts w:ascii="inherit" w:hAnsi="inherit"/>
                <w:sz w:val="17"/>
              </w:rPr>
              <w:t>Hills Electric Generation each have a 50% ownership interest in the wind farm.</w:t>
            </w:r>
          </w:p>
          <w:p>
            <w:pPr>
              <w:pStyle w:val="TableContents"/>
              <w:spacing w:before="0" w:after="0"/>
              <w:ind w:left="0" w:right="0" w:firstLine="30"/>
              <w:rPr>
                <w:rFonts w:ascii="inherit" w:hAnsi="inherit"/>
                <w:sz w:val="17"/>
              </w:rPr>
            </w:pPr>
            <w:r>
              <w:rPr>
                <w:rFonts w:ascii="inherit" w:hAnsi="inherit"/>
                <w:sz w:val="17"/>
              </w:rPr>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Busch Ranch II</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Busch Ranch II wind project will be a 60 MW wind farm near Pueblo, Colorado, built by Black Hills Electric Generation to provide wind energy to Colorado Electric through a 25-year power purchase agreement.</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CAPP</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Appliance Protection Plan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Cheyenne Light</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Cheyenne Light, Fuel and Power Company, a direct, wholly-owned subsidiary of Black Hills Corporation (doing business as Black Hills Energy)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Choice Gas Program</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unbundling of the natural gas service from the distribution component, which opens up the gas supply for competition allowing customers to choose from different natural gas suppliers. Black Hills Gas Distribution distributes the gas and Black Hills Energy Services is one of the Choice Gas suppliers.</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CIAC</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Contribution In Aid of Construction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City of Gillette</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Gillette, Wyoming</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Colorado Electric</w:t>
            </w:r>
          </w:p>
        </w:tc>
        <w:tc>
          <w:tcPr>
            <w:tcW w:w="8448" w:type="dxa"/>
            <w:tcBorders/>
            <w:shd w:fill="auto" w:val="clear"/>
            <w:vAlign w:val="center"/>
          </w:tcPr>
          <w:p>
            <w:pPr>
              <w:pStyle w:val="TableContents"/>
              <w:spacing w:before="0" w:after="0"/>
              <w:rPr>
                <w:rFonts w:ascii="inherit" w:hAnsi="inherit"/>
                <w:sz w:val="17"/>
              </w:rPr>
            </w:pPr>
            <w:r>
              <w:rPr>
                <w:rFonts w:ascii="inherit" w:hAnsi="inherit"/>
                <w:sz w:val="17"/>
              </w:rPr>
              <w:t>Black Hills Colorado Electric, LLC, an indirect, wholly-owned subsidiary of Black Hills</w:t>
            </w:r>
          </w:p>
          <w:p>
            <w:pPr>
              <w:pStyle w:val="TableContents"/>
              <w:spacing w:before="0" w:after="0"/>
              <w:ind w:left="0" w:right="0" w:firstLine="30"/>
              <w:rPr>
                <w:rFonts w:ascii="inherit" w:hAnsi="inherit"/>
                <w:sz w:val="17"/>
              </w:rPr>
            </w:pPr>
            <w:r>
              <w:rPr>
                <w:rFonts w:ascii="inherit" w:hAnsi="inherit"/>
                <w:sz w:val="17"/>
              </w:rPr>
              <w:t>Utility Holdings (doing business as Black Hills Energy)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Colorado IPP</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Colorado IPP, LLC a 50.1% owned subsidiary of Black Hills Electric Generation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Indebtedness to Capitalization Ratio</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Any Indebtedness outstanding at such time, divided by Capital at such time. Capital being Consolidated Net-Worth (excluding noncontrolling interest) plus Consolidated Indebtedness (including letters of credit and certain guarantees issued) as defined within the current Credit Agreement. </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Cooling Degree Day (CDD)</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 cooling degree day is equivalent to each degree that the average of the high and low temperature for a day is 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CPCN</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Certificate of Public Convenience and Necessity</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CP Program</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Commercial Paper Program</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CPUC</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Colorado Public Utilities Commission</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CVA</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Credit Valuation Adjustment</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Dodd-Frank</w:t>
            </w:r>
          </w:p>
        </w:tc>
        <w:tc>
          <w:tcPr>
            <w:tcW w:w="8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Dodd-Frank Wall Street Reform and Consumer Protection Act</w:t>
            </w:r>
          </w:p>
        </w:tc>
      </w:tr>
      <w:tr>
        <w:trPr/>
        <w:tc>
          <w:tcPr>
            <w:tcW w:w="17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Dth</w:t>
            </w:r>
          </w:p>
        </w:tc>
        <w:tc>
          <w:tcPr>
            <w:tcW w:w="8448" w:type="dxa"/>
            <w:tcBorders/>
            <w:shd w:fill="auto" w:val="clear"/>
            <w:vAlign w:val="center"/>
          </w:tcPr>
          <w:p>
            <w:pPr>
              <w:pStyle w:val="TableContents"/>
              <w:spacing w:before="0" w:after="0"/>
              <w:jc w:val="left"/>
              <w:rPr>
                <w:rFonts w:ascii="inherit" w:hAnsi="inherit"/>
                <w:sz w:val="17"/>
              </w:rPr>
            </w:pPr>
            <w:r>
              <w:rPr>
                <w:rFonts w:ascii="inherit" w:hAnsi="inherit"/>
                <w:sz w:val="17"/>
              </w:rPr>
              <w:t>Dekatherm. A unit of energy equal to 10 therms or one million British thermal units (MMBtu)</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1231"/>
        <w:gridCol w:w="8974"/>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231" w:type="dxa"/>
            <w:tcBorders/>
            <w:shd w:fill="auto" w:val="clear"/>
            <w:vAlign w:val="center"/>
          </w:tcPr>
          <w:p>
            <w:pPr>
              <w:pStyle w:val="TableContents"/>
              <w:spacing w:before="0" w:after="283"/>
              <w:rPr>
                <w:sz w:val="4"/>
                <w:szCs w:val="4"/>
              </w:rPr>
            </w:pPr>
            <w:r>
              <w:rPr>
                <w:sz w:val="4"/>
                <w:szCs w:val="4"/>
              </w:rPr>
            </w:r>
          </w:p>
        </w:tc>
        <w:tc>
          <w:tcPr>
            <w:tcW w:w="89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Unit</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Each Equity Unit had a stated amount of $50, consisting of a purchase contract issued by BHC to purchase shares of BHC common stock and a 1/20, or 5% undivided beneficial ownership interest in $1,000 principal amount of BHC RSNs that were formerly due 2028. On November 1, 2018, we completed settlement of the stock purchase contracts that are components of the Equity Units issued in November 2015.</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FASB</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Accounting Standards Board</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FERC</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States Federal Energy Regulatory Commission</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Fitch</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Fitch Ratings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GAAP</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Accounting principles generally accepted in the United States of America</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Heating Degree Day (HDD)</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 heating degree day is equivalent to each degree that the average of the high and the low temperatures for a 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IPP</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Independent power producer</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IRS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States Internal Revenue Service</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Kansas Gas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Kansas Gas Utility Company, LLC, a direct, wholly-owned subsidiary of Black Hills Utility Holdings (doing business as Black Hills Energy)</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MMBtu</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Million British thermal units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Moody’s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Moody’s Investors Service, Inc.</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MWh</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Megawatt-hours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Nebraska Gas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Black Hills Nebraska Gas Utility Company, LLC, a direct, wholly-owned subsidiary of Black Hills Utility Holdings (doing business as Black Hills Energy)</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NPSC</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Nebraska Public Service Commission</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PPA</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Power Purchase Agreement</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Revolving Credit Facility</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Our $750 million credit facility used to fund working capital needs, letters of credit and other corporate purposes, which was amended and restated on July 30, 2018 and now terminates on July 30, 2023.</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RSNs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Remarketable junior subordinated notes, issued on November 23, 2015</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 S. Securities and Exchange Commission</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SourceGas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SourceGas Holdings LLC and its subsidiaries, a gas utility owned by funds managed by Alinda Capital Partners and GE Energy Financial Services, a unit of General Electric Co. (NYSE:GE) that was acquired on February 12, 2016, and is now named Black Hills Gas Holdings, LLC (doing business as Black Hills Energy)</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SourceGas Acquisition</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acquisition of SourceGas Holdings, LLC by Black Hills Utility Holdings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S&amp;P</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Standard and Poor’s, a division of The McGraw-Hill Companies, Inc.</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South Dakota Electric</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Includes Black Hills Power operations in South Dakota, Wyoming and Montana</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SSIR</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System Safety and Integrity Rider</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TCJA</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Cuts and Jobs Act enacted on December 22, 2017</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Tech Services</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Non-regulated product lines within Black Hills Corporation that 1) provide electrical system construction services to large industrial customers of our electric utilities, and 2) serve gas transportation customers throughout its service territory by constructing and maintaining customer-owner gas infrastructure facilities, typically through one-time contracts.</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WPSC</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Wyoming Public Service Commission</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Wyodak Plant</w:t>
            </w:r>
          </w:p>
        </w:tc>
        <w:tc>
          <w:tcPr>
            <w:tcW w:w="89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Wyodak, a 362 MW mine-mouth coal-fired plant in Gillette, Wyoming, owned 80% by Pacificorp and 20% by Black Hills Energy South Dakota. Our WRDC mine supplies all of the fuel for the plant.</w:t>
            </w:r>
          </w:p>
        </w:tc>
      </w:tr>
      <w:tr>
        <w:trPr/>
        <w:tc>
          <w:tcPr>
            <w:tcW w:w="1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Wyoming Electric</w:t>
            </w:r>
          </w:p>
        </w:tc>
        <w:tc>
          <w:tcPr>
            <w:tcW w:w="8974" w:type="dxa"/>
            <w:tcBorders/>
            <w:shd w:fill="auto" w:val="clear"/>
            <w:vAlign w:val="center"/>
          </w:tcPr>
          <w:p>
            <w:pPr>
              <w:pStyle w:val="TableContents"/>
              <w:spacing w:before="0" w:after="0"/>
              <w:rPr>
                <w:rFonts w:ascii="inherit" w:hAnsi="inherit"/>
                <w:sz w:val="17"/>
              </w:rPr>
            </w:pPr>
            <w:r>
              <w:rPr>
                <w:rFonts w:ascii="inherit" w:hAnsi="inherit"/>
                <w:sz w:val="17"/>
              </w:rPr>
              <w:t>Includes Cheyenne Light’s electric utility operations</w:t>
            </w:r>
          </w:p>
          <w:p>
            <w:pPr>
              <w:pStyle w:val="TableContents"/>
              <w:spacing w:before="0" w:after="0"/>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right"/>
        <w:rPr>
          <w:rFonts w:ascii="inherit" w:hAnsi="inherit"/>
          <w:sz w:val="17"/>
        </w:rPr>
      </w:pPr>
      <w:r>
        <w:rPr>
          <w:rFonts w:ascii="inherit" w:hAnsi="inherit"/>
          <w:sz w:val="17"/>
        </w:rPr>
      </w:r>
      <w:bookmarkStart w:id="10" w:name="s51E3B10EC9D654A1B8E304835C68024F"/>
      <w:bookmarkStart w:id="11" w:name="s51E3B10EC9D654A1B8E304835C68024F"/>
      <w:bookmarkEnd w:id="11"/>
    </w:p>
    <w:p>
      <w:pPr>
        <w:pStyle w:val="TextBody"/>
        <w:spacing w:before="0" w:after="0"/>
        <w:rPr/>
      </w:pPr>
      <w:r>
        <w:rPr/>
      </w:r>
    </w:p>
    <w:p>
      <w:pPr>
        <w:pStyle w:val="TextBody"/>
        <w:spacing w:lineRule="auto" w:line="288" w:before="0" w:after="0"/>
        <w:rPr/>
      </w:pPr>
      <w:r>
        <w:rPr/>
        <w:t> </w:t>
      </w:r>
    </w:p>
    <w:p>
      <w:pPr>
        <w:pStyle w:val="TextBody"/>
        <w:spacing w:lineRule="auto" w:line="288" w:before="0" w:after="0"/>
        <w:rPr>
          <w:rFonts w:ascii="inherit" w:hAnsi="inherit"/>
          <w:sz w:val="2"/>
        </w:rPr>
      </w:pPr>
      <w:r>
        <w:rPr>
          <w:rFonts w:ascii="inherit" w:hAnsi="inherit"/>
          <w:sz w:val="2"/>
        </w:rPr>
      </w:r>
      <w:bookmarkStart w:id="12" w:name="s6503B421317E5B42940B608124E10B38"/>
      <w:bookmarkStart w:id="13" w:name="s6503B421317E5B42940B608124E10B38"/>
      <w:bookmarkEnd w:id="13"/>
    </w:p>
    <w:p>
      <w:pPr>
        <w:pStyle w:val="TextBody"/>
        <w:spacing w:lineRule="auto" w:line="288" w:before="0" w:after="0"/>
        <w:jc w:val="center"/>
        <w:rPr>
          <w:rFonts w:ascii="inherit" w:hAnsi="inherit"/>
          <w:b/>
          <w:sz w:val="15"/>
        </w:rPr>
      </w:pPr>
      <w:bookmarkStart w:id="14" w:name="s887ED1AD87B85E79BA29C98D24536A54"/>
      <w:bookmarkEnd w:id="14"/>
      <w:r>
        <w:rPr>
          <w:rFonts w:ascii="inherit" w:hAnsi="inherit"/>
          <w:b/>
          <w:sz w:val="15"/>
        </w:rPr>
        <w:t>BLACK HILLS CORPORATION</w:t>
      </w:r>
    </w:p>
    <w:p>
      <w:pPr>
        <w:pStyle w:val="TextBody"/>
        <w:spacing w:lineRule="auto" w:line="288" w:before="0" w:after="0"/>
        <w:jc w:val="center"/>
        <w:rPr>
          <w:rFonts w:ascii="inherit" w:hAnsi="inherit"/>
          <w:b/>
          <w:sz w:val="15"/>
        </w:rPr>
      </w:pPr>
      <w:r>
        <w:rPr>
          <w:rFonts w:ascii="inherit" w:hAnsi="inherit"/>
          <w:b/>
          <w:sz w:val="15"/>
        </w:rPr>
        <w:t>CONDENSED CONSOLIDATED STATEMENTS OF INCOME</w:t>
      </w:r>
    </w:p>
    <w:tbl>
      <w:tblPr>
        <w:tblW w:w="10205" w:type="dxa"/>
        <w:jc w:val="center"/>
        <w:tblInd w:w="0" w:type="dxa"/>
        <w:tblCellMar>
          <w:top w:w="0" w:type="dxa"/>
          <w:left w:w="0" w:type="dxa"/>
          <w:bottom w:w="0" w:type="dxa"/>
          <w:right w:w="0" w:type="dxa"/>
        </w:tblCellMar>
      </w:tblPr>
      <w:tblGrid>
        <w:gridCol w:w="7313"/>
        <w:gridCol w:w="145"/>
        <w:gridCol w:w="805"/>
        <w:gridCol w:w="145"/>
        <w:gridCol w:w="145"/>
        <w:gridCol w:w="805"/>
        <w:gridCol w:w="847"/>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731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(unaudited)</w:t>
            </w:r>
          </w:p>
        </w:tc>
        <w:tc>
          <w:tcPr>
            <w:tcW w:w="2892" w:type="dxa"/>
            <w:gridSpan w:val="6"/>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 March 31,</w:t>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7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7313" w:type="dxa"/>
            <w:tcBorders/>
            <w:shd w:fill="auto" w:val="clear"/>
            <w:vAlign w:val="center"/>
          </w:tcPr>
          <w:p>
            <w:pPr>
              <w:pStyle w:val="TableContents"/>
              <w:spacing w:before="0" w:after="0"/>
              <w:ind w:left="0" w:right="0" w:firstLine="30"/>
              <w:rPr/>
            </w:pPr>
            <w:r>
              <w:rPr/>
              <w:t> </w:t>
            </w:r>
          </w:p>
        </w:tc>
        <w:tc>
          <w:tcPr>
            <w:tcW w:w="2892" w:type="dxa"/>
            <w:gridSpan w:val="6"/>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(in thousands, except per share amounts)</w:t>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Revenue</w:t>
            </w:r>
          </w:p>
        </w:tc>
        <w:tc>
          <w:tcPr>
            <w:tcW w:w="14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597,810</w:t>
            </w:r>
          </w:p>
        </w:tc>
        <w:tc>
          <w:tcPr>
            <w:tcW w:w="14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575,389</w:t>
            </w:r>
          </w:p>
        </w:tc>
        <w:tc>
          <w:tcPr>
            <w:tcW w:w="847"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Operating expenses:</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Fuel, purchased power and cost of natural gas sold</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248,779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247,639</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Operations and maintenance</w:t>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123,913</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116,096</w:t>
            </w:r>
          </w:p>
        </w:tc>
        <w:tc>
          <w:tcPr>
            <w:tcW w:w="8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depletion and amortization</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51,028</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48,590</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Taxes - property and production</w:t>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13,519</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13,300</w:t>
            </w:r>
          </w:p>
        </w:tc>
        <w:tc>
          <w:tcPr>
            <w:tcW w:w="8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operating expenses</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440</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1,490</w:t>
            </w:r>
          </w:p>
        </w:tc>
        <w:tc>
          <w:tcPr>
            <w:tcW w:w="847"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operating expenses</w:t>
            </w:r>
          </w:p>
        </w:tc>
        <w:tc>
          <w:tcPr>
            <w:tcW w:w="95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437,679</w:t>
            </w:r>
          </w:p>
        </w:tc>
        <w:tc>
          <w:tcPr>
            <w:tcW w:w="14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427,115</w:t>
            </w:r>
          </w:p>
        </w:tc>
        <w:tc>
          <w:tcPr>
            <w:tcW w:w="84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Operating income</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160,131</w:t>
            </w:r>
          </w:p>
        </w:tc>
        <w:tc>
          <w:tcPr>
            <w:tcW w:w="14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148,274</w:t>
            </w:r>
          </w:p>
        </w:tc>
        <w:tc>
          <w:tcPr>
            <w:tcW w:w="847"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charges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incurred net of amounts capitalized (including amortization of debt issuance costs, premiums and discounts)</w:t>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(35,974</w:t>
            </w:r>
          </w:p>
        </w:tc>
        <w:tc>
          <w:tcPr>
            <w:tcW w:w="14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(35,438</w:t>
            </w:r>
          </w:p>
        </w:tc>
        <w:tc>
          <w:tcPr>
            <w:tcW w:w="847" w:type="dxa"/>
            <w:tcBorders/>
            <w:shd w:fill="CEFFE7"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Allowance for funds used during construction - borrowed</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958</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133</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income</w:t>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299</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310</w:t>
            </w:r>
          </w:p>
        </w:tc>
        <w:tc>
          <w:tcPr>
            <w:tcW w:w="8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Allowance for funds used during construction - equity</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68</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 net</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(837</w:t>
            </w:r>
          </w:p>
        </w:tc>
        <w:tc>
          <w:tcPr>
            <w:tcW w:w="145"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(172</w:t>
            </w:r>
          </w:p>
        </w:tc>
        <w:tc>
          <w:tcPr>
            <w:tcW w:w="847" w:type="dxa"/>
            <w:tcBorders>
              <w:bottom w:val="single" w:sz="2" w:space="0" w:color="000000"/>
            </w:tcBorders>
            <w:shd w:fill="CEFFE7" w:val="clear"/>
            <w:tcMar>
              <w:bottom w:w="30" w:type="dxa"/>
            </w:tcM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other income (expense)</w:t>
            </w:r>
          </w:p>
        </w:tc>
        <w:tc>
          <w:tcPr>
            <w:tcW w:w="9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(35,506</w:t>
            </w:r>
          </w:p>
        </w:tc>
        <w:tc>
          <w:tcPr>
            <w:tcW w:w="1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(35,099</w:t>
            </w:r>
          </w:p>
        </w:tc>
        <w:tc>
          <w:tcPr>
            <w:tcW w:w="84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7313" w:type="dxa"/>
            <w:tcBorders/>
            <w:shd w:fill="CEFFE7" w:val="clear"/>
            <w:vAlign w:val="center"/>
          </w:tcPr>
          <w:p>
            <w:pPr>
              <w:pStyle w:val="TableContents"/>
              <w:spacing w:before="0" w:after="0"/>
              <w:ind w:left="0" w:right="0" w:firstLine="30"/>
              <w:rPr/>
            </w:pPr>
            <w:r>
              <w:rPr/>
              <w:t> </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before income taxes</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124,625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113,175</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Income tax benefit (expense)</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(17,263</w:t>
            </w:r>
          </w:p>
        </w:tc>
        <w:tc>
          <w:tcPr>
            <w:tcW w:w="145"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25,802</w:t>
            </w:r>
          </w:p>
        </w:tc>
        <w:tc>
          <w:tcPr>
            <w:tcW w:w="847"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107,362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138,977</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Net (loss) from discontinued operations</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(2,343</w:t>
            </w:r>
          </w:p>
        </w:tc>
        <w:tc>
          <w:tcPr>
            <w:tcW w:w="847" w:type="dxa"/>
            <w:tcBorders>
              <w:bottom w:val="single" w:sz="2" w:space="0" w:color="000000"/>
            </w:tcBorders>
            <w:shd w:fill="CEFFE7" w:val="clear"/>
            <w:tcMar>
              <w:bottom w:w="30" w:type="dxa"/>
            </w:tcMar>
            <w:vAlign w:val="center"/>
          </w:tcPr>
          <w:p>
            <w:pPr>
              <w:pStyle w:val="TableContents"/>
              <w:spacing w:before="0" w:after="0"/>
              <w:ind w:left="0" w:right="0" w:firstLine="180"/>
              <w:jc w:val="left"/>
              <w:rPr>
                <w:rFonts w:ascii="inherit" w:hAnsi="inherit"/>
                <w:sz w:val="15"/>
              </w:rPr>
            </w:pPr>
            <w:r>
              <w:rPr>
                <w:rFonts w:ascii="inherit" w:hAnsi="inherit"/>
                <w:sz w:val="15"/>
              </w:rPr>
              <w:t>)</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income </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107,362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136,634</w:t>
            </w:r>
          </w:p>
        </w:tc>
        <w:tc>
          <w:tcPr>
            <w:tcW w:w="8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noncontrolling interest</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(3,554</w:t>
            </w:r>
          </w:p>
        </w:tc>
        <w:tc>
          <w:tcPr>
            <w:tcW w:w="145"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(3,630</w:t>
            </w:r>
          </w:p>
        </w:tc>
        <w:tc>
          <w:tcPr>
            <w:tcW w:w="847"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available for common stock</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103,808</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133,004</w:t>
            </w:r>
          </w:p>
        </w:tc>
        <w:tc>
          <w:tcPr>
            <w:tcW w:w="8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rPr/>
            </w:pPr>
            <w:r>
              <w:rPr/>
              <w:t> </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Amounts attributable to common shareholders:</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18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w:t>
            </w:r>
          </w:p>
        </w:tc>
        <w:tc>
          <w:tcPr>
            <w:tcW w:w="14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EFFE7" w:val="clear"/>
            <w:vAlign w:val="center"/>
          </w:tcPr>
          <w:p>
            <w:pPr>
              <w:pStyle w:val="TableContents"/>
              <w:spacing w:before="0" w:after="0"/>
              <w:jc w:val="right"/>
              <w:rPr>
                <w:rFonts w:ascii="inherit" w:hAnsi="inherit"/>
                <w:sz w:val="15"/>
              </w:rPr>
            </w:pPr>
            <w:r>
              <w:rPr>
                <w:rFonts w:ascii="inherit" w:hAnsi="inherit"/>
                <w:sz w:val="15"/>
              </w:rPr>
              <w:t>103,808</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EFFE7" w:val="clear"/>
            <w:vAlign w:val="center"/>
          </w:tcPr>
          <w:p>
            <w:pPr>
              <w:pStyle w:val="TableContents"/>
              <w:spacing w:before="0" w:after="0"/>
              <w:jc w:val="right"/>
              <w:rPr>
                <w:rFonts w:ascii="inherit" w:hAnsi="inherit"/>
                <w:sz w:val="15"/>
              </w:rPr>
            </w:pPr>
            <w:r>
              <w:rPr>
                <w:rFonts w:ascii="inherit" w:hAnsi="inherit"/>
                <w:sz w:val="15"/>
              </w:rPr>
              <w:t>135,347</w:t>
            </w:r>
          </w:p>
        </w:tc>
        <w:tc>
          <w:tcPr>
            <w:tcW w:w="84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(loss) from discontinued operations</w:t>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(2,343</w:t>
            </w:r>
          </w:p>
        </w:tc>
        <w:tc>
          <w:tcPr>
            <w:tcW w:w="84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Net income available for common stock</w:t>
            </w:r>
          </w:p>
        </w:tc>
        <w:tc>
          <w:tcPr>
            <w:tcW w:w="14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103,808</w:t>
            </w:r>
          </w:p>
        </w:tc>
        <w:tc>
          <w:tcPr>
            <w:tcW w:w="1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133,004</w:t>
            </w:r>
          </w:p>
        </w:tc>
        <w:tc>
          <w:tcPr>
            <w:tcW w:w="84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Earnings (loss) per share of common stock, Basic -</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Earnings from continuing operations</w:t>
            </w:r>
          </w:p>
        </w:tc>
        <w:tc>
          <w:tcPr>
            <w:tcW w:w="14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1.73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2.54</w:t>
            </w:r>
          </w:p>
        </w:tc>
        <w:tc>
          <w:tcPr>
            <w:tcW w:w="84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rPr>
                <w:rFonts w:ascii="inherit" w:hAnsi="inherit"/>
                <w:sz w:val="15"/>
              </w:rPr>
            </w:pPr>
            <w:r>
              <w:rPr>
                <w:rFonts w:ascii="inherit" w:hAnsi="inherit"/>
                <w:sz w:val="15"/>
              </w:rPr>
              <w:t>(Loss) from discontinued operations</w:t>
            </w:r>
          </w:p>
        </w:tc>
        <w:tc>
          <w:tcPr>
            <w:tcW w:w="950" w:type="dxa"/>
            <w:gridSpan w:val="2"/>
            <w:tcBorders/>
            <w:shd w:fill="CEFFE7" w:val="clear"/>
            <w:vAlign w:val="center"/>
          </w:tcPr>
          <w:p>
            <w:pPr>
              <w:pStyle w:val="TableContents"/>
              <w:spacing w:before="0" w:after="0"/>
              <w:jc w:val="right"/>
              <w:rPr/>
            </w:pPr>
            <w:r>
              <w:rPr/>
              <w:t>—</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(0.05</w:t>
            </w:r>
          </w:p>
        </w:tc>
        <w:tc>
          <w:tcPr>
            <w:tcW w:w="847" w:type="dxa"/>
            <w:tcBorders/>
            <w:shd w:fill="CEFFE7" w:val="clear"/>
            <w:vAlign w:val="center"/>
          </w:tcPr>
          <w:p>
            <w:pPr>
              <w:pStyle w:val="TableContents"/>
              <w:spacing w:before="0" w:after="0"/>
              <w:ind w:left="0" w:right="0" w:firstLine="255"/>
              <w:jc w:val="left"/>
              <w:rPr>
                <w:rFonts w:ascii="inherit" w:hAnsi="inherit"/>
                <w:sz w:val="15"/>
              </w:rPr>
            </w:pPr>
            <w:r>
              <w:rPr>
                <w:rFonts w:ascii="inherit" w:hAnsi="inherit"/>
                <w:sz w:val="15"/>
              </w:rPr>
              <w:t>)</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earnings per share of common stock, Basic</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1.73</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2.49</w:t>
            </w:r>
          </w:p>
        </w:tc>
        <w:tc>
          <w:tcPr>
            <w:tcW w:w="8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rPr/>
            </w:pPr>
            <w:r>
              <w:rPr/>
              <w:t> </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30"/>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Earnings (loss) per share of common stock, Diluted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Earnings from continuing operations</w:t>
            </w:r>
          </w:p>
        </w:tc>
        <w:tc>
          <w:tcPr>
            <w:tcW w:w="14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EFFE7" w:val="clear"/>
            <w:vAlign w:val="center"/>
          </w:tcPr>
          <w:p>
            <w:pPr>
              <w:pStyle w:val="TableContents"/>
              <w:spacing w:before="0" w:after="0"/>
              <w:jc w:val="right"/>
              <w:rPr>
                <w:rFonts w:ascii="inherit" w:hAnsi="inherit"/>
                <w:sz w:val="15"/>
              </w:rPr>
            </w:pPr>
            <w:r>
              <w:rPr>
                <w:rFonts w:ascii="inherit" w:hAnsi="inherit"/>
                <w:sz w:val="15"/>
              </w:rPr>
              <w:t>1.73</w:t>
            </w:r>
          </w:p>
        </w:tc>
        <w:tc>
          <w:tcPr>
            <w:tcW w:w="1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EFFE7" w:val="clear"/>
            <w:vAlign w:val="center"/>
          </w:tcPr>
          <w:p>
            <w:pPr>
              <w:pStyle w:val="TableContents"/>
              <w:spacing w:before="0" w:after="0"/>
              <w:jc w:val="right"/>
              <w:rPr>
                <w:rFonts w:ascii="inherit" w:hAnsi="inherit"/>
                <w:sz w:val="15"/>
              </w:rPr>
            </w:pPr>
            <w:r>
              <w:rPr>
                <w:rFonts w:ascii="inherit" w:hAnsi="inherit"/>
                <w:sz w:val="15"/>
              </w:rPr>
              <w:t>2.50</w:t>
            </w:r>
          </w:p>
        </w:tc>
        <w:tc>
          <w:tcPr>
            <w:tcW w:w="847"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w:t>
            </w:r>
          </w:p>
        </w:tc>
        <w:tc>
          <w:tcPr>
            <w:tcW w:w="950"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(0.04</w:t>
            </w:r>
          </w:p>
        </w:tc>
        <w:tc>
          <w:tcPr>
            <w:tcW w:w="847" w:type="dxa"/>
            <w:tcBorders/>
            <w:shd w:fill="auto" w:val="clear"/>
            <w:vAlign w:val="center"/>
          </w:tcPr>
          <w:p>
            <w:pPr>
              <w:pStyle w:val="TableContents"/>
              <w:spacing w:before="0" w:after="0"/>
              <w:ind w:left="0" w:right="0" w:firstLine="255"/>
              <w:jc w:val="left"/>
              <w:rPr>
                <w:rFonts w:ascii="inherit" w:hAnsi="inherit"/>
                <w:sz w:val="15"/>
              </w:rPr>
            </w:pPr>
            <w:r>
              <w:rPr>
                <w:rFonts w:ascii="inherit" w:hAnsi="inherit"/>
                <w:sz w:val="15"/>
              </w:rPr>
              <w:t>)</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earnings per share of common stock, Diluted</w:t>
            </w:r>
          </w:p>
        </w:tc>
        <w:tc>
          <w:tcPr>
            <w:tcW w:w="14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1.73</w:t>
            </w:r>
          </w:p>
        </w:tc>
        <w:tc>
          <w:tcPr>
            <w:tcW w:w="1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2.46</w:t>
            </w:r>
          </w:p>
        </w:tc>
        <w:tc>
          <w:tcPr>
            <w:tcW w:w="84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13" w:type="dxa"/>
            <w:tcBorders/>
            <w:shd w:fill="auto" w:val="clear"/>
            <w:vAlign w:val="center"/>
          </w:tcPr>
          <w:p>
            <w:pPr>
              <w:pStyle w:val="TableContents"/>
              <w:spacing w:before="0" w:after="0"/>
              <w:ind w:left="0" w:right="0" w:firstLine="30"/>
              <w:rPr/>
            </w:pPr>
            <w:r>
              <w:rPr/>
              <w:t> </w:t>
            </w:r>
          </w:p>
        </w:tc>
        <w:tc>
          <w:tcPr>
            <w:tcW w:w="1095" w:type="dxa"/>
            <w:gridSpan w:val="3"/>
            <w:tcBorders/>
            <w:shd w:fill="auto" w:val="clear"/>
            <w:vAlign w:val="center"/>
          </w:tcPr>
          <w:p>
            <w:pPr>
              <w:pStyle w:val="TableContents"/>
              <w:spacing w:before="0" w:after="0"/>
              <w:ind w:left="0" w:right="0" w:firstLine="30"/>
              <w:rPr/>
            </w:pPr>
            <w:r>
              <w:rPr/>
              <w:t> </w:t>
            </w:r>
          </w:p>
        </w:tc>
        <w:tc>
          <w:tcPr>
            <w:tcW w:w="1797" w:type="dxa"/>
            <w:gridSpan w:val="3"/>
            <w:tcBorders/>
            <w:shd w:fill="auto" w:val="clear"/>
            <w:vAlign w:val="center"/>
          </w:tcPr>
          <w:p>
            <w:pPr>
              <w:pStyle w:val="TableContents"/>
              <w:spacing w:before="0" w:after="0"/>
              <w:ind w:left="0" w:right="0" w:firstLine="30"/>
              <w:rPr/>
            </w:pPr>
            <w:r>
              <w:rPr/>
              <w:t> </w:t>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Weighted average common shares outstanding:</w:t>
            </w:r>
          </w:p>
        </w:tc>
        <w:tc>
          <w:tcPr>
            <w:tcW w:w="1095" w:type="dxa"/>
            <w:gridSpan w:val="3"/>
            <w:tcBorders/>
            <w:shd w:fill="CEFFE7" w:val="clear"/>
            <w:vAlign w:val="center"/>
          </w:tcPr>
          <w:p>
            <w:pPr>
              <w:pStyle w:val="TableContents"/>
              <w:spacing w:before="0" w:after="0"/>
              <w:ind w:left="0" w:right="0" w:firstLine="30"/>
              <w:rPr/>
            </w:pPr>
            <w:r>
              <w:rPr/>
              <w:t> </w:t>
            </w:r>
          </w:p>
        </w:tc>
        <w:tc>
          <w:tcPr>
            <w:tcW w:w="1797" w:type="dxa"/>
            <w:gridSpan w:val="3"/>
            <w:tcBorders/>
            <w:shd w:fill="CEFFE7" w:val="clear"/>
            <w:vAlign w:val="center"/>
          </w:tcPr>
          <w:p>
            <w:pPr>
              <w:pStyle w:val="TableContents"/>
              <w:spacing w:before="0" w:after="0"/>
              <w:ind w:left="0" w:right="0" w:firstLine="255"/>
              <w:rPr/>
            </w:pPr>
            <w:r>
              <w:rPr/>
              <w:t> </w:t>
            </w:r>
          </w:p>
        </w:tc>
      </w:tr>
      <w:tr>
        <w:trPr/>
        <w:tc>
          <w:tcPr>
            <w:tcW w:w="73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w:t>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59,920</w:t>
            </w:r>
          </w:p>
        </w:tc>
        <w:tc>
          <w:tcPr>
            <w:tcW w:w="1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53,319</w:t>
            </w:r>
          </w:p>
        </w:tc>
        <w:tc>
          <w:tcPr>
            <w:tcW w:w="847" w:type="dxa"/>
            <w:tcBorders>
              <w:bottom w:val="double" w:sz="6" w:space="0" w:color="000000"/>
            </w:tcBorders>
            <w:shd w:fill="auto" w:val="clear"/>
            <w:tcMar>
              <w:bottom w:w="28" w:type="dxa"/>
            </w:tcM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73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Diluted</w:t>
            </w:r>
          </w:p>
        </w:tc>
        <w:tc>
          <w:tcPr>
            <w:tcW w:w="950" w:type="dxa"/>
            <w:gridSpan w:val="2"/>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60,060</w:t>
            </w:r>
          </w:p>
        </w:tc>
        <w:tc>
          <w:tcPr>
            <w:tcW w:w="145"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0" w:type="dxa"/>
            <w:gridSpan w:val="2"/>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54,122</w:t>
            </w:r>
          </w:p>
        </w:tc>
        <w:tc>
          <w:tcPr>
            <w:tcW w:w="847" w:type="dxa"/>
            <w:tcBorders>
              <w:bottom w:val="double" w:sz="6" w:space="0" w:color="000000"/>
            </w:tcBorders>
            <w:shd w:fill="CEFFE7"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center"/>
        <w:rPr>
          <w:rFonts w:ascii="inherit" w:hAnsi="inherit"/>
          <w:sz w:val="13"/>
        </w:rPr>
      </w:pPr>
      <w:r>
        <w:rPr>
          <w:rFonts w:ascii="inherit" w:hAnsi="inherit"/>
          <w:sz w:val="13"/>
        </w:rPr>
      </w:r>
    </w:p>
    <w:p>
      <w:pPr>
        <w:pStyle w:val="TextBody"/>
        <w:spacing w:lineRule="auto" w:line="288" w:before="0" w:after="0"/>
        <w:jc w:val="center"/>
        <w:rPr>
          <w:rFonts w:ascii="inherit" w:hAnsi="inherit"/>
          <w:sz w:val="13"/>
        </w:rPr>
      </w:pPr>
      <w:r>
        <w:rPr>
          <w:rFonts w:ascii="inherit" w:hAnsi="inherit"/>
          <w:sz w:val="13"/>
        </w:rPr>
        <w:t>The accompanying Notes to Condensed Consolidated Financial Statements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right"/>
        <w:rPr>
          <w:rFonts w:ascii="inherit" w:hAnsi="inherit"/>
          <w:sz w:val="17"/>
        </w:rPr>
      </w:pPr>
      <w:r>
        <w:rPr>
          <w:rFonts w:ascii="inherit" w:hAnsi="inherit"/>
          <w:sz w:val="17"/>
        </w:rPr>
      </w:r>
      <w:bookmarkStart w:id="15" w:name="s777CF9D30723508CA6EDADC0C53A9B3F"/>
      <w:bookmarkStart w:id="16" w:name="s777CF9D30723508CA6EDADC0C53A9B3F"/>
      <w:bookmarkEnd w:id="16"/>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BLACK HILLS CORPORATION</w:t>
      </w:r>
    </w:p>
    <w:p>
      <w:pPr>
        <w:pStyle w:val="TextBody"/>
        <w:spacing w:lineRule="auto" w:line="288" w:before="0" w:after="0"/>
        <w:jc w:val="center"/>
        <w:rPr>
          <w:rFonts w:ascii="inherit" w:hAnsi="inherit"/>
          <w:b/>
          <w:sz w:val="17"/>
        </w:rPr>
      </w:pPr>
      <w:r>
        <w:rPr>
          <w:rFonts w:ascii="inherit" w:hAnsi="inherit"/>
          <w:b/>
          <w:sz w:val="17"/>
        </w:rPr>
        <w:t>CONDENSED CONSOLIDATED STATEMENTS OF COMPREHENSIVE INCOME</w:t>
      </w:r>
    </w:p>
    <w:p>
      <w:pPr>
        <w:pStyle w:val="TextBody"/>
        <w:spacing w:lineRule="auto" w:line="288" w:before="0" w:after="0"/>
        <w:jc w:val="center"/>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7940"/>
        <w:gridCol w:w="125"/>
        <w:gridCol w:w="695"/>
        <w:gridCol w:w="110"/>
        <w:gridCol w:w="125"/>
        <w:gridCol w:w="695"/>
        <w:gridCol w:w="515"/>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79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(unaudited)</w:t>
            </w:r>
          </w:p>
        </w:tc>
        <w:tc>
          <w:tcPr>
            <w:tcW w:w="2265"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w:t>
              <w:br/>
              <w:t>March 31,</w:t>
            </w:r>
          </w:p>
        </w:tc>
      </w:tr>
      <w:tr>
        <w:trPr/>
        <w:tc>
          <w:tcPr>
            <w:tcW w:w="7940"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3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7940" w:type="dxa"/>
            <w:tcBorders/>
            <w:shd w:fill="auto" w:val="clear"/>
            <w:vAlign w:val="center"/>
          </w:tcPr>
          <w:p>
            <w:pPr>
              <w:pStyle w:val="TableContents"/>
              <w:spacing w:before="0" w:after="0"/>
              <w:ind w:left="0" w:right="0" w:firstLine="30"/>
              <w:rPr/>
            </w:pPr>
            <w:r>
              <w:rPr/>
              <w:t> </w:t>
            </w:r>
          </w:p>
        </w:tc>
        <w:tc>
          <w:tcPr>
            <w:tcW w:w="2265"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794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30"/>
              <w:rPr/>
            </w:pPr>
            <w:r>
              <w:rPr/>
              <w:t> </w:t>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107,362</w:t>
            </w:r>
          </w:p>
        </w:tc>
        <w:tc>
          <w:tcPr>
            <w:tcW w:w="11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136,634</w:t>
            </w:r>
          </w:p>
        </w:tc>
        <w:tc>
          <w:tcPr>
            <w:tcW w:w="51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4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30"/>
              <w:rPr/>
            </w:pPr>
            <w:r>
              <w:rPr/>
              <w:t> </w:t>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930" w:type="dxa"/>
            <w:gridSpan w:val="3"/>
            <w:tcBorders/>
            <w:shd w:fill="CEFFE7" w:val="clear"/>
            <w:vAlign w:val="center"/>
          </w:tcPr>
          <w:p>
            <w:pPr>
              <w:pStyle w:val="TableContents"/>
              <w:spacing w:before="0" w:after="0"/>
              <w:ind w:left="0" w:right="0" w:firstLine="30"/>
              <w:rPr/>
            </w:pPr>
            <w:r>
              <w:rPr/>
              <w:t> </w:t>
            </w:r>
          </w:p>
        </w:tc>
        <w:tc>
          <w:tcPr>
            <w:tcW w:w="1335" w:type="dxa"/>
            <w:gridSpan w:val="3"/>
            <w:tcBorders/>
            <w:shd w:fill="CEFFE7" w:val="clear"/>
            <w:vAlign w:val="center"/>
          </w:tcPr>
          <w:p>
            <w:pPr>
              <w:pStyle w:val="TableContents"/>
              <w:spacing w:before="0" w:after="0"/>
              <w:ind w:left="0" w:right="0" w:firstLine="420"/>
              <w:rPr/>
            </w:pPr>
            <w:r>
              <w:rPr/>
              <w:t> </w:t>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adjustments of benefit plan liability - prior service cost (net of tax of $5 and $10, respectively)</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adjustments of benefit plan liability - net gain (loss) (net of tax of $(53) and $(136), respectively)</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167</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486</w:t>
            </w:r>
          </w:p>
        </w:tc>
        <w:tc>
          <w:tcPr>
            <w:tcW w:w="515"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Derivative instruments designated as cash flow hedges:</w:t>
            </w:r>
          </w:p>
        </w:tc>
        <w:tc>
          <w:tcPr>
            <w:tcW w:w="930" w:type="dxa"/>
            <w:gridSpan w:val="3"/>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420"/>
              <w:rPr/>
            </w:pPr>
            <w:r>
              <w:rPr/>
              <w:t> </w:t>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of net realized (gains) losses on settled/amortized interest rate swaps (net of tax of $(163) and $(152), respectively)</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550</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561</w:t>
            </w:r>
          </w:p>
        </w:tc>
        <w:tc>
          <w:tcPr>
            <w:tcW w:w="515"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unrealized gains (losses) on commodity derivatives (net of tax of $(54) and $69, respectively)</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of net realized (gains) losses on settled commodity derivatives (net of tax of $128 and $(145), respectively)</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(426</w:t>
            </w:r>
          </w:p>
        </w:tc>
        <w:tc>
          <w:tcPr>
            <w:tcW w:w="110"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476</w:t>
            </w:r>
          </w:p>
        </w:tc>
        <w:tc>
          <w:tcPr>
            <w:tcW w:w="51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net of tax</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457</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1,260</w:t>
            </w:r>
          </w:p>
        </w:tc>
        <w:tc>
          <w:tcPr>
            <w:tcW w:w="5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40" w:type="dxa"/>
            <w:tcBorders/>
            <w:shd w:fill="CEFFE7" w:val="clear"/>
            <w:vAlign w:val="center"/>
          </w:tcPr>
          <w:p>
            <w:pPr>
              <w:pStyle w:val="TableContents"/>
              <w:spacing w:before="0" w:after="0"/>
              <w:ind w:left="0" w:right="0" w:firstLine="30"/>
              <w:rPr/>
            </w:pPr>
            <w:r>
              <w:rPr/>
              <w:t> </w:t>
            </w:r>
          </w:p>
        </w:tc>
        <w:tc>
          <w:tcPr>
            <w:tcW w:w="930" w:type="dxa"/>
            <w:gridSpan w:val="3"/>
            <w:tcBorders/>
            <w:shd w:fill="CEFFE7" w:val="clear"/>
            <w:vAlign w:val="center"/>
          </w:tcPr>
          <w:p>
            <w:pPr>
              <w:pStyle w:val="TableContents"/>
              <w:spacing w:before="0" w:after="0"/>
              <w:ind w:left="0" w:right="0" w:firstLine="30"/>
              <w:rPr/>
            </w:pPr>
            <w:r>
              <w:rPr/>
              <w:t> </w:t>
            </w:r>
          </w:p>
        </w:tc>
        <w:tc>
          <w:tcPr>
            <w:tcW w:w="1335" w:type="dxa"/>
            <w:gridSpan w:val="3"/>
            <w:tcBorders/>
            <w:shd w:fill="CEFFE7" w:val="clear"/>
            <w:vAlign w:val="center"/>
          </w:tcPr>
          <w:p>
            <w:pPr>
              <w:pStyle w:val="TableContents"/>
              <w:spacing w:before="0" w:after="0"/>
              <w:ind w:left="0" w:right="0" w:firstLine="30"/>
              <w:rPr/>
            </w:pPr>
            <w:r>
              <w:rPr/>
              <w:t> </w:t>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107,819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137,894</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9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Less: comprehensive income attributable to noncontrolling interest</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(3,554</w:t>
            </w:r>
          </w:p>
        </w:tc>
        <w:tc>
          <w:tcPr>
            <w:tcW w:w="110"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(3,630</w:t>
            </w:r>
          </w:p>
        </w:tc>
        <w:tc>
          <w:tcPr>
            <w:tcW w:w="515"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available for common stock</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104,265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134,264</w:t>
            </w:r>
          </w:p>
        </w:tc>
        <w:tc>
          <w:tcPr>
            <w:tcW w:w="5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sz w:val="15"/>
        </w:rPr>
      </w:pPr>
      <w:r>
        <w:rPr>
          <w:rFonts w:ascii="inherit" w:hAnsi="inherit"/>
          <w:sz w:val="15"/>
        </w:rPr>
        <w:t xml:space="preserve">See Note </w:t>
      </w:r>
      <w:r>
        <w:rPr>
          <w:rFonts w:ascii="inherit" w:hAnsi="inherit"/>
          <w:strike w:val="false"/>
          <w:dstrike w:val="false"/>
          <w:color w:val="000000"/>
          <w:sz w:val="15"/>
          <w:u w:val="none"/>
          <w:effect w:val="none"/>
        </w:rPr>
        <w:t>13</w:t>
      </w:r>
      <w:r>
        <w:rPr>
          <w:sz w:val="15"/>
        </w:rPr>
        <w:t xml:space="preserve"> </w:t>
      </w:r>
      <w:r>
        <w:rPr>
          <w:rFonts w:ascii="inherit" w:hAnsi="inherit"/>
          <w:sz w:val="15"/>
        </w:rPr>
        <w:t>for additional disclosures.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3"/>
        </w:rPr>
      </w:pPr>
      <w:r>
        <w:rPr>
          <w:rFonts w:ascii="inherit" w:hAnsi="inherit"/>
          <w:sz w:val="13"/>
        </w:rPr>
        <w:t>The accompanying Notes to Condensed Consolidated Financial Statements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right"/>
        <w:rPr>
          <w:rFonts w:ascii="inherit" w:hAnsi="inherit"/>
          <w:sz w:val="17"/>
        </w:rPr>
      </w:pPr>
      <w:r>
        <w:rPr>
          <w:rFonts w:ascii="inherit" w:hAnsi="inherit"/>
          <w:sz w:val="17"/>
        </w:rPr>
      </w:r>
      <w:bookmarkStart w:id="17" w:name="s20DF528FD7155BDC83EE4EDEE78AECF2"/>
      <w:bookmarkStart w:id="18" w:name="s20DF528FD7155BDC83EE4EDEE78AECF2"/>
      <w:bookmarkEnd w:id="18"/>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BLACK HILLS CORPORATION</w:t>
      </w:r>
    </w:p>
    <w:p>
      <w:pPr>
        <w:pStyle w:val="TextBody"/>
        <w:spacing w:lineRule="auto" w:line="288" w:before="0" w:after="0"/>
        <w:jc w:val="center"/>
        <w:rPr>
          <w:rFonts w:ascii="inherit" w:hAnsi="inherit"/>
          <w:b/>
          <w:sz w:val="17"/>
        </w:rPr>
      </w:pPr>
      <w:r>
        <w:rPr>
          <w:rFonts w:ascii="inherit" w:hAnsi="inherit"/>
          <w:b/>
          <w:sz w:val="17"/>
        </w:rPr>
        <w:t>CONDENSED CONSOLIDATED BALANCE SHEETS</w:t>
      </w:r>
    </w:p>
    <w:p>
      <w:pPr>
        <w:pStyle w:val="TextBody"/>
        <w:spacing w:lineRule="auto" w:line="288" w:before="0" w:after="0"/>
        <w:jc w:val="center"/>
        <w:rPr>
          <w:rFonts w:ascii="inherit" w:hAnsi="inherit"/>
          <w:sz w:val="17"/>
        </w:rPr>
      </w:pPr>
      <w:r>
        <w:rPr>
          <w:rFonts w:ascii="inherit" w:hAnsi="inherit"/>
          <w:sz w:val="17"/>
        </w:rPr>
      </w:r>
    </w:p>
    <w:tbl>
      <w:tblPr>
        <w:tblW w:w="8573" w:type="dxa"/>
        <w:jc w:val="center"/>
        <w:tblInd w:w="0" w:type="dxa"/>
        <w:tblCellMar>
          <w:top w:w="0" w:type="dxa"/>
          <w:left w:w="0" w:type="dxa"/>
          <w:bottom w:w="0" w:type="dxa"/>
          <w:right w:w="0" w:type="dxa"/>
        </w:tblCellMar>
      </w:tblPr>
      <w:tblGrid>
        <w:gridCol w:w="3905"/>
        <w:gridCol w:w="125"/>
        <w:gridCol w:w="845"/>
        <w:gridCol w:w="110"/>
        <w:gridCol w:w="90"/>
        <w:gridCol w:w="194"/>
        <w:gridCol w:w="1317"/>
        <w:gridCol w:w="172"/>
        <w:gridCol w:w="90"/>
        <w:gridCol w:w="125"/>
        <w:gridCol w:w="845"/>
        <w:gridCol w:w="755"/>
      </w:tblGrid>
      <w:tr>
        <w:trPr/>
        <w:tc>
          <w:tcPr>
            <w:tcW w:w="8573" w:type="dxa"/>
            <w:gridSpan w:val="12"/>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(unaudited)</w:t>
            </w:r>
          </w:p>
        </w:tc>
        <w:tc>
          <w:tcPr>
            <w:tcW w:w="4668" w:type="dxa"/>
            <w:gridSpan w:val="11"/>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As of</w:t>
            </w:r>
          </w:p>
        </w:tc>
      </w:tr>
      <w:tr>
        <w:trPr/>
        <w:tc>
          <w:tcPr>
            <w:tcW w:w="3905" w:type="dxa"/>
            <w:tcBorders/>
            <w:shd w:fill="auto" w:val="clear"/>
            <w:vAlign w:val="center"/>
          </w:tcPr>
          <w:p>
            <w:pPr>
              <w:pStyle w:val="TableContents"/>
              <w:spacing w:before="0" w:after="0"/>
              <w:ind w:left="0" w:right="0" w:firstLine="30"/>
              <w:rPr/>
            </w:pPr>
            <w:r>
              <w:rPr/>
              <w:t> </w:t>
            </w:r>
          </w:p>
        </w:tc>
        <w:tc>
          <w:tcPr>
            <w:tcW w:w="10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 xml:space="preserve">March 31, </w:t>
              <w:b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 xml:space="preserve">March 31, </w:t>
              <w:br/>
              <w:t>2018</w:t>
            </w:r>
          </w:p>
        </w:tc>
      </w:tr>
      <w:tr>
        <w:trPr/>
        <w:tc>
          <w:tcPr>
            <w:tcW w:w="3905" w:type="dxa"/>
            <w:tcBorders/>
            <w:shd w:fill="auto" w:val="clear"/>
            <w:vAlign w:val="center"/>
          </w:tcPr>
          <w:p>
            <w:pPr>
              <w:pStyle w:val="TableContents"/>
              <w:spacing w:before="0" w:after="0"/>
              <w:ind w:left="0" w:right="0" w:firstLine="30"/>
              <w:rPr/>
            </w:pPr>
            <w:r>
              <w:rPr/>
              <w:t> </w:t>
            </w:r>
          </w:p>
        </w:tc>
        <w:tc>
          <w:tcPr>
            <w:tcW w:w="4668" w:type="dxa"/>
            <w:gridSpan w:val="11"/>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390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ASSETS</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8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8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255"/>
              <w:rPr/>
            </w:pPr>
            <w:r>
              <w:rPr/>
              <w:t> </w:t>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12,225</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94"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EFFE7" w:val="clear"/>
            <w:vAlign w:val="center"/>
          </w:tcPr>
          <w:p>
            <w:pPr>
              <w:pStyle w:val="TableContents"/>
              <w:spacing w:before="0" w:after="0"/>
              <w:jc w:val="right"/>
              <w:rPr>
                <w:rFonts w:ascii="inherit" w:hAnsi="inherit"/>
                <w:sz w:val="17"/>
              </w:rPr>
            </w:pPr>
            <w:r>
              <w:rPr>
                <w:rFonts w:ascii="inherit" w:hAnsi="inherit"/>
                <w:sz w:val="17"/>
              </w:rPr>
              <w:t>20,776</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30,947</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3,369</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2,958</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282,602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269,153</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257,772</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Materials, supplies and fuel</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87,676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117,299</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82,045</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Derivative assets, current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932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1,500</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295</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receivable, net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12,978</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13,900</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Regulatory assets, current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54,303</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48,776</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54,492</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28,029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29,982</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24,972</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 held for sale</w:t>
            </w:r>
          </w:p>
        </w:tc>
        <w:tc>
          <w:tcPr>
            <w:tcW w:w="970"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24,724</w:t>
            </w:r>
          </w:p>
        </w:tc>
        <w:tc>
          <w:tcPr>
            <w:tcW w:w="755" w:type="dxa"/>
            <w:tcBorders>
              <w:bottom w:val="single" w:sz="2" w:space="0" w:color="000000"/>
            </w:tcBorders>
            <w:shd w:fill="CEFFE7"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484,570</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51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503,833</w:t>
            </w:r>
          </w:p>
        </w:tc>
        <w:tc>
          <w:tcPr>
            <w:tcW w:w="17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492,105</w:t>
            </w:r>
          </w:p>
        </w:tc>
        <w:tc>
          <w:tcPr>
            <w:tcW w:w="7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683"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25" w:type="dxa"/>
            <w:gridSpan w:val="3"/>
            <w:tcBorders/>
            <w:shd w:fill="CEFFE7"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w:t>
            </w:r>
          </w:p>
        </w:tc>
        <w:tc>
          <w:tcPr>
            <w:tcW w:w="9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41,247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1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41,013</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40,927</w:t>
            </w:r>
          </w:p>
        </w:tc>
        <w:tc>
          <w:tcPr>
            <w:tcW w:w="7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683"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25" w:type="dxa"/>
            <w:gridSpan w:val="3"/>
            <w:tcBorders/>
            <w:shd w:fill="CEFFE7"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6,127,050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6,000,015</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5,608,539</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Less: accumulated depreciation and depletion</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(1,187,112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(1,145,136</w:t>
            </w:r>
          </w:p>
        </w:tc>
        <w:tc>
          <w:tcPr>
            <w:tcW w:w="172"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(1,048,933</w:t>
            </w:r>
          </w:p>
        </w:tc>
        <w:tc>
          <w:tcPr>
            <w:tcW w:w="755" w:type="dxa"/>
            <w:tcBorders>
              <w:bottom w:val="single" w:sz="2" w:space="0" w:color="000000"/>
            </w:tcBorders>
            <w:shd w:fill="CEFFE7"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property, plant and equipment, net</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4,939,938</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51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4,854,879</w:t>
            </w:r>
          </w:p>
        </w:tc>
        <w:tc>
          <w:tcPr>
            <w:tcW w:w="17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4,559,606</w:t>
            </w:r>
          </w:p>
        </w:tc>
        <w:tc>
          <w:tcPr>
            <w:tcW w:w="7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683"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25" w:type="dxa"/>
            <w:gridSpan w:val="3"/>
            <w:tcBorders/>
            <w:shd w:fill="CEFFE7"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8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255"/>
              <w:rPr/>
            </w:pPr>
            <w:r>
              <w:rPr/>
              <w:t> </w:t>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1,299,454</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1,299,454</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1,299,454</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14,136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14,337</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7,357</w:t>
            </w:r>
          </w:p>
        </w:tc>
        <w:tc>
          <w:tcPr>
            <w:tcW w:w="755"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Regulatory assets, non-current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232,404</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1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235,459</w:t>
            </w:r>
          </w:p>
        </w:tc>
        <w:tc>
          <w:tcPr>
            <w:tcW w:w="1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212,740</w:t>
            </w:r>
          </w:p>
        </w:tc>
        <w:tc>
          <w:tcPr>
            <w:tcW w:w="755"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non-current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14,352</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14,800</w:t>
            </w:r>
          </w:p>
        </w:tc>
        <w:tc>
          <w:tcPr>
            <w:tcW w:w="75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other assets, non-current</w:t>
            </w:r>
          </w:p>
        </w:tc>
        <w:tc>
          <w:tcPr>
            <w:tcW w:w="97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1,571,817</w:t>
            </w:r>
          </w:p>
        </w:tc>
        <w:tc>
          <w:tcPr>
            <w:tcW w:w="11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1511"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1,563,602</w:t>
            </w:r>
          </w:p>
        </w:tc>
        <w:tc>
          <w:tcPr>
            <w:tcW w:w="172"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1,534,351</w:t>
            </w:r>
          </w:p>
        </w:tc>
        <w:tc>
          <w:tcPr>
            <w:tcW w:w="75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rPr/>
            </w:pPr>
            <w:r>
              <w:rPr/>
              <w:t> </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8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39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5"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7,037,572</w:t>
            </w:r>
          </w:p>
        </w:tc>
        <w:tc>
          <w:tcPr>
            <w:tcW w:w="110"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double" w:sz="6" w:space="0" w:color="000000"/>
            </w:tcBorders>
            <w:shd w:fill="CEFFE7" w:val="clear"/>
            <w:tcMar>
              <w:bottom w:w="30" w:type="dxa"/>
            </w:tcMar>
            <w:vAlign w:val="center"/>
          </w:tcPr>
          <w:p>
            <w:pPr>
              <w:pStyle w:val="TableContents"/>
              <w:spacing w:before="0" w:after="0"/>
              <w:ind w:left="0" w:right="0" w:firstLine="30"/>
              <w:rPr/>
            </w:pPr>
            <w:r>
              <w:rPr/>
              <w:t> </w:t>
            </w:r>
          </w:p>
        </w:tc>
        <w:tc>
          <w:tcPr>
            <w:tcW w:w="194"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6,963,327</w:t>
            </w:r>
          </w:p>
        </w:tc>
        <w:tc>
          <w:tcPr>
            <w:tcW w:w="172"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double" w:sz="6" w:space="0" w:color="000000"/>
            </w:tcBorders>
            <w:shd w:fill="CEFFE7" w:val="clear"/>
            <w:tcMar>
              <w:bottom w:w="30" w:type="dxa"/>
            </w:tcMar>
            <w:vAlign w:val="center"/>
          </w:tcPr>
          <w:p>
            <w:pPr>
              <w:pStyle w:val="TableContents"/>
              <w:spacing w:before="0" w:after="0"/>
              <w:ind w:left="0" w:right="0" w:firstLine="30"/>
              <w:rPr/>
            </w:pPr>
            <w:r>
              <w:rPr/>
              <w:t> </w:t>
            </w:r>
          </w:p>
        </w:tc>
        <w:tc>
          <w:tcPr>
            <w:tcW w:w="125"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6,626,989</w:t>
            </w:r>
          </w:p>
        </w:tc>
        <w:tc>
          <w:tcPr>
            <w:tcW w:w="755" w:type="dxa"/>
            <w:tcBorders>
              <w:bottom w:val="double" w:sz="6" w:space="0" w:color="000000"/>
            </w:tcBorders>
            <w:shd w:fill="CEFFE7"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3"/>
        </w:rPr>
      </w:pPr>
      <w:r>
        <w:rPr>
          <w:rFonts w:ascii="inherit" w:hAnsi="inherit"/>
          <w:sz w:val="13"/>
        </w:rPr>
        <w:t>The accompanying Notes to Condensed Consolidated Financial Statements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BLACK HILLS CORPORATION</w:t>
      </w:r>
    </w:p>
    <w:p>
      <w:pPr>
        <w:pStyle w:val="TextBody"/>
        <w:spacing w:lineRule="auto" w:line="288" w:before="0" w:after="0"/>
        <w:jc w:val="center"/>
        <w:rPr>
          <w:rFonts w:ascii="inherit" w:hAnsi="inherit"/>
          <w:b/>
          <w:sz w:val="17"/>
        </w:rPr>
      </w:pPr>
      <w:r>
        <w:rPr>
          <w:rFonts w:ascii="inherit" w:hAnsi="inherit"/>
          <w:b/>
          <w:sz w:val="17"/>
        </w:rPr>
        <w:t>CONDENSED CONSOLIDATED BALANCE SHEETS</w:t>
      </w:r>
    </w:p>
    <w:p>
      <w:pPr>
        <w:pStyle w:val="TextBody"/>
        <w:spacing w:lineRule="auto" w:line="288" w:before="0" w:after="0"/>
        <w:jc w:val="center"/>
        <w:rPr>
          <w:rFonts w:ascii="inherit" w:hAnsi="inherit"/>
          <w:b/>
          <w:sz w:val="17"/>
        </w:rPr>
      </w:pPr>
      <w:r>
        <w:rPr>
          <w:rFonts w:ascii="inherit" w:hAnsi="inherit"/>
          <w:b/>
          <w:sz w:val="17"/>
        </w:rPr>
        <w:t>(Continued)</w:t>
      </w:r>
    </w:p>
    <w:tbl>
      <w:tblPr>
        <w:tblW w:w="10205" w:type="dxa"/>
        <w:jc w:val="center"/>
        <w:tblInd w:w="0" w:type="dxa"/>
        <w:tblCellMar>
          <w:top w:w="0" w:type="dxa"/>
          <w:left w:w="0" w:type="dxa"/>
          <w:bottom w:w="0" w:type="dxa"/>
          <w:right w:w="0" w:type="dxa"/>
        </w:tblCellMar>
      </w:tblPr>
      <w:tblGrid>
        <w:gridCol w:w="5756"/>
        <w:gridCol w:w="125"/>
        <w:gridCol w:w="845"/>
        <w:gridCol w:w="110"/>
        <w:gridCol w:w="90"/>
        <w:gridCol w:w="165"/>
        <w:gridCol w:w="1121"/>
        <w:gridCol w:w="146"/>
        <w:gridCol w:w="90"/>
        <w:gridCol w:w="125"/>
        <w:gridCol w:w="845"/>
        <w:gridCol w:w="787"/>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7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(unaudited)</w:t>
            </w:r>
          </w:p>
        </w:tc>
        <w:tc>
          <w:tcPr>
            <w:tcW w:w="4449" w:type="dxa"/>
            <w:gridSpan w:val="11"/>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As of</w:t>
            </w:r>
          </w:p>
        </w:tc>
      </w:tr>
      <w:tr>
        <w:trPr/>
        <w:tc>
          <w:tcPr>
            <w:tcW w:w="5756" w:type="dxa"/>
            <w:tcBorders/>
            <w:shd w:fill="auto" w:val="clear"/>
            <w:vAlign w:val="center"/>
          </w:tcPr>
          <w:p>
            <w:pPr>
              <w:pStyle w:val="TableContents"/>
              <w:spacing w:before="0" w:after="0"/>
              <w:ind w:left="0" w:right="0" w:firstLine="30"/>
              <w:rPr/>
            </w:pPr>
            <w:r>
              <w:rPr/>
              <w:t> </w:t>
            </w:r>
          </w:p>
        </w:tc>
        <w:tc>
          <w:tcPr>
            <w:tcW w:w="10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 xml:space="preserve">March 31, </w:t>
              <w:b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 xml:space="preserve">March 31, </w:t>
              <w:br/>
              <w:t>2018</w:t>
            </w:r>
          </w:p>
        </w:tc>
      </w:tr>
      <w:tr>
        <w:trPr/>
        <w:tc>
          <w:tcPr>
            <w:tcW w:w="5756" w:type="dxa"/>
            <w:tcBorders/>
            <w:shd w:fill="auto" w:val="clear"/>
            <w:vAlign w:val="center"/>
          </w:tcPr>
          <w:p>
            <w:pPr>
              <w:pStyle w:val="TableContents"/>
              <w:spacing w:before="0" w:after="0"/>
              <w:ind w:left="0" w:right="0" w:firstLine="30"/>
              <w:rPr/>
            </w:pPr>
            <w:r>
              <w:rPr/>
              <w:t> </w:t>
            </w:r>
          </w:p>
        </w:tc>
        <w:tc>
          <w:tcPr>
            <w:tcW w:w="4449" w:type="dxa"/>
            <w:gridSpan w:val="11"/>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 except share amounts)</w:t>
            </w:r>
          </w:p>
        </w:tc>
      </w:tr>
      <w:tr>
        <w:trPr/>
        <w:tc>
          <w:tcPr>
            <w:tcW w:w="5756"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LIABILITIES AND TOTAL EQUITY</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30"/>
              <w:rPr/>
            </w:pPr>
            <w:r>
              <w:rPr/>
              <w:t> </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255"/>
              <w:rPr/>
            </w:pPr>
            <w:r>
              <w:rPr/>
              <w:t> </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178,678</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shd w:fill="CEFFE7" w:val="clear"/>
            <w:vAlign w:val="center"/>
          </w:tcPr>
          <w:p>
            <w:pPr>
              <w:pStyle w:val="TableContents"/>
              <w:spacing w:before="0" w:after="0"/>
              <w:jc w:val="right"/>
              <w:rPr>
                <w:rFonts w:ascii="inherit" w:hAnsi="inherit"/>
                <w:sz w:val="17"/>
              </w:rPr>
            </w:pPr>
            <w:r>
              <w:rPr>
                <w:rFonts w:ascii="inherit" w:hAnsi="inherit"/>
                <w:sz w:val="17"/>
              </w:rPr>
              <w:t>210,609</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106,281</w:t>
            </w:r>
          </w:p>
        </w:tc>
        <w:tc>
          <w:tcPr>
            <w:tcW w:w="787"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196,072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215,501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194,040</w:t>
            </w:r>
          </w:p>
        </w:tc>
        <w:tc>
          <w:tcPr>
            <w:tcW w:w="787"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Derivative liabilities, current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95</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947</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891</w:t>
            </w:r>
          </w:p>
        </w:tc>
        <w:tc>
          <w:tcPr>
            <w:tcW w:w="787"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liabilities, current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45,777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29,810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42,499</w:t>
            </w:r>
          </w:p>
        </w:tc>
        <w:tc>
          <w:tcPr>
            <w:tcW w:w="787"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Notes payable</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164,650</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185,620</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164,200</w:t>
            </w:r>
          </w:p>
        </w:tc>
        <w:tc>
          <w:tcPr>
            <w:tcW w:w="787"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5,743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5,743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255,743</w:t>
            </w:r>
          </w:p>
        </w:tc>
        <w:tc>
          <w:tcPr>
            <w:tcW w:w="787"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 held for sale</w:t>
            </w:r>
          </w:p>
        </w:tc>
        <w:tc>
          <w:tcPr>
            <w:tcW w:w="970"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pPr>
            <w:r>
              <w:rPr/>
              <w:t>—</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24,910</w:t>
            </w:r>
          </w:p>
        </w:tc>
        <w:tc>
          <w:tcPr>
            <w:tcW w:w="787" w:type="dxa"/>
            <w:tcBorders/>
            <w:shd w:fill="CEFFE7"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591,015</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8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648,230</w:t>
            </w:r>
          </w:p>
        </w:tc>
        <w:tc>
          <w:tcPr>
            <w:tcW w:w="14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788,564</w:t>
            </w:r>
          </w:p>
        </w:tc>
        <w:tc>
          <w:tcPr>
            <w:tcW w:w="78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432"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57" w:type="dxa"/>
            <w:gridSpan w:val="3"/>
            <w:tcBorders/>
            <w:shd w:fill="CEFFE7" w:val="clear"/>
            <w:vAlign w:val="center"/>
          </w:tcPr>
          <w:p>
            <w:pPr>
              <w:pStyle w:val="TableContents"/>
              <w:spacing w:before="0" w:after="0"/>
              <w:ind w:left="0" w:right="0" w:firstLine="30"/>
              <w:rPr/>
            </w:pPr>
            <w:r>
              <w:rPr/>
              <w:t> </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w:t>
            </w:r>
          </w:p>
        </w:tc>
        <w:tc>
          <w:tcPr>
            <w:tcW w:w="9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2,950,299</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2,950,835</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2,858,787</w:t>
            </w:r>
          </w:p>
        </w:tc>
        <w:tc>
          <w:tcPr>
            <w:tcW w:w="7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432"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57" w:type="dxa"/>
            <w:gridSpan w:val="3"/>
            <w:tcBorders/>
            <w:shd w:fill="CEFFE7" w:val="clear"/>
            <w:vAlign w:val="center"/>
          </w:tcPr>
          <w:p>
            <w:pPr>
              <w:pStyle w:val="TableContents"/>
              <w:spacing w:before="0" w:after="0"/>
              <w:ind w:left="0" w:right="0" w:firstLine="30"/>
              <w:rPr/>
            </w:pPr>
            <w:r>
              <w:rPr/>
              <w:t> </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credits and other liabilities:</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255"/>
              <w:rPr/>
            </w:pPr>
            <w:r>
              <w:rPr/>
              <w:t> </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 liabilities, net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337,184</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311,331</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290,491</w:t>
            </w:r>
          </w:p>
        </w:tc>
        <w:tc>
          <w:tcPr>
            <w:tcW w:w="787"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liabilities, non-current</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511,482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510,984</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495,362</w:t>
            </w:r>
          </w:p>
        </w:tc>
        <w:tc>
          <w:tcPr>
            <w:tcW w:w="787"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Benefit plan liabilities</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145,883</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145,147</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160,580</w:t>
            </w:r>
          </w:p>
        </w:tc>
        <w:tc>
          <w:tcPr>
            <w:tcW w:w="787"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deferred credits and other liabilities</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118,007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109,377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105,221</w:t>
            </w:r>
          </w:p>
        </w:tc>
        <w:tc>
          <w:tcPr>
            <w:tcW w:w="787"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deferred credits and other liabilities</w:t>
            </w:r>
          </w:p>
        </w:tc>
        <w:tc>
          <w:tcPr>
            <w:tcW w:w="97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1,112,556</w:t>
            </w:r>
          </w:p>
        </w:tc>
        <w:tc>
          <w:tcPr>
            <w:tcW w:w="11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1286"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1,076,839</w:t>
            </w:r>
          </w:p>
        </w:tc>
        <w:tc>
          <w:tcPr>
            <w:tcW w:w="146"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1,051,654</w:t>
            </w:r>
          </w:p>
        </w:tc>
        <w:tc>
          <w:tcPr>
            <w:tcW w:w="78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rPr/>
            </w:pPr>
            <w:r>
              <w:rPr/>
              <w:t> </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30"/>
              <w:rPr/>
            </w:pPr>
            <w:r>
              <w:rPr/>
              <w:t> </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 (See Notes 8, 10, 15, 16)</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432" w:type="dxa"/>
            <w:gridSpan w:val="3"/>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757" w:type="dxa"/>
            <w:gridSpan w:val="3"/>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rPr/>
            </w:pPr>
            <w:r>
              <w:rPr/>
              <w:t> </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30"/>
              <w:rPr/>
            </w:pPr>
            <w:r>
              <w:rPr/>
              <w:t> </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Equity:</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432"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57" w:type="dxa"/>
            <w:gridSpan w:val="3"/>
            <w:tcBorders/>
            <w:shd w:fill="CEFFE7" w:val="clear"/>
            <w:vAlign w:val="center"/>
          </w:tcPr>
          <w:p>
            <w:pPr>
              <w:pStyle w:val="TableContents"/>
              <w:spacing w:before="0" w:after="0"/>
              <w:ind w:left="0" w:right="0" w:firstLine="255"/>
              <w:rPr/>
            </w:pPr>
            <w:r>
              <w:rPr/>
              <w:t> </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 —</w:t>
            </w:r>
          </w:p>
        </w:tc>
        <w:tc>
          <w:tcPr>
            <w:tcW w:w="10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7" w:type="dxa"/>
            <w:gridSpan w:val="3"/>
            <w:tcBorders/>
            <w:shd w:fill="auto" w:val="clear"/>
            <w:vAlign w:val="center"/>
          </w:tcPr>
          <w:p>
            <w:pPr>
              <w:pStyle w:val="TableContents"/>
              <w:spacing w:before="0" w:after="0"/>
              <w:ind w:left="0" w:right="0" w:firstLine="300"/>
              <w:rPr/>
            </w:pPr>
            <w:r>
              <w:rPr/>
              <w:t> </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Common stock $1 par value; 100,000,000 shares authorized; issued 60,378,020; 60,048,567; and 53,648,817 shares, respectively</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60,378</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60,049</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53,649</w:t>
            </w:r>
          </w:p>
        </w:tc>
        <w:tc>
          <w:tcPr>
            <w:tcW w:w="787"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1,469,410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1,450,569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1,151,933</w:t>
            </w:r>
          </w:p>
        </w:tc>
        <w:tc>
          <w:tcPr>
            <w:tcW w:w="78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777,262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700,396</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656,161</w:t>
            </w:r>
          </w:p>
        </w:tc>
        <w:tc>
          <w:tcPr>
            <w:tcW w:w="787"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Treasury stock, at cost – 23,756; 44,253; and 53,959 shares, respectively</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(3,049</w:t>
            </w:r>
          </w:p>
        </w:tc>
        <w:tc>
          <w:tcPr>
            <w:tcW w:w="78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(26,459</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(26,916</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(39,924</w:t>
            </w:r>
          </w:p>
        </w:tc>
        <w:tc>
          <w:tcPr>
            <w:tcW w:w="787" w:type="dxa"/>
            <w:tcBorders/>
            <w:shd w:fill="CEFFE7" w:val="clear"/>
            <w:vAlign w:val="center"/>
          </w:tcPr>
          <w:p>
            <w:pPr>
              <w:pStyle w:val="TableContents"/>
              <w:spacing w:before="0" w:after="0"/>
              <w:ind w:left="0" w:right="0" w:firstLine="690"/>
              <w:jc w:val="left"/>
              <w:rPr>
                <w:rFonts w:ascii="inherit" w:hAnsi="inherit"/>
                <w:sz w:val="17"/>
              </w:rPr>
            </w:pPr>
            <w:r>
              <w:rPr>
                <w:rFonts w:ascii="inherit" w:hAnsi="inherit"/>
                <w:sz w:val="17"/>
              </w:rPr>
              <w:t>)</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stockholders’ equity</w:t>
            </w:r>
          </w:p>
        </w:tc>
        <w:tc>
          <w:tcPr>
            <w:tcW w:w="97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2,279,159</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86"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2,181,588</w:t>
            </w:r>
          </w:p>
        </w:tc>
        <w:tc>
          <w:tcPr>
            <w:tcW w:w="1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7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1,818,770</w:t>
            </w:r>
          </w:p>
        </w:tc>
        <w:tc>
          <w:tcPr>
            <w:tcW w:w="787" w:type="dxa"/>
            <w:tcBorders>
              <w:top w:val="single" w:sz="2" w:space="0" w:color="000000"/>
            </w:tcBorders>
            <w:shd w:fill="auto" w:val="clear"/>
            <w:tcMar>
              <w:top w:w="28" w:type="dxa"/>
            </w:tcM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104,543</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8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105,835</w:t>
            </w:r>
          </w:p>
        </w:tc>
        <w:tc>
          <w:tcPr>
            <w:tcW w:w="1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109,214</w:t>
            </w:r>
          </w:p>
        </w:tc>
        <w:tc>
          <w:tcPr>
            <w:tcW w:w="787" w:type="dxa"/>
            <w:tcBorders/>
            <w:shd w:fill="CEFFE7" w:val="clear"/>
            <w:vAlign w:val="center"/>
          </w:tcPr>
          <w:p>
            <w:pPr>
              <w:pStyle w:val="TableContents"/>
              <w:spacing w:before="0" w:after="0"/>
              <w:ind w:left="0" w:right="0" w:firstLine="690"/>
              <w:jc w:val="left"/>
              <w:rPr>
                <w:rFonts w:ascii="inherit" w:hAnsi="inherit"/>
                <w:sz w:val="17"/>
              </w:rPr>
            </w:pPr>
            <w:r>
              <w:rPr>
                <w:rFonts w:ascii="inherit" w:hAnsi="inherit"/>
                <w:sz w:val="17"/>
              </w:rPr>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equity</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2,383,702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8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2,287,423</w:t>
            </w:r>
          </w:p>
        </w:tc>
        <w:tc>
          <w:tcPr>
            <w:tcW w:w="14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1,927,984</w:t>
            </w:r>
          </w:p>
        </w:tc>
        <w:tc>
          <w:tcPr>
            <w:tcW w:w="78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56" w:type="dxa"/>
            <w:tcBorders/>
            <w:shd w:fill="CEFFE7" w:val="clear"/>
            <w:vAlign w:val="center"/>
          </w:tcPr>
          <w:p>
            <w:pPr>
              <w:pStyle w:val="TableContents"/>
              <w:spacing w:before="0" w:after="0"/>
              <w:ind w:left="0" w:right="0" w:firstLine="30"/>
              <w:rPr/>
            </w:pPr>
            <w:r>
              <w:rPr/>
              <w:t> </w:t>
            </w:r>
          </w:p>
        </w:tc>
        <w:tc>
          <w:tcPr>
            <w:tcW w:w="108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432"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57" w:type="dxa"/>
            <w:gridSpan w:val="3"/>
            <w:tcBorders/>
            <w:shd w:fill="CEFFE7" w:val="clear"/>
            <w:vAlign w:val="center"/>
          </w:tcPr>
          <w:p>
            <w:pPr>
              <w:pStyle w:val="TableContents"/>
              <w:spacing w:before="0" w:after="0"/>
              <w:ind w:left="0" w:right="0" w:firstLine="30"/>
              <w:rPr/>
            </w:pPr>
            <w:r>
              <w:rPr/>
              <w:t> </w:t>
            </w:r>
          </w:p>
        </w:tc>
      </w:tr>
      <w:tr>
        <w:trPr/>
        <w:tc>
          <w:tcPr>
            <w:tcW w:w="57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TOTAL EQUITY</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7,037,572</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6,963,327</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6,626,989</w:t>
            </w:r>
          </w:p>
        </w:tc>
        <w:tc>
          <w:tcPr>
            <w:tcW w:w="7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3"/>
        </w:rPr>
      </w:pPr>
      <w:r>
        <w:rPr>
          <w:rFonts w:ascii="inherit" w:hAnsi="inherit"/>
          <w:sz w:val="13"/>
        </w:rPr>
        <w:t>The accompanying Notes to Condensed Consolidated Financial Statements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right"/>
        <w:rPr>
          <w:rFonts w:ascii="inherit" w:hAnsi="inherit"/>
          <w:sz w:val="17"/>
        </w:rPr>
      </w:pPr>
      <w:r>
        <w:rPr>
          <w:rFonts w:ascii="inherit" w:hAnsi="inherit"/>
          <w:sz w:val="17"/>
        </w:rPr>
      </w:r>
      <w:bookmarkStart w:id="19" w:name="sCF2BB474F9B6596E8BEAA5C3183A5028"/>
      <w:bookmarkStart w:id="20" w:name="sCF2BB474F9B6596E8BEAA5C3183A5028"/>
      <w:bookmarkEnd w:id="20"/>
    </w:p>
    <w:p>
      <w:pPr>
        <w:pStyle w:val="TextBody"/>
        <w:spacing w:before="0" w:after="0"/>
        <w:rPr/>
      </w:pPr>
      <w:r>
        <w:rPr/>
      </w:r>
    </w:p>
    <w:p>
      <w:pPr>
        <w:pStyle w:val="TextBody"/>
        <w:spacing w:lineRule="auto" w:line="288" w:before="0" w:after="0"/>
        <w:jc w:val="center"/>
        <w:rPr>
          <w:rFonts w:ascii="inherit" w:hAnsi="inherit"/>
          <w:b/>
          <w:sz w:val="15"/>
        </w:rPr>
      </w:pPr>
      <w:r>
        <w:rPr>
          <w:rFonts w:ascii="inherit" w:hAnsi="inherit"/>
          <w:b/>
          <w:sz w:val="15"/>
        </w:rPr>
        <w:t>BLACK HILLS CORPORATION</w:t>
      </w:r>
    </w:p>
    <w:p>
      <w:pPr>
        <w:pStyle w:val="TextBody"/>
        <w:spacing w:lineRule="auto" w:line="288" w:before="0" w:after="0"/>
        <w:jc w:val="center"/>
        <w:rPr>
          <w:rFonts w:ascii="inherit" w:hAnsi="inherit"/>
          <w:b/>
          <w:sz w:val="15"/>
        </w:rPr>
      </w:pPr>
      <w:r>
        <w:rPr>
          <w:rFonts w:ascii="inherit" w:hAnsi="inherit"/>
          <w:b/>
          <w:sz w:val="15"/>
        </w:rPr>
        <w:t>CONDENSED CONSOLIDATED STATEMENTS OF CASH FLOWS</w:t>
      </w:r>
    </w:p>
    <w:tbl>
      <w:tblPr>
        <w:tblW w:w="8242" w:type="dxa"/>
        <w:jc w:val="center"/>
        <w:tblInd w:w="0" w:type="dxa"/>
        <w:tblCellMar>
          <w:top w:w="0" w:type="dxa"/>
          <w:left w:w="0" w:type="dxa"/>
          <w:bottom w:w="0" w:type="dxa"/>
          <w:right w:w="0" w:type="dxa"/>
        </w:tblCellMar>
      </w:tblPr>
      <w:tblGrid>
        <w:gridCol w:w="5960"/>
        <w:gridCol w:w="122"/>
        <w:gridCol w:w="672"/>
        <w:gridCol w:w="122"/>
        <w:gridCol w:w="122"/>
        <w:gridCol w:w="672"/>
        <w:gridCol w:w="572"/>
      </w:tblGrid>
      <w:tr>
        <w:trPr/>
        <w:tc>
          <w:tcPr>
            <w:tcW w:w="8242" w:type="dxa"/>
            <w:gridSpan w:val="7"/>
            <w:tcBorders/>
            <w:shd w:fill="auto" w:val="clear"/>
            <w:vAlign w:val="center"/>
          </w:tcPr>
          <w:p>
            <w:pPr>
              <w:pStyle w:val="TableContents"/>
              <w:spacing w:before="0" w:after="283"/>
              <w:rPr>
                <w:sz w:val="4"/>
                <w:szCs w:val="4"/>
              </w:rPr>
            </w:pPr>
            <w:r>
              <w:rPr>
                <w:sz w:val="4"/>
                <w:szCs w:val="4"/>
              </w:rPr>
            </w:r>
          </w:p>
        </w:tc>
      </w:tr>
      <w:tr>
        <w:trPr/>
        <w:tc>
          <w:tcPr>
            <w:tcW w:w="59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(unaudited)</w:t>
            </w:r>
          </w:p>
        </w:tc>
        <w:tc>
          <w:tcPr>
            <w:tcW w:w="2282" w:type="dxa"/>
            <w:gridSpan w:val="6"/>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Three Months Ended March 31,</w:t>
            </w:r>
          </w:p>
        </w:tc>
      </w:tr>
      <w:tr>
        <w:trPr/>
        <w:tc>
          <w:tcPr>
            <w:tcW w:w="5960" w:type="dxa"/>
            <w:tcBorders/>
            <w:shd w:fill="auto" w:val="clear"/>
            <w:vAlign w:val="center"/>
          </w:tcPr>
          <w:p>
            <w:pPr>
              <w:pStyle w:val="TableContents"/>
              <w:spacing w:before="0" w:after="0"/>
              <w:ind w:left="0" w:right="0" w:firstLine="30"/>
              <w:rPr/>
            </w:pPr>
            <w:r>
              <w:rPr/>
              <w:t> </w:t>
            </w:r>
          </w:p>
        </w:tc>
        <w:tc>
          <w:tcPr>
            <w:tcW w:w="9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2019</w:t>
            </w:r>
          </w:p>
        </w:tc>
        <w:tc>
          <w:tcPr>
            <w:tcW w:w="13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2018</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2282" w:type="dxa"/>
            <w:gridSpan w:val="6"/>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3"/>
              </w:rPr>
            </w:pPr>
            <w:r>
              <w:rPr>
                <w:rFonts w:ascii="inherit" w:hAnsi="inherit"/>
                <w:sz w:val="13"/>
              </w:rPr>
              <w:t>(in thousands)</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Net income </w:t>
            </w:r>
          </w:p>
        </w:tc>
        <w:tc>
          <w:tcPr>
            <w:tcW w:w="122" w:type="dxa"/>
            <w:tcBorders/>
            <w:shd w:fill="CEFFE7" w:val="clear"/>
            <w:vAlign w:val="center"/>
          </w:tcPr>
          <w:p>
            <w:pPr>
              <w:pStyle w:val="TableContents"/>
              <w:spacing w:before="0" w:after="0"/>
              <w:jc w:val="left"/>
              <w:rPr>
                <w:rFonts w:ascii="inherit" w:hAnsi="inherit"/>
                <w:sz w:val="13"/>
              </w:rPr>
            </w:pPr>
            <w:r>
              <w:rPr>
                <w:rFonts w:ascii="inherit" w:hAnsi="inherit"/>
                <w:sz w:val="13"/>
              </w:rPr>
              <w:t>$</w:t>
            </w:r>
          </w:p>
        </w:tc>
        <w:tc>
          <w:tcPr>
            <w:tcW w:w="672" w:type="dxa"/>
            <w:tcBorders/>
            <w:shd w:fill="CEFFE7" w:val="clear"/>
            <w:vAlign w:val="center"/>
          </w:tcPr>
          <w:p>
            <w:pPr>
              <w:pStyle w:val="TableContents"/>
              <w:spacing w:before="0" w:after="0"/>
              <w:jc w:val="right"/>
              <w:rPr>
                <w:rFonts w:ascii="inherit" w:hAnsi="inherit"/>
                <w:sz w:val="13"/>
              </w:rPr>
            </w:pPr>
            <w:r>
              <w:rPr>
                <w:rFonts w:ascii="inherit" w:hAnsi="inherit"/>
                <w:sz w:val="13"/>
              </w:rPr>
              <w:t>107,362</w:t>
            </w:r>
          </w:p>
        </w:tc>
        <w:tc>
          <w:tcPr>
            <w:tcW w:w="1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EFFE7" w:val="clear"/>
            <w:vAlign w:val="center"/>
          </w:tcPr>
          <w:p>
            <w:pPr>
              <w:pStyle w:val="TableContents"/>
              <w:spacing w:before="0" w:after="0"/>
              <w:jc w:val="left"/>
              <w:rPr>
                <w:rFonts w:ascii="inherit" w:hAnsi="inherit"/>
                <w:sz w:val="13"/>
              </w:rPr>
            </w:pPr>
            <w:r>
              <w:rPr>
                <w:rFonts w:ascii="inherit" w:hAnsi="inherit"/>
                <w:sz w:val="13"/>
              </w:rPr>
              <w:t>$</w:t>
            </w:r>
          </w:p>
        </w:tc>
        <w:tc>
          <w:tcPr>
            <w:tcW w:w="672" w:type="dxa"/>
            <w:tcBorders/>
            <w:shd w:fill="CEFFE7" w:val="clear"/>
            <w:vAlign w:val="center"/>
          </w:tcPr>
          <w:p>
            <w:pPr>
              <w:pStyle w:val="TableContents"/>
              <w:spacing w:before="0" w:after="0"/>
              <w:jc w:val="right"/>
              <w:rPr>
                <w:rFonts w:ascii="inherit" w:hAnsi="inherit"/>
                <w:sz w:val="13"/>
              </w:rPr>
            </w:pPr>
            <w:r>
              <w:rPr>
                <w:rFonts w:ascii="inherit" w:hAnsi="inherit"/>
                <w:sz w:val="13"/>
              </w:rPr>
              <w:t>136,634</w:t>
            </w:r>
          </w:p>
        </w:tc>
        <w:tc>
          <w:tcPr>
            <w:tcW w:w="5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from discontinued operations, net of tax</w:t>
            </w:r>
          </w:p>
        </w:tc>
        <w:tc>
          <w:tcPr>
            <w:tcW w:w="79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2,343</w:t>
            </w:r>
          </w:p>
        </w:tc>
        <w:tc>
          <w:tcPr>
            <w:tcW w:w="5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Income from continuing operations</w:t>
            </w:r>
          </w:p>
        </w:tc>
        <w:tc>
          <w:tcPr>
            <w:tcW w:w="794"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107,362</w:t>
            </w:r>
          </w:p>
        </w:tc>
        <w:tc>
          <w:tcPr>
            <w:tcW w:w="122"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138,977</w:t>
            </w:r>
          </w:p>
        </w:tc>
        <w:tc>
          <w:tcPr>
            <w:tcW w:w="572" w:type="dxa"/>
            <w:tcBorders>
              <w:top w:val="single" w:sz="2" w:space="0" w:color="000000"/>
            </w:tcBorders>
            <w:shd w:fill="CEFFE7" w:val="clear"/>
            <w:tcMar>
              <w:top w:w="28" w:type="dxa"/>
            </w:tcMar>
            <w:vAlign w:val="center"/>
          </w:tcPr>
          <w:p>
            <w:pPr>
              <w:pStyle w:val="TableContents"/>
              <w:spacing w:before="0" w:after="0"/>
              <w:ind w:left="0" w:right="0" w:firstLine="135"/>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916" w:type="dxa"/>
            <w:gridSpan w:val="3"/>
            <w:tcBorders/>
            <w:shd w:fill="auto" w:val="clear"/>
            <w:vAlign w:val="center"/>
          </w:tcPr>
          <w:p>
            <w:pPr>
              <w:pStyle w:val="TableContents"/>
              <w:spacing w:before="0" w:after="0"/>
              <w:ind w:left="0" w:right="0" w:firstLine="30"/>
              <w:rPr/>
            </w:pPr>
            <w:r>
              <w:rPr/>
              <w:t> </w:t>
            </w:r>
          </w:p>
        </w:tc>
        <w:tc>
          <w:tcPr>
            <w:tcW w:w="1366" w:type="dxa"/>
            <w:gridSpan w:val="3"/>
            <w:tcBorders/>
            <w:shd w:fill="auto" w:val="clear"/>
            <w:vAlign w:val="center"/>
          </w:tcPr>
          <w:p>
            <w:pPr>
              <w:pStyle w:val="TableContents"/>
              <w:spacing w:before="0" w:after="0"/>
              <w:ind w:left="0" w:right="0" w:firstLine="420"/>
              <w:rPr/>
            </w:pPr>
            <w:r>
              <w:rPr/>
              <w:t> </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Depreciation, depletion and amortization</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51,028</w:t>
            </w:r>
          </w:p>
        </w:tc>
        <w:tc>
          <w:tcPr>
            <w:tcW w:w="1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48,590</w:t>
            </w:r>
          </w:p>
        </w:tc>
        <w:tc>
          <w:tcPr>
            <w:tcW w:w="572"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financing cost amortization</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2,007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1,900</w:t>
            </w:r>
          </w:p>
        </w:tc>
        <w:tc>
          <w:tcPr>
            <w:tcW w:w="57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3,296</w:t>
            </w:r>
          </w:p>
        </w:tc>
        <w:tc>
          <w:tcPr>
            <w:tcW w:w="1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2,209</w:t>
            </w:r>
          </w:p>
        </w:tc>
        <w:tc>
          <w:tcPr>
            <w:tcW w:w="572"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income taxes</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19,602</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(25,430</w:t>
            </w:r>
          </w:p>
        </w:tc>
        <w:tc>
          <w:tcPr>
            <w:tcW w:w="572"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Employee benefit plans</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3,137</w:t>
            </w:r>
          </w:p>
        </w:tc>
        <w:tc>
          <w:tcPr>
            <w:tcW w:w="1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3,378</w:t>
            </w:r>
          </w:p>
        </w:tc>
        <w:tc>
          <w:tcPr>
            <w:tcW w:w="572"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adjustments, net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4,428</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3,053</w:t>
            </w:r>
          </w:p>
        </w:tc>
        <w:tc>
          <w:tcPr>
            <w:tcW w:w="572"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Changes in certain operating assets and liabilities:</w:t>
            </w:r>
          </w:p>
        </w:tc>
        <w:tc>
          <w:tcPr>
            <w:tcW w:w="916" w:type="dxa"/>
            <w:gridSpan w:val="3"/>
            <w:tcBorders/>
            <w:shd w:fill="CEFFE7" w:val="clear"/>
            <w:vAlign w:val="center"/>
          </w:tcPr>
          <w:p>
            <w:pPr>
              <w:pStyle w:val="TableContents"/>
              <w:spacing w:before="0" w:after="0"/>
              <w:ind w:left="0" w:right="0" w:firstLine="30"/>
              <w:rPr/>
            </w:pPr>
            <w:r>
              <w:rPr/>
              <w:t> </w:t>
            </w:r>
          </w:p>
        </w:tc>
        <w:tc>
          <w:tcPr>
            <w:tcW w:w="1366" w:type="dxa"/>
            <w:gridSpan w:val="3"/>
            <w:tcBorders/>
            <w:shd w:fill="CEFFE7" w:val="clear"/>
            <w:vAlign w:val="center"/>
          </w:tcPr>
          <w:p>
            <w:pPr>
              <w:pStyle w:val="TableContents"/>
              <w:spacing w:before="0" w:after="0"/>
              <w:ind w:left="0" w:right="0" w:firstLine="42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Materials, supplies and fuel</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29,387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31,196</w:t>
            </w:r>
          </w:p>
        </w:tc>
        <w:tc>
          <w:tcPr>
            <w:tcW w:w="57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Accounts receivable, unbilled revenues and other operating assets</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(15,857</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(25,113</w:t>
            </w:r>
          </w:p>
        </w:tc>
        <w:tc>
          <w:tcPr>
            <w:tcW w:w="572" w:type="dxa"/>
            <w:tcBorders/>
            <w:shd w:fill="CEFFE7"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operating liabilities</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(41,689</w:t>
            </w:r>
          </w:p>
        </w:tc>
        <w:tc>
          <w:tcPr>
            <w:tcW w:w="1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(71,149</w:t>
            </w:r>
          </w:p>
        </w:tc>
        <w:tc>
          <w:tcPr>
            <w:tcW w:w="572"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Regulatory assets - current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13,031</w:t>
            </w:r>
          </w:p>
        </w:tc>
        <w:tc>
          <w:tcPr>
            <w:tcW w:w="1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47,903</w:t>
            </w:r>
          </w:p>
        </w:tc>
        <w:tc>
          <w:tcPr>
            <w:tcW w:w="572"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Regulatory liabilities - current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(1,635</w:t>
            </w:r>
          </w:p>
        </w:tc>
        <w:tc>
          <w:tcPr>
            <w:tcW w:w="1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16,098</w:t>
            </w:r>
          </w:p>
        </w:tc>
        <w:tc>
          <w:tcPr>
            <w:tcW w:w="57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Other operating activities, net</w:t>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1,796</w:t>
            </w:r>
          </w:p>
        </w:tc>
        <w:tc>
          <w:tcPr>
            <w:tcW w:w="12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(278</w:t>
            </w:r>
          </w:p>
        </w:tc>
        <w:tc>
          <w:tcPr>
            <w:tcW w:w="57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 of continuing operations</w:t>
            </w:r>
          </w:p>
        </w:tc>
        <w:tc>
          <w:tcPr>
            <w:tcW w:w="79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175,893</w:t>
            </w:r>
          </w:p>
        </w:tc>
        <w:tc>
          <w:tcPr>
            <w:tcW w:w="12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171,334</w:t>
            </w:r>
          </w:p>
        </w:tc>
        <w:tc>
          <w:tcPr>
            <w:tcW w:w="57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operating activities of discontinued operations</w:t>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(1,459</w:t>
            </w:r>
          </w:p>
        </w:tc>
        <w:tc>
          <w:tcPr>
            <w:tcW w:w="572"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79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175,893</w:t>
            </w:r>
          </w:p>
        </w:tc>
        <w:tc>
          <w:tcPr>
            <w:tcW w:w="12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169,875</w:t>
            </w:r>
          </w:p>
        </w:tc>
        <w:tc>
          <w:tcPr>
            <w:tcW w:w="57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rPr/>
            </w:pPr>
            <w:r>
              <w:rPr/>
              <w:t> </w:t>
            </w:r>
          </w:p>
        </w:tc>
        <w:tc>
          <w:tcPr>
            <w:tcW w:w="916" w:type="dxa"/>
            <w:gridSpan w:val="3"/>
            <w:tcBorders/>
            <w:shd w:fill="CEFFE7" w:val="clear"/>
            <w:vAlign w:val="center"/>
          </w:tcPr>
          <w:p>
            <w:pPr>
              <w:pStyle w:val="TableContents"/>
              <w:spacing w:before="0" w:after="0"/>
              <w:ind w:left="0" w:right="0" w:firstLine="30"/>
              <w:rPr/>
            </w:pPr>
            <w:r>
              <w:rPr/>
              <w:t> </w:t>
            </w:r>
          </w:p>
        </w:tc>
        <w:tc>
          <w:tcPr>
            <w:tcW w:w="1366" w:type="dxa"/>
            <w:gridSpan w:val="3"/>
            <w:tcBorders/>
            <w:shd w:fill="CEFFE7" w:val="clear"/>
            <w:vAlign w:val="center"/>
          </w:tcPr>
          <w:p>
            <w:pPr>
              <w:pStyle w:val="TableContents"/>
              <w:spacing w:before="0" w:after="0"/>
              <w:ind w:left="0" w:right="0" w:firstLine="3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916" w:type="dxa"/>
            <w:gridSpan w:val="3"/>
            <w:tcBorders/>
            <w:shd w:fill="auto" w:val="clear"/>
            <w:vAlign w:val="center"/>
          </w:tcPr>
          <w:p>
            <w:pPr>
              <w:pStyle w:val="TableContents"/>
              <w:spacing w:before="0" w:after="0"/>
              <w:ind w:left="0" w:right="0" w:firstLine="30"/>
              <w:rPr/>
            </w:pPr>
            <w:r>
              <w:rPr/>
              <w:t> </w:t>
            </w:r>
          </w:p>
        </w:tc>
        <w:tc>
          <w:tcPr>
            <w:tcW w:w="1366" w:type="dxa"/>
            <w:gridSpan w:val="3"/>
            <w:tcBorders/>
            <w:shd w:fill="auto" w:val="clear"/>
            <w:vAlign w:val="center"/>
          </w:tcPr>
          <w:p>
            <w:pPr>
              <w:pStyle w:val="TableContents"/>
              <w:spacing w:before="0" w:after="0"/>
              <w:ind w:left="0" w:right="0" w:firstLine="255"/>
              <w:rPr/>
            </w:pPr>
            <w:r>
              <w:rPr/>
              <w:t> </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Property, plant and equipment additions</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(144,126</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(69,972</w:t>
            </w:r>
          </w:p>
        </w:tc>
        <w:tc>
          <w:tcPr>
            <w:tcW w:w="572" w:type="dxa"/>
            <w:tcBorders/>
            <w:shd w:fill="CEFFE7" w:val="clear"/>
            <w:vAlign w:val="center"/>
          </w:tcPr>
          <w:p>
            <w:pPr>
              <w:pStyle w:val="TableContents"/>
              <w:spacing w:before="0" w:after="0"/>
              <w:ind w:left="0" w:right="0" w:firstLine="255"/>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Purchase of investment</w:t>
            </w:r>
          </w:p>
        </w:tc>
        <w:tc>
          <w:tcPr>
            <w:tcW w:w="794"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(23,500</w:t>
            </w:r>
          </w:p>
        </w:tc>
        <w:tc>
          <w:tcPr>
            <w:tcW w:w="572" w:type="dxa"/>
            <w:tcBorders/>
            <w:shd w:fill="auto" w:val="clear"/>
            <w:vAlign w:val="center"/>
          </w:tcPr>
          <w:p>
            <w:pPr>
              <w:pStyle w:val="TableContents"/>
              <w:spacing w:before="0" w:after="0"/>
              <w:ind w:left="0" w:right="0" w:firstLine="255"/>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Other investing activities</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(901</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(261</w:t>
            </w:r>
          </w:p>
        </w:tc>
        <w:tc>
          <w:tcPr>
            <w:tcW w:w="57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investing activities of continuing operations</w:t>
            </w:r>
          </w:p>
        </w:tc>
        <w:tc>
          <w:tcPr>
            <w:tcW w:w="79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(145,027</w:t>
            </w:r>
          </w:p>
        </w:tc>
        <w:tc>
          <w:tcPr>
            <w:tcW w:w="12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(93,733</w:t>
            </w:r>
          </w:p>
        </w:tc>
        <w:tc>
          <w:tcPr>
            <w:tcW w:w="57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investing activities of discontinued operations</w:t>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20,179</w:t>
            </w:r>
          </w:p>
        </w:tc>
        <w:tc>
          <w:tcPr>
            <w:tcW w:w="57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investing activities</w:t>
            </w:r>
          </w:p>
        </w:tc>
        <w:tc>
          <w:tcPr>
            <w:tcW w:w="79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(145,027</w:t>
            </w:r>
          </w:p>
        </w:tc>
        <w:tc>
          <w:tcPr>
            <w:tcW w:w="12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(73,554</w:t>
            </w:r>
          </w:p>
        </w:tc>
        <w:tc>
          <w:tcPr>
            <w:tcW w:w="57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rPr/>
            </w:pPr>
            <w:r>
              <w:rPr/>
              <w:t> </w:t>
            </w:r>
          </w:p>
        </w:tc>
        <w:tc>
          <w:tcPr>
            <w:tcW w:w="916" w:type="dxa"/>
            <w:gridSpan w:val="3"/>
            <w:tcBorders/>
            <w:shd w:fill="CEFFE7" w:val="clear"/>
            <w:vAlign w:val="center"/>
          </w:tcPr>
          <w:p>
            <w:pPr>
              <w:pStyle w:val="TableContents"/>
              <w:spacing w:before="0" w:after="0"/>
              <w:ind w:left="0" w:right="0" w:firstLine="30"/>
              <w:rPr/>
            </w:pPr>
            <w:r>
              <w:rPr/>
              <w:t> </w:t>
            </w:r>
          </w:p>
        </w:tc>
        <w:tc>
          <w:tcPr>
            <w:tcW w:w="1366" w:type="dxa"/>
            <w:gridSpan w:val="3"/>
            <w:tcBorders/>
            <w:shd w:fill="CEFFE7" w:val="clear"/>
            <w:vAlign w:val="center"/>
          </w:tcPr>
          <w:p>
            <w:pPr>
              <w:pStyle w:val="TableContents"/>
              <w:spacing w:before="0" w:after="0"/>
              <w:ind w:left="0" w:right="0" w:firstLine="3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916" w:type="dxa"/>
            <w:gridSpan w:val="3"/>
            <w:tcBorders/>
            <w:shd w:fill="auto" w:val="clear"/>
            <w:vAlign w:val="center"/>
          </w:tcPr>
          <w:p>
            <w:pPr>
              <w:pStyle w:val="TableContents"/>
              <w:spacing w:before="0" w:after="0"/>
              <w:ind w:left="0" w:right="0" w:firstLine="30"/>
              <w:rPr/>
            </w:pPr>
            <w:r>
              <w:rPr/>
              <w:t> </w:t>
            </w:r>
          </w:p>
        </w:tc>
        <w:tc>
          <w:tcPr>
            <w:tcW w:w="1366" w:type="dxa"/>
            <w:gridSpan w:val="3"/>
            <w:tcBorders/>
            <w:shd w:fill="auto" w:val="clear"/>
            <w:vAlign w:val="center"/>
          </w:tcPr>
          <w:p>
            <w:pPr>
              <w:pStyle w:val="TableContents"/>
              <w:spacing w:before="0" w:after="0"/>
              <w:ind w:left="0" w:right="0" w:firstLine="300"/>
              <w:rPr/>
            </w:pPr>
            <w:r>
              <w:rPr/>
              <w:t> </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Dividends paid on common stock</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(30,332</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(25,444</w:t>
            </w:r>
          </w:p>
        </w:tc>
        <w:tc>
          <w:tcPr>
            <w:tcW w:w="572" w:type="dxa"/>
            <w:tcBorders/>
            <w:shd w:fill="CEFFE7" w:val="clear"/>
            <w:vAlign w:val="center"/>
          </w:tcPr>
          <w:p>
            <w:pPr>
              <w:pStyle w:val="TableContents"/>
              <w:spacing w:before="0" w:after="0"/>
              <w:ind w:left="0" w:right="0" w:firstLine="30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Common stock issued</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19,949</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372</w:t>
            </w:r>
          </w:p>
        </w:tc>
        <w:tc>
          <w:tcPr>
            <w:tcW w:w="57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Net (payments) borrowings of short-term debt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(20,970</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(47,100</w:t>
            </w:r>
          </w:p>
        </w:tc>
        <w:tc>
          <w:tcPr>
            <w:tcW w:w="572" w:type="dxa"/>
            <w:tcBorders/>
            <w:shd w:fill="CEFFE7" w:val="clear"/>
            <w:vAlign w:val="center"/>
          </w:tcPr>
          <w:p>
            <w:pPr>
              <w:pStyle w:val="TableContents"/>
              <w:spacing w:before="0" w:after="0"/>
              <w:ind w:left="0" w:right="0" w:firstLine="30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 repayments</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(1,436</w:t>
            </w:r>
          </w:p>
        </w:tc>
        <w:tc>
          <w:tcPr>
            <w:tcW w:w="1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(1,436</w:t>
            </w:r>
          </w:p>
        </w:tc>
        <w:tc>
          <w:tcPr>
            <w:tcW w:w="572" w:type="dxa"/>
            <w:tcBorders/>
            <w:shd w:fill="auto" w:val="clear"/>
            <w:vAlign w:val="center"/>
          </w:tcPr>
          <w:p>
            <w:pPr>
              <w:pStyle w:val="TableContents"/>
              <w:spacing w:before="0" w:after="0"/>
              <w:ind w:left="0" w:right="0" w:firstLine="30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Distributions to noncontrolling interest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(4,846</w:t>
            </w:r>
          </w:p>
        </w:tc>
        <w:tc>
          <w:tcPr>
            <w:tcW w:w="122"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(5,648</w:t>
            </w:r>
          </w:p>
        </w:tc>
        <w:tc>
          <w:tcPr>
            <w:tcW w:w="572" w:type="dxa"/>
            <w:tcBorders/>
            <w:shd w:fill="CEFFE7" w:val="clear"/>
            <w:vAlign w:val="center"/>
          </w:tcPr>
          <w:p>
            <w:pPr>
              <w:pStyle w:val="TableContents"/>
              <w:spacing w:before="0" w:after="0"/>
              <w:ind w:left="0" w:right="0" w:firstLine="30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financing activities</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(1,657</w:t>
            </w:r>
          </w:p>
        </w:tc>
        <w:tc>
          <w:tcPr>
            <w:tcW w:w="1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(1,400</w:t>
            </w:r>
          </w:p>
        </w:tc>
        <w:tc>
          <w:tcPr>
            <w:tcW w:w="5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794"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(39,292</w:t>
            </w:r>
          </w:p>
        </w:tc>
        <w:tc>
          <w:tcPr>
            <w:tcW w:w="122"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(80,656</w:t>
            </w:r>
          </w:p>
        </w:tc>
        <w:tc>
          <w:tcPr>
            <w:tcW w:w="572"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ind w:left="0" w:right="0" w:firstLine="300"/>
              <w:jc w:val="left"/>
              <w:rPr>
                <w:rFonts w:ascii="inherit" w:hAnsi="inherit"/>
                <w:sz w:val="13"/>
              </w:rPr>
            </w:pPr>
            <w:r>
              <w:rPr>
                <w:rFonts w:ascii="inherit" w:hAnsi="inherit"/>
                <w:sz w:val="13"/>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change in cash, cash equivalents and restricted cash</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(8,426</w:t>
            </w:r>
          </w:p>
        </w:tc>
        <w:tc>
          <w:tcPr>
            <w:tcW w:w="1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7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15,665</w:t>
            </w:r>
          </w:p>
        </w:tc>
        <w:tc>
          <w:tcPr>
            <w:tcW w:w="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Cash, cash equivalents and restricted cash at beginning of period</w:t>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24,145</w:t>
            </w:r>
          </w:p>
        </w:tc>
        <w:tc>
          <w:tcPr>
            <w:tcW w:w="12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18,240</w:t>
            </w:r>
          </w:p>
        </w:tc>
        <w:tc>
          <w:tcPr>
            <w:tcW w:w="57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cash equivalents and restricted cash at end of period</w:t>
            </w:r>
          </w:p>
        </w:tc>
        <w:tc>
          <w:tcPr>
            <w:tcW w:w="1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15,719</w:t>
            </w:r>
          </w:p>
        </w:tc>
        <w:tc>
          <w:tcPr>
            <w:tcW w:w="12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33,905</w:t>
            </w:r>
          </w:p>
        </w:tc>
        <w:tc>
          <w:tcPr>
            <w:tcW w:w="5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180"/>
        <w:jc w:val="left"/>
        <w:rPr>
          <w:rFonts w:ascii="inherit" w:hAnsi="inherit"/>
          <w:sz w:val="12"/>
        </w:rPr>
      </w:pPr>
      <w:r>
        <w:rPr>
          <w:rFonts w:ascii="inherit" w:hAnsi="inherit"/>
          <w:sz w:val="12"/>
        </w:rPr>
      </w:r>
    </w:p>
    <w:p>
      <w:pPr>
        <w:pStyle w:val="TextBody"/>
        <w:spacing w:lineRule="auto" w:line="240" w:before="0" w:after="0"/>
        <w:jc w:val="center"/>
        <w:rPr>
          <w:sz w:val="13"/>
        </w:rPr>
      </w:pPr>
      <w:r>
        <w:rPr>
          <w:rFonts w:ascii="inherit" w:hAnsi="inherit"/>
          <w:sz w:val="13"/>
        </w:rPr>
        <w:t xml:space="preserve">See Note </w:t>
      </w:r>
      <w:r>
        <w:rPr>
          <w:rFonts w:ascii="inherit" w:hAnsi="inherit"/>
          <w:strike w:val="false"/>
          <w:dstrike w:val="false"/>
          <w:color w:val="000000"/>
          <w:sz w:val="13"/>
          <w:u w:val="none"/>
          <w:effect w:val="none"/>
        </w:rPr>
        <w:t>14</w:t>
      </w:r>
      <w:r>
        <w:rPr>
          <w:sz w:val="13"/>
        </w:rPr>
        <w:t xml:space="preserve"> </w:t>
      </w:r>
      <w:r>
        <w:rPr>
          <w:rFonts w:ascii="inherit" w:hAnsi="inherit"/>
          <w:sz w:val="13"/>
        </w:rPr>
        <w:t>for supplemental disclosure of cash flow information.</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rFonts w:ascii="inherit" w:hAnsi="inherit"/>
          <w:sz w:val="13"/>
        </w:rPr>
      </w:pPr>
      <w:r>
        <w:rPr>
          <w:rFonts w:ascii="inherit" w:hAnsi="inherit"/>
          <w:sz w:val="13"/>
        </w:rPr>
        <w:t>The accompanying Notes to Condensed Consolidated Financial Statements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right"/>
        <w:rPr>
          <w:rFonts w:ascii="inherit" w:hAnsi="inherit"/>
          <w:sz w:val="17"/>
        </w:rPr>
      </w:pPr>
      <w:r>
        <w:rPr>
          <w:rFonts w:ascii="inherit" w:hAnsi="inherit"/>
          <w:sz w:val="17"/>
        </w:rPr>
      </w:r>
      <w:bookmarkStart w:id="21" w:name="s69750249F7405E72A00CC3710DC868DA"/>
      <w:bookmarkStart w:id="22" w:name="s69750249F7405E72A00CC3710DC868DA"/>
      <w:bookmarkEnd w:id="22"/>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BLACK HILLS CORPORATION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Notes to Condensed Consolidated Financial Statements</w:t>
      </w:r>
    </w:p>
    <w:p>
      <w:pPr>
        <w:pStyle w:val="TextBody"/>
        <w:spacing w:lineRule="auto" w:line="288" w:before="0" w:after="0"/>
        <w:jc w:val="center"/>
        <w:rPr>
          <w:rFonts w:ascii="inherit" w:hAnsi="inherit"/>
          <w:sz w:val="17"/>
        </w:rPr>
      </w:pPr>
      <w:r>
        <w:rPr>
          <w:rFonts w:ascii="inherit" w:hAnsi="inherit"/>
          <w:sz w:val="17"/>
        </w:rPr>
        <w:t>(unaudited)</w:t>
      </w:r>
    </w:p>
    <w:p>
      <w:pPr>
        <w:pStyle w:val="TextBody"/>
        <w:spacing w:lineRule="auto" w:line="288" w:before="0" w:after="0"/>
        <w:jc w:val="center"/>
        <w:rPr>
          <w:rFonts w:ascii="inherit" w:hAnsi="inherit"/>
          <w:sz w:val="17"/>
        </w:rPr>
      </w:pPr>
      <w:r>
        <w:rPr>
          <w:rFonts w:ascii="inherit" w:hAnsi="inherit"/>
          <w:sz w:val="17"/>
        </w:rPr>
        <w:t>(Reference is made to Notes to Consolidated Financial Statements</w:t>
      </w:r>
    </w:p>
    <w:p>
      <w:pPr>
        <w:pStyle w:val="TextBody"/>
        <w:spacing w:lineRule="auto" w:line="288" w:before="0" w:after="0"/>
        <w:jc w:val="center"/>
        <w:rPr>
          <w:sz w:val="17"/>
        </w:rPr>
      </w:pPr>
      <w:r>
        <w:rPr>
          <w:rFonts w:ascii="inherit" w:hAnsi="inherit"/>
          <w:sz w:val="17"/>
        </w:rPr>
        <w:t xml:space="preserve">included in the Company’s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bookmarkStart w:id="23" w:name="sB68E115E4D9C5B73AECF18F5D641454E"/>
      <w:bookmarkEnd w:id="23"/>
      <w:r>
        <w:rPr>
          <w:rFonts w:ascii="inherit" w:hAnsi="inherit"/>
          <w:sz w:val="17"/>
        </w:rPr>
        <w:t>(</w:t>
      </w:r>
      <w:r>
        <w:rPr>
          <w:rFonts w:ascii="inherit" w:hAnsi="inherit"/>
          <w:strike w:val="false"/>
          <w:dstrike w:val="false"/>
          <w:color w:val="000000"/>
          <w:sz w:val="17"/>
          <w:u w:val="none"/>
          <w:effect w:val="none"/>
        </w:rPr>
        <w:t>1</w:t>
      </w:r>
      <w:r>
        <w:rPr>
          <w:rFonts w:ascii="inherit" w:hAnsi="inherit"/>
          <w:sz w:val="17"/>
        </w:rPr>
        <w:t>)    MANAGEMENT’S STATEMENT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 filed with the SEC.</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Segment Reporting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Accounting standards for presentation of segments requires an approach based on the way we organize the segments for making operating decisions and how the chief operating decision maker (CODM) assesses performance.  We have changed our segment performance metrics and concluded that adjusted operating income, instead of net income available for common stock which was used previously, is the most relevant metric for measuring segment performance.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CODM assesses the performance of our segments by using adjusted operating income, which considers the power sales arrangement between Colorado IPP and Colorado Electric be treated as an executory contract. Adjusted operating income adjusts this power sales arrangement from being accounted for as a capital lease to being accounted for as an executory contract on an accrual basis. This adjustment impacts Electric Utilities and Power Generation segments and Corporate and Other. There were no adjustments to Gas Utilities and Mining segments and this adjustment had no effect on our consolidated operating income.</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The change to our segment performance measure resulted in a revision of the Company’s segment disclosures for all periods to report adjusted operating income as the measure of segment profit and adjust revenues, operating income, and total assets for the power sales agreement to an executory contract and not a capital lease. See Notes 2 and 3 for more information.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On November 1, 2017, the BHC board of directors approved a complete divestiture of our Oil and Gas segment. We completed the divestiture of our Oil and Gas segment in 2018. The Oil and Gas segment assets and liabilities have been classified as held for sale and the results of operations are shown in income (loss) from discontinued operations, except for certain general and administrative costs and interest expense which do not meet the criteria for income (loss) from discontinued operations. At the time the assets were classified as held for sale, depreciation, depletion and amortization expenses were no longer recorded. Unless otherwise noted, the amounts presented in the accompanying notes to the Condensed Consolidated Financial Statements relate to the Company’s continuing operations. See Note 17 for more information on discontinued operations.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Use of Estimates and Basis of Presentation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information furnished in the accompanying Condensed Consolidated Financial Statements reflects certain estimates required and all adjustments, including accruals, which are, in the opinion of management, necessary for a fair presentation of the </w:t>
      </w:r>
      <w:r>
        <w:rPr>
          <w:rFonts w:ascii="Times New Roman" w:hAnsi="Times New Roman"/>
          <w:strike w:val="false"/>
          <w:dstrike w:val="false"/>
          <w:color w:val="000000"/>
          <w:sz w:val="17"/>
          <w:u w:val="none"/>
          <w:effect w:val="none"/>
        </w:rPr>
        <w:t>March 31, 2019</w:t>
      </w:r>
      <w:r>
        <w:rPr>
          <w:rFonts w:ascii="inherit" w:hAnsi="inherit"/>
          <w:sz w:val="17"/>
        </w:rPr>
        <w:t xml:space="preserve">, December 31, 2018, and </w:t>
      </w:r>
      <w:r>
        <w:rPr>
          <w:rFonts w:ascii="Times New Roman" w:hAnsi="Times New Roman"/>
          <w:strike w:val="false"/>
          <w:dstrike w:val="false"/>
          <w:color w:val="000000"/>
          <w:sz w:val="17"/>
          <w:u w:val="none"/>
          <w:effect w:val="none"/>
        </w:rPr>
        <w:t>March 31, 2018</w:t>
      </w:r>
      <w:r>
        <w:rPr>
          <w:sz w:val="17"/>
        </w:rPr>
        <w:t xml:space="preserve"> </w:t>
      </w:r>
      <w:r>
        <w:rPr>
          <w:rFonts w:ascii="inherit" w:hAnsi="inherit"/>
          <w:sz w:val="17"/>
        </w:rPr>
        <w:t xml:space="preserve">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w:t>
      </w:r>
      <w:r>
        <w:rPr>
          <w:rFonts w:ascii="inherit" w:hAnsi="inherit"/>
          <w:strike w:val="false"/>
          <w:dstrike w:val="false"/>
          <w:color w:val="000000"/>
          <w:sz w:val="17"/>
          <w:u w:val="none"/>
          <w:effect w:val="none"/>
        </w:rPr>
        <w:t>three</w:t>
      </w:r>
      <w:r>
        <w:rPr>
          <w:sz w:val="17"/>
        </w:rPr>
        <w:t xml:space="preserve"> </w:t>
      </w:r>
      <w:r>
        <w:rPr>
          <w:rFonts w:ascii="inherit" w:hAnsi="inherit"/>
          <w:sz w:val="17"/>
        </w:rPr>
        <w:t xml:space="preserve">months ended </w:t>
      </w:r>
      <w:r>
        <w:rPr>
          <w:rFonts w:ascii="Times New Roman" w:hAnsi="Times New Roman"/>
          <w:strike w:val="false"/>
          <w:dstrike w:val="false"/>
          <w:color w:val="000000"/>
          <w:sz w:val="17"/>
          <w:u w:val="none"/>
          <w:effect w:val="none"/>
        </w:rPr>
        <w:t>March 31,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March 31, 2018</w:t>
      </w:r>
      <w:r>
        <w:rPr>
          <w:rFonts w:ascii="inherit" w:hAnsi="inherit"/>
          <w:sz w:val="17"/>
        </w:rPr>
        <w:t xml:space="preserve">, and our financial condition as of </w:t>
      </w:r>
      <w:r>
        <w:rPr>
          <w:rFonts w:ascii="Times New Roman" w:hAnsi="Times New Roman"/>
          <w:strike w:val="false"/>
          <w:dstrike w:val="false"/>
          <w:color w:val="000000"/>
          <w:sz w:val="17"/>
          <w:u w:val="none"/>
          <w:effect w:val="none"/>
        </w:rPr>
        <w:t>March 31, 2019</w:t>
      </w:r>
      <w:r>
        <w:rPr>
          <w:rFonts w:ascii="inherit" w:hAnsi="inherit"/>
          <w:sz w:val="17"/>
        </w:rPr>
        <w:t xml:space="preserve">, December 31, 2018, and </w:t>
      </w:r>
      <w:r>
        <w:rPr>
          <w:rFonts w:ascii="inherit" w:hAnsi="inherit"/>
          <w:strike w:val="false"/>
          <w:dstrike w:val="false"/>
          <w:color w:val="000000"/>
          <w:sz w:val="17"/>
          <w:u w:val="none"/>
          <w:effect w:val="none"/>
        </w:rPr>
        <w:t>March 31, 2018</w:t>
      </w:r>
      <w:r>
        <w:rPr>
          <w:rFonts w:ascii="inherit" w:hAnsi="inherit"/>
          <w:sz w:val="17"/>
        </w:rPr>
        <w:t>, are not necessarily indicative of the results of operations and financial condition to be expected for any other period. All earnings per share amounts discussed refer to diluted earnings per share unless otherwise noted.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Recently Issued Accounting Standards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Simplifying the Test for Goodwill Impairment, 2017-04</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In January 2017, the FASB issued ASU 2017-04, </w:t>
      </w:r>
      <w:r>
        <w:rPr>
          <w:rFonts w:ascii="inherit" w:hAnsi="inherit"/>
          <w:i/>
          <w:sz w:val="17"/>
        </w:rPr>
        <w:t>Simplifying the Test for Goodwill Impairment</w:t>
      </w:r>
      <w:r>
        <w:rPr>
          <w:sz w:val="17"/>
        </w:rPr>
        <w:t xml:space="preserve"> </w:t>
      </w:r>
      <w:r>
        <w:rPr>
          <w:rFonts w:ascii="inherit" w:hAnsi="inherit"/>
          <w:sz w:val="17"/>
        </w:rPr>
        <w:t xml:space="preserve">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 2019, applied on a prospective basis with early adoption permitted. We do not anticipate the adoption of this guidance to have any impact on our financial position, results of operations or cash flows.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Recently Adopted Accounting Standards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Leases, ASU 2016-02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In February 2016, the FASB issued ASU 2016-02,</w:t>
      </w:r>
      <w:r>
        <w:rPr>
          <w:sz w:val="17"/>
        </w:rPr>
        <w:t xml:space="preserve"> </w:t>
      </w:r>
      <w:r>
        <w:rPr>
          <w:rFonts w:ascii="inherit" w:hAnsi="inherit"/>
          <w:i/>
          <w:sz w:val="17"/>
        </w:rPr>
        <w:t xml:space="preserve">Leases (Topic 842) </w:t>
      </w:r>
      <w:r>
        <w:rPr>
          <w:rFonts w:ascii="inherit" w:hAnsi="inherit"/>
          <w:sz w:val="17"/>
        </w:rPr>
        <w:t>to increase transparency and comparability among organizations by requiring the recognition of right-of-use assets and lease liabilities on the balance sheet for most leases, whereas previously only financing-type lease liabilities (capital leases) were recognized on the balance sheet. Under the new standard, disclosures are required to meet the objective of enabling users of financial statements to assess the amount, timing and uncertainty of cash flows arising from leases.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adopted the standard effective January 1, 2019. We elected not to recast comparative periods coinciding with the new lease standard transition and will report these comparative periods as presented under previous lease guidance. In addition, we elected the package of practical expedients permitted under the transition guidance with the new standard, which among other things, allowed us to carry forward the historical lease classification. We also elected the practical expedient related to land easements, allowing us to carry forward our accounting treatment for existing land easement agreements.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Adoption of the new standard resulted in the recording of an operating lease right-of-use asset of $3.1 million, an operating lease obligation liability of $3.2 million, and an accrued rent receivable of $4.5 million, as of January 1, 2019. The cumulative effect of the adoption, net of tax impact, was $3.4 million, which was recorded as an adjustment to retained earnings.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Derivatives and Hedging: Targeted Improvements to Accounting for Hedging Activities, ASU 2017-12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Effective January 1, 2019, we adopted ASU 2017-12, </w:t>
      </w:r>
      <w:r>
        <w:rPr>
          <w:rFonts w:ascii="inherit" w:hAnsi="inherit"/>
          <w:i/>
          <w:sz w:val="17"/>
        </w:rPr>
        <w:t xml:space="preserve">Derivatives and Hedging (Topic 815): Targeted Improvements to Accounting for Hedging Activities. </w:t>
      </w:r>
      <w:r>
        <w:rPr>
          <w:rFonts w:ascii="inherit" w:hAnsi="inherit"/>
          <w:sz w:val="17"/>
        </w:rPr>
        <w:t>This standard better aligns risk management activities and financial reporting for hedging relationships, simplifies hedge accounting requirements and improves disclosures of hedging arrangements. The adoption of this guidance did not have a material impact on our financial position, results of operations or cash flows.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right"/>
        <w:rPr>
          <w:rFonts w:ascii="inherit" w:hAnsi="inherit"/>
          <w:sz w:val="17"/>
        </w:rPr>
      </w:pPr>
      <w:r>
        <w:rPr>
          <w:rFonts w:ascii="inherit" w:hAnsi="inherit"/>
          <w:sz w:val="17"/>
        </w:rPr>
      </w:r>
      <w:bookmarkStart w:id="24" w:name="s11BC7F1CD7715F25845AF9E3DB8C3CE3"/>
      <w:bookmarkStart w:id="25" w:name="s11BC7F1CD7715F25845AF9E3DB8C3CE3"/>
      <w:bookmarkEnd w:id="25"/>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(2)    REVENUE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Revenue Recognition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As of January 1, 2018, we adopted ASU 2014-09, </w:t>
      </w:r>
      <w:r>
        <w:rPr>
          <w:rFonts w:ascii="inherit" w:hAnsi="inherit"/>
          <w:i/>
          <w:sz w:val="17"/>
        </w:rPr>
        <w:t>Revenue from Contracts with Customers (Topic 606)</w:t>
      </w:r>
      <w:r>
        <w:rPr>
          <w:rFonts w:ascii="inherit" w:hAnsi="inherit"/>
          <w:sz w:val="17"/>
        </w:rPr>
        <w:t>, and its related amendments (collectively known as ASC 606). Revenue is recognized in an amount that reflects the consideration we expect to receive in exchange for goods or services, when control of the promised goods or services is transferred to our customers. The following tables depict the disaggregation of revenue, including intercompany revenue, from contracts with customers by customer type and timing of revenue recognition for each of the reporting segments, for the three</w:t>
      </w:r>
      <w:r>
        <w:rPr>
          <w:sz w:val="17"/>
        </w:rPr>
        <w:t xml:space="preserve"> </w:t>
      </w:r>
      <w:r>
        <w:rPr>
          <w:rFonts w:ascii="inherit" w:hAnsi="inherit"/>
          <w:sz w:val="17"/>
        </w:rPr>
        <w:t>months ended March 31, 2019</w:t>
      </w:r>
      <w:r>
        <w:rPr>
          <w:sz w:val="17"/>
        </w:rPr>
        <w:t xml:space="preserve"> </w:t>
      </w:r>
      <w:r>
        <w:rPr>
          <w:rFonts w:ascii="inherit" w:hAnsi="inherit"/>
          <w:sz w:val="17"/>
        </w:rPr>
        <w:t xml:space="preserve">and 2018. Sales tax and other similar taxes are excluded from revenues. </w:t>
      </w:r>
    </w:p>
    <w:p>
      <w:pPr>
        <w:pStyle w:val="TextBody"/>
        <w:spacing w:lineRule="auto" w:line="288" w:before="0" w:after="0"/>
        <w:rPr>
          <w:rFonts w:ascii="inherit" w:hAnsi="inherit"/>
          <w:sz w:val="17"/>
        </w:rPr>
      </w:pPr>
      <w:r>
        <w:rPr>
          <w:rFonts w:ascii="inherit" w:hAnsi="inherit"/>
          <w:sz w:val="17"/>
        </w:rPr>
      </w:r>
    </w:p>
    <w:tbl>
      <w:tblPr>
        <w:tblW w:w="630" w:type="dxa"/>
        <w:jc w:val="center"/>
        <w:tblInd w:w="0" w:type="dxa"/>
        <w:tblCellMar>
          <w:top w:w="0" w:type="dxa"/>
          <w:left w:w="0" w:type="dxa"/>
          <w:bottom w:w="0" w:type="dxa"/>
          <w:right w:w="0" w:type="dxa"/>
        </w:tblCellMar>
      </w:tblPr>
      <w:tblGrid>
        <w:gridCol w:w="105"/>
        <w:gridCol w:w="90"/>
        <w:gridCol w:w="90"/>
        <w:gridCol w:w="90"/>
        <w:gridCol w:w="90"/>
        <w:gridCol w:w="90"/>
        <w:gridCol w:w="75"/>
      </w:tblGrid>
      <w:tr>
        <w:trPr/>
        <w:tc>
          <w:tcPr>
            <w:tcW w:w="630"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630" w:type="dxa"/>
        <w:jc w:val="center"/>
        <w:tblInd w:w="0" w:type="dxa"/>
        <w:tblCellMar>
          <w:top w:w="0" w:type="dxa"/>
          <w:left w:w="0" w:type="dxa"/>
          <w:bottom w:w="0" w:type="dxa"/>
          <w:right w:w="0" w:type="dxa"/>
        </w:tblCellMar>
      </w:tblPr>
      <w:tblGrid>
        <w:gridCol w:w="105"/>
        <w:gridCol w:w="90"/>
        <w:gridCol w:w="90"/>
        <w:gridCol w:w="90"/>
        <w:gridCol w:w="90"/>
        <w:gridCol w:w="90"/>
        <w:gridCol w:w="75"/>
      </w:tblGrid>
      <w:tr>
        <w:trPr/>
        <w:tc>
          <w:tcPr>
            <w:tcW w:w="630"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center"/>
        <w:tblInd w:w="0" w:type="dxa"/>
        <w:tblCellMar>
          <w:top w:w="0" w:type="dxa"/>
          <w:left w:w="0" w:type="dxa"/>
          <w:bottom w:w="0" w:type="dxa"/>
          <w:right w:w="0" w:type="dxa"/>
        </w:tblCellMar>
      </w:tblPr>
      <w:tblGrid>
        <w:gridCol w:w="2724"/>
        <w:gridCol w:w="180"/>
        <w:gridCol w:w="993"/>
        <w:gridCol w:w="48"/>
        <w:gridCol w:w="130"/>
        <w:gridCol w:w="719"/>
        <w:gridCol w:w="130"/>
        <w:gridCol w:w="231"/>
        <w:gridCol w:w="256"/>
        <w:gridCol w:w="1206"/>
        <w:gridCol w:w="73"/>
        <w:gridCol w:w="110"/>
        <w:gridCol w:w="515"/>
        <w:gridCol w:w="30"/>
        <w:gridCol w:w="268"/>
        <w:gridCol w:w="1406"/>
        <w:gridCol w:w="269"/>
        <w:gridCol w:w="110"/>
        <w:gridCol w:w="605"/>
        <w:gridCol w:w="202"/>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2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2019</w:t>
            </w:r>
          </w:p>
        </w:tc>
        <w:tc>
          <w:tcPr>
            <w:tcW w:w="12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 xml:space="preserve">Electric Utilities </w:t>
            </w:r>
          </w:p>
        </w:tc>
        <w:tc>
          <w:tcPr>
            <w:tcW w:w="9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Gas Utilities</w:t>
            </w:r>
          </w:p>
        </w:tc>
        <w:tc>
          <w:tcPr>
            <w:tcW w:w="23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35"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pPr>
            <w:r>
              <w:rPr/>
              <w:t> </w:t>
            </w:r>
            <w:r>
              <w:rPr>
                <w:rFonts w:ascii="inherit" w:hAnsi="inherit"/>
                <w:sz w:val="15"/>
              </w:rPr>
              <w:t xml:space="preserve">Power Generation </w:t>
            </w:r>
            <w:r>
              <w:rPr>
                <w:rFonts w:ascii="inherit" w:hAnsi="inherit"/>
                <w:sz w:val="10"/>
              </w:rPr>
              <w:t xml:space="preserve">(a)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Mining</w:t>
            </w:r>
          </w:p>
        </w:tc>
        <w:tc>
          <w:tcPr>
            <w:tcW w:w="1943"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sz w:val="15"/>
              </w:rPr>
              <w:t xml:space="preserve">Inter-company Revenues </w:t>
            </w:r>
            <w:r>
              <w:rPr>
                <w:rFonts w:ascii="inherit" w:hAnsi="inherit"/>
                <w:sz w:val="10"/>
              </w:rPr>
              <w:t>(a)</w:t>
            </w:r>
          </w:p>
        </w:tc>
        <w:tc>
          <w:tcPr>
            <w:tcW w:w="9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Total</w:t>
            </w:r>
          </w:p>
        </w:tc>
      </w:tr>
      <w:tr>
        <w:trPr/>
        <w:tc>
          <w:tcPr>
            <w:tcW w:w="2724" w:type="dxa"/>
            <w:tcBorders/>
            <w:shd w:fill="auto" w:val="clear"/>
            <w:vAlign w:val="center"/>
          </w:tcPr>
          <w:p>
            <w:pPr>
              <w:pStyle w:val="TableContents"/>
              <w:spacing w:before="0" w:after="0"/>
              <w:ind w:left="0" w:right="0" w:firstLine="30"/>
              <w:jc w:val="left"/>
              <w:rPr>
                <w:rFonts w:ascii="inherit" w:hAnsi="inherit"/>
                <w:sz w:val="15"/>
                <w:u w:val="single"/>
              </w:rPr>
            </w:pPr>
            <w:r>
              <w:rPr>
                <w:rFonts w:ascii="inherit" w:hAnsi="inherit"/>
                <w:sz w:val="15"/>
                <w:u w:val="single"/>
              </w:rPr>
              <w:t>Customer types:</w:t>
            </w:r>
          </w:p>
        </w:tc>
        <w:tc>
          <w:tcPr>
            <w:tcW w:w="7481" w:type="dxa"/>
            <w:gridSpan w:val="19"/>
            <w:tcBorders/>
            <w:shd w:fill="auto" w:val="clear"/>
            <w:vAlign w:val="center"/>
          </w:tcPr>
          <w:p>
            <w:pPr>
              <w:pStyle w:val="TableContents"/>
              <w:spacing w:before="0" w:after="0"/>
              <w:ind w:left="0" w:right="0" w:firstLine="180"/>
              <w:jc w:val="center"/>
              <w:rPr>
                <w:rFonts w:ascii="inherit" w:hAnsi="inherit"/>
                <w:sz w:val="15"/>
              </w:rPr>
            </w:pPr>
            <w:r>
              <w:rPr>
                <w:rFonts w:ascii="inherit" w:hAnsi="inherit"/>
                <w:sz w:val="15"/>
              </w:rPr>
              <w:t>(in thousands)</w:t>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Retail</w:t>
            </w:r>
          </w:p>
        </w:tc>
        <w:tc>
          <w:tcPr>
            <w:tcW w:w="18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93" w:type="dxa"/>
            <w:tcBorders/>
            <w:shd w:fill="CEFFE7" w:val="clear"/>
            <w:vAlign w:val="center"/>
          </w:tcPr>
          <w:p>
            <w:pPr>
              <w:pStyle w:val="TableContents"/>
              <w:spacing w:before="0" w:after="0"/>
              <w:jc w:val="right"/>
              <w:rPr>
                <w:rFonts w:ascii="inherit" w:hAnsi="inherit"/>
                <w:sz w:val="15"/>
              </w:rPr>
            </w:pPr>
            <w:r>
              <w:rPr>
                <w:rFonts w:ascii="inherit" w:hAnsi="inherit"/>
                <w:sz w:val="15"/>
              </w:rPr>
              <w:t>153,463</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shd w:fill="CEFFE7" w:val="clear"/>
            <w:vAlign w:val="center"/>
          </w:tcPr>
          <w:p>
            <w:pPr>
              <w:pStyle w:val="TableContents"/>
              <w:spacing w:before="0" w:after="0"/>
              <w:jc w:val="right"/>
              <w:rPr>
                <w:rFonts w:ascii="inherit" w:hAnsi="inherit"/>
                <w:sz w:val="15"/>
              </w:rPr>
            </w:pPr>
            <w:r>
              <w:rPr>
                <w:rFonts w:ascii="inherit" w:hAnsi="inherit"/>
                <w:sz w:val="15"/>
              </w:rPr>
              <w:t>354,275</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CEFFE7" w:val="clear"/>
            <w:vAlign w:val="center"/>
          </w:tcPr>
          <w:p>
            <w:pPr>
              <w:pStyle w:val="TableContents"/>
              <w:spacing w:before="0" w:after="0"/>
              <w:ind w:left="0" w:right="0" w:firstLine="30"/>
              <w:rPr/>
            </w:pPr>
            <w:r>
              <w:rPr/>
              <w:t> </w:t>
            </w:r>
          </w:p>
        </w:tc>
        <w:tc>
          <w:tcPr>
            <w:tcW w:w="256"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206" w:type="dxa"/>
            <w:tcBorders/>
            <w:shd w:fill="CEFFE7" w:val="clear"/>
            <w:vAlign w:val="center"/>
          </w:tcPr>
          <w:p>
            <w:pPr>
              <w:pStyle w:val="TableContents"/>
              <w:spacing w:before="0" w:after="0"/>
              <w:jc w:val="right"/>
              <w:rPr/>
            </w:pPr>
            <w:r>
              <w:rPr/>
              <w:t>—</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EFFE7" w:val="clear"/>
            <w:vAlign w:val="center"/>
          </w:tcPr>
          <w:p>
            <w:pPr>
              <w:pStyle w:val="TableContents"/>
              <w:spacing w:before="0" w:after="0"/>
              <w:jc w:val="right"/>
              <w:rPr>
                <w:rFonts w:ascii="inherit" w:hAnsi="inherit"/>
                <w:sz w:val="15"/>
              </w:rPr>
            </w:pPr>
            <w:r>
              <w:rPr>
                <w:rFonts w:ascii="inherit" w:hAnsi="inherit"/>
                <w:sz w:val="15"/>
              </w:rPr>
              <w:t>15,829</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8"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406" w:type="dxa"/>
            <w:tcBorders/>
            <w:shd w:fill="CEFFE7" w:val="clear"/>
            <w:vAlign w:val="center"/>
          </w:tcPr>
          <w:p>
            <w:pPr>
              <w:pStyle w:val="TableContents"/>
              <w:spacing w:before="0" w:after="0"/>
              <w:jc w:val="right"/>
              <w:rPr>
                <w:rFonts w:ascii="inherit" w:hAnsi="inherit"/>
                <w:sz w:val="15"/>
              </w:rPr>
            </w:pPr>
            <w:r>
              <w:rPr>
                <w:rFonts w:ascii="inherit" w:hAnsi="inherit"/>
                <w:sz w:val="15"/>
              </w:rPr>
              <w:t>(8,128</w:t>
            </w:r>
          </w:p>
        </w:tc>
        <w:tc>
          <w:tcPr>
            <w:tcW w:w="26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EFFE7" w:val="clear"/>
            <w:vAlign w:val="center"/>
          </w:tcPr>
          <w:p>
            <w:pPr>
              <w:pStyle w:val="TableContents"/>
              <w:spacing w:before="0" w:after="0"/>
              <w:jc w:val="right"/>
              <w:rPr>
                <w:rFonts w:ascii="inherit" w:hAnsi="inherit"/>
                <w:sz w:val="15"/>
              </w:rPr>
            </w:pPr>
            <w:r>
              <w:rPr>
                <w:rFonts w:ascii="inherit" w:hAnsi="inherit"/>
                <w:sz w:val="15"/>
              </w:rPr>
              <w:t>515,439</w:t>
            </w:r>
          </w:p>
        </w:tc>
        <w:tc>
          <w:tcPr>
            <w:tcW w:w="202"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Transportation</w:t>
            </w:r>
          </w:p>
        </w:tc>
        <w:tc>
          <w:tcPr>
            <w:tcW w:w="1173" w:type="dxa"/>
            <w:gridSpan w:val="2"/>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44,517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(432</w:t>
            </w:r>
          </w:p>
        </w:tc>
        <w:tc>
          <w:tcPr>
            <w:tcW w:w="26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44,085</w:t>
            </w:r>
          </w:p>
        </w:tc>
        <w:tc>
          <w:tcPr>
            <w:tcW w:w="20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Wholesale</w:t>
            </w:r>
          </w:p>
        </w:tc>
        <w:tc>
          <w:tcPr>
            <w:tcW w:w="1173"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8,343</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CEFFE7" w:val="clear"/>
            <w:vAlign w:val="center"/>
          </w:tcPr>
          <w:p>
            <w:pPr>
              <w:pStyle w:val="TableContents"/>
              <w:spacing w:before="0" w:after="0"/>
              <w:jc w:val="right"/>
              <w:rPr/>
            </w:pPr>
            <w:r>
              <w:rPr/>
              <w:t>—</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CEFFE7" w:val="clear"/>
            <w:vAlign w:val="center"/>
          </w:tcPr>
          <w:p>
            <w:pPr>
              <w:pStyle w:val="TableContents"/>
              <w:spacing w:before="0" w:after="0"/>
              <w:ind w:left="0" w:right="0" w:firstLine="30"/>
              <w:rPr/>
            </w:pPr>
            <w:r>
              <w:rPr/>
              <w:t> </w:t>
            </w:r>
          </w:p>
        </w:tc>
        <w:tc>
          <w:tcPr>
            <w:tcW w:w="1462"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15,469</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(13,213</w:t>
            </w:r>
          </w:p>
        </w:tc>
        <w:tc>
          <w:tcPr>
            <w:tcW w:w="26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10,599</w:t>
            </w:r>
          </w:p>
        </w:tc>
        <w:tc>
          <w:tcPr>
            <w:tcW w:w="202"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Market - off-system sales</w:t>
            </w:r>
          </w:p>
        </w:tc>
        <w:tc>
          <w:tcPr>
            <w:tcW w:w="117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6,692</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(2,224</w:t>
            </w:r>
          </w:p>
        </w:tc>
        <w:tc>
          <w:tcPr>
            <w:tcW w:w="26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4,685</w:t>
            </w:r>
          </w:p>
        </w:tc>
        <w:tc>
          <w:tcPr>
            <w:tcW w:w="20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Transmission/Other</w:t>
            </w:r>
          </w:p>
        </w:tc>
        <w:tc>
          <w:tcPr>
            <w:tcW w:w="1173"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14,175</w:t>
            </w:r>
          </w:p>
        </w:tc>
        <w:tc>
          <w:tcPr>
            <w:tcW w:w="4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13,190</w:t>
            </w:r>
          </w:p>
        </w:tc>
        <w:tc>
          <w:tcPr>
            <w:tcW w:w="1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bottom w:val="single" w:sz="2" w:space="0" w:color="000000"/>
            </w:tcBorders>
            <w:shd w:fill="CEFFE7" w:val="clear"/>
            <w:tcMar>
              <w:bottom w:w="30" w:type="dxa"/>
            </w:tcMar>
            <w:vAlign w:val="center"/>
          </w:tcPr>
          <w:p>
            <w:pPr>
              <w:pStyle w:val="TableContents"/>
              <w:spacing w:before="0" w:after="0"/>
              <w:ind w:left="0" w:right="0" w:firstLine="30"/>
              <w:rPr/>
            </w:pPr>
            <w:r>
              <w:rPr/>
              <w:t> </w:t>
            </w:r>
          </w:p>
        </w:tc>
        <w:tc>
          <w:tcPr>
            <w:tcW w:w="1462"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73"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(4,203</w:t>
            </w:r>
          </w:p>
        </w:tc>
        <w:tc>
          <w:tcPr>
            <w:tcW w:w="269"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23,162</w:t>
            </w:r>
          </w:p>
        </w:tc>
        <w:tc>
          <w:tcPr>
            <w:tcW w:w="202" w:type="dxa"/>
            <w:tcBorders>
              <w:bottom w:val="single" w:sz="2" w:space="0" w:color="000000"/>
            </w:tcBorders>
            <w:shd w:fill="CEFFE7"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 from contracts with customers</w:t>
            </w:r>
          </w:p>
        </w:tc>
        <w:tc>
          <w:tcPr>
            <w:tcW w:w="117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182,673</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412,199</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15,469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15,829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(28,200</w:t>
            </w:r>
          </w:p>
        </w:tc>
        <w:tc>
          <w:tcPr>
            <w:tcW w:w="26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597,970</w:t>
            </w:r>
          </w:p>
        </w:tc>
        <w:tc>
          <w:tcPr>
            <w:tcW w:w="20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1173"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254</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(1,119</w:t>
            </w:r>
          </w:p>
        </w:tc>
        <w:tc>
          <w:tcPr>
            <w:tcW w:w="13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31" w:type="dxa"/>
            <w:tcBorders/>
            <w:shd w:fill="CEFFE7" w:val="clear"/>
            <w:vAlign w:val="center"/>
          </w:tcPr>
          <w:p>
            <w:pPr>
              <w:pStyle w:val="TableContents"/>
              <w:spacing w:lineRule="auto" w:line="288" w:before="0" w:after="0"/>
              <w:ind w:left="0" w:right="0" w:firstLine="30"/>
              <w:jc w:val="left"/>
              <w:rPr>
                <w:rFonts w:ascii="inherit" w:hAnsi="inherit"/>
                <w:sz w:val="15"/>
              </w:rPr>
            </w:pPr>
            <w:r>
              <w:rPr>
                <w:rFonts w:ascii="inherit" w:hAnsi="inherit"/>
                <w:sz w:val="10"/>
              </w:rPr>
              <w:t>(b)</w:t>
            </w:r>
            <w:r>
              <w:rPr>
                <w:rFonts w:ascii="inherit" w:hAnsi="inherit"/>
                <w:sz w:val="15"/>
              </w:rPr>
              <w:t> </w:t>
            </w:r>
          </w:p>
        </w:tc>
        <w:tc>
          <w:tcPr>
            <w:tcW w:w="1462"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9,776</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600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(9,671</w:t>
            </w:r>
          </w:p>
        </w:tc>
        <w:tc>
          <w:tcPr>
            <w:tcW w:w="26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(160</w:t>
            </w:r>
          </w:p>
        </w:tc>
        <w:tc>
          <w:tcPr>
            <w:tcW w:w="202"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7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182,927</w:t>
            </w:r>
          </w:p>
        </w:tc>
        <w:tc>
          <w:tcPr>
            <w:tcW w:w="4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411,080</w:t>
            </w:r>
          </w:p>
        </w:tc>
        <w:tc>
          <w:tcPr>
            <w:tcW w:w="1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2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25,245</w:t>
            </w:r>
          </w:p>
        </w:tc>
        <w:tc>
          <w:tcPr>
            <w:tcW w:w="7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16,429</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4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(37,871</w:t>
            </w:r>
          </w:p>
        </w:tc>
        <w:tc>
          <w:tcPr>
            <w:tcW w:w="2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597,810</w:t>
            </w:r>
          </w:p>
        </w:tc>
        <w:tc>
          <w:tcPr>
            <w:tcW w:w="20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4" w:type="dxa"/>
            <w:tcBorders/>
            <w:shd w:fill="CEFFE7" w:val="clear"/>
            <w:vAlign w:val="center"/>
          </w:tcPr>
          <w:p>
            <w:pPr>
              <w:pStyle w:val="TableContents"/>
              <w:spacing w:before="0" w:after="0"/>
              <w:ind w:left="0" w:right="0" w:firstLine="30"/>
              <w:rPr/>
            </w:pPr>
            <w:r>
              <w:rPr/>
              <w:t> </w:t>
            </w:r>
          </w:p>
        </w:tc>
        <w:tc>
          <w:tcPr>
            <w:tcW w:w="1221" w:type="dxa"/>
            <w:gridSpan w:val="3"/>
            <w:tcBorders/>
            <w:shd w:fill="CEFFE7" w:val="clear"/>
            <w:vAlign w:val="center"/>
          </w:tcPr>
          <w:p>
            <w:pPr>
              <w:pStyle w:val="TableContents"/>
              <w:spacing w:before="0" w:after="0"/>
              <w:ind w:left="0" w:right="0" w:firstLine="30"/>
              <w:rPr/>
            </w:pPr>
            <w:r>
              <w:rPr/>
              <w:t> </w:t>
            </w:r>
          </w:p>
        </w:tc>
        <w:tc>
          <w:tcPr>
            <w:tcW w:w="979" w:type="dxa"/>
            <w:gridSpan w:val="3"/>
            <w:tcBorders/>
            <w:shd w:fill="CEFFE7" w:val="clear"/>
            <w:vAlign w:val="center"/>
          </w:tcPr>
          <w:p>
            <w:pPr>
              <w:pStyle w:val="TableContents"/>
              <w:spacing w:before="0" w:after="0"/>
              <w:ind w:left="0" w:right="0" w:firstLine="30"/>
              <w:rPr/>
            </w:pPr>
            <w:r>
              <w:rPr/>
              <w:t> </w:t>
            </w:r>
          </w:p>
        </w:tc>
        <w:tc>
          <w:tcPr>
            <w:tcW w:w="231" w:type="dxa"/>
            <w:tcBorders/>
            <w:shd w:fill="CEFFE7" w:val="clear"/>
            <w:vAlign w:val="center"/>
          </w:tcPr>
          <w:p>
            <w:pPr>
              <w:pStyle w:val="TableContents"/>
              <w:spacing w:before="0" w:after="0"/>
              <w:ind w:left="0" w:right="0" w:firstLine="30"/>
              <w:rPr/>
            </w:pPr>
            <w:r>
              <w:rPr/>
              <w:t> </w:t>
            </w:r>
          </w:p>
        </w:tc>
        <w:tc>
          <w:tcPr>
            <w:tcW w:w="1535"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30"/>
              <w:rPr/>
            </w:pPr>
            <w:r>
              <w:rPr/>
              <w:t> </w:t>
            </w:r>
          </w:p>
        </w:tc>
        <w:tc>
          <w:tcPr>
            <w:tcW w:w="1943" w:type="dxa"/>
            <w:gridSpan w:val="3"/>
            <w:tcBorders/>
            <w:shd w:fill="CEFFE7" w:val="clear"/>
            <w:vAlign w:val="center"/>
          </w:tcPr>
          <w:p>
            <w:pPr>
              <w:pStyle w:val="TableContents"/>
              <w:spacing w:before="0" w:after="0"/>
              <w:ind w:left="0" w:right="0" w:firstLine="30"/>
              <w:rPr/>
            </w:pPr>
            <w:r>
              <w:rPr/>
              <w:t> </w:t>
            </w:r>
          </w:p>
        </w:tc>
        <w:tc>
          <w:tcPr>
            <w:tcW w:w="917" w:type="dxa"/>
            <w:gridSpan w:val="3"/>
            <w:tcBorders/>
            <w:shd w:fill="CEFFE7" w:val="clear"/>
            <w:vAlign w:val="center"/>
          </w:tcPr>
          <w:p>
            <w:pPr>
              <w:pStyle w:val="TableContents"/>
              <w:spacing w:before="0" w:after="0"/>
              <w:ind w:left="0" w:right="0" w:firstLine="30"/>
              <w:rPr/>
            </w:pPr>
            <w:r>
              <w:rPr/>
              <w:t> </w:t>
            </w:r>
          </w:p>
        </w:tc>
      </w:tr>
      <w:tr>
        <w:trPr/>
        <w:tc>
          <w:tcPr>
            <w:tcW w:w="2724" w:type="dxa"/>
            <w:tcBorders/>
            <w:shd w:fill="auto" w:val="clear"/>
            <w:vAlign w:val="center"/>
          </w:tcPr>
          <w:p>
            <w:pPr>
              <w:pStyle w:val="TableContents"/>
              <w:spacing w:before="0" w:after="0"/>
              <w:ind w:left="0" w:right="0" w:firstLine="30"/>
              <w:jc w:val="left"/>
              <w:rPr>
                <w:rFonts w:ascii="inherit" w:hAnsi="inherit"/>
                <w:sz w:val="15"/>
                <w:u w:val="single"/>
              </w:rPr>
            </w:pPr>
            <w:r>
              <w:rPr>
                <w:rFonts w:ascii="inherit" w:hAnsi="inherit"/>
                <w:sz w:val="15"/>
                <w:u w:val="single"/>
              </w:rPr>
              <w:t>Timing of revenue recognition:</w:t>
            </w:r>
          </w:p>
        </w:tc>
        <w:tc>
          <w:tcPr>
            <w:tcW w:w="1221" w:type="dxa"/>
            <w:gridSpan w:val="3"/>
            <w:tcBorders/>
            <w:shd w:fill="auto" w:val="clear"/>
            <w:vAlign w:val="center"/>
          </w:tcPr>
          <w:p>
            <w:pPr>
              <w:pStyle w:val="TableContents"/>
              <w:spacing w:before="0" w:after="0"/>
              <w:ind w:left="0" w:right="0" w:firstLine="30"/>
              <w:rPr/>
            </w:pPr>
            <w:r>
              <w:rPr/>
              <w:t> </w:t>
            </w:r>
          </w:p>
        </w:tc>
        <w:tc>
          <w:tcPr>
            <w:tcW w:w="979" w:type="dxa"/>
            <w:gridSpan w:val="3"/>
            <w:tcBorders/>
            <w:shd w:fill="auto" w:val="clear"/>
            <w:vAlign w:val="center"/>
          </w:tcPr>
          <w:p>
            <w:pPr>
              <w:pStyle w:val="TableContents"/>
              <w:spacing w:before="0" w:after="0"/>
              <w:ind w:left="0" w:right="0" w:firstLine="30"/>
              <w:rPr/>
            </w:pPr>
            <w:r>
              <w:rPr/>
              <w:t> </w:t>
            </w:r>
          </w:p>
        </w:tc>
        <w:tc>
          <w:tcPr>
            <w:tcW w:w="231" w:type="dxa"/>
            <w:tcBorders/>
            <w:shd w:fill="auto" w:val="clear"/>
            <w:vAlign w:val="center"/>
          </w:tcPr>
          <w:p>
            <w:pPr>
              <w:pStyle w:val="TableContents"/>
              <w:spacing w:before="0" w:after="0"/>
              <w:ind w:left="0" w:right="0" w:firstLine="30"/>
              <w:rPr/>
            </w:pPr>
            <w:r>
              <w:rPr/>
              <w:t> </w:t>
            </w:r>
          </w:p>
        </w:tc>
        <w:tc>
          <w:tcPr>
            <w:tcW w:w="1535"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c>
          <w:tcPr>
            <w:tcW w:w="1943" w:type="dxa"/>
            <w:gridSpan w:val="3"/>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180"/>
              <w:rPr/>
            </w:pPr>
            <w:r>
              <w:rPr/>
              <w:t> </w:t>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Services transferred at a point in time</w:t>
            </w:r>
          </w:p>
        </w:tc>
        <w:tc>
          <w:tcPr>
            <w:tcW w:w="18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93" w:type="dxa"/>
            <w:tcBorders/>
            <w:shd w:fill="CEFFE7" w:val="clear"/>
            <w:vAlign w:val="center"/>
          </w:tcPr>
          <w:p>
            <w:pPr>
              <w:pStyle w:val="TableContents"/>
              <w:spacing w:before="0" w:after="0"/>
              <w:jc w:val="right"/>
              <w:rPr/>
            </w:pPr>
            <w:r>
              <w:rPr/>
              <w:t>—</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shd w:fill="CEFFE7" w:val="clear"/>
            <w:vAlign w:val="center"/>
          </w:tcPr>
          <w:p>
            <w:pPr>
              <w:pStyle w:val="TableContents"/>
              <w:spacing w:before="0" w:after="0"/>
              <w:jc w:val="right"/>
              <w:rPr/>
            </w:pPr>
            <w:r>
              <w:rPr/>
              <w:t>—</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CEFFE7" w:val="clear"/>
            <w:vAlign w:val="center"/>
          </w:tcPr>
          <w:p>
            <w:pPr>
              <w:pStyle w:val="TableContents"/>
              <w:spacing w:before="0" w:after="0"/>
              <w:ind w:left="0" w:right="0" w:firstLine="30"/>
              <w:rPr/>
            </w:pPr>
            <w:r>
              <w:rPr/>
              <w:t> </w:t>
            </w:r>
          </w:p>
        </w:tc>
        <w:tc>
          <w:tcPr>
            <w:tcW w:w="256"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206" w:type="dxa"/>
            <w:tcBorders/>
            <w:shd w:fill="CEFFE7" w:val="clear"/>
            <w:vAlign w:val="center"/>
          </w:tcPr>
          <w:p>
            <w:pPr>
              <w:pStyle w:val="TableContents"/>
              <w:spacing w:before="0" w:after="0"/>
              <w:jc w:val="right"/>
              <w:rPr/>
            </w:pPr>
            <w:r>
              <w:rPr/>
              <w:t>—</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EFFE7" w:val="clear"/>
            <w:vAlign w:val="center"/>
          </w:tcPr>
          <w:p>
            <w:pPr>
              <w:pStyle w:val="TableContents"/>
              <w:spacing w:before="0" w:after="0"/>
              <w:jc w:val="right"/>
              <w:rPr>
                <w:rFonts w:ascii="inherit" w:hAnsi="inherit"/>
                <w:sz w:val="15"/>
              </w:rPr>
            </w:pPr>
            <w:r>
              <w:rPr>
                <w:rFonts w:ascii="inherit" w:hAnsi="inherit"/>
                <w:sz w:val="15"/>
              </w:rPr>
              <w:t>15,829</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8"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406" w:type="dxa"/>
            <w:tcBorders/>
            <w:shd w:fill="CEFFE7" w:val="clear"/>
            <w:vAlign w:val="center"/>
          </w:tcPr>
          <w:p>
            <w:pPr>
              <w:pStyle w:val="TableContents"/>
              <w:spacing w:before="0" w:after="0"/>
              <w:jc w:val="right"/>
              <w:rPr>
                <w:rFonts w:ascii="inherit" w:hAnsi="inherit"/>
                <w:sz w:val="15"/>
              </w:rPr>
            </w:pPr>
            <w:r>
              <w:rPr>
                <w:rFonts w:ascii="inherit" w:hAnsi="inherit"/>
                <w:sz w:val="15"/>
              </w:rPr>
              <w:t>(8,128</w:t>
            </w:r>
          </w:p>
        </w:tc>
        <w:tc>
          <w:tcPr>
            <w:tcW w:w="26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EFFE7" w:val="clear"/>
            <w:vAlign w:val="center"/>
          </w:tcPr>
          <w:p>
            <w:pPr>
              <w:pStyle w:val="TableContents"/>
              <w:spacing w:before="0" w:after="0"/>
              <w:jc w:val="right"/>
              <w:rPr>
                <w:rFonts w:ascii="inherit" w:hAnsi="inherit"/>
                <w:sz w:val="15"/>
              </w:rPr>
            </w:pPr>
            <w:r>
              <w:rPr>
                <w:rFonts w:ascii="inherit" w:hAnsi="inherit"/>
                <w:sz w:val="15"/>
              </w:rPr>
              <w:t>7,701</w:t>
            </w:r>
          </w:p>
        </w:tc>
        <w:tc>
          <w:tcPr>
            <w:tcW w:w="202"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Services transferred over time</w:t>
            </w:r>
          </w:p>
        </w:tc>
        <w:tc>
          <w:tcPr>
            <w:tcW w:w="117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182,673</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412,199</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15,469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7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(20,072</w:t>
            </w:r>
          </w:p>
        </w:tc>
        <w:tc>
          <w:tcPr>
            <w:tcW w:w="26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590,269</w:t>
            </w:r>
          </w:p>
        </w:tc>
        <w:tc>
          <w:tcPr>
            <w:tcW w:w="20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2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Revenue from contracts with customers</w:t>
            </w:r>
          </w:p>
        </w:tc>
        <w:tc>
          <w:tcPr>
            <w:tcW w:w="18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182,673</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412,199</w:t>
            </w:r>
          </w:p>
        </w:tc>
        <w:tc>
          <w:tcPr>
            <w:tcW w:w="1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25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2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15,469</w:t>
            </w:r>
          </w:p>
        </w:tc>
        <w:tc>
          <w:tcPr>
            <w:tcW w:w="7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15,829</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(28,200</w:t>
            </w:r>
          </w:p>
        </w:tc>
        <w:tc>
          <w:tcPr>
            <w:tcW w:w="26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597,970</w:t>
            </w:r>
          </w:p>
        </w:tc>
        <w:tc>
          <w:tcPr>
            <w:tcW w:w="202"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24" w:type="dxa"/>
            <w:tcBorders/>
            <w:shd w:fill="auto" w:val="clear"/>
            <w:vAlign w:val="center"/>
          </w:tcPr>
          <w:p>
            <w:pPr>
              <w:pStyle w:val="TableContents"/>
              <w:spacing w:before="0" w:after="0"/>
              <w:ind w:left="0" w:right="0" w:firstLine="30"/>
              <w:rPr/>
            </w:pPr>
            <w:r>
              <w:rPr/>
              <w:t> </w:t>
            </w:r>
          </w:p>
        </w:tc>
        <w:tc>
          <w:tcPr>
            <w:tcW w:w="1221" w:type="dxa"/>
            <w:gridSpan w:val="3"/>
            <w:tcBorders/>
            <w:shd w:fill="auto" w:val="clear"/>
            <w:vAlign w:val="center"/>
          </w:tcPr>
          <w:p>
            <w:pPr>
              <w:pStyle w:val="TableContents"/>
              <w:spacing w:before="0" w:after="0"/>
              <w:ind w:left="0" w:right="0" w:firstLine="30"/>
              <w:rPr/>
            </w:pPr>
            <w:r>
              <w:rPr/>
              <w:t> </w:t>
            </w:r>
          </w:p>
        </w:tc>
        <w:tc>
          <w:tcPr>
            <w:tcW w:w="979" w:type="dxa"/>
            <w:gridSpan w:val="3"/>
            <w:tcBorders/>
            <w:shd w:fill="auto" w:val="clear"/>
            <w:vAlign w:val="center"/>
          </w:tcPr>
          <w:p>
            <w:pPr>
              <w:pStyle w:val="TableContents"/>
              <w:spacing w:before="0" w:after="0"/>
              <w:ind w:left="0" w:right="0" w:firstLine="30"/>
              <w:rPr/>
            </w:pPr>
            <w:r>
              <w:rPr/>
              <w:t> </w:t>
            </w:r>
          </w:p>
        </w:tc>
        <w:tc>
          <w:tcPr>
            <w:tcW w:w="231" w:type="dxa"/>
            <w:tcBorders/>
            <w:shd w:fill="auto" w:val="clear"/>
            <w:vAlign w:val="center"/>
          </w:tcPr>
          <w:p>
            <w:pPr>
              <w:pStyle w:val="TableContents"/>
              <w:spacing w:before="0" w:after="0"/>
              <w:ind w:left="0" w:right="0" w:firstLine="30"/>
              <w:rPr/>
            </w:pPr>
            <w:r>
              <w:rPr/>
              <w:t> </w:t>
            </w:r>
          </w:p>
        </w:tc>
        <w:tc>
          <w:tcPr>
            <w:tcW w:w="1535"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c>
          <w:tcPr>
            <w:tcW w:w="1943" w:type="dxa"/>
            <w:gridSpan w:val="3"/>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2739"/>
        <w:gridCol w:w="181"/>
        <w:gridCol w:w="997"/>
        <w:gridCol w:w="48"/>
        <w:gridCol w:w="143"/>
        <w:gridCol w:w="789"/>
        <w:gridCol w:w="38"/>
        <w:gridCol w:w="232"/>
        <w:gridCol w:w="253"/>
        <w:gridCol w:w="1191"/>
        <w:gridCol w:w="72"/>
        <w:gridCol w:w="110"/>
        <w:gridCol w:w="515"/>
        <w:gridCol w:w="30"/>
        <w:gridCol w:w="269"/>
        <w:gridCol w:w="1411"/>
        <w:gridCol w:w="271"/>
        <w:gridCol w:w="110"/>
        <w:gridCol w:w="605"/>
        <w:gridCol w:w="201"/>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3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2018</w:t>
            </w:r>
          </w:p>
        </w:tc>
        <w:tc>
          <w:tcPr>
            <w:tcW w:w="12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 xml:space="preserve">Electric Utilities </w:t>
            </w:r>
          </w:p>
        </w:tc>
        <w:tc>
          <w:tcPr>
            <w:tcW w:w="9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Gas Utilities</w:t>
            </w:r>
          </w:p>
        </w:tc>
        <w:tc>
          <w:tcPr>
            <w:tcW w:w="23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16"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pPr>
            <w:r>
              <w:rPr/>
              <w:t> </w:t>
            </w:r>
            <w:r>
              <w:rPr>
                <w:rFonts w:ascii="inherit" w:hAnsi="inherit"/>
                <w:sz w:val="15"/>
              </w:rPr>
              <w:t xml:space="preserve">Power Generation </w:t>
            </w:r>
            <w:r>
              <w:rPr>
                <w:rFonts w:ascii="inherit" w:hAnsi="inherit"/>
                <w:sz w:val="10"/>
              </w:rPr>
              <w:t>(a)</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5"/>
              </w:rPr>
              <w:t>Mining</w:t>
            </w:r>
          </w:p>
        </w:tc>
        <w:tc>
          <w:tcPr>
            <w:tcW w:w="1951"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sz w:val="15"/>
              </w:rPr>
              <w:t xml:space="preserve">Inter-company Revenues </w:t>
            </w:r>
            <w:r>
              <w:rPr>
                <w:rFonts w:ascii="inherit" w:hAnsi="inherit"/>
                <w:sz w:val="10"/>
              </w:rPr>
              <w:t>(a)</w:t>
            </w:r>
          </w:p>
        </w:tc>
        <w:tc>
          <w:tcPr>
            <w:tcW w:w="9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Total</w:t>
            </w:r>
          </w:p>
        </w:tc>
      </w:tr>
      <w:tr>
        <w:trPr/>
        <w:tc>
          <w:tcPr>
            <w:tcW w:w="2739" w:type="dxa"/>
            <w:tcBorders/>
            <w:shd w:fill="auto" w:val="clear"/>
            <w:vAlign w:val="center"/>
          </w:tcPr>
          <w:p>
            <w:pPr>
              <w:pStyle w:val="TableContents"/>
              <w:spacing w:before="0" w:after="0"/>
              <w:ind w:left="0" w:right="0" w:firstLine="30"/>
              <w:jc w:val="left"/>
              <w:rPr>
                <w:rFonts w:ascii="inherit" w:hAnsi="inherit"/>
                <w:sz w:val="15"/>
                <w:u w:val="single"/>
              </w:rPr>
            </w:pPr>
            <w:r>
              <w:rPr>
                <w:rFonts w:ascii="inherit" w:hAnsi="inherit"/>
                <w:sz w:val="15"/>
                <w:u w:val="single"/>
              </w:rPr>
              <w:t>Customer Types:</w:t>
            </w:r>
          </w:p>
        </w:tc>
        <w:tc>
          <w:tcPr>
            <w:tcW w:w="1226" w:type="dxa"/>
            <w:gridSpan w:val="3"/>
            <w:tcBorders/>
            <w:shd w:fill="auto" w:val="clear"/>
            <w:vAlign w:val="center"/>
          </w:tcPr>
          <w:p>
            <w:pPr>
              <w:pStyle w:val="TableContents"/>
              <w:spacing w:before="0" w:after="0"/>
              <w:ind w:left="0" w:right="0" w:firstLine="30"/>
              <w:rPr/>
            </w:pPr>
            <w:r>
              <w:rPr/>
              <w:t> </w:t>
            </w:r>
          </w:p>
        </w:tc>
        <w:tc>
          <w:tcPr>
            <w:tcW w:w="970" w:type="dxa"/>
            <w:gridSpan w:val="3"/>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1516"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c>
          <w:tcPr>
            <w:tcW w:w="1951" w:type="dxa"/>
            <w:gridSpan w:val="3"/>
            <w:tcBorders/>
            <w:shd w:fill="auto" w:val="clear"/>
            <w:vAlign w:val="center"/>
          </w:tcPr>
          <w:p>
            <w:pPr>
              <w:pStyle w:val="TableContents"/>
              <w:spacing w:before="0" w:after="0"/>
              <w:ind w:left="0" w:right="0" w:firstLine="30"/>
              <w:rPr/>
            </w:pPr>
            <w:r>
              <w:rPr/>
              <w:t> </w:t>
            </w:r>
          </w:p>
        </w:tc>
        <w:tc>
          <w:tcPr>
            <w:tcW w:w="916" w:type="dxa"/>
            <w:gridSpan w:val="3"/>
            <w:tcBorders/>
            <w:shd w:fill="auto" w:val="clear"/>
            <w:vAlign w:val="center"/>
          </w:tcPr>
          <w:p>
            <w:pPr>
              <w:pStyle w:val="TableContents"/>
              <w:spacing w:before="0" w:after="0"/>
              <w:ind w:left="0" w:right="0" w:firstLine="180"/>
              <w:rPr/>
            </w:pPr>
            <w:r>
              <w:rPr/>
              <w:t> </w:t>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Retail</w:t>
            </w:r>
          </w:p>
        </w:tc>
        <w:tc>
          <w:tcPr>
            <w:tcW w:w="181"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97" w:type="dxa"/>
            <w:tcBorders/>
            <w:shd w:fill="CEFFE7" w:val="clear"/>
            <w:vAlign w:val="center"/>
          </w:tcPr>
          <w:p>
            <w:pPr>
              <w:pStyle w:val="TableContents"/>
              <w:spacing w:before="0" w:after="0"/>
              <w:jc w:val="right"/>
              <w:rPr>
                <w:rFonts w:ascii="inherit" w:hAnsi="inherit"/>
                <w:sz w:val="15"/>
              </w:rPr>
            </w:pPr>
            <w:r>
              <w:rPr>
                <w:rFonts w:ascii="inherit" w:hAnsi="inherit"/>
                <w:sz w:val="15"/>
              </w:rPr>
              <w:t>147,057</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789" w:type="dxa"/>
            <w:tcBorders/>
            <w:shd w:fill="CEFFE7" w:val="clear"/>
            <w:vAlign w:val="center"/>
          </w:tcPr>
          <w:p>
            <w:pPr>
              <w:pStyle w:val="TableContents"/>
              <w:spacing w:before="0" w:after="0"/>
              <w:jc w:val="right"/>
              <w:rPr>
                <w:rFonts w:ascii="inherit" w:hAnsi="inherit"/>
                <w:sz w:val="15"/>
              </w:rPr>
            </w:pPr>
            <w:r>
              <w:rPr>
                <w:rFonts w:ascii="inherit" w:hAnsi="inherit"/>
                <w:sz w:val="15"/>
              </w:rPr>
              <w:t>341,394</w:t>
            </w:r>
          </w:p>
        </w:tc>
        <w:tc>
          <w:tcPr>
            <w:tcW w:w="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CEFFE7" w:val="clear"/>
            <w:vAlign w:val="center"/>
          </w:tcPr>
          <w:p>
            <w:pPr>
              <w:pStyle w:val="TableContents"/>
              <w:spacing w:before="0" w:after="0"/>
              <w:ind w:left="0" w:right="0" w:firstLine="30"/>
              <w:rPr/>
            </w:pPr>
            <w:r>
              <w:rPr/>
              <w:t> </w:t>
            </w:r>
          </w:p>
        </w:tc>
        <w:tc>
          <w:tcPr>
            <w:tcW w:w="253"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191" w:type="dxa"/>
            <w:tcBorders/>
            <w:shd w:fill="CEFFE7" w:val="clear"/>
            <w:vAlign w:val="center"/>
          </w:tcPr>
          <w:p>
            <w:pPr>
              <w:pStyle w:val="TableContents"/>
              <w:spacing w:before="0" w:after="0"/>
              <w:jc w:val="right"/>
              <w:rPr/>
            </w:pPr>
            <w:r>
              <w:rPr/>
              <w:t>—</w:t>
            </w:r>
          </w:p>
        </w:tc>
        <w:tc>
          <w:tcPr>
            <w:tcW w:w="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EFFE7" w:val="clear"/>
            <w:vAlign w:val="center"/>
          </w:tcPr>
          <w:p>
            <w:pPr>
              <w:pStyle w:val="TableContents"/>
              <w:spacing w:before="0" w:after="0"/>
              <w:jc w:val="right"/>
              <w:rPr>
                <w:rFonts w:ascii="inherit" w:hAnsi="inherit"/>
                <w:sz w:val="15"/>
              </w:rPr>
            </w:pPr>
            <w:r>
              <w:rPr>
                <w:rFonts w:ascii="inherit" w:hAnsi="inherit"/>
                <w:sz w:val="15"/>
              </w:rPr>
              <w:t>16,557</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411" w:type="dxa"/>
            <w:tcBorders/>
            <w:shd w:fill="CEFFE7" w:val="clear"/>
            <w:vAlign w:val="center"/>
          </w:tcPr>
          <w:p>
            <w:pPr>
              <w:pStyle w:val="TableContents"/>
              <w:spacing w:before="0" w:after="0"/>
              <w:jc w:val="right"/>
              <w:rPr>
                <w:rFonts w:ascii="inherit" w:hAnsi="inherit"/>
                <w:sz w:val="15"/>
              </w:rPr>
            </w:pPr>
            <w:r>
              <w:rPr>
                <w:rFonts w:ascii="inherit" w:hAnsi="inherit"/>
                <w:sz w:val="15"/>
              </w:rPr>
              <w:t>(7,842</w:t>
            </w:r>
          </w:p>
        </w:tc>
        <w:tc>
          <w:tcPr>
            <w:tcW w:w="271"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EFFE7" w:val="clear"/>
            <w:vAlign w:val="center"/>
          </w:tcPr>
          <w:p>
            <w:pPr>
              <w:pStyle w:val="TableContents"/>
              <w:spacing w:before="0" w:after="0"/>
              <w:jc w:val="right"/>
              <w:rPr>
                <w:rFonts w:ascii="inherit" w:hAnsi="inherit"/>
                <w:sz w:val="15"/>
              </w:rPr>
            </w:pPr>
            <w:r>
              <w:rPr>
                <w:rFonts w:ascii="inherit" w:hAnsi="inherit"/>
                <w:sz w:val="15"/>
              </w:rPr>
              <w:t>497,166</w:t>
            </w:r>
          </w:p>
        </w:tc>
        <w:tc>
          <w:tcPr>
            <w:tcW w:w="201"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Transportation</w:t>
            </w:r>
          </w:p>
        </w:tc>
        <w:tc>
          <w:tcPr>
            <w:tcW w:w="1178" w:type="dxa"/>
            <w:gridSpan w:val="2"/>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41,669</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auto" w:val="clear"/>
            <w:vAlign w:val="center"/>
          </w:tcPr>
          <w:p>
            <w:pPr>
              <w:pStyle w:val="TableContents"/>
              <w:spacing w:before="0" w:after="0"/>
              <w:ind w:left="0" w:right="0" w:firstLine="30"/>
              <w:rPr/>
            </w:pPr>
            <w:r>
              <w:rPr/>
              <w:t> </w:t>
            </w:r>
          </w:p>
        </w:tc>
        <w:tc>
          <w:tcPr>
            <w:tcW w:w="144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(409</w:t>
            </w:r>
          </w:p>
        </w:tc>
        <w:tc>
          <w:tcPr>
            <w:tcW w:w="27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41,260</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Wholesale</w:t>
            </w:r>
          </w:p>
        </w:tc>
        <w:tc>
          <w:tcPr>
            <w:tcW w:w="1178"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9,050</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shd w:fill="CEFFE7" w:val="clear"/>
            <w:vAlign w:val="center"/>
          </w:tcPr>
          <w:p>
            <w:pPr>
              <w:pStyle w:val="TableContents"/>
              <w:spacing w:before="0" w:after="0"/>
              <w:jc w:val="right"/>
              <w:rPr/>
            </w:pPr>
            <w:r>
              <w:rPr/>
              <w:t>—</w:t>
            </w:r>
          </w:p>
        </w:tc>
        <w:tc>
          <w:tcPr>
            <w:tcW w:w="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CEFFE7" w:val="clear"/>
            <w:vAlign w:val="center"/>
          </w:tcPr>
          <w:p>
            <w:pPr>
              <w:pStyle w:val="TableContents"/>
              <w:spacing w:before="0" w:after="0"/>
              <w:ind w:left="0" w:right="0" w:firstLine="30"/>
              <w:rPr/>
            </w:pPr>
            <w:r>
              <w:rPr/>
              <w:t> </w:t>
            </w:r>
          </w:p>
        </w:tc>
        <w:tc>
          <w:tcPr>
            <w:tcW w:w="1444"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14,769</w:t>
            </w:r>
          </w:p>
        </w:tc>
        <w:tc>
          <w:tcPr>
            <w:tcW w:w="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(13,049</w:t>
            </w:r>
          </w:p>
        </w:tc>
        <w:tc>
          <w:tcPr>
            <w:tcW w:w="271"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10,770</w:t>
            </w:r>
          </w:p>
        </w:tc>
        <w:tc>
          <w:tcPr>
            <w:tcW w:w="201"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Market - Off-System Sales</w:t>
            </w:r>
          </w:p>
        </w:tc>
        <w:tc>
          <w:tcPr>
            <w:tcW w:w="117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4,144</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427</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auto" w:val="clear"/>
            <w:vAlign w:val="center"/>
          </w:tcPr>
          <w:p>
            <w:pPr>
              <w:pStyle w:val="TableContents"/>
              <w:spacing w:before="0" w:after="0"/>
              <w:ind w:left="0" w:right="0" w:firstLine="30"/>
              <w:rPr/>
            </w:pPr>
            <w:r>
              <w:rPr/>
              <w:t> </w:t>
            </w:r>
          </w:p>
        </w:tc>
        <w:tc>
          <w:tcPr>
            <w:tcW w:w="144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(2,522</w:t>
            </w:r>
          </w:p>
        </w:tc>
        <w:tc>
          <w:tcPr>
            <w:tcW w:w="27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2,049</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Transmission/Other</w:t>
            </w:r>
          </w:p>
        </w:tc>
        <w:tc>
          <w:tcPr>
            <w:tcW w:w="117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13,071</w:t>
            </w:r>
          </w:p>
        </w:tc>
        <w:tc>
          <w:tcPr>
            <w:tcW w:w="4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12,670</w:t>
            </w:r>
          </w:p>
        </w:tc>
        <w:tc>
          <w:tcPr>
            <w:tcW w:w="3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bottom w:val="single" w:sz="2" w:space="0" w:color="000000"/>
            </w:tcBorders>
            <w:shd w:fill="CEFFE7" w:val="clear"/>
            <w:tcMar>
              <w:bottom w:w="30" w:type="dxa"/>
            </w:tcMar>
            <w:vAlign w:val="center"/>
          </w:tcPr>
          <w:p>
            <w:pPr>
              <w:pStyle w:val="TableContents"/>
              <w:spacing w:before="0" w:after="0"/>
              <w:ind w:left="0" w:right="0" w:firstLine="30"/>
              <w:rPr/>
            </w:pPr>
            <w:r>
              <w:rPr/>
              <w:t> </w:t>
            </w:r>
          </w:p>
        </w:tc>
        <w:tc>
          <w:tcPr>
            <w:tcW w:w="1444"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(3,631</w:t>
            </w:r>
          </w:p>
        </w:tc>
        <w:tc>
          <w:tcPr>
            <w:tcW w:w="271"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22,110</w:t>
            </w:r>
          </w:p>
        </w:tc>
        <w:tc>
          <w:tcPr>
            <w:tcW w:w="201" w:type="dxa"/>
            <w:tcBorders>
              <w:bottom w:val="single" w:sz="2" w:space="0" w:color="000000"/>
            </w:tcBorders>
            <w:shd w:fill="CEFFE7"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 from contracts with customers</w:t>
            </w:r>
          </w:p>
        </w:tc>
        <w:tc>
          <w:tcPr>
            <w:tcW w:w="18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97" w:type="dxa"/>
            <w:tcBorders/>
            <w:shd w:fill="auto" w:val="clear"/>
            <w:vAlign w:val="center"/>
          </w:tcPr>
          <w:p>
            <w:pPr>
              <w:pStyle w:val="TableContents"/>
              <w:spacing w:before="0" w:after="0"/>
              <w:jc w:val="right"/>
              <w:rPr>
                <w:rFonts w:ascii="inherit" w:hAnsi="inherit"/>
                <w:sz w:val="15"/>
              </w:rPr>
            </w:pPr>
            <w:r>
              <w:rPr>
                <w:rFonts w:ascii="inherit" w:hAnsi="inherit"/>
                <w:sz w:val="15"/>
              </w:rPr>
              <w:t>173,322</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9" w:type="dxa"/>
            <w:tcBorders/>
            <w:shd w:fill="auto" w:val="clear"/>
            <w:vAlign w:val="center"/>
          </w:tcPr>
          <w:p>
            <w:pPr>
              <w:pStyle w:val="TableContents"/>
              <w:spacing w:before="0" w:after="0"/>
              <w:jc w:val="right"/>
              <w:rPr>
                <w:rFonts w:ascii="inherit" w:hAnsi="inherit"/>
                <w:sz w:val="15"/>
              </w:rPr>
            </w:pPr>
            <w:r>
              <w:rPr>
                <w:rFonts w:ascii="inherit" w:hAnsi="inherit"/>
                <w:sz w:val="15"/>
              </w:rPr>
              <w:t>396,160</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auto" w:val="clear"/>
            <w:vAlign w:val="center"/>
          </w:tcPr>
          <w:p>
            <w:pPr>
              <w:pStyle w:val="TableContents"/>
              <w:spacing w:before="0" w:after="0"/>
              <w:ind w:left="0" w:right="0" w:firstLine="30"/>
              <w:rPr/>
            </w:pPr>
            <w:r>
              <w:rPr/>
              <w:t> </w:t>
            </w:r>
          </w:p>
        </w:tc>
        <w:tc>
          <w:tcPr>
            <w:tcW w:w="25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91" w:type="dxa"/>
            <w:tcBorders/>
            <w:shd w:fill="auto" w:val="clear"/>
            <w:vAlign w:val="center"/>
          </w:tcPr>
          <w:p>
            <w:pPr>
              <w:pStyle w:val="TableContents"/>
              <w:spacing w:before="0" w:after="0"/>
              <w:jc w:val="right"/>
              <w:rPr>
                <w:rFonts w:ascii="inherit" w:hAnsi="inherit"/>
                <w:sz w:val="15"/>
              </w:rPr>
            </w:pPr>
            <w:r>
              <w:rPr>
                <w:rFonts w:ascii="inherit" w:hAnsi="inherit"/>
                <w:sz w:val="15"/>
              </w:rPr>
              <w:t>14,769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auto" w:val="clear"/>
            <w:vAlign w:val="center"/>
          </w:tcPr>
          <w:p>
            <w:pPr>
              <w:pStyle w:val="TableContents"/>
              <w:spacing w:before="0" w:after="0"/>
              <w:jc w:val="right"/>
              <w:rPr>
                <w:rFonts w:ascii="inherit" w:hAnsi="inherit"/>
                <w:sz w:val="15"/>
              </w:rPr>
            </w:pPr>
            <w:r>
              <w:rPr>
                <w:rFonts w:ascii="inherit" w:hAnsi="inherit"/>
                <w:sz w:val="15"/>
              </w:rPr>
              <w:t>16,557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411" w:type="dxa"/>
            <w:tcBorders/>
            <w:shd w:fill="auto" w:val="clear"/>
            <w:vAlign w:val="center"/>
          </w:tcPr>
          <w:p>
            <w:pPr>
              <w:pStyle w:val="TableContents"/>
              <w:spacing w:before="0" w:after="0"/>
              <w:jc w:val="right"/>
              <w:rPr>
                <w:rFonts w:ascii="inherit" w:hAnsi="inherit"/>
                <w:sz w:val="15"/>
              </w:rPr>
            </w:pPr>
            <w:r>
              <w:rPr>
                <w:rFonts w:ascii="inherit" w:hAnsi="inherit"/>
                <w:sz w:val="15"/>
              </w:rPr>
              <w:t>(27,453</w:t>
            </w:r>
          </w:p>
        </w:tc>
        <w:tc>
          <w:tcPr>
            <w:tcW w:w="27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573,355</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1178"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233</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1,184</w:t>
            </w:r>
          </w:p>
        </w:tc>
        <w:tc>
          <w:tcPr>
            <w:tcW w:w="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bottom w:val="single" w:sz="2" w:space="0" w:color="000000"/>
            </w:tcBorders>
            <w:shd w:fill="CEFFE7" w:val="clear"/>
            <w:tcMar>
              <w:bottom w:w="30" w:type="dxa"/>
            </w:tcMar>
            <w:vAlign w:val="center"/>
          </w:tcPr>
          <w:p>
            <w:pPr>
              <w:pStyle w:val="TableContents"/>
              <w:spacing w:lineRule="auto" w:line="288" w:before="0" w:after="0"/>
              <w:ind w:left="0" w:right="0" w:firstLine="30"/>
              <w:jc w:val="left"/>
              <w:rPr>
                <w:rFonts w:ascii="inherit" w:hAnsi="inherit"/>
                <w:sz w:val="15"/>
              </w:rPr>
            </w:pPr>
            <w:r>
              <w:rPr>
                <w:rFonts w:ascii="inherit" w:hAnsi="inherit"/>
                <w:sz w:val="10"/>
              </w:rPr>
              <w:t>(b)</w:t>
            </w:r>
            <w:r>
              <w:rPr>
                <w:rFonts w:ascii="inherit" w:hAnsi="inherit"/>
                <w:sz w:val="15"/>
              </w:rPr>
              <w:t> </w:t>
            </w:r>
          </w:p>
        </w:tc>
        <w:tc>
          <w:tcPr>
            <w:tcW w:w="1444"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9,170</w:t>
            </w:r>
          </w:p>
        </w:tc>
        <w:tc>
          <w:tcPr>
            <w:tcW w:w="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571</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(9,124</w:t>
            </w:r>
          </w:p>
        </w:tc>
        <w:tc>
          <w:tcPr>
            <w:tcW w:w="271"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2,034</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173,555</w:t>
            </w:r>
          </w:p>
        </w:tc>
        <w:tc>
          <w:tcPr>
            <w:tcW w:w="4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397,344</w:t>
            </w:r>
          </w:p>
        </w:tc>
        <w:tc>
          <w:tcPr>
            <w:tcW w:w="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23,939</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17,128</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4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(36,577</w:t>
            </w:r>
          </w:p>
        </w:tc>
        <w:tc>
          <w:tcPr>
            <w:tcW w:w="2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575,389</w:t>
            </w:r>
          </w:p>
        </w:tc>
        <w:tc>
          <w:tcPr>
            <w:tcW w:w="2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9" w:type="dxa"/>
            <w:tcBorders/>
            <w:shd w:fill="CEFFE7" w:val="clear"/>
            <w:vAlign w:val="center"/>
          </w:tcPr>
          <w:p>
            <w:pPr>
              <w:pStyle w:val="TableContents"/>
              <w:spacing w:before="0" w:after="0"/>
              <w:ind w:left="0" w:right="0" w:firstLine="30"/>
              <w:rPr/>
            </w:pPr>
            <w:r>
              <w:rPr/>
              <w:t> </w:t>
            </w:r>
          </w:p>
        </w:tc>
        <w:tc>
          <w:tcPr>
            <w:tcW w:w="1226" w:type="dxa"/>
            <w:gridSpan w:val="3"/>
            <w:tcBorders/>
            <w:shd w:fill="CEFFE7" w:val="clear"/>
            <w:vAlign w:val="center"/>
          </w:tcPr>
          <w:p>
            <w:pPr>
              <w:pStyle w:val="TableContents"/>
              <w:spacing w:before="0" w:after="0"/>
              <w:ind w:left="0" w:right="0" w:firstLine="30"/>
              <w:rPr/>
            </w:pPr>
            <w:r>
              <w:rPr/>
              <w:t> </w:t>
            </w:r>
          </w:p>
        </w:tc>
        <w:tc>
          <w:tcPr>
            <w:tcW w:w="970" w:type="dxa"/>
            <w:gridSpan w:val="3"/>
            <w:tcBorders/>
            <w:shd w:fill="CEFFE7" w:val="clear"/>
            <w:vAlign w:val="center"/>
          </w:tcPr>
          <w:p>
            <w:pPr>
              <w:pStyle w:val="TableContents"/>
              <w:spacing w:before="0" w:after="0"/>
              <w:ind w:left="0" w:right="0" w:firstLine="30"/>
              <w:rPr/>
            </w:pPr>
            <w:r>
              <w:rPr/>
              <w:t> </w:t>
            </w:r>
          </w:p>
        </w:tc>
        <w:tc>
          <w:tcPr>
            <w:tcW w:w="232" w:type="dxa"/>
            <w:tcBorders/>
            <w:shd w:fill="CEFFE7" w:val="clear"/>
            <w:vAlign w:val="center"/>
          </w:tcPr>
          <w:p>
            <w:pPr>
              <w:pStyle w:val="TableContents"/>
              <w:spacing w:before="0" w:after="0"/>
              <w:ind w:left="0" w:right="0" w:firstLine="30"/>
              <w:rPr/>
            </w:pPr>
            <w:r>
              <w:rPr/>
              <w:t> </w:t>
            </w:r>
          </w:p>
        </w:tc>
        <w:tc>
          <w:tcPr>
            <w:tcW w:w="1516"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30"/>
              <w:rPr/>
            </w:pPr>
            <w:r>
              <w:rPr/>
              <w:t> </w:t>
            </w:r>
          </w:p>
        </w:tc>
        <w:tc>
          <w:tcPr>
            <w:tcW w:w="1951" w:type="dxa"/>
            <w:gridSpan w:val="3"/>
            <w:tcBorders/>
            <w:shd w:fill="CEFFE7" w:val="clear"/>
            <w:vAlign w:val="center"/>
          </w:tcPr>
          <w:p>
            <w:pPr>
              <w:pStyle w:val="TableContents"/>
              <w:spacing w:before="0" w:after="0"/>
              <w:ind w:left="0" w:right="0" w:firstLine="30"/>
              <w:rPr/>
            </w:pPr>
            <w:r>
              <w:rPr/>
              <w:t> </w:t>
            </w:r>
          </w:p>
        </w:tc>
        <w:tc>
          <w:tcPr>
            <w:tcW w:w="916" w:type="dxa"/>
            <w:gridSpan w:val="3"/>
            <w:tcBorders/>
            <w:shd w:fill="CEFFE7" w:val="clear"/>
            <w:vAlign w:val="center"/>
          </w:tcPr>
          <w:p>
            <w:pPr>
              <w:pStyle w:val="TableContents"/>
              <w:spacing w:before="0" w:after="0"/>
              <w:ind w:left="0" w:right="0" w:firstLine="30"/>
              <w:rPr/>
            </w:pPr>
            <w:r>
              <w:rPr/>
              <w:t> </w:t>
            </w:r>
          </w:p>
        </w:tc>
      </w:tr>
      <w:tr>
        <w:trPr/>
        <w:tc>
          <w:tcPr>
            <w:tcW w:w="2739" w:type="dxa"/>
            <w:tcBorders/>
            <w:shd w:fill="auto" w:val="clear"/>
            <w:vAlign w:val="center"/>
          </w:tcPr>
          <w:p>
            <w:pPr>
              <w:pStyle w:val="TableContents"/>
              <w:spacing w:before="0" w:after="0"/>
              <w:ind w:left="0" w:right="0" w:firstLine="30"/>
              <w:jc w:val="left"/>
              <w:rPr>
                <w:rFonts w:ascii="inherit" w:hAnsi="inherit"/>
                <w:sz w:val="15"/>
                <w:u w:val="single"/>
              </w:rPr>
            </w:pPr>
            <w:r>
              <w:rPr>
                <w:rFonts w:ascii="inherit" w:hAnsi="inherit"/>
                <w:sz w:val="15"/>
                <w:u w:val="single"/>
              </w:rPr>
              <w:t>Timing of Revenue Recognition:</w:t>
            </w:r>
          </w:p>
        </w:tc>
        <w:tc>
          <w:tcPr>
            <w:tcW w:w="1226" w:type="dxa"/>
            <w:gridSpan w:val="3"/>
            <w:tcBorders/>
            <w:shd w:fill="auto" w:val="clear"/>
            <w:vAlign w:val="center"/>
          </w:tcPr>
          <w:p>
            <w:pPr>
              <w:pStyle w:val="TableContents"/>
              <w:spacing w:before="0" w:after="0"/>
              <w:ind w:left="0" w:right="0" w:firstLine="30"/>
              <w:rPr/>
            </w:pPr>
            <w:r>
              <w:rPr/>
              <w:t> </w:t>
            </w:r>
          </w:p>
        </w:tc>
        <w:tc>
          <w:tcPr>
            <w:tcW w:w="970" w:type="dxa"/>
            <w:gridSpan w:val="3"/>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1516"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c>
          <w:tcPr>
            <w:tcW w:w="1951" w:type="dxa"/>
            <w:gridSpan w:val="3"/>
            <w:tcBorders/>
            <w:shd w:fill="auto" w:val="clear"/>
            <w:vAlign w:val="center"/>
          </w:tcPr>
          <w:p>
            <w:pPr>
              <w:pStyle w:val="TableContents"/>
              <w:spacing w:before="0" w:after="0"/>
              <w:ind w:left="0" w:right="0" w:firstLine="30"/>
              <w:rPr/>
            </w:pPr>
            <w:r>
              <w:rPr/>
              <w:t> </w:t>
            </w:r>
          </w:p>
        </w:tc>
        <w:tc>
          <w:tcPr>
            <w:tcW w:w="916" w:type="dxa"/>
            <w:gridSpan w:val="3"/>
            <w:tcBorders/>
            <w:shd w:fill="auto" w:val="clear"/>
            <w:vAlign w:val="center"/>
          </w:tcPr>
          <w:p>
            <w:pPr>
              <w:pStyle w:val="TableContents"/>
              <w:spacing w:before="0" w:after="0"/>
              <w:ind w:left="0" w:right="0" w:firstLine="180"/>
              <w:rPr/>
            </w:pPr>
            <w:r>
              <w:rPr/>
              <w:t> </w:t>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Services transferred at a point in time</w:t>
            </w:r>
          </w:p>
        </w:tc>
        <w:tc>
          <w:tcPr>
            <w:tcW w:w="181"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97" w:type="dxa"/>
            <w:tcBorders/>
            <w:shd w:fill="CEFFE7" w:val="clear"/>
            <w:vAlign w:val="center"/>
          </w:tcPr>
          <w:p>
            <w:pPr>
              <w:pStyle w:val="TableContents"/>
              <w:spacing w:before="0" w:after="0"/>
              <w:jc w:val="right"/>
              <w:rPr/>
            </w:pPr>
            <w:r>
              <w:rPr/>
              <w:t>—</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789" w:type="dxa"/>
            <w:tcBorders/>
            <w:shd w:fill="CEFFE7" w:val="clear"/>
            <w:vAlign w:val="center"/>
          </w:tcPr>
          <w:p>
            <w:pPr>
              <w:pStyle w:val="TableContents"/>
              <w:spacing w:before="0" w:after="0"/>
              <w:jc w:val="right"/>
              <w:rPr/>
            </w:pPr>
            <w:r>
              <w:rPr/>
              <w:t>—</w:t>
            </w:r>
          </w:p>
        </w:tc>
        <w:tc>
          <w:tcPr>
            <w:tcW w:w="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CEFFE7" w:val="clear"/>
            <w:vAlign w:val="center"/>
          </w:tcPr>
          <w:p>
            <w:pPr>
              <w:pStyle w:val="TableContents"/>
              <w:spacing w:before="0" w:after="0"/>
              <w:ind w:left="0" w:right="0" w:firstLine="30"/>
              <w:rPr/>
            </w:pPr>
            <w:r>
              <w:rPr/>
              <w:t> </w:t>
            </w:r>
          </w:p>
        </w:tc>
        <w:tc>
          <w:tcPr>
            <w:tcW w:w="253"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191" w:type="dxa"/>
            <w:tcBorders/>
            <w:shd w:fill="CEFFE7" w:val="clear"/>
            <w:vAlign w:val="center"/>
          </w:tcPr>
          <w:p>
            <w:pPr>
              <w:pStyle w:val="TableContents"/>
              <w:spacing w:before="0" w:after="0"/>
              <w:jc w:val="right"/>
              <w:rPr/>
            </w:pPr>
            <w:r>
              <w:rPr/>
              <w:t>—</w:t>
            </w:r>
          </w:p>
        </w:tc>
        <w:tc>
          <w:tcPr>
            <w:tcW w:w="7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EFFE7" w:val="clear"/>
            <w:vAlign w:val="center"/>
          </w:tcPr>
          <w:p>
            <w:pPr>
              <w:pStyle w:val="TableContents"/>
              <w:spacing w:before="0" w:after="0"/>
              <w:jc w:val="right"/>
              <w:rPr>
                <w:rFonts w:ascii="inherit" w:hAnsi="inherit"/>
                <w:sz w:val="15"/>
              </w:rPr>
            </w:pPr>
            <w:r>
              <w:rPr>
                <w:rFonts w:ascii="inherit" w:hAnsi="inherit"/>
                <w:sz w:val="15"/>
              </w:rPr>
              <w:t>16,557</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411" w:type="dxa"/>
            <w:tcBorders/>
            <w:shd w:fill="CEFFE7" w:val="clear"/>
            <w:vAlign w:val="center"/>
          </w:tcPr>
          <w:p>
            <w:pPr>
              <w:pStyle w:val="TableContents"/>
              <w:spacing w:before="0" w:after="0"/>
              <w:jc w:val="right"/>
              <w:rPr>
                <w:rFonts w:ascii="inherit" w:hAnsi="inherit"/>
                <w:sz w:val="15"/>
              </w:rPr>
            </w:pPr>
            <w:r>
              <w:rPr>
                <w:rFonts w:ascii="inherit" w:hAnsi="inherit"/>
                <w:sz w:val="15"/>
              </w:rPr>
              <w:t>(7,842</w:t>
            </w:r>
          </w:p>
        </w:tc>
        <w:tc>
          <w:tcPr>
            <w:tcW w:w="271"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EFFE7" w:val="clear"/>
            <w:vAlign w:val="center"/>
          </w:tcPr>
          <w:p>
            <w:pPr>
              <w:pStyle w:val="TableContents"/>
              <w:spacing w:before="0" w:after="0"/>
              <w:jc w:val="right"/>
              <w:rPr>
                <w:rFonts w:ascii="inherit" w:hAnsi="inherit"/>
                <w:sz w:val="15"/>
              </w:rPr>
            </w:pPr>
            <w:r>
              <w:rPr>
                <w:rFonts w:ascii="inherit" w:hAnsi="inherit"/>
                <w:sz w:val="15"/>
              </w:rPr>
              <w:t>8,715</w:t>
            </w:r>
          </w:p>
        </w:tc>
        <w:tc>
          <w:tcPr>
            <w:tcW w:w="201"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Services transferred over time</w:t>
            </w:r>
          </w:p>
        </w:tc>
        <w:tc>
          <w:tcPr>
            <w:tcW w:w="117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173,322</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396,160</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shd w:fill="auto" w:val="clear"/>
            <w:vAlign w:val="center"/>
          </w:tcPr>
          <w:p>
            <w:pPr>
              <w:pStyle w:val="TableContents"/>
              <w:spacing w:before="0" w:after="0"/>
              <w:ind w:left="0" w:right="0" w:firstLine="30"/>
              <w:rPr/>
            </w:pPr>
            <w:r>
              <w:rPr/>
              <w:t> </w:t>
            </w:r>
          </w:p>
        </w:tc>
        <w:tc>
          <w:tcPr>
            <w:tcW w:w="144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14,769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(19,611</w:t>
            </w:r>
          </w:p>
        </w:tc>
        <w:tc>
          <w:tcPr>
            <w:tcW w:w="27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564,640</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3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Revenue from contracts with customers</w:t>
            </w:r>
          </w:p>
        </w:tc>
        <w:tc>
          <w:tcPr>
            <w:tcW w:w="18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173,322</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396,160</w:t>
            </w:r>
          </w:p>
        </w:tc>
        <w:tc>
          <w:tcPr>
            <w:tcW w:w="3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25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9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14,769</w:t>
            </w:r>
          </w:p>
        </w:tc>
        <w:tc>
          <w:tcPr>
            <w:tcW w:w="72"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16,557</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41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(27,453</w:t>
            </w:r>
          </w:p>
        </w:tc>
        <w:tc>
          <w:tcPr>
            <w:tcW w:w="27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573,355</w:t>
            </w:r>
          </w:p>
        </w:tc>
        <w:tc>
          <w:tcPr>
            <w:tcW w:w="20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9" w:type="dxa"/>
            <w:tcBorders/>
            <w:shd w:fill="auto" w:val="clear"/>
            <w:vAlign w:val="center"/>
          </w:tcPr>
          <w:p>
            <w:pPr>
              <w:pStyle w:val="TableContents"/>
              <w:spacing w:before="0" w:after="0"/>
              <w:ind w:left="0" w:right="0" w:firstLine="30"/>
              <w:rPr/>
            </w:pPr>
            <w:r>
              <w:rPr/>
              <w:t> </w:t>
            </w:r>
          </w:p>
        </w:tc>
        <w:tc>
          <w:tcPr>
            <w:tcW w:w="1226" w:type="dxa"/>
            <w:gridSpan w:val="3"/>
            <w:tcBorders/>
            <w:shd w:fill="auto" w:val="clear"/>
            <w:vAlign w:val="center"/>
          </w:tcPr>
          <w:p>
            <w:pPr>
              <w:pStyle w:val="TableContents"/>
              <w:spacing w:before="0" w:after="0"/>
              <w:ind w:left="0" w:right="0" w:firstLine="30"/>
              <w:rPr/>
            </w:pPr>
            <w:r>
              <w:rPr/>
              <w:t> </w:t>
            </w:r>
          </w:p>
        </w:tc>
        <w:tc>
          <w:tcPr>
            <w:tcW w:w="970" w:type="dxa"/>
            <w:gridSpan w:val="3"/>
            <w:tcBorders/>
            <w:shd w:fill="auto" w:val="clear"/>
            <w:vAlign w:val="center"/>
          </w:tcPr>
          <w:p>
            <w:pPr>
              <w:pStyle w:val="TableContents"/>
              <w:spacing w:before="0" w:after="0"/>
              <w:ind w:left="0" w:right="0" w:firstLine="30"/>
              <w:rPr/>
            </w:pPr>
            <w:r>
              <w:rPr/>
              <w:t> </w:t>
            </w:r>
          </w:p>
        </w:tc>
        <w:tc>
          <w:tcPr>
            <w:tcW w:w="232" w:type="dxa"/>
            <w:tcBorders/>
            <w:shd w:fill="auto" w:val="clear"/>
            <w:vAlign w:val="center"/>
          </w:tcPr>
          <w:p>
            <w:pPr>
              <w:pStyle w:val="TableContents"/>
              <w:spacing w:before="0" w:after="0"/>
              <w:ind w:left="0" w:right="0" w:firstLine="30"/>
              <w:rPr/>
            </w:pPr>
            <w:r>
              <w:rPr/>
              <w:t> </w:t>
            </w:r>
          </w:p>
        </w:tc>
        <w:tc>
          <w:tcPr>
            <w:tcW w:w="1516"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c>
          <w:tcPr>
            <w:tcW w:w="1951" w:type="dxa"/>
            <w:gridSpan w:val="3"/>
            <w:tcBorders/>
            <w:shd w:fill="auto" w:val="clear"/>
            <w:vAlign w:val="center"/>
          </w:tcPr>
          <w:p>
            <w:pPr>
              <w:pStyle w:val="TableContents"/>
              <w:spacing w:before="0" w:after="0"/>
              <w:ind w:left="0" w:right="0" w:firstLine="30"/>
              <w:rPr/>
            </w:pPr>
            <w:r>
              <w:rPr/>
              <w:t> </w:t>
            </w:r>
          </w:p>
        </w:tc>
        <w:tc>
          <w:tcPr>
            <w:tcW w:w="916" w:type="dxa"/>
            <w:gridSpan w:val="3"/>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sz w:val="4"/>
                <w:szCs w:val="4"/>
              </w:rPr>
            </w:pPr>
            <w:r>
              <w:rPr>
                <w:sz w:val="4"/>
                <w:szCs w:val="4"/>
              </w:rPr>
            </w:r>
          </w:p>
        </w:tc>
        <w:tc>
          <w:tcPr>
            <w:tcW w:w="1000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10005" w:type="dxa"/>
            <w:tcBorders/>
            <w:shd w:fill="auto" w:val="clear"/>
            <w:vAlign w:val="center"/>
          </w:tcPr>
          <w:p>
            <w:pPr>
              <w:pStyle w:val="TableContents"/>
              <w:spacing w:lineRule="auto" w:line="288" w:before="0" w:after="0"/>
              <w:jc w:val="left"/>
              <w:rPr>
                <w:sz w:val="15"/>
              </w:rPr>
            </w:pPr>
            <w:r>
              <w:rPr>
                <w:rFonts w:ascii="inherit" w:hAnsi="inherit"/>
                <w:sz w:val="15"/>
              </w:rPr>
              <w:t>Due to changes to our segment performance measure as disclosed in Note 1, Power Generation Wholesale revenue was recast for the three months ended March 31, 2018 which resulted in a change of $0.8 million. For the three months ended March 31, 2019, the impact to Power Generation Wholesale revenue was $3.4 million. The changes to Power Generation were offset by changes to eliminations in Inter-company Revenues and there was no</w:t>
            </w:r>
            <w:r>
              <w:rPr>
                <w:sz w:val="15"/>
              </w:rPr>
              <w:t xml:space="preserve"> </w:t>
            </w:r>
            <w:r>
              <w:rPr>
                <w:rFonts w:ascii="inherit" w:hAnsi="inherit"/>
                <w:sz w:val="15"/>
              </w:rPr>
              <w:t>impact to our consolidated Total Revenues.</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sz w:val="4"/>
                <w:szCs w:val="4"/>
              </w:rPr>
            </w:pPr>
            <w:r>
              <w:rPr>
                <w:sz w:val="4"/>
                <w:szCs w:val="4"/>
              </w:rPr>
            </w:r>
          </w:p>
        </w:tc>
        <w:tc>
          <w:tcPr>
            <w:tcW w:w="9983" w:type="dxa"/>
            <w:tcBorders/>
            <w:shd w:fill="auto" w:val="clear"/>
            <w:vAlign w:val="center"/>
          </w:tcPr>
          <w:p>
            <w:pPr>
              <w:pStyle w:val="TableContents"/>
              <w:spacing w:before="0" w:after="283"/>
              <w:rPr>
                <w:sz w:val="4"/>
                <w:szCs w:val="4"/>
              </w:rPr>
            </w:pPr>
            <w:r>
              <w:rPr>
                <w:sz w:val="4"/>
                <w:szCs w:val="4"/>
              </w:rPr>
            </w:r>
          </w:p>
        </w:tc>
      </w:tr>
      <w:tr>
        <w:trPr/>
        <w:tc>
          <w:tcPr>
            <w:tcW w:w="22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83"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Other revenues in the Gas Utilities segment include alternative revenue programs related to weather normalization mechanisms for Arkansas Gas and Kansas Gas that are considered out of scope for ASC 606.</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417" w:before="0" w:after="0"/>
        <w:jc w:val="left"/>
        <w:rPr>
          <w:rFonts w:ascii="inherit" w:hAnsi="inherit"/>
          <w:i/>
          <w:sz w:val="17"/>
        </w:rPr>
      </w:pPr>
      <w:r>
        <w:rPr>
          <w:rFonts w:ascii="inherit" w:hAnsi="inherit"/>
          <w:i/>
          <w:sz w:val="17"/>
        </w:rPr>
        <w:t>Contract Balances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nature of our primary revenue contracts provides an unconditional right to consideration upon service delivery; therefore, no customer contract assets or liabilities exists. The unconditional right to consideration is represented by the balance in our Accounts Receivable further discussed in Note 4. We do not typically incur costs that would be capitalized to obtain or fulfill a revenue contract.</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right"/>
        <w:rPr>
          <w:rFonts w:ascii="inherit" w:hAnsi="inherit"/>
          <w:sz w:val="17"/>
        </w:rPr>
      </w:pPr>
      <w:r>
        <w:rPr>
          <w:rFonts w:ascii="inherit" w:hAnsi="inherit"/>
          <w:sz w:val="17"/>
        </w:rPr>
      </w:r>
      <w:bookmarkStart w:id="26" w:name="s93E8281F11B350499DC7BCDBE5C64F7C"/>
      <w:bookmarkStart w:id="27" w:name="s93E8281F11B350499DC7BCDBE5C64F7C"/>
      <w:bookmarkEnd w:id="27"/>
    </w:p>
    <w:p>
      <w:pPr>
        <w:pStyle w:val="TextBody"/>
        <w:spacing w:before="0" w:after="0"/>
        <w:rPr/>
      </w:pPr>
      <w:r>
        <w:rPr/>
      </w:r>
    </w:p>
    <w:p>
      <w:pPr>
        <w:pStyle w:val="TextBody"/>
        <w:spacing w:lineRule="auto" w:line="288" w:before="0" w:after="0"/>
        <w:jc w:val="left"/>
        <w:rPr>
          <w:sz w:val="17"/>
        </w:rPr>
      </w:pPr>
      <w:r>
        <w:rPr>
          <w:rFonts w:ascii="inherit" w:hAnsi="inherit"/>
          <w:sz w:val="17"/>
        </w:rPr>
        <w:t>(</w:t>
      </w:r>
      <w:r>
        <w:rPr>
          <w:rFonts w:ascii="inherit" w:hAnsi="inherit"/>
          <w:strike w:val="false"/>
          <w:dstrike w:val="false"/>
          <w:color w:val="000000"/>
          <w:sz w:val="17"/>
          <w:u w:val="none"/>
          <w:effect w:val="none"/>
        </w:rPr>
        <w:t>3</w:t>
      </w:r>
      <w:r>
        <w:rPr>
          <w:rFonts w:ascii="inherit" w:hAnsi="inherit"/>
          <w:sz w:val="17"/>
        </w:rPr>
        <w:t>)    BUSINESS SEGMENT INFORMATION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Our reportable segments are based on our method of internal reporting, which is generally segregated by differences in products, services and regulation.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As disclosed in Note 1, changes to our segment performance measure resulted in a revision of the Company’s segment disclosures for all periods to adjust revenues, operating income, and assets related to the power sales arrangement between Colorado IPP and Colorado Electric from being accounted for as a capital lease to being accounted for as an executory contract on an accrual basis. This change had no effect on our consolidated revenues, operating income, or total assets. See below for more information.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color w:val="252525"/>
          <w:sz w:val="17"/>
        </w:rPr>
      </w:pPr>
      <w:r>
        <w:rPr>
          <w:rFonts w:ascii="inherit" w:hAnsi="inherit"/>
          <w:color w:val="252525"/>
          <w:sz w:val="17"/>
        </w:rPr>
        <w:t xml:space="preserve">Segment information and Corporate and Other is as follows (in thousands): </w:t>
      </w:r>
    </w:p>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center"/>
        <w:tblInd w:w="0" w:type="dxa"/>
        <w:tblCellMar>
          <w:top w:w="0" w:type="dxa"/>
          <w:left w:w="0" w:type="dxa"/>
          <w:bottom w:w="0" w:type="dxa"/>
          <w:right w:w="0" w:type="dxa"/>
        </w:tblCellMar>
      </w:tblPr>
      <w:tblGrid>
        <w:gridCol w:w="2851"/>
        <w:gridCol w:w="231"/>
        <w:gridCol w:w="1295"/>
        <w:gridCol w:w="56"/>
        <w:gridCol w:w="269"/>
        <w:gridCol w:w="854"/>
        <w:gridCol w:w="238"/>
        <w:gridCol w:w="90"/>
        <w:gridCol w:w="307"/>
        <w:gridCol w:w="1044"/>
        <w:gridCol w:w="232"/>
        <w:gridCol w:w="359"/>
        <w:gridCol w:w="711"/>
        <w:gridCol w:w="290"/>
        <w:gridCol w:w="90"/>
        <w:gridCol w:w="157"/>
        <w:gridCol w:w="877"/>
        <w:gridCol w:w="254"/>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51" w:type="dxa"/>
            <w:vMerge w:val="restart"/>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Three Months Ended March 31, 2019</w:t>
            </w:r>
          </w:p>
        </w:tc>
        <w:tc>
          <w:tcPr>
            <w:tcW w:w="2943" w:type="dxa"/>
            <w:gridSpan w:val="6"/>
            <w:tcBorders/>
            <w:shd w:fill="auto" w:val="clear"/>
            <w:vAlign w:val="center"/>
          </w:tcPr>
          <w:p>
            <w:pPr>
              <w:pStyle w:val="TableContents"/>
              <w:spacing w:before="0" w:after="0"/>
              <w:jc w:val="center"/>
              <w:rPr>
                <w:rFonts w:ascii="inherit" w:hAnsi="inherit"/>
                <w:sz w:val="17"/>
              </w:rPr>
            </w:pPr>
            <w:r>
              <w:rPr>
                <w:rFonts w:ascii="inherit" w:hAnsi="inherit"/>
                <w:sz w:val="17"/>
              </w:rPr>
              <w:t>External Operating</w:t>
            </w:r>
          </w:p>
          <w:p>
            <w:pPr>
              <w:pStyle w:val="TableContents"/>
              <w:spacing w:before="0" w:after="0"/>
              <w:ind w:left="0" w:right="0" w:firstLine="30"/>
              <w:jc w:val="center"/>
              <w:rPr>
                <w:rFonts w:ascii="inherit" w:hAnsi="inherit"/>
                <w:sz w:val="17"/>
              </w:rPr>
            </w:pPr>
            <w:r>
              <w:rPr>
                <w:rFonts w:ascii="inherit" w:hAnsi="inherit"/>
                <w:sz w:val="17"/>
              </w:rPr>
              <w:t>Revenue</w:t>
            </w:r>
          </w:p>
        </w:tc>
        <w:tc>
          <w:tcPr>
            <w:tcW w:w="90"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943"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Inter-company Operating Revenue</w:t>
            </w:r>
          </w:p>
        </w:tc>
        <w:tc>
          <w:tcPr>
            <w:tcW w:w="90"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 Revenues</w:t>
            </w:r>
          </w:p>
        </w:tc>
      </w:tr>
      <w:tr>
        <w:trPr/>
        <w:tc>
          <w:tcPr>
            <w:tcW w:w="2851" w:type="dxa"/>
            <w:vMerge w:val="continue"/>
            <w:tcBorders>
              <w:bottom w:val="single" w:sz="2" w:space="0" w:color="000000"/>
            </w:tcBorders>
            <w:shd w:fill="auto" w:val="clear"/>
            <w:tcMar>
              <w:bottom w:w="30" w:type="dxa"/>
            </w:tcMar>
            <w:vAlign w:val="center"/>
          </w:tcPr>
          <w:p>
            <w:pPr>
              <w:pStyle w:val="Normal"/>
              <w:rPr/>
            </w:pPr>
            <w:r>
              <w:rPr/>
            </w:r>
          </w:p>
        </w:tc>
        <w:tc>
          <w:tcPr>
            <w:tcW w:w="15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Contract Customers</w:t>
            </w:r>
          </w:p>
        </w:tc>
        <w:tc>
          <w:tcPr>
            <w:tcW w:w="13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 xml:space="preserve">Other Revenues </w:t>
            </w:r>
          </w:p>
        </w:tc>
        <w:tc>
          <w:tcPr>
            <w:tcW w:w="90" w:type="dxa"/>
            <w:vMerge w:val="continue"/>
            <w:tcBorders>
              <w:bottom w:val="single" w:sz="2" w:space="0" w:color="000000"/>
            </w:tcBorders>
            <w:shd w:fill="auto" w:val="clear"/>
            <w:tcMar>
              <w:bottom w:w="30" w:type="dxa"/>
            </w:tcMar>
            <w:vAlign w:val="center"/>
          </w:tcPr>
          <w:p>
            <w:pPr>
              <w:pStyle w:val="Normal"/>
              <w:rPr/>
            </w:pPr>
            <w:r>
              <w:rPr/>
            </w:r>
          </w:p>
        </w:tc>
        <w:tc>
          <w:tcPr>
            <w:tcW w:w="15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Contract Customers</w:t>
            </w:r>
          </w:p>
        </w:tc>
        <w:tc>
          <w:tcPr>
            <w:tcW w:w="13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 xml:space="preserve">Other Revenues </w:t>
            </w:r>
          </w:p>
        </w:tc>
        <w:tc>
          <w:tcPr>
            <w:tcW w:w="90" w:type="dxa"/>
            <w:vMerge w:val="continue"/>
            <w:tcBorders>
              <w:bottom w:val="single" w:sz="2" w:space="0" w:color="000000"/>
            </w:tcBorders>
            <w:shd w:fill="auto" w:val="clear"/>
            <w:tcMar>
              <w:bottom w:w="30" w:type="dxa"/>
            </w:tcMar>
            <w:vAlign w:val="center"/>
          </w:tcPr>
          <w:p>
            <w:pPr>
              <w:pStyle w:val="Normal"/>
              <w:rPr/>
            </w:pPr>
            <w:r>
              <w:rPr/>
            </w:r>
          </w:p>
        </w:tc>
        <w:tc>
          <w:tcPr>
            <w:tcW w:w="1288"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8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w:t>
            </w:r>
          </w:p>
        </w:tc>
        <w:tc>
          <w:tcPr>
            <w:tcW w:w="1582" w:type="dxa"/>
            <w:gridSpan w:val="3"/>
            <w:tcBorders/>
            <w:shd w:fill="auto" w:val="clear"/>
            <w:vAlign w:val="center"/>
          </w:tcPr>
          <w:p>
            <w:pPr>
              <w:pStyle w:val="TableContents"/>
              <w:spacing w:before="0" w:after="0"/>
              <w:ind w:left="0" w:right="0" w:firstLine="30"/>
              <w:rPr/>
            </w:pPr>
            <w:r>
              <w:rPr/>
              <w:t> </w:t>
            </w:r>
          </w:p>
        </w:tc>
        <w:tc>
          <w:tcPr>
            <w:tcW w:w="136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83" w:type="dxa"/>
            <w:gridSpan w:val="3"/>
            <w:tcBorders/>
            <w:shd w:fill="auto" w:val="clear"/>
            <w:vAlign w:val="center"/>
          </w:tcPr>
          <w:p>
            <w:pPr>
              <w:pStyle w:val="TableContents"/>
              <w:spacing w:before="0" w:after="0"/>
              <w:ind w:left="0" w:right="0" w:firstLine="30"/>
              <w:rPr/>
            </w:pPr>
            <w:r>
              <w:rPr/>
              <w:t> </w:t>
            </w:r>
          </w:p>
        </w:tc>
        <w:tc>
          <w:tcPr>
            <w:tcW w:w="13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88" w:type="dxa"/>
            <w:gridSpan w:val="3"/>
            <w:tcBorders/>
            <w:shd w:fill="auto" w:val="clear"/>
            <w:vAlign w:val="center"/>
          </w:tcPr>
          <w:p>
            <w:pPr>
              <w:pStyle w:val="TableContents"/>
              <w:spacing w:before="0" w:after="0"/>
              <w:ind w:left="0" w:right="0" w:firstLine="180"/>
              <w:rPr/>
            </w:pPr>
            <w:r>
              <w:rPr/>
              <w:t> </w:t>
            </w:r>
          </w:p>
        </w:tc>
      </w:tr>
      <w:tr>
        <w:trPr/>
        <w:tc>
          <w:tcPr>
            <w:tcW w:w="285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231"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shd w:fill="CEFFE7" w:val="clear"/>
            <w:vAlign w:val="center"/>
          </w:tcPr>
          <w:p>
            <w:pPr>
              <w:pStyle w:val="TableContents"/>
              <w:spacing w:before="0" w:after="0"/>
              <w:jc w:val="right"/>
              <w:rPr>
                <w:rFonts w:ascii="inherit" w:hAnsi="inherit"/>
                <w:sz w:val="17"/>
              </w:rPr>
            </w:pPr>
            <w:r>
              <w:rPr>
                <w:rFonts w:ascii="inherit" w:hAnsi="inherit"/>
                <w:sz w:val="17"/>
              </w:rPr>
              <w:t>176,663</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54" w:type="dxa"/>
            <w:tcBorders/>
            <w:shd w:fill="CEFFE7" w:val="clear"/>
            <w:vAlign w:val="center"/>
          </w:tcPr>
          <w:p>
            <w:pPr>
              <w:pStyle w:val="TableContents"/>
              <w:spacing w:before="0" w:after="0"/>
              <w:jc w:val="right"/>
              <w:rPr>
                <w:rFonts w:ascii="inherit" w:hAnsi="inherit"/>
                <w:sz w:val="17"/>
              </w:rPr>
            </w:pPr>
            <w:r>
              <w:rPr>
                <w:rFonts w:ascii="inherit" w:hAnsi="inherit"/>
                <w:sz w:val="17"/>
              </w:rPr>
              <w:t>254</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30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044" w:type="dxa"/>
            <w:tcBorders/>
            <w:shd w:fill="CEFFE7" w:val="clear"/>
            <w:vAlign w:val="center"/>
          </w:tcPr>
          <w:p>
            <w:pPr>
              <w:pStyle w:val="TableContents"/>
              <w:spacing w:before="0" w:after="0"/>
              <w:jc w:val="right"/>
              <w:rPr>
                <w:rFonts w:ascii="inherit" w:hAnsi="inherit"/>
                <w:sz w:val="17"/>
              </w:rPr>
            </w:pPr>
            <w:r>
              <w:rPr>
                <w:rFonts w:ascii="inherit" w:hAnsi="inherit"/>
                <w:sz w:val="17"/>
              </w:rPr>
              <w:t>6,010</w:t>
            </w:r>
          </w:p>
        </w:tc>
        <w:tc>
          <w:tcPr>
            <w:tcW w:w="23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9"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CEFFE7" w:val="clear"/>
            <w:vAlign w:val="center"/>
          </w:tcPr>
          <w:p>
            <w:pPr>
              <w:pStyle w:val="TableContents"/>
              <w:spacing w:before="0" w:after="0"/>
              <w:jc w:val="right"/>
              <w:rPr/>
            </w:pPr>
            <w:r>
              <w:rPr/>
              <w:t>—</w:t>
            </w:r>
          </w:p>
        </w:tc>
        <w:tc>
          <w:tcPr>
            <w:tcW w:w="2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77" w:type="dxa"/>
            <w:tcBorders/>
            <w:shd w:fill="CEFFE7" w:val="clear"/>
            <w:vAlign w:val="center"/>
          </w:tcPr>
          <w:p>
            <w:pPr>
              <w:pStyle w:val="TableContents"/>
              <w:spacing w:before="0" w:after="0"/>
              <w:jc w:val="right"/>
              <w:rPr>
                <w:rFonts w:ascii="inherit" w:hAnsi="inherit"/>
                <w:sz w:val="17"/>
              </w:rPr>
            </w:pPr>
            <w:r>
              <w:rPr>
                <w:rFonts w:ascii="inherit" w:hAnsi="inherit"/>
                <w:sz w:val="17"/>
              </w:rPr>
              <w:t>182,927</w:t>
            </w:r>
          </w:p>
        </w:tc>
        <w:tc>
          <w:tcPr>
            <w:tcW w:w="254"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5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Gas Utilities </w:t>
            </w:r>
            <w:r>
              <w:rPr>
                <w:rFonts w:ascii="inherit" w:hAnsi="inherit"/>
                <w:sz w:val="12"/>
              </w:rPr>
              <w:t>(a)</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411,500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(1,119</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699</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70" w:type="dxa"/>
            <w:gridSpan w:val="2"/>
            <w:tcBorders/>
            <w:shd w:fill="auto" w:val="clear"/>
            <w:vAlign w:val="center"/>
          </w:tcPr>
          <w:p>
            <w:pPr>
              <w:pStyle w:val="TableContents"/>
              <w:spacing w:before="0" w:after="0"/>
              <w:jc w:val="right"/>
              <w:rPr/>
            </w:pPr>
            <w:r>
              <w:rPr/>
              <w:t>—</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411,080</w:t>
            </w:r>
          </w:p>
        </w:tc>
        <w:tc>
          <w:tcPr>
            <w:tcW w:w="25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51"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Power Generation </w:t>
            </w:r>
            <w:r>
              <w:rPr>
                <w:rFonts w:ascii="inherit" w:hAnsi="inherit"/>
                <w:sz w:val="12"/>
              </w:rPr>
              <w:t>(b)</w:t>
            </w:r>
          </w:p>
        </w:tc>
        <w:tc>
          <w:tcPr>
            <w:tcW w:w="152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2,257</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436</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35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13,212</w:t>
            </w:r>
          </w:p>
        </w:tc>
        <w:tc>
          <w:tcPr>
            <w:tcW w:w="23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7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9,340</w:t>
            </w:r>
          </w:p>
        </w:tc>
        <w:tc>
          <w:tcPr>
            <w:tcW w:w="2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03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25,245</w:t>
            </w:r>
          </w:p>
        </w:tc>
        <w:tc>
          <w:tcPr>
            <w:tcW w:w="254"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7,550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8,279</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16,429</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5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Corporate and Other</w:t>
            </w:r>
          </w:p>
        </w:tc>
        <w:tc>
          <w:tcPr>
            <w:tcW w:w="1526" w:type="dxa"/>
            <w:gridSpan w:val="2"/>
            <w:tcBorders/>
            <w:shd w:fill="CEFFE7" w:val="clear"/>
            <w:vAlign w:val="center"/>
          </w:tcPr>
          <w:p>
            <w:pPr>
              <w:pStyle w:val="TableContents"/>
              <w:spacing w:before="0" w:after="0"/>
              <w:jc w:val="right"/>
              <w:rPr/>
            </w:pPr>
            <w:r>
              <w:rPr/>
              <w:t>—</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3" w:type="dxa"/>
            <w:gridSpan w:val="2"/>
            <w:tcBorders/>
            <w:shd w:fill="CEFFE7" w:val="clear"/>
            <w:vAlign w:val="center"/>
          </w:tcPr>
          <w:p>
            <w:pPr>
              <w:pStyle w:val="TableContents"/>
              <w:spacing w:before="0" w:after="0"/>
              <w:jc w:val="right"/>
              <w:rPr/>
            </w:pPr>
            <w:r>
              <w:rPr/>
              <w:t>—</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351" w:type="dxa"/>
            <w:gridSpan w:val="2"/>
            <w:tcBorders/>
            <w:shd w:fill="CEFFE7" w:val="clear"/>
            <w:vAlign w:val="center"/>
          </w:tcPr>
          <w:p>
            <w:pPr>
              <w:pStyle w:val="TableContents"/>
              <w:spacing w:before="0" w:after="0"/>
              <w:jc w:val="right"/>
              <w:rPr/>
            </w:pPr>
            <w:r>
              <w:rPr/>
              <w:t>—</w:t>
            </w:r>
          </w:p>
        </w:tc>
        <w:tc>
          <w:tcPr>
            <w:tcW w:w="23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70" w:type="dxa"/>
            <w:gridSpan w:val="2"/>
            <w:tcBorders/>
            <w:shd w:fill="CEFFE7" w:val="clear"/>
            <w:vAlign w:val="center"/>
          </w:tcPr>
          <w:p>
            <w:pPr>
              <w:pStyle w:val="TableContents"/>
              <w:spacing w:before="0" w:after="0"/>
              <w:jc w:val="right"/>
              <w:rPr/>
            </w:pPr>
            <w:r>
              <w:rPr/>
              <w:t>—</w:t>
            </w:r>
          </w:p>
        </w:tc>
        <w:tc>
          <w:tcPr>
            <w:tcW w:w="2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034" w:type="dxa"/>
            <w:gridSpan w:val="2"/>
            <w:tcBorders/>
            <w:shd w:fill="CEFFE7" w:val="clear"/>
            <w:vAlign w:val="center"/>
          </w:tcPr>
          <w:p>
            <w:pPr>
              <w:pStyle w:val="TableContents"/>
              <w:spacing w:before="0" w:after="0"/>
              <w:jc w:val="right"/>
              <w:rPr/>
            </w:pPr>
            <w:r>
              <w:rPr/>
              <w:t>—</w:t>
            </w:r>
          </w:p>
        </w:tc>
        <w:tc>
          <w:tcPr>
            <w:tcW w:w="2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51"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Inter-company eliminations </w:t>
            </w:r>
            <w:r>
              <w:rPr>
                <w:rFonts w:ascii="inherit" w:hAnsi="inherit"/>
                <w:sz w:val="12"/>
              </w:rPr>
              <w:t>(b)</w:t>
            </w:r>
          </w:p>
        </w:tc>
        <w:tc>
          <w:tcPr>
            <w:tcW w:w="1526"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3"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(28,200</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(9,671</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(37,871</w:t>
            </w:r>
          </w:p>
        </w:tc>
        <w:tc>
          <w:tcPr>
            <w:tcW w:w="2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5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3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597,970</w:t>
            </w:r>
          </w:p>
        </w:tc>
        <w:tc>
          <w:tcPr>
            <w:tcW w:w="5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23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30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232"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29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597,810</w:t>
            </w:r>
          </w:p>
        </w:tc>
        <w:tc>
          <w:tcPr>
            <w:tcW w:w="254"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2715"/>
        <w:gridCol w:w="250"/>
        <w:gridCol w:w="1308"/>
        <w:gridCol w:w="56"/>
        <w:gridCol w:w="276"/>
        <w:gridCol w:w="1047"/>
        <w:gridCol w:w="62"/>
        <w:gridCol w:w="90"/>
        <w:gridCol w:w="307"/>
        <w:gridCol w:w="1068"/>
        <w:gridCol w:w="238"/>
        <w:gridCol w:w="354"/>
        <w:gridCol w:w="705"/>
        <w:gridCol w:w="291"/>
        <w:gridCol w:w="90"/>
        <w:gridCol w:w="165"/>
        <w:gridCol w:w="919"/>
        <w:gridCol w:w="264"/>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271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15"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13" w:type="dxa"/>
            <w:gridSpan w:val="3"/>
            <w:tcBorders/>
            <w:shd w:fill="auto" w:val="clear"/>
            <w:vAlign w:val="center"/>
          </w:tcPr>
          <w:p>
            <w:pPr>
              <w:pStyle w:val="TableContents"/>
              <w:spacing w:before="0" w:after="0"/>
              <w:ind w:left="0" w:right="0" w:firstLine="30"/>
              <w:rPr/>
            </w:pPr>
            <w:r>
              <w:rPr/>
              <w:t> </w:t>
            </w:r>
          </w:p>
        </w:tc>
        <w:tc>
          <w:tcPr>
            <w:tcW w:w="13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48" w:type="dxa"/>
            <w:gridSpan w:val="3"/>
            <w:tcBorders/>
            <w:shd w:fill="auto" w:val="clear"/>
            <w:vAlign w:val="center"/>
          </w:tcPr>
          <w:p>
            <w:pPr>
              <w:pStyle w:val="TableContents"/>
              <w:spacing w:before="0" w:after="0"/>
              <w:ind w:left="0" w:right="0" w:firstLine="30"/>
              <w:rPr/>
            </w:pPr>
            <w:r>
              <w:rPr/>
              <w:t> </w:t>
            </w:r>
          </w:p>
        </w:tc>
      </w:tr>
      <w:tr>
        <w:trPr/>
        <w:tc>
          <w:tcPr>
            <w:tcW w:w="271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color w:val="2C2C2C"/>
                <w:sz w:val="17"/>
              </w:rPr>
            </w:pPr>
            <w:r>
              <w:rPr>
                <w:rFonts w:ascii="inherit" w:hAnsi="inherit"/>
                <w:color w:val="2C2C2C"/>
                <w:sz w:val="17"/>
              </w:rPr>
              <w:t>Three Months Ended March 31, 2018</w:t>
            </w:r>
          </w:p>
        </w:tc>
        <w:tc>
          <w:tcPr>
            <w:tcW w:w="2999"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External Operating Revenue</w:t>
            </w:r>
          </w:p>
        </w:tc>
        <w:tc>
          <w:tcPr>
            <w:tcW w:w="90"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963"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Inter-company Operating Revenue</w:t>
            </w:r>
          </w:p>
        </w:tc>
        <w:tc>
          <w:tcPr>
            <w:tcW w:w="90"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4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Total Revenues</w:t>
            </w:r>
          </w:p>
        </w:tc>
      </w:tr>
      <w:tr>
        <w:trPr/>
        <w:tc>
          <w:tcPr>
            <w:tcW w:w="2715" w:type="dxa"/>
            <w:vMerge w:val="continue"/>
            <w:tcBorders>
              <w:bottom w:val="single" w:sz="2" w:space="0" w:color="000000"/>
            </w:tcBorders>
            <w:shd w:fill="auto" w:val="clear"/>
            <w:tcMar>
              <w:bottom w:w="30" w:type="dxa"/>
            </w:tcMar>
            <w:vAlign w:val="center"/>
          </w:tcPr>
          <w:p>
            <w:pPr>
              <w:pStyle w:val="Normal"/>
              <w:rPr/>
            </w:pPr>
            <w:r>
              <w:rPr/>
            </w:r>
          </w:p>
        </w:tc>
        <w:tc>
          <w:tcPr>
            <w:tcW w:w="16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Contract Customers</w:t>
            </w:r>
          </w:p>
        </w:tc>
        <w:tc>
          <w:tcPr>
            <w:tcW w:w="13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 xml:space="preserve">Other Revenues </w:t>
            </w:r>
          </w:p>
        </w:tc>
        <w:tc>
          <w:tcPr>
            <w:tcW w:w="90" w:type="dxa"/>
            <w:vMerge w:val="continue"/>
            <w:tcBorders>
              <w:bottom w:val="single" w:sz="2" w:space="0" w:color="000000"/>
            </w:tcBorders>
            <w:shd w:fill="auto" w:val="clear"/>
            <w:tcMar>
              <w:bottom w:w="30" w:type="dxa"/>
            </w:tcMar>
            <w:vAlign w:val="center"/>
          </w:tcPr>
          <w:p>
            <w:pPr>
              <w:pStyle w:val="Normal"/>
              <w:rPr/>
            </w:pPr>
            <w:r>
              <w:rPr/>
            </w:r>
          </w:p>
        </w:tc>
        <w:tc>
          <w:tcPr>
            <w:tcW w:w="16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Contract Customers</w:t>
            </w:r>
          </w:p>
        </w:tc>
        <w:tc>
          <w:tcPr>
            <w:tcW w:w="13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Other Revenues</w:t>
            </w:r>
          </w:p>
        </w:tc>
        <w:tc>
          <w:tcPr>
            <w:tcW w:w="90" w:type="dxa"/>
            <w:vMerge w:val="continue"/>
            <w:tcBorders>
              <w:bottom w:val="single" w:sz="2" w:space="0" w:color="000000"/>
            </w:tcBorders>
            <w:shd w:fill="auto" w:val="clear"/>
            <w:tcMar>
              <w:bottom w:w="30" w:type="dxa"/>
            </w:tcMar>
            <w:vAlign w:val="center"/>
          </w:tcPr>
          <w:p>
            <w:pPr>
              <w:pStyle w:val="Normal"/>
              <w:rPr/>
            </w:pPr>
            <w:r>
              <w:rPr/>
            </w:r>
          </w:p>
        </w:tc>
        <w:tc>
          <w:tcPr>
            <w:tcW w:w="1348"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7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Segment:</w:t>
            </w:r>
          </w:p>
        </w:tc>
        <w:tc>
          <w:tcPr>
            <w:tcW w:w="1614" w:type="dxa"/>
            <w:gridSpan w:val="3"/>
            <w:tcBorders/>
            <w:shd w:fill="CEFFE7" w:val="clear"/>
            <w:vAlign w:val="center"/>
          </w:tcPr>
          <w:p>
            <w:pPr>
              <w:pStyle w:val="TableContents"/>
              <w:spacing w:before="0" w:after="0"/>
              <w:ind w:left="0" w:right="0" w:firstLine="30"/>
              <w:rPr/>
            </w:pPr>
            <w:r>
              <w:rPr/>
              <w:t> </w:t>
            </w:r>
          </w:p>
        </w:tc>
        <w:tc>
          <w:tcPr>
            <w:tcW w:w="1385"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613" w:type="dxa"/>
            <w:gridSpan w:val="3"/>
            <w:tcBorders/>
            <w:shd w:fill="CEFFE7" w:val="clear"/>
            <w:vAlign w:val="center"/>
          </w:tcPr>
          <w:p>
            <w:pPr>
              <w:pStyle w:val="TableContents"/>
              <w:spacing w:before="0" w:after="0"/>
              <w:ind w:left="0" w:right="0" w:firstLine="30"/>
              <w:rPr/>
            </w:pPr>
            <w:r>
              <w:rPr/>
              <w:t> </w:t>
            </w:r>
          </w:p>
        </w:tc>
        <w:tc>
          <w:tcPr>
            <w:tcW w:w="1350"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348" w:type="dxa"/>
            <w:gridSpan w:val="3"/>
            <w:tcBorders/>
            <w:shd w:fill="CEFFE7" w:val="clear"/>
            <w:vAlign w:val="center"/>
          </w:tcPr>
          <w:p>
            <w:pPr>
              <w:pStyle w:val="TableContents"/>
              <w:spacing w:before="0" w:after="0"/>
              <w:ind w:left="0" w:right="0" w:firstLine="180"/>
              <w:rPr/>
            </w:pPr>
            <w:r>
              <w:rPr/>
              <w:t> </w:t>
            </w:r>
          </w:p>
        </w:tc>
      </w:tr>
      <w:tr>
        <w:trPr/>
        <w:tc>
          <w:tcPr>
            <w:tcW w:w="2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2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167,178</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7" w:type="dxa"/>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0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68" w:type="dxa"/>
            <w:tcBorders/>
            <w:shd w:fill="auto" w:val="clear"/>
            <w:vAlign w:val="center"/>
          </w:tcPr>
          <w:p>
            <w:pPr>
              <w:pStyle w:val="TableContents"/>
              <w:spacing w:before="0" w:after="0"/>
              <w:jc w:val="right"/>
              <w:rPr>
                <w:rFonts w:ascii="inherit" w:hAnsi="inherit"/>
                <w:sz w:val="17"/>
              </w:rPr>
            </w:pPr>
            <w:r>
              <w:rPr>
                <w:rFonts w:ascii="inherit" w:hAnsi="inherit"/>
                <w:sz w:val="17"/>
              </w:rPr>
              <w:t>6,144</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5" w:type="dxa"/>
            <w:tcBorders/>
            <w:shd w:fill="auto" w:val="clear"/>
            <w:vAlign w:val="center"/>
          </w:tcPr>
          <w:p>
            <w:pPr>
              <w:pStyle w:val="TableContents"/>
              <w:spacing w:before="0" w:after="0"/>
              <w:jc w:val="right"/>
              <w:rPr/>
            </w:pPr>
            <w:r>
              <w:rPr/>
              <w:t>—</w:t>
            </w:r>
          </w:p>
        </w:tc>
        <w:tc>
          <w:tcPr>
            <w:tcW w:w="2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shd w:fill="auto" w:val="clear"/>
            <w:vAlign w:val="center"/>
          </w:tcPr>
          <w:p>
            <w:pPr>
              <w:pStyle w:val="TableContents"/>
              <w:spacing w:before="0" w:after="0"/>
              <w:jc w:val="right"/>
              <w:rPr>
                <w:rFonts w:ascii="inherit" w:hAnsi="inherit"/>
                <w:sz w:val="17"/>
              </w:rPr>
            </w:pPr>
            <w:r>
              <w:rPr>
                <w:rFonts w:ascii="inherit" w:hAnsi="inherit"/>
                <w:sz w:val="17"/>
              </w:rPr>
              <w:t>173,555</w:t>
            </w:r>
          </w:p>
        </w:tc>
        <w:tc>
          <w:tcPr>
            <w:tcW w:w="2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Gas Utilities</w:t>
            </w:r>
            <w:r>
              <w:rPr>
                <w:sz w:val="17"/>
              </w:rPr>
              <w:t> </w:t>
            </w:r>
            <w:r>
              <w:rPr>
                <w:rFonts w:ascii="inherit" w:hAnsi="inherit"/>
                <w:sz w:val="12"/>
              </w:rPr>
              <w:t>(a)</w:t>
            </w:r>
          </w:p>
        </w:tc>
        <w:tc>
          <w:tcPr>
            <w:tcW w:w="155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395,742</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1,184</w:t>
            </w:r>
          </w:p>
        </w:tc>
        <w:tc>
          <w:tcPr>
            <w:tcW w:w="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3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418</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9" w:type="dxa"/>
            <w:gridSpan w:val="2"/>
            <w:tcBorders/>
            <w:shd w:fill="CEFFE7" w:val="clear"/>
            <w:vAlign w:val="center"/>
          </w:tcPr>
          <w:p>
            <w:pPr>
              <w:pStyle w:val="TableContents"/>
              <w:spacing w:before="0" w:after="0"/>
              <w:jc w:val="right"/>
              <w:rPr/>
            </w:pPr>
            <w:r>
              <w:rPr/>
              <w:t>—</w:t>
            </w:r>
          </w:p>
        </w:tc>
        <w:tc>
          <w:tcPr>
            <w:tcW w:w="29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08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397,344</w:t>
            </w:r>
          </w:p>
        </w:tc>
        <w:tc>
          <w:tcPr>
            <w:tcW w:w="264"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Power Generation </w:t>
            </w:r>
            <w:r>
              <w:rPr>
                <w:rFonts w:ascii="inherit" w:hAnsi="inherit"/>
                <w:sz w:val="12"/>
              </w:rPr>
              <w:t>(b)</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13,049</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8,799</w:t>
            </w:r>
          </w:p>
        </w:tc>
        <w:tc>
          <w:tcPr>
            <w:tcW w:w="2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23,939</w:t>
            </w:r>
          </w:p>
        </w:tc>
        <w:tc>
          <w:tcPr>
            <w:tcW w:w="2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55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8,715</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246</w:t>
            </w:r>
          </w:p>
        </w:tc>
        <w:tc>
          <w:tcPr>
            <w:tcW w:w="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3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7,842</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325</w:t>
            </w:r>
          </w:p>
        </w:tc>
        <w:tc>
          <w:tcPr>
            <w:tcW w:w="29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08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17,128</w:t>
            </w:r>
          </w:p>
        </w:tc>
        <w:tc>
          <w:tcPr>
            <w:tcW w:w="2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and Other</w:t>
            </w:r>
          </w:p>
        </w:tc>
        <w:tc>
          <w:tcPr>
            <w:tcW w:w="1558"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3"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5"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9" w:type="dxa"/>
            <w:gridSpan w:val="2"/>
            <w:tcBorders/>
            <w:shd w:fill="auto" w:val="clear"/>
            <w:vAlign w:val="center"/>
          </w:tcPr>
          <w:p>
            <w:pPr>
              <w:pStyle w:val="TableContents"/>
              <w:spacing w:before="0" w:after="0"/>
              <w:jc w:val="right"/>
              <w:rPr/>
            </w:pPr>
            <w:r>
              <w:rPr/>
              <w:t>—</w:t>
            </w:r>
          </w:p>
        </w:tc>
        <w:tc>
          <w:tcPr>
            <w:tcW w:w="2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2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Inter-company eliminations </w:t>
            </w:r>
            <w:r>
              <w:rPr>
                <w:rFonts w:ascii="inherit" w:hAnsi="inherit"/>
                <w:sz w:val="12"/>
              </w:rPr>
              <w:t>(b)</w:t>
            </w:r>
          </w:p>
        </w:tc>
        <w:tc>
          <w:tcPr>
            <w:tcW w:w="1558" w:type="dxa"/>
            <w:gridSpan w:val="2"/>
            <w:tcBorders/>
            <w:shd w:fill="CEFFE7" w:val="clear"/>
            <w:vAlign w:val="center"/>
          </w:tcPr>
          <w:p>
            <w:pPr>
              <w:pStyle w:val="TableContents"/>
              <w:spacing w:before="0" w:after="0"/>
              <w:jc w:val="right"/>
              <w:rPr/>
            </w:pPr>
            <w:r>
              <w:rPr/>
              <w:t>—</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3" w:type="dxa"/>
            <w:gridSpan w:val="2"/>
            <w:tcBorders/>
            <w:shd w:fill="CEFFE7" w:val="clear"/>
            <w:vAlign w:val="center"/>
          </w:tcPr>
          <w:p>
            <w:pPr>
              <w:pStyle w:val="TableContents"/>
              <w:spacing w:before="0" w:after="0"/>
              <w:jc w:val="right"/>
              <w:rPr/>
            </w:pPr>
            <w:r>
              <w:rPr/>
              <w:t>—</w:t>
            </w:r>
          </w:p>
        </w:tc>
        <w:tc>
          <w:tcPr>
            <w:tcW w:w="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3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(27,453</w:t>
            </w:r>
          </w:p>
        </w:tc>
        <w:tc>
          <w:tcPr>
            <w:tcW w:w="23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(9,124</w:t>
            </w:r>
          </w:p>
        </w:tc>
        <w:tc>
          <w:tcPr>
            <w:tcW w:w="29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(36,577</w:t>
            </w:r>
          </w:p>
        </w:tc>
        <w:tc>
          <w:tcPr>
            <w:tcW w:w="264"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573,355</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2,034</w:t>
            </w:r>
          </w:p>
        </w:tc>
        <w:tc>
          <w:tcPr>
            <w:tcW w:w="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2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29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575,389</w:t>
            </w:r>
          </w:p>
        </w:tc>
        <w:tc>
          <w:tcPr>
            <w:tcW w:w="26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sz w:val="4"/>
                <w:szCs w:val="4"/>
              </w:rPr>
            </w:pPr>
            <w:r>
              <w:rPr>
                <w:sz w:val="4"/>
                <w:szCs w:val="4"/>
              </w:rPr>
            </w:r>
          </w:p>
        </w:tc>
        <w:tc>
          <w:tcPr>
            <w:tcW w:w="9983" w:type="dxa"/>
            <w:tcBorders/>
            <w:shd w:fill="auto" w:val="clear"/>
            <w:vAlign w:val="center"/>
          </w:tcPr>
          <w:p>
            <w:pPr>
              <w:pStyle w:val="TableContents"/>
              <w:spacing w:before="0" w:after="283"/>
              <w:rPr>
                <w:sz w:val="4"/>
                <w:szCs w:val="4"/>
              </w:rPr>
            </w:pPr>
            <w:r>
              <w:rPr>
                <w:sz w:val="4"/>
                <w:szCs w:val="4"/>
              </w:rPr>
            </w:r>
          </w:p>
        </w:tc>
      </w:tr>
      <w:tr>
        <w:trPr/>
        <w:tc>
          <w:tcPr>
            <w:tcW w:w="22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3"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Other revenues in the Gas Utilities segment include alternative revenue programs related to weather normalization mechanisms for Arkansas Gas and Kansas Gas that are considered out of scope for ASC 606.</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10007" w:type="dxa"/>
            <w:tcBorders/>
            <w:shd w:fill="auto" w:val="clear"/>
            <w:vAlign w:val="center"/>
          </w:tcPr>
          <w:p>
            <w:pPr>
              <w:pStyle w:val="TableContents"/>
              <w:spacing w:lineRule="auto" w:line="288" w:before="0" w:after="0"/>
              <w:jc w:val="left"/>
              <w:rPr>
                <w:sz w:val="15"/>
              </w:rPr>
            </w:pPr>
            <w:r>
              <w:rPr>
                <w:rFonts w:ascii="inherit" w:hAnsi="inherit"/>
                <w:sz w:val="15"/>
              </w:rPr>
              <w:t>Due to changes to our segment performance measure, Power Generation Inter-company Operating Revenue for Contract Customers was recast for the three months ended March 31, 2018 which resulted in a change of $0.8 million. For the three months ended March 31, 2019, the impact to Power Generation Inter-company Operating Revenue for Contract Customers was $3.4 million. The changes to Power Generation were offset by changes to Inter-company eliminations and there was no</w:t>
            </w:r>
            <w:r>
              <w:rPr>
                <w:sz w:val="15"/>
              </w:rPr>
              <w:t xml:space="preserve"> </w:t>
            </w:r>
            <w:r>
              <w:rPr>
                <w:rFonts w:ascii="inherit" w:hAnsi="inherit"/>
                <w:sz w:val="15"/>
              </w:rPr>
              <w:t>impact on our consolidated Total revenues.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6802" w:type="dxa"/>
        <w:jc w:val="center"/>
        <w:tblInd w:w="0" w:type="dxa"/>
        <w:tblCellMar>
          <w:top w:w="0" w:type="dxa"/>
          <w:left w:w="0" w:type="dxa"/>
          <w:bottom w:w="0" w:type="dxa"/>
          <w:right w:w="0" w:type="dxa"/>
        </w:tblCellMar>
      </w:tblPr>
      <w:tblGrid>
        <w:gridCol w:w="4175"/>
        <w:gridCol w:w="169"/>
        <w:gridCol w:w="939"/>
        <w:gridCol w:w="148"/>
        <w:gridCol w:w="169"/>
        <w:gridCol w:w="939"/>
        <w:gridCol w:w="263"/>
      </w:tblGrid>
      <w:tr>
        <w:trPr/>
        <w:tc>
          <w:tcPr>
            <w:tcW w:w="6802" w:type="dxa"/>
            <w:gridSpan w:val="7"/>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75"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371" w:type="dxa"/>
            <w:gridSpan w:val="3"/>
            <w:tcBorders/>
            <w:shd w:fill="auto" w:val="clear"/>
            <w:vAlign w:val="center"/>
          </w:tcPr>
          <w:p>
            <w:pPr>
              <w:pStyle w:val="TableContents"/>
              <w:spacing w:before="0" w:after="0"/>
              <w:ind w:left="0" w:right="0" w:firstLine="30"/>
              <w:rPr/>
            </w:pPr>
            <w:r>
              <w:rPr/>
              <w:t> </w:t>
            </w:r>
          </w:p>
        </w:tc>
      </w:tr>
      <w:tr>
        <w:trPr/>
        <w:tc>
          <w:tcPr>
            <w:tcW w:w="4175" w:type="dxa"/>
            <w:tcBorders/>
            <w:shd w:fill="auto" w:val="clear"/>
            <w:vAlign w:val="center"/>
          </w:tcPr>
          <w:p>
            <w:pPr>
              <w:pStyle w:val="TableContents"/>
              <w:spacing w:before="0" w:after="0"/>
              <w:ind w:left="0" w:right="0" w:firstLine="30"/>
              <w:rPr/>
            </w:pPr>
            <w:r>
              <w:rPr/>
              <w:t> </w:t>
            </w:r>
          </w:p>
        </w:tc>
        <w:tc>
          <w:tcPr>
            <w:tcW w:w="2627"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41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3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Adjusted operating income:</w:t>
            </w:r>
          </w:p>
        </w:tc>
        <w:tc>
          <w:tcPr>
            <w:tcW w:w="1256" w:type="dxa"/>
            <w:gridSpan w:val="3"/>
            <w:tcBorders/>
            <w:shd w:fill="CEFFE7" w:val="clear"/>
            <w:vAlign w:val="center"/>
          </w:tcPr>
          <w:p>
            <w:pPr>
              <w:pStyle w:val="TableContents"/>
              <w:spacing w:before="0" w:after="0"/>
              <w:ind w:left="0" w:right="0" w:firstLine="30"/>
              <w:rPr/>
            </w:pPr>
            <w:r>
              <w:rPr/>
              <w:t> </w:t>
            </w:r>
          </w:p>
        </w:tc>
        <w:tc>
          <w:tcPr>
            <w:tcW w:w="1371" w:type="dxa"/>
            <w:gridSpan w:val="3"/>
            <w:tcBorders/>
            <w:shd w:fill="CEFFE7" w:val="clear"/>
            <w:vAlign w:val="center"/>
          </w:tcPr>
          <w:p>
            <w:pPr>
              <w:pStyle w:val="TableContents"/>
              <w:spacing w:before="0" w:after="0"/>
              <w:ind w:left="0" w:right="0" w:firstLine="180"/>
              <w:rPr/>
            </w:pPr>
            <w:r>
              <w:rPr/>
              <w:t> </w:t>
            </w:r>
          </w:p>
        </w:tc>
      </w:tr>
      <w:tr>
        <w:trPr/>
        <w:tc>
          <w:tcPr>
            <w:tcW w:w="41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Electric Utilities </w:t>
            </w:r>
            <w:r>
              <w:rPr>
                <w:rFonts w:ascii="inherit" w:hAnsi="inherit"/>
                <w:sz w:val="12"/>
              </w:rPr>
              <w:t>(a)</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shd w:fill="auto" w:val="clear"/>
            <w:vAlign w:val="center"/>
          </w:tcPr>
          <w:p>
            <w:pPr>
              <w:pStyle w:val="TableContents"/>
              <w:spacing w:before="0" w:after="0"/>
              <w:jc w:val="right"/>
              <w:rPr>
                <w:rFonts w:ascii="inherit" w:hAnsi="inherit"/>
                <w:sz w:val="17"/>
              </w:rPr>
            </w:pPr>
            <w:r>
              <w:rPr>
                <w:rFonts w:ascii="inherit" w:hAnsi="inherit"/>
                <w:sz w:val="17"/>
              </w:rPr>
              <w:t>41,020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shd w:fill="auto" w:val="clear"/>
            <w:vAlign w:val="center"/>
          </w:tcPr>
          <w:p>
            <w:pPr>
              <w:pStyle w:val="TableContents"/>
              <w:spacing w:before="0" w:after="0"/>
              <w:jc w:val="right"/>
              <w:rPr>
                <w:rFonts w:ascii="inherit" w:hAnsi="inherit"/>
                <w:sz w:val="17"/>
              </w:rPr>
            </w:pPr>
            <w:r>
              <w:rPr>
                <w:rFonts w:ascii="inherit" w:hAnsi="inherit"/>
                <w:sz w:val="17"/>
              </w:rPr>
              <w:t>38,480</w:t>
            </w:r>
          </w:p>
        </w:tc>
        <w:tc>
          <w:tcPr>
            <w:tcW w:w="2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103,314</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95,443</w:t>
            </w:r>
          </w:p>
        </w:tc>
        <w:tc>
          <w:tcPr>
            <w:tcW w:w="263"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1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Power Generation </w:t>
            </w:r>
            <w:r>
              <w:rPr>
                <w:rFonts w:ascii="inherit" w:hAnsi="inherit"/>
                <w:sz w:val="12"/>
              </w:rPr>
              <w:t>(a)</w:t>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11,967</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11,776</w:t>
            </w:r>
          </w:p>
        </w:tc>
        <w:tc>
          <w:tcPr>
            <w:tcW w:w="2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4,337</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4,271</w:t>
            </w:r>
          </w:p>
        </w:tc>
        <w:tc>
          <w:tcPr>
            <w:tcW w:w="263"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1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Corporate and Other </w:t>
            </w:r>
            <w:r>
              <w:rPr>
                <w:rFonts w:ascii="inherit" w:hAnsi="inherit"/>
                <w:sz w:val="12"/>
              </w:rPr>
              <w:t>(a)</w:t>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(1,696</w:t>
            </w:r>
          </w:p>
        </w:tc>
        <w:tc>
          <w:tcPr>
            <w:tcW w:w="2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08"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160,131</w:t>
            </w:r>
          </w:p>
        </w:tc>
        <w:tc>
          <w:tcPr>
            <w:tcW w:w="148"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148,274</w:t>
            </w:r>
          </w:p>
        </w:tc>
        <w:tc>
          <w:tcPr>
            <w:tcW w:w="263"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5"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371" w:type="dxa"/>
            <w:gridSpan w:val="3"/>
            <w:tcBorders/>
            <w:shd w:fill="auto" w:val="clear"/>
            <w:vAlign w:val="center"/>
          </w:tcPr>
          <w:p>
            <w:pPr>
              <w:pStyle w:val="TableContents"/>
              <w:spacing w:before="0" w:after="0"/>
              <w:ind w:left="0" w:right="0" w:firstLine="30"/>
              <w:rPr/>
            </w:pPr>
            <w:r>
              <w:rPr/>
              <w:t> </w:t>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(34,717</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(34,995</w:t>
            </w:r>
          </w:p>
        </w:tc>
        <w:tc>
          <w:tcPr>
            <w:tcW w:w="26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 net</w:t>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w:t>
            </w:r>
          </w:p>
        </w:tc>
        <w:tc>
          <w:tcPr>
            <w:tcW w:w="2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Income tax benefit (expense) </w:t>
            </w:r>
            <w:r>
              <w:rPr>
                <w:rFonts w:ascii="inherit" w:hAnsi="inherit"/>
                <w:sz w:val="12"/>
              </w:rPr>
              <w:t>(b)</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(17,263</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25,802</w:t>
            </w:r>
          </w:p>
        </w:tc>
        <w:tc>
          <w:tcPr>
            <w:tcW w:w="26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w:t>
            </w:r>
          </w:p>
        </w:tc>
        <w:tc>
          <w:tcPr>
            <w:tcW w:w="11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107,362</w:t>
            </w:r>
          </w:p>
        </w:tc>
        <w:tc>
          <w:tcPr>
            <w:tcW w:w="14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138,977</w:t>
            </w:r>
          </w:p>
        </w:tc>
        <w:tc>
          <w:tcPr>
            <w:tcW w:w="26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(loss) from discontinued operations</w:t>
            </w:r>
          </w:p>
        </w:tc>
        <w:tc>
          <w:tcPr>
            <w:tcW w:w="1108" w:type="dxa"/>
            <w:gridSpan w:val="2"/>
            <w:tcBorders/>
            <w:shd w:fill="CEFFE7" w:val="clear"/>
            <w:vAlign w:val="center"/>
          </w:tcPr>
          <w:p>
            <w:pPr>
              <w:pStyle w:val="TableContents"/>
              <w:spacing w:before="0" w:after="0"/>
              <w:jc w:val="right"/>
              <w:rPr/>
            </w:pPr>
            <w:r>
              <w:rPr/>
              <w:t>—</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(2,343</w:t>
            </w:r>
          </w:p>
        </w:tc>
        <w:tc>
          <w:tcPr>
            <w:tcW w:w="26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w:t>
            </w:r>
          </w:p>
        </w:tc>
        <w:tc>
          <w:tcPr>
            <w:tcW w:w="11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107,362</w:t>
            </w:r>
          </w:p>
        </w:tc>
        <w:tc>
          <w:tcPr>
            <w:tcW w:w="14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136,634</w:t>
            </w:r>
          </w:p>
        </w:tc>
        <w:tc>
          <w:tcPr>
            <w:tcW w:w="26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(3,554</w:t>
            </w:r>
          </w:p>
        </w:tc>
        <w:tc>
          <w:tcPr>
            <w:tcW w:w="1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(3,630</w:t>
            </w:r>
          </w:p>
        </w:tc>
        <w:tc>
          <w:tcPr>
            <w:tcW w:w="26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available for common stock</w:t>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103,808</w:t>
            </w:r>
          </w:p>
        </w:tc>
        <w:tc>
          <w:tcPr>
            <w:tcW w:w="14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133,004</w:t>
            </w:r>
          </w:p>
        </w:tc>
        <w:tc>
          <w:tcPr>
            <w:tcW w:w="2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t>___________</w:t>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10007" w:type="dxa"/>
            <w:tcBorders/>
            <w:shd w:fill="auto" w:val="clear"/>
            <w:vAlign w:val="center"/>
          </w:tcPr>
          <w:p>
            <w:pPr>
              <w:pStyle w:val="TableContents"/>
              <w:spacing w:lineRule="auto" w:line="288" w:before="0" w:after="0"/>
              <w:jc w:val="left"/>
              <w:rPr>
                <w:sz w:val="15"/>
              </w:rPr>
            </w:pPr>
            <w:r>
              <w:rPr>
                <w:rFonts w:ascii="inherit" w:hAnsi="inherit"/>
                <w:sz w:val="15"/>
              </w:rPr>
              <w:t>Due to changes to our segment performance measure, Adjusted operating income was recast for the three months ended March 31, 2018, for Electric Utilities, Power Generation, and Corporate and Other which resulted in changes of $1.7 million, ($1.6) million, and ($0.1) million, respectively. The impact to Adjusted operating income for the three months ended March 31, 2019, for Electric Utilities, Power Generation, and Corporate and Other was ($5.4) million, $0.7 million, and $4.7 million, respectively. There was no</w:t>
            </w:r>
            <w:r>
              <w:rPr>
                <w:sz w:val="15"/>
              </w:rPr>
              <w:t xml:space="preserve"> </w:t>
            </w:r>
            <w:r>
              <w:rPr>
                <w:rFonts w:ascii="inherit" w:hAnsi="inherit"/>
                <w:sz w:val="15"/>
              </w:rPr>
              <w:t>impact on our consolidated Operating income.</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sz w:val="4"/>
                <w:szCs w:val="4"/>
              </w:rPr>
            </w:pPr>
            <w:r>
              <w:rPr>
                <w:sz w:val="4"/>
                <w:szCs w:val="4"/>
              </w:rPr>
            </w:r>
          </w:p>
        </w:tc>
        <w:tc>
          <w:tcPr>
            <w:tcW w:w="9978" w:type="dxa"/>
            <w:tcBorders/>
            <w:shd w:fill="auto" w:val="clear"/>
            <w:vAlign w:val="center"/>
          </w:tcPr>
          <w:p>
            <w:pPr>
              <w:pStyle w:val="TableContents"/>
              <w:spacing w:before="0" w:after="283"/>
              <w:rPr>
                <w:sz w:val="4"/>
                <w:szCs w:val="4"/>
              </w:rPr>
            </w:pPr>
            <w:r>
              <w:rPr>
                <w:sz w:val="4"/>
                <w:szCs w:val="4"/>
              </w:rPr>
            </w:r>
          </w:p>
        </w:tc>
      </w:tr>
      <w:tr>
        <w:trPr/>
        <w:tc>
          <w:tcPr>
            <w:tcW w:w="22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78" w:type="dxa"/>
            <w:tcBorders/>
            <w:shd w:fill="auto" w:val="clear"/>
            <w:vAlign w:val="center"/>
          </w:tcPr>
          <w:p>
            <w:pPr>
              <w:pStyle w:val="TableContents"/>
              <w:spacing w:lineRule="auto" w:line="288" w:before="0" w:after="0"/>
              <w:jc w:val="left"/>
              <w:rPr>
                <w:sz w:val="15"/>
              </w:rPr>
            </w:pPr>
            <w:r>
              <w:rPr>
                <w:rFonts w:ascii="inherit" w:hAnsi="inherit"/>
                <w:sz w:val="15"/>
              </w:rPr>
              <w:t>Income tax benefit (expense) for the three months ended March 31, 2018 included a $49 million</w:t>
            </w:r>
            <w:r>
              <w:rPr>
                <w:sz w:val="15"/>
              </w:rPr>
              <w:t xml:space="preserve"> </w:t>
            </w:r>
            <w:r>
              <w:rPr>
                <w:rFonts w:ascii="inherit" w:hAnsi="inherit"/>
                <w:sz w:val="15"/>
              </w:rPr>
              <w:t>tax benefit resulting from</w:t>
            </w:r>
            <w:r>
              <w:rPr>
                <w:color w:val="1F497D"/>
                <w:sz w:val="15"/>
              </w:rPr>
              <w:t xml:space="preserve"> </w:t>
            </w:r>
            <w:r>
              <w:rPr>
                <w:rFonts w:ascii="inherit" w:hAnsi="inherit"/>
                <w:sz w:val="15"/>
              </w:rPr>
              <w:t>legal entity restructuring. See Note 18 for more information.</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Segment information and Corporate and Other balances included in the accompanying Condensed Consolidated Balance Sheets were as follows (in thousands):</w:t>
      </w:r>
    </w:p>
    <w:tbl>
      <w:tblPr>
        <w:tblW w:w="9104" w:type="dxa"/>
        <w:jc w:val="center"/>
        <w:tblInd w:w="0" w:type="dxa"/>
        <w:tblCellMar>
          <w:top w:w="0" w:type="dxa"/>
          <w:left w:w="0" w:type="dxa"/>
          <w:bottom w:w="0" w:type="dxa"/>
          <w:right w:w="0" w:type="dxa"/>
        </w:tblCellMar>
      </w:tblPr>
      <w:tblGrid>
        <w:gridCol w:w="4580"/>
        <w:gridCol w:w="165"/>
        <w:gridCol w:w="1119"/>
        <w:gridCol w:w="39"/>
        <w:gridCol w:w="90"/>
        <w:gridCol w:w="209"/>
        <w:gridCol w:w="1422"/>
        <w:gridCol w:w="52"/>
        <w:gridCol w:w="90"/>
        <w:gridCol w:w="143"/>
        <w:gridCol w:w="971"/>
        <w:gridCol w:w="224"/>
      </w:tblGrid>
      <w:tr>
        <w:trPr/>
        <w:tc>
          <w:tcPr>
            <w:tcW w:w="9104" w:type="dxa"/>
            <w:gridSpan w:val="12"/>
            <w:tcBorders/>
            <w:shd w:fill="auto" w:val="clear"/>
            <w:vAlign w:val="center"/>
          </w:tcPr>
          <w:p>
            <w:pPr>
              <w:pStyle w:val="TableContents"/>
              <w:spacing w:before="0" w:after="283"/>
              <w:rPr>
                <w:sz w:val="4"/>
                <w:szCs w:val="4"/>
              </w:rPr>
            </w:pPr>
            <w:r>
              <w:rPr>
                <w:sz w:val="4"/>
                <w:szCs w:val="4"/>
              </w:rPr>
            </w:r>
          </w:p>
        </w:tc>
      </w:tr>
      <w:tr>
        <w:trPr/>
        <w:tc>
          <w:tcPr>
            <w:tcW w:w="458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Assets (net of inter-company eliminations) as of:</w:t>
            </w:r>
          </w:p>
        </w:tc>
        <w:tc>
          <w:tcPr>
            <w:tcW w:w="13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4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Segment:</w:t>
            </w:r>
          </w:p>
        </w:tc>
        <w:tc>
          <w:tcPr>
            <w:tcW w:w="1323"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683"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338" w:type="dxa"/>
            <w:gridSpan w:val="3"/>
            <w:tcBorders/>
            <w:shd w:fill="CEFFE7" w:val="clear"/>
            <w:vAlign w:val="center"/>
          </w:tcPr>
          <w:p>
            <w:pPr>
              <w:pStyle w:val="TableContents"/>
              <w:spacing w:before="0" w:after="0"/>
              <w:ind w:left="0" w:right="0" w:firstLine="180"/>
              <w:rPr/>
            </w:pPr>
            <w:r>
              <w:rPr/>
              <w:t> </w:t>
            </w:r>
          </w:p>
        </w:tc>
      </w:tr>
      <w:tr>
        <w:trPr/>
        <w:tc>
          <w:tcPr>
            <w:tcW w:w="458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Electric Utilities </w:t>
            </w:r>
            <w:r>
              <w:rPr>
                <w:rFonts w:ascii="inherit" w:hAnsi="inherit"/>
                <w:sz w:val="12"/>
              </w:rPr>
              <w:t>(a)</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shd w:fill="auto" w:val="clear"/>
            <w:vAlign w:val="center"/>
          </w:tcPr>
          <w:p>
            <w:pPr>
              <w:pStyle w:val="TableContents"/>
              <w:spacing w:before="0" w:after="0"/>
              <w:jc w:val="right"/>
              <w:rPr>
                <w:rFonts w:ascii="inherit" w:hAnsi="inherit"/>
                <w:sz w:val="17"/>
              </w:rPr>
            </w:pPr>
            <w:r>
              <w:rPr>
                <w:rFonts w:ascii="inherit" w:hAnsi="inherit"/>
                <w:sz w:val="17"/>
              </w:rPr>
              <w:t>2,755,056</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22" w:type="dxa"/>
            <w:tcBorders/>
            <w:shd w:fill="auto" w:val="clear"/>
            <w:vAlign w:val="center"/>
          </w:tcPr>
          <w:p>
            <w:pPr>
              <w:pStyle w:val="TableContents"/>
              <w:spacing w:before="0" w:after="0"/>
              <w:jc w:val="right"/>
              <w:rPr>
                <w:rFonts w:ascii="inherit" w:hAnsi="inherit"/>
                <w:sz w:val="17"/>
              </w:rPr>
            </w:pPr>
            <w:r>
              <w:rPr>
                <w:rFonts w:ascii="inherit" w:hAnsi="inherit"/>
                <w:sz w:val="17"/>
              </w:rPr>
              <w:t>2,707,695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1" w:type="dxa"/>
            <w:tcBorders/>
            <w:shd w:fill="auto" w:val="clear"/>
            <w:vAlign w:val="center"/>
          </w:tcPr>
          <w:p>
            <w:pPr>
              <w:pStyle w:val="TableContents"/>
              <w:spacing w:before="0" w:after="0"/>
              <w:jc w:val="right"/>
              <w:rPr>
                <w:rFonts w:ascii="inherit" w:hAnsi="inherit"/>
                <w:sz w:val="17"/>
              </w:rPr>
            </w:pPr>
            <w:r>
              <w:rPr>
                <w:rFonts w:ascii="inherit" w:hAnsi="inherit"/>
                <w:sz w:val="17"/>
              </w:rPr>
              <w:t>2,629,267</w:t>
            </w:r>
          </w:p>
        </w:tc>
        <w:tc>
          <w:tcPr>
            <w:tcW w:w="2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128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3,639,430</w:t>
            </w:r>
          </w:p>
        </w:tc>
        <w:tc>
          <w:tcPr>
            <w:tcW w:w="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3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3,623,475</w:t>
            </w:r>
          </w:p>
        </w:tc>
        <w:tc>
          <w:tcPr>
            <w:tcW w:w="5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11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3,398,473</w:t>
            </w:r>
          </w:p>
        </w:tc>
        <w:tc>
          <w:tcPr>
            <w:tcW w:w="224"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8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Power Generation </w:t>
            </w:r>
            <w:r>
              <w:rPr>
                <w:rFonts w:ascii="inherit" w:hAnsi="inherit"/>
                <w:sz w:val="12"/>
              </w:rPr>
              <w:t>(a)</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372,503</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342,085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314,764</w:t>
            </w:r>
          </w:p>
        </w:tc>
        <w:tc>
          <w:tcPr>
            <w:tcW w:w="2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28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63,088</w:t>
            </w:r>
          </w:p>
        </w:tc>
        <w:tc>
          <w:tcPr>
            <w:tcW w:w="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3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80,594</w:t>
            </w:r>
          </w:p>
        </w:tc>
        <w:tc>
          <w:tcPr>
            <w:tcW w:w="5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11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65,568</w:t>
            </w:r>
          </w:p>
        </w:tc>
        <w:tc>
          <w:tcPr>
            <w:tcW w:w="224"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and Other</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207,495</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209,478</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194,193</w:t>
            </w:r>
          </w:p>
        </w:tc>
        <w:tc>
          <w:tcPr>
            <w:tcW w:w="2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84"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9"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31"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52"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11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24,724</w:t>
            </w:r>
          </w:p>
        </w:tc>
        <w:tc>
          <w:tcPr>
            <w:tcW w:w="224"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7,037,572</w:t>
            </w:r>
          </w:p>
        </w:tc>
        <w:tc>
          <w:tcPr>
            <w:tcW w:w="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6,963,327</w:t>
            </w:r>
          </w:p>
        </w:tc>
        <w:tc>
          <w:tcPr>
            <w:tcW w:w="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6,626,989</w:t>
            </w:r>
          </w:p>
        </w:tc>
        <w:tc>
          <w:tcPr>
            <w:tcW w:w="22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t>___________</w:t>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10007" w:type="dxa"/>
            <w:tcBorders/>
            <w:shd w:fill="auto" w:val="clear"/>
            <w:vAlign w:val="center"/>
          </w:tcPr>
          <w:p>
            <w:pPr>
              <w:pStyle w:val="TableContents"/>
              <w:spacing w:lineRule="auto" w:line="288" w:before="0" w:after="0"/>
              <w:jc w:val="left"/>
              <w:rPr>
                <w:sz w:val="15"/>
              </w:rPr>
            </w:pPr>
            <w:r>
              <w:rPr>
                <w:rFonts w:ascii="inherit" w:hAnsi="inherit"/>
                <w:sz w:val="15"/>
              </w:rPr>
              <w:t>Due to changes to our segment performance measure, Electric Utilities Total assets were recast as of December 31, 2018 and March 31, 2018 which resulted in changes of ($188) million</w:t>
            </w:r>
            <w:r>
              <w:rPr>
                <w:sz w:val="15"/>
              </w:rPr>
              <w:t xml:space="preserve"> </w:t>
            </w:r>
            <w:r>
              <w:rPr>
                <w:rFonts w:ascii="inherit" w:hAnsi="inherit"/>
                <w:sz w:val="15"/>
              </w:rPr>
              <w:t>and ($261) million, respectively. Power Generation Total Assets were recast as of December 31, 2018, and March 31, 2018 which resulted in changes of $188 million</w:t>
            </w:r>
            <w:r>
              <w:rPr>
                <w:sz w:val="15"/>
              </w:rPr>
              <w:t xml:space="preserve"> </w:t>
            </w:r>
            <w:r>
              <w:rPr>
                <w:rFonts w:ascii="inherit" w:hAnsi="inherit"/>
                <w:sz w:val="15"/>
              </w:rPr>
              <w:t>and $261 million, respectively. The impact to Electric Utilities and Power Generation Total Assets as of March 31, 2019, was ($186) million</w:t>
            </w:r>
            <w:r>
              <w:rPr>
                <w:sz w:val="15"/>
              </w:rPr>
              <w:t xml:space="preserve"> </w:t>
            </w:r>
            <w:r>
              <w:rPr>
                <w:rFonts w:ascii="inherit" w:hAnsi="inherit"/>
                <w:sz w:val="15"/>
              </w:rPr>
              <w:t>and $186 million, respectively. There was no</w:t>
            </w:r>
            <w:r>
              <w:rPr>
                <w:sz w:val="15"/>
              </w:rPr>
              <w:t xml:space="preserve"> </w:t>
            </w:r>
            <w:r>
              <w:rPr>
                <w:rFonts w:ascii="inherit" w:hAnsi="inherit"/>
                <w:sz w:val="15"/>
              </w:rPr>
              <w:t>impact on our consolidated Total assets.</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jc w:val="right"/>
        <w:rPr>
          <w:rFonts w:ascii="inherit" w:hAnsi="inherit"/>
          <w:sz w:val="17"/>
        </w:rPr>
      </w:pPr>
      <w:r>
        <w:rPr>
          <w:rFonts w:ascii="inherit" w:hAnsi="inherit"/>
          <w:sz w:val="17"/>
        </w:rPr>
      </w:r>
      <w:bookmarkStart w:id="28" w:name="s3F585023375158EE90C7455F9D4FB87C"/>
      <w:bookmarkStart w:id="29" w:name="s3F585023375158EE90C7455F9D4FB87C"/>
      <w:bookmarkEnd w:id="29"/>
    </w:p>
    <w:p>
      <w:pPr>
        <w:pStyle w:val="TextBody"/>
        <w:spacing w:before="0" w:after="0"/>
        <w:rPr/>
      </w:pPr>
      <w:r>
        <w:rPr/>
      </w:r>
    </w:p>
    <w:p>
      <w:pPr>
        <w:pStyle w:val="TextBody"/>
        <w:spacing w:lineRule="auto" w:line="288" w:before="0" w:after="0"/>
        <w:rPr>
          <w:sz w:val="17"/>
        </w:rPr>
      </w:pPr>
      <w:r>
        <w:rPr>
          <w:rFonts w:ascii="inherit" w:hAnsi="inherit"/>
          <w:sz w:val="17"/>
        </w:rPr>
        <w:t>(</w:t>
      </w:r>
      <w:r>
        <w:rPr>
          <w:rFonts w:ascii="inherit" w:hAnsi="inherit"/>
          <w:strike w:val="false"/>
          <w:dstrike w:val="false"/>
          <w:color w:val="000000"/>
          <w:sz w:val="17"/>
          <w:u w:val="none"/>
          <w:effect w:val="none"/>
        </w:rPr>
        <w:t>4</w:t>
      </w:r>
      <w:r>
        <w:rPr>
          <w:rFonts w:ascii="inherit" w:hAnsi="inherit"/>
          <w:sz w:val="17"/>
        </w:rPr>
        <w:t>)    ACCOUNTS RECEIVABLE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Following is a summary of Accounts receivable, net included in the accompanying Condensed Consolidated Balance Sheets (in thousands) as of:</w:t>
      </w:r>
    </w:p>
    <w:tbl>
      <w:tblPr>
        <w:tblW w:w="6921" w:type="dxa"/>
        <w:jc w:val="center"/>
        <w:tblInd w:w="0" w:type="dxa"/>
        <w:tblCellMar>
          <w:top w:w="0" w:type="dxa"/>
          <w:left w:w="0" w:type="dxa"/>
          <w:bottom w:w="0" w:type="dxa"/>
          <w:right w:w="0" w:type="dxa"/>
        </w:tblCellMar>
      </w:tblPr>
      <w:tblGrid>
        <w:gridCol w:w="1580"/>
        <w:gridCol w:w="229"/>
        <w:gridCol w:w="1279"/>
        <w:gridCol w:w="56"/>
        <w:gridCol w:w="134"/>
        <w:gridCol w:w="633"/>
        <w:gridCol w:w="33"/>
        <w:gridCol w:w="259"/>
        <w:gridCol w:w="1135"/>
        <w:gridCol w:w="229"/>
        <w:gridCol w:w="149"/>
        <w:gridCol w:w="829"/>
        <w:gridCol w:w="376"/>
      </w:tblGrid>
      <w:tr>
        <w:trPr/>
        <w:tc>
          <w:tcPr>
            <w:tcW w:w="6921" w:type="dxa"/>
            <w:gridSpan w:val="13"/>
            <w:tcBorders/>
            <w:shd w:fill="auto" w:val="clear"/>
            <w:vAlign w:val="center"/>
          </w:tcPr>
          <w:p>
            <w:pPr>
              <w:pStyle w:val="TableContents"/>
              <w:spacing w:before="0" w:after="283"/>
              <w:rPr>
                <w:sz w:val="4"/>
                <w:szCs w:val="4"/>
              </w:rPr>
            </w:pPr>
            <w:r>
              <w:rPr>
                <w:sz w:val="4"/>
                <w:szCs w:val="4"/>
              </w:rPr>
            </w:r>
          </w:p>
        </w:tc>
      </w:tr>
      <w:tr>
        <w:trPr/>
        <w:tc>
          <w:tcPr>
            <w:tcW w:w="158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80" w:type="dxa"/>
            <w:tcBorders/>
            <w:shd w:fill="auto" w:val="clear"/>
            <w:vAlign w:val="center"/>
          </w:tcPr>
          <w:p>
            <w:pPr>
              <w:pStyle w:val="TableContents"/>
              <w:spacing w:before="0" w:after="0"/>
              <w:ind w:left="0" w:right="0" w:firstLine="30"/>
              <w:rPr/>
            </w:pPr>
            <w:r>
              <w:rPr/>
              <w:t> </w:t>
            </w:r>
          </w:p>
        </w:tc>
        <w:tc>
          <w:tcPr>
            <w:tcW w:w="156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c>
          <w:tcPr>
            <w:tcW w:w="80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Unbilled</w:t>
            </w:r>
          </w:p>
        </w:tc>
        <w:tc>
          <w:tcPr>
            <w:tcW w:w="162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Less Allowance for</w:t>
            </w:r>
          </w:p>
        </w:tc>
        <w:tc>
          <w:tcPr>
            <w:tcW w:w="135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r>
      <w:tr>
        <w:trPr/>
        <w:tc>
          <w:tcPr>
            <w:tcW w:w="15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March 31, 2019</w:t>
            </w:r>
          </w:p>
        </w:tc>
        <w:tc>
          <w:tcPr>
            <w:tcW w:w="15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Trade</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Revenue</w:t>
            </w:r>
          </w:p>
        </w:tc>
        <w:tc>
          <w:tcPr>
            <w:tcW w:w="16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Doubtful Accounts</w:t>
            </w:r>
          </w:p>
        </w:tc>
        <w:tc>
          <w:tcPr>
            <w:tcW w:w="13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net</w:t>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22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45,764</w:t>
            </w:r>
          </w:p>
        </w:tc>
        <w:tc>
          <w:tcPr>
            <w:tcW w:w="5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3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31,075</w:t>
            </w:r>
          </w:p>
        </w:tc>
        <w:tc>
          <w:tcPr>
            <w:tcW w:w="3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(535</w:t>
            </w:r>
          </w:p>
        </w:tc>
        <w:tc>
          <w:tcPr>
            <w:tcW w:w="229"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76,304</w:t>
            </w:r>
          </w:p>
        </w:tc>
        <w:tc>
          <w:tcPr>
            <w:tcW w:w="37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138,005</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62,566</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(4,008</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196,563</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Power Generation</w:t>
            </w:r>
          </w:p>
        </w:tc>
        <w:tc>
          <w:tcPr>
            <w:tcW w:w="15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3,167</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CEFFE7" w:val="clear"/>
            <w:vAlign w:val="center"/>
          </w:tcPr>
          <w:p>
            <w:pPr>
              <w:pStyle w:val="TableContents"/>
              <w:spacing w:before="0" w:after="0"/>
              <w:jc w:val="right"/>
              <w:rPr/>
            </w:pPr>
            <w:r>
              <w:rPr/>
              <w:t>—</w:t>
            </w:r>
          </w:p>
        </w:tc>
        <w:tc>
          <w:tcPr>
            <w:tcW w:w="3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CEFFE7" w:val="clear"/>
            <w:vAlign w:val="center"/>
          </w:tcPr>
          <w:p>
            <w:pPr>
              <w:pStyle w:val="TableContents"/>
              <w:spacing w:before="0" w:after="0"/>
              <w:jc w:val="right"/>
              <w:rPr/>
            </w:pPr>
            <w:r>
              <w:rPr/>
              <w:t>—</w:t>
            </w:r>
          </w:p>
        </w:tc>
        <w:tc>
          <w:tcPr>
            <w:tcW w:w="2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3,167</w:t>
            </w:r>
          </w:p>
        </w:tc>
        <w:tc>
          <w:tcPr>
            <w:tcW w:w="37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2,791</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auto" w:val="clear"/>
            <w:vAlign w:val="center"/>
          </w:tcPr>
          <w:p>
            <w:pPr>
              <w:pStyle w:val="TableContents"/>
              <w:spacing w:before="0" w:after="0"/>
              <w:jc w:val="right"/>
              <w:rPr/>
            </w:pPr>
            <w:r>
              <w:rPr/>
              <w:t>—</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pPr>
            <w:r>
              <w:rPr/>
              <w:t>—</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2,791</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Corporate</w:t>
            </w:r>
          </w:p>
        </w:tc>
        <w:tc>
          <w:tcPr>
            <w:tcW w:w="150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3,946</w:t>
            </w:r>
          </w:p>
        </w:tc>
        <w:tc>
          <w:tcPr>
            <w:tcW w:w="56"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3"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229"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3,777</w:t>
            </w:r>
          </w:p>
        </w:tc>
        <w:tc>
          <w:tcPr>
            <w:tcW w:w="376" w:type="dxa"/>
            <w:tcBorders>
              <w:bottom w:val="single" w:sz="2" w:space="0" w:color="000000"/>
            </w:tcBorders>
            <w:shd w:fill="CEFFE7"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193,673</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93,641</w:t>
            </w:r>
          </w:p>
        </w:tc>
        <w:tc>
          <w:tcPr>
            <w:tcW w:w="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(4,712</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282,602</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7091" w:type="dxa"/>
        <w:jc w:val="center"/>
        <w:tblInd w:w="0" w:type="dxa"/>
        <w:tblCellMar>
          <w:top w:w="0" w:type="dxa"/>
          <w:left w:w="0" w:type="dxa"/>
          <w:bottom w:w="0" w:type="dxa"/>
          <w:right w:w="0" w:type="dxa"/>
        </w:tblCellMar>
      </w:tblPr>
      <w:tblGrid>
        <w:gridCol w:w="1700"/>
        <w:gridCol w:w="229"/>
        <w:gridCol w:w="1279"/>
        <w:gridCol w:w="56"/>
        <w:gridCol w:w="125"/>
        <w:gridCol w:w="695"/>
        <w:gridCol w:w="30"/>
        <w:gridCol w:w="259"/>
        <w:gridCol w:w="1135"/>
        <w:gridCol w:w="229"/>
        <w:gridCol w:w="149"/>
        <w:gridCol w:w="829"/>
        <w:gridCol w:w="376"/>
      </w:tblGrid>
      <w:tr>
        <w:trPr/>
        <w:tc>
          <w:tcPr>
            <w:tcW w:w="7091" w:type="dxa"/>
            <w:gridSpan w:val="13"/>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0" w:type="dxa"/>
            <w:tcBorders/>
            <w:shd w:fill="auto" w:val="clear"/>
            <w:vAlign w:val="center"/>
          </w:tcPr>
          <w:p>
            <w:pPr>
              <w:pStyle w:val="TableContents"/>
              <w:spacing w:before="0" w:after="0"/>
              <w:ind w:left="0" w:right="0" w:firstLine="30"/>
              <w:rPr/>
            </w:pPr>
            <w:r>
              <w:rPr/>
              <w:t> </w:t>
            </w:r>
          </w:p>
        </w:tc>
        <w:tc>
          <w:tcPr>
            <w:tcW w:w="156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c>
          <w:tcPr>
            <w:tcW w:w="85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Unbilled</w:t>
            </w:r>
          </w:p>
        </w:tc>
        <w:tc>
          <w:tcPr>
            <w:tcW w:w="162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Less Allowance for</w:t>
            </w:r>
          </w:p>
        </w:tc>
        <w:tc>
          <w:tcPr>
            <w:tcW w:w="135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r>
      <w:tr>
        <w:trPr/>
        <w:tc>
          <w:tcPr>
            <w:tcW w:w="17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December 31, 2018</w:t>
            </w:r>
          </w:p>
        </w:tc>
        <w:tc>
          <w:tcPr>
            <w:tcW w:w="15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Trade</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Revenue</w:t>
            </w:r>
          </w:p>
        </w:tc>
        <w:tc>
          <w:tcPr>
            <w:tcW w:w="16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Doubtful Accounts</w:t>
            </w:r>
          </w:p>
        </w:tc>
        <w:tc>
          <w:tcPr>
            <w:tcW w:w="13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net</w:t>
            </w:r>
          </w:p>
        </w:tc>
      </w:tr>
      <w:tr>
        <w:trPr/>
        <w:tc>
          <w:tcPr>
            <w:tcW w:w="17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22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39,721</w:t>
            </w:r>
          </w:p>
        </w:tc>
        <w:tc>
          <w:tcPr>
            <w:tcW w:w="5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35,125</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(448</w:t>
            </w:r>
          </w:p>
        </w:tc>
        <w:tc>
          <w:tcPr>
            <w:tcW w:w="229"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74,398</w:t>
            </w:r>
          </w:p>
        </w:tc>
        <w:tc>
          <w:tcPr>
            <w:tcW w:w="37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96,123</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90,521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(2,592</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184,052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Power Generation</w:t>
            </w:r>
          </w:p>
        </w:tc>
        <w:tc>
          <w:tcPr>
            <w:tcW w:w="15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1,876</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CEFFE7" w:val="clear"/>
            <w:vAlign w:val="center"/>
          </w:tcPr>
          <w:p>
            <w:pPr>
              <w:pStyle w:val="TableContents"/>
              <w:spacing w:before="0" w:after="0"/>
              <w:jc w:val="right"/>
              <w:rPr/>
            </w:pPr>
            <w:r>
              <w:rPr/>
              <w:t>—</w:t>
            </w:r>
          </w:p>
        </w:tc>
        <w:tc>
          <w:tcPr>
            <w:tcW w:w="2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1,876</w:t>
            </w:r>
          </w:p>
        </w:tc>
        <w:tc>
          <w:tcPr>
            <w:tcW w:w="37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3,988</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pPr>
            <w:r>
              <w:rPr/>
              <w:t>—</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3,988</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Corporate</w:t>
            </w:r>
          </w:p>
        </w:tc>
        <w:tc>
          <w:tcPr>
            <w:tcW w:w="150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5,008</w:t>
            </w:r>
          </w:p>
        </w:tc>
        <w:tc>
          <w:tcPr>
            <w:tcW w:w="56"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229"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4,839</w:t>
            </w:r>
          </w:p>
        </w:tc>
        <w:tc>
          <w:tcPr>
            <w:tcW w:w="376" w:type="dxa"/>
            <w:tcBorders>
              <w:bottom w:val="single" w:sz="2" w:space="0" w:color="000000"/>
            </w:tcBorders>
            <w:shd w:fill="CEFFE7"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7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146,716</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125,646</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(3,209</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269,153</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6921" w:type="dxa"/>
        <w:jc w:val="center"/>
        <w:tblInd w:w="0" w:type="dxa"/>
        <w:tblCellMar>
          <w:top w:w="0" w:type="dxa"/>
          <w:left w:w="0" w:type="dxa"/>
          <w:bottom w:w="0" w:type="dxa"/>
          <w:right w:w="0" w:type="dxa"/>
        </w:tblCellMar>
      </w:tblPr>
      <w:tblGrid>
        <w:gridCol w:w="1580"/>
        <w:gridCol w:w="229"/>
        <w:gridCol w:w="1279"/>
        <w:gridCol w:w="56"/>
        <w:gridCol w:w="134"/>
        <w:gridCol w:w="633"/>
        <w:gridCol w:w="33"/>
        <w:gridCol w:w="259"/>
        <w:gridCol w:w="1135"/>
        <w:gridCol w:w="229"/>
        <w:gridCol w:w="149"/>
        <w:gridCol w:w="829"/>
        <w:gridCol w:w="376"/>
      </w:tblGrid>
      <w:tr>
        <w:trPr/>
        <w:tc>
          <w:tcPr>
            <w:tcW w:w="6921" w:type="dxa"/>
            <w:gridSpan w:val="13"/>
            <w:tcBorders/>
            <w:shd w:fill="auto" w:val="clear"/>
            <w:vAlign w:val="center"/>
          </w:tcPr>
          <w:p>
            <w:pPr>
              <w:pStyle w:val="TableContents"/>
              <w:spacing w:before="0" w:after="283"/>
              <w:rPr>
                <w:sz w:val="4"/>
                <w:szCs w:val="4"/>
              </w:rPr>
            </w:pPr>
            <w:r>
              <w:rPr>
                <w:sz w:val="4"/>
                <w:szCs w:val="4"/>
              </w:rPr>
            </w:r>
          </w:p>
        </w:tc>
      </w:tr>
      <w:tr>
        <w:trPr/>
        <w:tc>
          <w:tcPr>
            <w:tcW w:w="158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80" w:type="dxa"/>
            <w:tcBorders/>
            <w:shd w:fill="auto" w:val="clear"/>
            <w:vAlign w:val="center"/>
          </w:tcPr>
          <w:p>
            <w:pPr>
              <w:pStyle w:val="TableContents"/>
              <w:spacing w:before="0" w:after="0"/>
              <w:ind w:left="0" w:right="0" w:firstLine="30"/>
              <w:rPr/>
            </w:pPr>
            <w:r>
              <w:rPr/>
              <w:t> </w:t>
            </w:r>
          </w:p>
        </w:tc>
        <w:tc>
          <w:tcPr>
            <w:tcW w:w="156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c>
          <w:tcPr>
            <w:tcW w:w="80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Unbilled</w:t>
            </w:r>
          </w:p>
        </w:tc>
        <w:tc>
          <w:tcPr>
            <w:tcW w:w="1623"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Less Allowance for</w:t>
            </w:r>
          </w:p>
        </w:tc>
        <w:tc>
          <w:tcPr>
            <w:tcW w:w="135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Accounts</w:t>
            </w:r>
          </w:p>
        </w:tc>
      </w:tr>
      <w:tr>
        <w:trPr/>
        <w:tc>
          <w:tcPr>
            <w:tcW w:w="15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March 31, 2018</w:t>
            </w:r>
          </w:p>
        </w:tc>
        <w:tc>
          <w:tcPr>
            <w:tcW w:w="15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Trade</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Revenue</w:t>
            </w:r>
          </w:p>
        </w:tc>
        <w:tc>
          <w:tcPr>
            <w:tcW w:w="16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sz w:val="17"/>
              </w:rPr>
              <w:t>Doubtful Accounts</w:t>
            </w:r>
          </w:p>
        </w:tc>
        <w:tc>
          <w:tcPr>
            <w:tcW w:w="13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Receivable, net</w:t>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22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40,492</w:t>
            </w:r>
          </w:p>
        </w:tc>
        <w:tc>
          <w:tcPr>
            <w:tcW w:w="5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3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33,907</w:t>
            </w:r>
          </w:p>
        </w:tc>
        <w:tc>
          <w:tcPr>
            <w:tcW w:w="3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(624</w:t>
            </w:r>
          </w:p>
        </w:tc>
        <w:tc>
          <w:tcPr>
            <w:tcW w:w="229"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73,775</w:t>
            </w:r>
          </w:p>
        </w:tc>
        <w:tc>
          <w:tcPr>
            <w:tcW w:w="37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120,910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60,142</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(3,684</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177,368</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Power Generation</w:t>
            </w:r>
          </w:p>
        </w:tc>
        <w:tc>
          <w:tcPr>
            <w:tcW w:w="150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1,580</w:t>
            </w:r>
          </w:p>
        </w:tc>
        <w:tc>
          <w:tcPr>
            <w:tcW w:w="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CEFFE7" w:val="clear"/>
            <w:vAlign w:val="center"/>
          </w:tcPr>
          <w:p>
            <w:pPr>
              <w:pStyle w:val="TableContents"/>
              <w:spacing w:before="0" w:after="0"/>
              <w:jc w:val="right"/>
              <w:rPr/>
            </w:pPr>
            <w:r>
              <w:rPr/>
              <w:t>—</w:t>
            </w:r>
          </w:p>
        </w:tc>
        <w:tc>
          <w:tcPr>
            <w:tcW w:w="3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CEFFE7" w:val="clear"/>
            <w:vAlign w:val="center"/>
          </w:tcPr>
          <w:p>
            <w:pPr>
              <w:pStyle w:val="TableContents"/>
              <w:spacing w:before="0" w:after="0"/>
              <w:jc w:val="right"/>
              <w:rPr/>
            </w:pPr>
            <w:r>
              <w:rPr/>
              <w:t>—</w:t>
            </w:r>
          </w:p>
        </w:tc>
        <w:tc>
          <w:tcPr>
            <w:tcW w:w="2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1,580</w:t>
            </w:r>
          </w:p>
        </w:tc>
        <w:tc>
          <w:tcPr>
            <w:tcW w:w="37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15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3,133</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shd w:fill="auto" w:val="clear"/>
            <w:vAlign w:val="center"/>
          </w:tcPr>
          <w:p>
            <w:pPr>
              <w:pStyle w:val="TableContents"/>
              <w:spacing w:before="0" w:after="0"/>
              <w:jc w:val="right"/>
              <w:rPr/>
            </w:pPr>
            <w:r>
              <w:rPr/>
              <w:t>—</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shd w:fill="auto" w:val="clear"/>
            <w:vAlign w:val="center"/>
          </w:tcPr>
          <w:p>
            <w:pPr>
              <w:pStyle w:val="TableContents"/>
              <w:spacing w:before="0" w:after="0"/>
              <w:jc w:val="right"/>
              <w:rPr/>
            </w:pPr>
            <w:r>
              <w:rPr/>
              <w:t>—</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3,133</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8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Corporate</w:t>
            </w:r>
          </w:p>
        </w:tc>
        <w:tc>
          <w:tcPr>
            <w:tcW w:w="150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1,916</w:t>
            </w:r>
          </w:p>
        </w:tc>
        <w:tc>
          <w:tcPr>
            <w:tcW w:w="56"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7"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3"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4"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229"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8"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1,916</w:t>
            </w:r>
          </w:p>
        </w:tc>
        <w:tc>
          <w:tcPr>
            <w:tcW w:w="376" w:type="dxa"/>
            <w:tcBorders>
              <w:bottom w:val="single" w:sz="2" w:space="0" w:color="000000"/>
            </w:tcBorders>
            <w:shd w:fill="CEFFE7"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168,031</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94,049</w:t>
            </w:r>
          </w:p>
        </w:tc>
        <w:tc>
          <w:tcPr>
            <w:tcW w:w="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(4,308</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257,772</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jc w:val="right"/>
        <w:rPr>
          <w:rFonts w:ascii="inherit" w:hAnsi="inherit"/>
          <w:sz w:val="17"/>
        </w:rPr>
      </w:pPr>
      <w:r>
        <w:rPr>
          <w:rFonts w:ascii="inherit" w:hAnsi="inherit"/>
          <w:sz w:val="17"/>
        </w:rPr>
      </w:r>
      <w:bookmarkStart w:id="30" w:name="s4CADD779ED395CEB9B92A6043359B0FE"/>
      <w:bookmarkStart w:id="31" w:name="s4CADD779ED395CEB9B92A6043359B0FE"/>
      <w:bookmarkEnd w:id="31"/>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(5)    REGULATORY ACCOUNTING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had the following regulatory assets and liabilities (in thousands) as of:</w:t>
      </w:r>
    </w:p>
    <w:tbl>
      <w:tblPr>
        <w:tblW w:w="9302" w:type="dxa"/>
        <w:jc w:val="left"/>
        <w:tblInd w:w="0" w:type="dxa"/>
        <w:tblCellMar>
          <w:top w:w="0" w:type="dxa"/>
          <w:left w:w="0" w:type="dxa"/>
          <w:bottom w:w="0" w:type="dxa"/>
          <w:right w:w="0" w:type="dxa"/>
        </w:tblCellMar>
      </w:tblPr>
      <w:tblGrid>
        <w:gridCol w:w="4955"/>
        <w:gridCol w:w="178"/>
        <w:gridCol w:w="990"/>
        <w:gridCol w:w="156"/>
        <w:gridCol w:w="225"/>
        <w:gridCol w:w="1258"/>
        <w:gridCol w:w="201"/>
        <w:gridCol w:w="165"/>
        <w:gridCol w:w="917"/>
        <w:gridCol w:w="257"/>
      </w:tblGrid>
      <w:tr>
        <w:trPr/>
        <w:tc>
          <w:tcPr>
            <w:tcW w:w="9302" w:type="dxa"/>
            <w:gridSpan w:val="10"/>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55" w:type="dxa"/>
            <w:tcBorders/>
            <w:shd w:fill="auto" w:val="clear"/>
            <w:vAlign w:val="center"/>
          </w:tcPr>
          <w:p>
            <w:pPr>
              <w:pStyle w:val="TableContents"/>
              <w:spacing w:before="0" w:after="0"/>
              <w:ind w:left="0" w:right="0" w:firstLine="30"/>
              <w:rPr/>
            </w:pPr>
            <w:r>
              <w:rPr/>
              <w:t> </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6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13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assets</w:t>
            </w:r>
          </w:p>
        </w:tc>
        <w:tc>
          <w:tcPr>
            <w:tcW w:w="1324" w:type="dxa"/>
            <w:gridSpan w:val="3"/>
            <w:tcBorders/>
            <w:shd w:fill="auto" w:val="clear"/>
            <w:vAlign w:val="center"/>
          </w:tcPr>
          <w:p>
            <w:pPr>
              <w:pStyle w:val="TableContents"/>
              <w:spacing w:before="0" w:after="0"/>
              <w:ind w:left="0" w:right="0" w:firstLine="30"/>
              <w:rPr/>
            </w:pPr>
            <w:r>
              <w:rPr/>
              <w:t> </w:t>
            </w:r>
          </w:p>
        </w:tc>
        <w:tc>
          <w:tcPr>
            <w:tcW w:w="1684" w:type="dxa"/>
            <w:gridSpan w:val="3"/>
            <w:tcBorders/>
            <w:shd w:fill="auto" w:val="clear"/>
            <w:vAlign w:val="center"/>
          </w:tcPr>
          <w:p>
            <w:pPr>
              <w:pStyle w:val="TableContents"/>
              <w:spacing w:before="0" w:after="0"/>
              <w:ind w:left="0" w:right="0" w:firstLine="30"/>
              <w:rPr/>
            </w:pPr>
            <w:r>
              <w:rPr/>
              <w:t> </w:t>
            </w:r>
          </w:p>
        </w:tc>
        <w:tc>
          <w:tcPr>
            <w:tcW w:w="1339" w:type="dxa"/>
            <w:gridSpan w:val="3"/>
            <w:tcBorders/>
            <w:shd w:fill="auto" w:val="clear"/>
            <w:vAlign w:val="center"/>
          </w:tcPr>
          <w:p>
            <w:pPr>
              <w:pStyle w:val="TableContents"/>
              <w:spacing w:before="0" w:after="0"/>
              <w:ind w:left="0" w:right="0" w:firstLine="180"/>
              <w:rPr/>
            </w:pPr>
            <w:r>
              <w:rPr/>
              <w:t> </w:t>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Deferred energy and fuel cost adjustments </w:t>
            </w:r>
            <w:r>
              <w:rPr>
                <w:rFonts w:ascii="inherit" w:hAnsi="inherit"/>
                <w:sz w:val="12"/>
              </w:rPr>
              <w:t>(a)</w:t>
            </w:r>
          </w:p>
        </w:tc>
        <w:tc>
          <w:tcPr>
            <w:tcW w:w="178"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CEFFE7" w:val="clear"/>
            <w:vAlign w:val="center"/>
          </w:tcPr>
          <w:p>
            <w:pPr>
              <w:pStyle w:val="TableContents"/>
              <w:spacing w:before="0" w:after="0"/>
              <w:jc w:val="right"/>
              <w:rPr>
                <w:rFonts w:ascii="inherit" w:hAnsi="inherit"/>
                <w:sz w:val="17"/>
              </w:rPr>
            </w:pPr>
            <w:r>
              <w:rPr>
                <w:rFonts w:ascii="inherit" w:hAnsi="inherit"/>
                <w:sz w:val="17"/>
              </w:rPr>
              <w:t>35,512</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shd w:fill="CEFFE7" w:val="clear"/>
            <w:vAlign w:val="center"/>
          </w:tcPr>
          <w:p>
            <w:pPr>
              <w:pStyle w:val="TableContents"/>
              <w:spacing w:before="0" w:after="0"/>
              <w:jc w:val="right"/>
              <w:rPr>
                <w:rFonts w:ascii="inherit" w:hAnsi="inherit"/>
                <w:sz w:val="17"/>
              </w:rPr>
            </w:pPr>
            <w:r>
              <w:rPr>
                <w:rFonts w:ascii="inherit" w:hAnsi="inherit"/>
                <w:sz w:val="17"/>
              </w:rPr>
              <w:t>29,661</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shd w:fill="CEFFE7" w:val="clear"/>
            <w:vAlign w:val="center"/>
          </w:tcPr>
          <w:p>
            <w:pPr>
              <w:pStyle w:val="TableContents"/>
              <w:spacing w:before="0" w:after="0"/>
              <w:jc w:val="right"/>
              <w:rPr>
                <w:rFonts w:ascii="inherit" w:hAnsi="inherit"/>
                <w:sz w:val="17"/>
              </w:rPr>
            </w:pPr>
            <w:r>
              <w:rPr>
                <w:rFonts w:ascii="inherit" w:hAnsi="inherit"/>
                <w:sz w:val="17"/>
              </w:rPr>
              <w:t>25,056</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Deferred gas cost adjustments </w:t>
            </w:r>
            <w:r>
              <w:rPr>
                <w:rFonts w:ascii="inherit" w:hAnsi="inherit"/>
                <w:sz w:val="12"/>
              </w:rPr>
              <w:t>(a)</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5,124</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3,362</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2,118</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Gas price derivatives </w:t>
            </w:r>
            <w:r>
              <w:rPr>
                <w:rFonts w:ascii="inherit" w:hAnsi="inherit"/>
                <w:sz w:val="12"/>
              </w:rPr>
              <w:t>(a)</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3,939</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6,201</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11,045</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Deferred taxes on AFUDC</w:t>
            </w:r>
            <w:r>
              <w:rPr>
                <w:sz w:val="17"/>
              </w:rPr>
              <w:t> </w:t>
            </w:r>
            <w:r>
              <w:rPr>
                <w:rFonts w:ascii="inherit" w:hAnsi="inherit"/>
                <w:sz w:val="12"/>
              </w:rPr>
              <w:t>(b)</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7,771</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7,841</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7,808</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Employee benefit plans </w:t>
            </w:r>
            <w:r>
              <w:rPr>
                <w:rFonts w:ascii="inherit" w:hAnsi="inherit"/>
                <w:sz w:val="12"/>
              </w:rPr>
              <w:t>(c)</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111,724</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110,524</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109,999</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Environmental</w:t>
            </w:r>
            <w:r>
              <w:rPr>
                <w:sz w:val="17"/>
              </w:rPr>
              <w:t> </w:t>
            </w:r>
            <w:r>
              <w:rPr>
                <w:rFonts w:ascii="inherit" w:hAnsi="inherit"/>
                <w:sz w:val="12"/>
              </w:rPr>
              <w:t>(a)</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945</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959</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1,012</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Loss on reacquired debt</w:t>
            </w:r>
            <w:r>
              <w:rPr>
                <w:sz w:val="17"/>
              </w:rPr>
              <w:t> </w:t>
            </w:r>
            <w:r>
              <w:rPr>
                <w:rFonts w:ascii="inherit" w:hAnsi="inherit"/>
                <w:sz w:val="12"/>
              </w:rPr>
              <w:t>(a)</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20,570</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21,001</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20,267</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Renewable energy standard adjustment </w:t>
            </w:r>
            <w:r>
              <w:rPr>
                <w:rFonts w:ascii="inherit" w:hAnsi="inherit"/>
                <w:sz w:val="12"/>
              </w:rPr>
              <w:t>(a)</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1,722</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1,600</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rPr>
                <w:sz w:val="17"/>
              </w:rPr>
            </w:pPr>
            <w:r>
              <w:rPr>
                <w:rFonts w:ascii="inherit" w:hAnsi="inherit"/>
                <w:sz w:val="17"/>
              </w:rPr>
              <w:t>Deferred taxes on flow through accounting</w:t>
            </w:r>
            <w:r>
              <w:rPr>
                <w:sz w:val="17"/>
              </w:rPr>
              <w:t> </w:t>
            </w:r>
            <w:r>
              <w:rPr>
                <w:rFonts w:ascii="inherit" w:hAnsi="inherit"/>
                <w:sz w:val="12"/>
              </w:rPr>
              <w:t xml:space="preserve">(c) </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33,226</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31,044</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28,014</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Decommissioning costs </w:t>
            </w:r>
            <w:r>
              <w:rPr>
                <w:rFonts w:ascii="inherit" w:hAnsi="inherit"/>
                <w:sz w:val="12"/>
              </w:rPr>
              <w:t>(b)</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11,694</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11,700</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12,552</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Gas supply contract termination </w:t>
            </w:r>
            <w:r>
              <w:rPr>
                <w:rFonts w:ascii="inherit" w:hAnsi="inherit"/>
                <w:sz w:val="12"/>
              </w:rPr>
              <w:t>(a)</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12,866</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14,310</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18,590</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Other regulatory assets</w:t>
            </w:r>
            <w:r>
              <w:rPr>
                <w:sz w:val="17"/>
              </w:rPr>
              <w:t> </w:t>
            </w:r>
            <w:r>
              <w:rPr>
                <w:rFonts w:ascii="inherit" w:hAnsi="inherit"/>
                <w:sz w:val="12"/>
              </w:rPr>
              <w:t xml:space="preserve">(a) </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41,803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45,910</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29,171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regulatory assets</w:t>
            </w:r>
          </w:p>
        </w:tc>
        <w:tc>
          <w:tcPr>
            <w:tcW w:w="1168"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286,707</w:t>
            </w:r>
          </w:p>
        </w:tc>
        <w:tc>
          <w:tcPr>
            <w:tcW w:w="15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284,235</w:t>
            </w:r>
          </w:p>
        </w:tc>
        <w:tc>
          <w:tcPr>
            <w:tcW w:w="20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267,232</w:t>
            </w:r>
          </w:p>
        </w:tc>
        <w:tc>
          <w:tcPr>
            <w:tcW w:w="25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current regulatory assets</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(54,303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(48,776</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(54,492</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5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Regulatory assets, non-current</w:t>
            </w:r>
          </w:p>
        </w:tc>
        <w:tc>
          <w:tcPr>
            <w:tcW w:w="17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232,404</w:t>
            </w:r>
          </w:p>
        </w:tc>
        <w:tc>
          <w:tcPr>
            <w:tcW w:w="15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235,459</w:t>
            </w:r>
          </w:p>
        </w:tc>
        <w:tc>
          <w:tcPr>
            <w:tcW w:w="20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212,740</w:t>
            </w:r>
          </w:p>
        </w:tc>
        <w:tc>
          <w:tcPr>
            <w:tcW w:w="25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rPr/>
            </w:pPr>
            <w:r>
              <w:rPr/>
              <w:t> </w:t>
            </w:r>
          </w:p>
        </w:tc>
        <w:tc>
          <w:tcPr>
            <w:tcW w:w="1324" w:type="dxa"/>
            <w:gridSpan w:val="3"/>
            <w:tcBorders/>
            <w:shd w:fill="auto" w:val="clear"/>
            <w:vAlign w:val="center"/>
          </w:tcPr>
          <w:p>
            <w:pPr>
              <w:pStyle w:val="TableContents"/>
              <w:spacing w:before="0" w:after="0"/>
              <w:ind w:left="0" w:right="0" w:firstLine="30"/>
              <w:rPr/>
            </w:pPr>
            <w:r>
              <w:rPr/>
              <w:t> </w:t>
            </w:r>
          </w:p>
        </w:tc>
        <w:tc>
          <w:tcPr>
            <w:tcW w:w="1684" w:type="dxa"/>
            <w:gridSpan w:val="3"/>
            <w:tcBorders/>
            <w:shd w:fill="auto" w:val="clear"/>
            <w:vAlign w:val="center"/>
          </w:tcPr>
          <w:p>
            <w:pPr>
              <w:pStyle w:val="TableContents"/>
              <w:spacing w:before="0" w:after="0"/>
              <w:ind w:left="0" w:right="0" w:firstLine="30"/>
              <w:rPr/>
            </w:pPr>
            <w:r>
              <w:rPr/>
              <w:t> </w:t>
            </w:r>
          </w:p>
        </w:tc>
        <w:tc>
          <w:tcPr>
            <w:tcW w:w="1339" w:type="dxa"/>
            <w:gridSpan w:val="3"/>
            <w:tcBorders/>
            <w:shd w:fill="auto" w:val="clear"/>
            <w:vAlign w:val="center"/>
          </w:tcPr>
          <w:p>
            <w:pPr>
              <w:pStyle w:val="TableContents"/>
              <w:spacing w:before="0" w:after="0"/>
              <w:ind w:left="0" w:right="0" w:firstLine="30"/>
              <w:rPr/>
            </w:pPr>
            <w:r>
              <w:rPr/>
              <w:t> </w:t>
            </w:r>
          </w:p>
        </w:tc>
      </w:tr>
      <w:tr>
        <w:trPr/>
        <w:tc>
          <w:tcPr>
            <w:tcW w:w="495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Regulatory liabilities</w:t>
            </w:r>
          </w:p>
        </w:tc>
        <w:tc>
          <w:tcPr>
            <w:tcW w:w="1324" w:type="dxa"/>
            <w:gridSpan w:val="3"/>
            <w:tcBorders/>
            <w:shd w:fill="CEFFE7" w:val="clear"/>
            <w:vAlign w:val="center"/>
          </w:tcPr>
          <w:p>
            <w:pPr>
              <w:pStyle w:val="TableContents"/>
              <w:spacing w:before="0" w:after="0"/>
              <w:ind w:left="0" w:right="0" w:firstLine="30"/>
              <w:rPr/>
            </w:pPr>
            <w:r>
              <w:rPr/>
              <w:t> </w:t>
            </w:r>
          </w:p>
        </w:tc>
        <w:tc>
          <w:tcPr>
            <w:tcW w:w="1684" w:type="dxa"/>
            <w:gridSpan w:val="3"/>
            <w:tcBorders/>
            <w:shd w:fill="CEFFE7" w:val="clear"/>
            <w:vAlign w:val="center"/>
          </w:tcPr>
          <w:p>
            <w:pPr>
              <w:pStyle w:val="TableContents"/>
              <w:spacing w:before="0" w:after="0"/>
              <w:ind w:left="0" w:right="0" w:firstLine="30"/>
              <w:rPr/>
            </w:pPr>
            <w:r>
              <w:rPr/>
              <w:t> </w:t>
            </w:r>
          </w:p>
        </w:tc>
        <w:tc>
          <w:tcPr>
            <w:tcW w:w="1339" w:type="dxa"/>
            <w:gridSpan w:val="3"/>
            <w:tcBorders/>
            <w:shd w:fill="CEFFE7" w:val="clear"/>
            <w:vAlign w:val="center"/>
          </w:tcPr>
          <w:p>
            <w:pPr>
              <w:pStyle w:val="TableContents"/>
              <w:spacing w:before="0" w:after="0"/>
              <w:ind w:left="0" w:right="0" w:firstLine="180"/>
              <w:rPr/>
            </w:pPr>
            <w:r>
              <w:rPr/>
              <w:t> </w:t>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Deferred energy and gas costs</w:t>
            </w:r>
            <w:r>
              <w:rPr>
                <w:sz w:val="17"/>
              </w:rPr>
              <w:t> </w:t>
            </w:r>
            <w:r>
              <w:rPr>
                <w:rFonts w:ascii="inherit" w:hAnsi="inherit"/>
                <w:sz w:val="12"/>
              </w:rPr>
              <w:t>(a)</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auto" w:val="clear"/>
            <w:vAlign w:val="center"/>
          </w:tcPr>
          <w:p>
            <w:pPr>
              <w:pStyle w:val="TableContents"/>
              <w:spacing w:before="0" w:after="0"/>
              <w:jc w:val="right"/>
              <w:rPr>
                <w:rFonts w:ascii="inherit" w:hAnsi="inherit"/>
                <w:sz w:val="17"/>
              </w:rPr>
            </w:pPr>
            <w:r>
              <w:rPr>
                <w:rFonts w:ascii="inherit" w:hAnsi="inherit"/>
                <w:sz w:val="17"/>
              </w:rPr>
              <w:t>19,018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shd w:fill="auto" w:val="clear"/>
            <w:vAlign w:val="center"/>
          </w:tcPr>
          <w:p>
            <w:pPr>
              <w:pStyle w:val="TableContents"/>
              <w:spacing w:before="0" w:after="0"/>
              <w:jc w:val="right"/>
              <w:rPr>
                <w:rFonts w:ascii="inherit" w:hAnsi="inherit"/>
                <w:sz w:val="17"/>
              </w:rPr>
            </w:pPr>
            <w:r>
              <w:rPr>
                <w:rFonts w:ascii="inherit" w:hAnsi="inherit"/>
                <w:sz w:val="17"/>
              </w:rPr>
              <w:t>6,991</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shd w:fill="auto" w:val="clear"/>
            <w:vAlign w:val="center"/>
          </w:tcPr>
          <w:p>
            <w:pPr>
              <w:pStyle w:val="TableContents"/>
              <w:spacing w:before="0" w:after="0"/>
              <w:jc w:val="right"/>
              <w:rPr>
                <w:rFonts w:ascii="inherit" w:hAnsi="inherit"/>
                <w:sz w:val="17"/>
              </w:rPr>
            </w:pPr>
            <w:r>
              <w:rPr>
                <w:rFonts w:ascii="inherit" w:hAnsi="inherit"/>
                <w:sz w:val="17"/>
              </w:rPr>
              <w:t>20,194</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Employee benefit plan costs and related deferred taxes</w:t>
            </w:r>
            <w:r>
              <w:rPr>
                <w:sz w:val="17"/>
              </w:rPr>
              <w:t> </w:t>
            </w:r>
            <w:r>
              <w:rPr>
                <w:rFonts w:ascii="inherit" w:hAnsi="inherit"/>
                <w:sz w:val="12"/>
              </w:rPr>
              <w:t xml:space="preserve">(c) </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42,207</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42,533</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40,332</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Cost of removal</w:t>
            </w:r>
            <w:r>
              <w:rPr>
                <w:sz w:val="17"/>
              </w:rPr>
              <w:t> </w:t>
            </w:r>
            <w:r>
              <w:rPr>
                <w:rFonts w:ascii="inherit" w:hAnsi="inherit"/>
                <w:sz w:val="12"/>
              </w:rPr>
              <w:t>(a)</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154,170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150,123</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139,002</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Excess deferred income taxes </w:t>
            </w:r>
            <w:r>
              <w:rPr>
                <w:rFonts w:ascii="inherit" w:hAnsi="inherit"/>
                <w:sz w:val="12"/>
              </w:rPr>
              <w:t xml:space="preserve">(c) </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307,894</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310,562</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310,622</w:t>
            </w:r>
          </w:p>
        </w:tc>
        <w:tc>
          <w:tcPr>
            <w:tcW w:w="257"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TCJA revenue reserve</w:t>
            </w:r>
          </w:p>
        </w:tc>
        <w:tc>
          <w:tcPr>
            <w:tcW w:w="11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16,549</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18,032</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15,239</w:t>
            </w:r>
          </w:p>
        </w:tc>
        <w:tc>
          <w:tcPr>
            <w:tcW w:w="25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Other regulatory liabilities</w:t>
            </w:r>
            <w:r>
              <w:rPr>
                <w:sz w:val="17"/>
              </w:rPr>
              <w:t> </w:t>
            </w:r>
            <w:r>
              <w:rPr>
                <w:rFonts w:ascii="inherit" w:hAnsi="inherit"/>
                <w:sz w:val="12"/>
              </w:rPr>
              <w:t>(c)</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17,421</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12,553</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12,472</w:t>
            </w:r>
          </w:p>
        </w:tc>
        <w:tc>
          <w:tcPr>
            <w:tcW w:w="25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regulatory liabilities</w:t>
            </w:r>
          </w:p>
        </w:tc>
        <w:tc>
          <w:tcPr>
            <w:tcW w:w="11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557,259</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540,794</w:t>
            </w:r>
          </w:p>
        </w:tc>
        <w:tc>
          <w:tcPr>
            <w:tcW w:w="20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537,861</w:t>
            </w:r>
          </w:p>
        </w:tc>
        <w:tc>
          <w:tcPr>
            <w:tcW w:w="25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Less current regulatory liabilities</w:t>
            </w:r>
          </w:p>
        </w:tc>
        <w:tc>
          <w:tcPr>
            <w:tcW w:w="1168"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(45,777</w:t>
            </w:r>
          </w:p>
        </w:tc>
        <w:tc>
          <w:tcPr>
            <w:tcW w:w="15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(29,810</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(42,499</w:t>
            </w:r>
          </w:p>
        </w:tc>
        <w:tc>
          <w:tcPr>
            <w:tcW w:w="25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Regulatory liabilities, non-current</w:t>
            </w:r>
          </w:p>
        </w:tc>
        <w:tc>
          <w:tcPr>
            <w:tcW w:w="1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511,482</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510,984</w:t>
            </w:r>
          </w:p>
        </w:tc>
        <w:tc>
          <w:tcPr>
            <w:tcW w:w="20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495,362</w:t>
            </w:r>
          </w:p>
        </w:tc>
        <w:tc>
          <w:tcPr>
            <w:tcW w:w="2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t>__________</w:t>
      </w:r>
    </w:p>
    <w:tbl>
      <w:tblPr>
        <w:tblW w:w="5710" w:type="dxa"/>
        <w:jc w:val="left"/>
        <w:tblInd w:w="0" w:type="dxa"/>
        <w:tblCellMar>
          <w:top w:w="0" w:type="dxa"/>
          <w:left w:w="0" w:type="dxa"/>
          <w:bottom w:w="0" w:type="dxa"/>
          <w:right w:w="0" w:type="dxa"/>
        </w:tblCellMar>
      </w:tblPr>
      <w:tblGrid>
        <w:gridCol w:w="245"/>
        <w:gridCol w:w="5465"/>
      </w:tblGrid>
      <w:tr>
        <w:trPr/>
        <w:tc>
          <w:tcPr>
            <w:tcW w:w="245" w:type="dxa"/>
            <w:tcBorders/>
            <w:shd w:fill="auto" w:val="clear"/>
            <w:vAlign w:val="center"/>
          </w:tcPr>
          <w:p>
            <w:pPr>
              <w:pStyle w:val="TableContents"/>
              <w:spacing w:before="0" w:after="283"/>
              <w:rPr>
                <w:sz w:val="4"/>
                <w:szCs w:val="4"/>
              </w:rPr>
            </w:pPr>
            <w:r>
              <w:rPr>
                <w:sz w:val="4"/>
                <w:szCs w:val="4"/>
              </w:rPr>
            </w:r>
          </w:p>
        </w:tc>
        <w:tc>
          <w:tcPr>
            <w:tcW w:w="546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5465" w:type="dxa"/>
            <w:tcBorders/>
            <w:shd w:fill="auto" w:val="clear"/>
            <w:vAlign w:val="center"/>
          </w:tcPr>
          <w:p>
            <w:pPr>
              <w:pStyle w:val="TableContents"/>
              <w:spacing w:lineRule="auto" w:line="288" w:before="0" w:after="0"/>
              <w:rPr>
                <w:rFonts w:ascii="inherit" w:hAnsi="inherit"/>
                <w:sz w:val="15"/>
              </w:rPr>
            </w:pPr>
            <w:r>
              <w:rPr>
                <w:rFonts w:ascii="inherit" w:hAnsi="inherit"/>
                <w:sz w:val="15"/>
              </w:rPr>
              <w:t>We are allowed recovery of costs, but we are not allowed a rate of return.</w:t>
            </w:r>
          </w:p>
        </w:tc>
      </w:tr>
    </w:tbl>
    <w:tbl>
      <w:tblPr>
        <w:tblW w:w="4975" w:type="dxa"/>
        <w:jc w:val="left"/>
        <w:tblInd w:w="0" w:type="dxa"/>
        <w:tblCellMar>
          <w:top w:w="0" w:type="dxa"/>
          <w:left w:w="0" w:type="dxa"/>
          <w:bottom w:w="0" w:type="dxa"/>
          <w:right w:w="0" w:type="dxa"/>
        </w:tblCellMar>
      </w:tblPr>
      <w:tblGrid>
        <w:gridCol w:w="245"/>
        <w:gridCol w:w="4730"/>
      </w:tblGrid>
      <w:tr>
        <w:trPr/>
        <w:tc>
          <w:tcPr>
            <w:tcW w:w="245" w:type="dxa"/>
            <w:tcBorders/>
            <w:shd w:fill="auto" w:val="clear"/>
            <w:vAlign w:val="center"/>
          </w:tcPr>
          <w:p>
            <w:pPr>
              <w:pStyle w:val="TableContents"/>
              <w:spacing w:before="0" w:after="283"/>
              <w:rPr>
                <w:sz w:val="4"/>
                <w:szCs w:val="4"/>
              </w:rPr>
            </w:pPr>
            <w:r>
              <w:rPr>
                <w:sz w:val="4"/>
                <w:szCs w:val="4"/>
              </w:rPr>
            </w:r>
          </w:p>
        </w:tc>
        <w:tc>
          <w:tcPr>
            <w:tcW w:w="473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4730"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 addition to recovery of costs, we are allowed a rate of return.</w:t>
            </w:r>
          </w:p>
        </w:tc>
      </w:tr>
    </w:tbl>
    <w:tbl>
      <w:tblPr>
        <w:tblW w:w="9505" w:type="dxa"/>
        <w:jc w:val="left"/>
        <w:tblInd w:w="0" w:type="dxa"/>
        <w:tblCellMar>
          <w:top w:w="0" w:type="dxa"/>
          <w:left w:w="0" w:type="dxa"/>
          <w:bottom w:w="0" w:type="dxa"/>
          <w:right w:w="0" w:type="dxa"/>
        </w:tblCellMar>
      </w:tblPr>
      <w:tblGrid>
        <w:gridCol w:w="230"/>
        <w:gridCol w:w="9275"/>
      </w:tblGrid>
      <w:tr>
        <w:trPr/>
        <w:tc>
          <w:tcPr>
            <w:tcW w:w="230"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9275"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 addition to recovery or repayment of costs, we are allowed a return on a portion of this amount or a reduction in rate base.</w:t>
            </w:r>
          </w:p>
        </w:tc>
      </w:tr>
    </w:tbl>
    <w:p>
      <w:pPr>
        <w:pStyle w:val="TextBody"/>
        <w:spacing w:lineRule="auto" w:line="288" w:before="0" w:after="0"/>
        <w:ind w:left="0" w:right="0" w:hanging="360"/>
        <w:rPr>
          <w:rFonts w:ascii="inherit" w:hAnsi="inherit"/>
          <w:sz w:val="15"/>
        </w:rPr>
      </w:pPr>
      <w:r>
        <w:rPr>
          <w:rFonts w:ascii="inherit" w:hAnsi="inherit"/>
          <w:sz w:val="15"/>
        </w:rPr>
      </w:r>
    </w:p>
    <w:p>
      <w:pPr>
        <w:pStyle w:val="TextBody"/>
        <w:spacing w:lineRule="auto" w:line="288" w:before="0" w:after="0"/>
        <w:ind w:left="0" w:right="0" w:hanging="360"/>
        <w:rPr>
          <w:rFonts w:ascii="inherit" w:hAnsi="inherit"/>
          <w:b/>
          <w:sz w:val="17"/>
        </w:rPr>
      </w:pPr>
      <w:r>
        <w:rPr>
          <w:rFonts w:ascii="inherit" w:hAnsi="inherit"/>
          <w:b/>
          <w:sz w:val="17"/>
        </w:rPr>
        <w:t>Regulatory Matters</w:t>
      </w:r>
    </w:p>
    <w:p>
      <w:pPr>
        <w:pStyle w:val="TextBody"/>
        <w:spacing w:lineRule="auto" w:line="288" w:before="0" w:after="0"/>
        <w:ind w:left="0" w:right="0" w:hanging="36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Except as discussed below, there have been no other significant changes to our Regulatory Matters from those previously disclosed in Note 13 of the Notes to the Consolidated Financial Statements in our 2018</w:t>
      </w:r>
      <w:r>
        <w:rPr>
          <w:sz w:val="17"/>
        </w:rPr>
        <w:t xml:space="preserve"> </w:t>
      </w:r>
      <w:r>
        <w:rPr>
          <w:rFonts w:ascii="inherit" w:hAnsi="inherit"/>
          <w:sz w:val="17"/>
        </w:rPr>
        <w:t>Annual Report on Form 10-K.</w:t>
      </w:r>
    </w:p>
    <w:p>
      <w:pPr>
        <w:pStyle w:val="TextBody"/>
        <w:spacing w:lineRule="auto" w:line="288" w:before="0" w:after="0"/>
        <w:ind w:left="0" w:right="0" w:hanging="360"/>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Regulatory Activity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7"/>
        </w:rPr>
      </w:pPr>
      <w:r>
        <w:rPr>
          <w:rFonts w:ascii="inherit" w:hAnsi="inherit"/>
          <w:i/>
          <w:sz w:val="17"/>
        </w:rPr>
        <w:t>Nebraska</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On March 29, 2019, Nebraska Gas filed an application with the NPSC requesting to merge its two</w:t>
      </w:r>
      <w:r>
        <w:rPr>
          <w:sz w:val="17"/>
        </w:rPr>
        <w:t xml:space="preserve"> </w:t>
      </w:r>
      <w:r>
        <w:rPr>
          <w:rFonts w:ascii="inherit" w:hAnsi="inherit"/>
          <w:sz w:val="17"/>
        </w:rPr>
        <w:t xml:space="preserve">gas distribution utilities into a new public utility entity. The filing also requests to merge the terms and conditions of the existing tariffs of the two utilities into a single tariff.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i/>
          <w:sz w:val="17"/>
        </w:rPr>
      </w:pPr>
      <w:r>
        <w:rPr>
          <w:rFonts w:ascii="inherit" w:hAnsi="inherit"/>
          <w:i/>
          <w:sz w:val="17"/>
        </w:rPr>
        <w:t>Wyoming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On March 6, 2019, Wyoming Gas filed an application with the WPSC requesting to merge its four</w:t>
      </w:r>
      <w:r>
        <w:rPr>
          <w:sz w:val="17"/>
        </w:rPr>
        <w:t xml:space="preserve"> </w:t>
      </w:r>
      <w:r>
        <w:rPr>
          <w:rFonts w:ascii="inherit" w:hAnsi="inherit"/>
          <w:sz w:val="17"/>
        </w:rPr>
        <w:t>gas distribution utilities into a new public utility entity. The filing also requests the new entity adopt the terms and conditions of the existing tariffs.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i/>
          <w:sz w:val="17"/>
        </w:rPr>
      </w:pPr>
      <w:r>
        <w:rPr>
          <w:rFonts w:ascii="inherit" w:hAnsi="inherit"/>
          <w:i/>
          <w:sz w:val="17"/>
        </w:rPr>
        <w:t>Colorado</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On February 1, 2019, Colorado Gas filed a rate review with the CPUC requesting approval to consolidate the base rate areas, tariffs, terms and conditions and adjustment clauses of its two legacy utilities. The rate review also requests $2.5 million</w:t>
      </w:r>
      <w:r>
        <w:rPr>
          <w:sz w:val="17"/>
        </w:rPr>
        <w:t xml:space="preserve"> </w:t>
      </w:r>
      <w:r>
        <w:rPr>
          <w:rFonts w:ascii="inherit" w:hAnsi="inherit"/>
          <w:sz w:val="17"/>
        </w:rPr>
        <w:t xml:space="preserve">in new revenue to recover costs and investments in safety, reliability and system integrity.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bookmarkStart w:id="32" w:name="sC86BD85300D059BEB7B48117A8C2DCE4"/>
      <w:bookmarkStart w:id="33" w:name="sC86BD85300D059BEB7B48117A8C2DCE4"/>
      <w:bookmarkEnd w:id="33"/>
    </w:p>
    <w:p>
      <w:pPr>
        <w:pStyle w:val="TextBody"/>
        <w:spacing w:lineRule="auto" w:line="240" w:before="0" w:after="0"/>
        <w:jc w:val="left"/>
        <w:rPr>
          <w:sz w:val="17"/>
        </w:rPr>
      </w:pPr>
      <w:r>
        <w:rPr>
          <w:rFonts w:ascii="inherit" w:hAnsi="inherit"/>
          <w:sz w:val="17"/>
        </w:rPr>
        <w:t>(</w:t>
      </w:r>
      <w:r>
        <w:rPr>
          <w:rFonts w:ascii="inherit" w:hAnsi="inherit"/>
          <w:strike w:val="false"/>
          <w:dstrike w:val="false"/>
          <w:color w:val="000000"/>
          <w:sz w:val="17"/>
          <w:u w:val="none"/>
          <w:effect w:val="none"/>
        </w:rPr>
        <w:t>6</w:t>
      </w:r>
      <w:r>
        <w:rPr>
          <w:rFonts w:ascii="inherit" w:hAnsi="inherit"/>
          <w:sz w:val="17"/>
        </w:rPr>
        <w:t>)    MATERIALS, SUPPLIES AND FUEL</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amounts by major classification are included in Materials, supplies and fuel in the accompanying Condensed Consolidated Balance Sheets (in thousands) as of:</w:t>
      </w:r>
    </w:p>
    <w:tbl>
      <w:tblPr>
        <w:tblW w:w="8115" w:type="dxa"/>
        <w:jc w:val="center"/>
        <w:tblInd w:w="0" w:type="dxa"/>
        <w:tblCellMar>
          <w:top w:w="0" w:type="dxa"/>
          <w:left w:w="0" w:type="dxa"/>
          <w:bottom w:w="0" w:type="dxa"/>
          <w:right w:w="0" w:type="dxa"/>
        </w:tblCellMar>
      </w:tblPr>
      <w:tblGrid>
        <w:gridCol w:w="3590"/>
        <w:gridCol w:w="221"/>
        <w:gridCol w:w="1049"/>
        <w:gridCol w:w="53"/>
        <w:gridCol w:w="90"/>
        <w:gridCol w:w="247"/>
        <w:gridCol w:w="1377"/>
        <w:gridCol w:w="60"/>
        <w:gridCol w:w="90"/>
        <w:gridCol w:w="162"/>
        <w:gridCol w:w="767"/>
        <w:gridCol w:w="409"/>
      </w:tblGrid>
      <w:tr>
        <w:trPr/>
        <w:tc>
          <w:tcPr>
            <w:tcW w:w="8115" w:type="dxa"/>
            <w:gridSpan w:val="12"/>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90" w:type="dxa"/>
            <w:tcBorders/>
            <w:shd w:fill="auto" w:val="clear"/>
            <w:vAlign w:val="center"/>
          </w:tcPr>
          <w:p>
            <w:pPr>
              <w:pStyle w:val="TableContents"/>
              <w:spacing w:before="0" w:after="0"/>
              <w:ind w:left="0" w:right="0" w:firstLine="30"/>
              <w:rPr/>
            </w:pPr>
            <w:r>
              <w:rPr/>
              <w:t> </w:t>
            </w:r>
          </w:p>
        </w:tc>
        <w:tc>
          <w:tcPr>
            <w:tcW w:w="13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35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Materials and supplies</w:t>
            </w:r>
          </w:p>
        </w:tc>
        <w:tc>
          <w:tcPr>
            <w:tcW w:w="22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4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76,728</w:t>
            </w:r>
          </w:p>
        </w:tc>
        <w:tc>
          <w:tcPr>
            <w:tcW w:w="5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4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75,081</w:t>
            </w:r>
          </w:p>
        </w:tc>
        <w:tc>
          <w:tcPr>
            <w:tcW w:w="6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6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72,045</w:t>
            </w:r>
          </w:p>
        </w:tc>
        <w:tc>
          <w:tcPr>
            <w:tcW w:w="409"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Fuel - Electric Utilities</w:t>
            </w:r>
          </w:p>
        </w:tc>
        <w:tc>
          <w:tcPr>
            <w:tcW w:w="12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2,485</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2,850</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2,903</w:t>
            </w:r>
          </w:p>
        </w:tc>
        <w:tc>
          <w:tcPr>
            <w:tcW w:w="4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Natural gas in storage held for distribution</w:t>
            </w:r>
          </w:p>
        </w:tc>
        <w:tc>
          <w:tcPr>
            <w:tcW w:w="127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8,463</w:t>
            </w:r>
          </w:p>
        </w:tc>
        <w:tc>
          <w:tcPr>
            <w:tcW w:w="53"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62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39,368</w:t>
            </w:r>
          </w:p>
        </w:tc>
        <w:tc>
          <w:tcPr>
            <w:tcW w:w="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9"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7,097</w:t>
            </w:r>
          </w:p>
        </w:tc>
        <w:tc>
          <w:tcPr>
            <w:tcW w:w="409" w:type="dxa"/>
            <w:tcBorders>
              <w:bottom w:val="single" w:sz="2" w:space="0" w:color="000000"/>
            </w:tcBorders>
            <w:shd w:fill="CEFFE7"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materials, supplies and fuel</w:t>
            </w:r>
          </w:p>
        </w:tc>
        <w:tc>
          <w:tcPr>
            <w:tcW w:w="2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87,676</w:t>
            </w:r>
          </w:p>
        </w:tc>
        <w:tc>
          <w:tcPr>
            <w:tcW w:w="5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117,299</w:t>
            </w:r>
          </w:p>
        </w:tc>
        <w:tc>
          <w:tcPr>
            <w:tcW w:w="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82,045</w:t>
            </w:r>
          </w:p>
        </w:tc>
        <w:tc>
          <w:tcPr>
            <w:tcW w:w="40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bookmarkStart w:id="34" w:name="s8DC91339EF5F51F3841E4CCA9CDE1852"/>
      <w:bookmarkStart w:id="35" w:name="s8DC91339EF5F51F3841E4CCA9CDE1852"/>
      <w:bookmarkEnd w:id="35"/>
    </w:p>
    <w:p>
      <w:pPr>
        <w:pStyle w:val="TextBody"/>
        <w:spacing w:lineRule="auto" w:line="240" w:before="0" w:after="0"/>
        <w:jc w:val="left"/>
        <w:rPr>
          <w:sz w:val="17"/>
        </w:rPr>
      </w:pPr>
      <w:r>
        <w:rPr>
          <w:rFonts w:ascii="inherit" w:hAnsi="inherit"/>
          <w:sz w:val="17"/>
        </w:rPr>
        <w:t>(</w:t>
      </w:r>
      <w:r>
        <w:rPr>
          <w:rFonts w:ascii="inherit" w:hAnsi="inherit"/>
          <w:strike w:val="false"/>
          <w:dstrike w:val="false"/>
          <w:color w:val="000000"/>
          <w:sz w:val="17"/>
          <w:u w:val="none"/>
          <w:effect w:val="none"/>
        </w:rPr>
        <w:t>7</w:t>
      </w:r>
      <w:r>
        <w:rPr>
          <w:rFonts w:ascii="inherit" w:hAnsi="inherit"/>
          <w:sz w:val="17"/>
        </w:rPr>
        <w:t>)    EARNINGS PER SHARE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 reconciliation of share amounts used to compute Earnings (loss) per share in the accompanying Condensed Consolidated Statements of Income was as follows (in thousands):</w:t>
      </w:r>
    </w:p>
    <w:tbl>
      <w:tblPr>
        <w:tblW w:w="5991" w:type="dxa"/>
        <w:jc w:val="center"/>
        <w:tblInd w:w="0" w:type="dxa"/>
        <w:tblCellMar>
          <w:top w:w="0" w:type="dxa"/>
          <w:left w:w="0" w:type="dxa"/>
          <w:bottom w:w="0" w:type="dxa"/>
          <w:right w:w="0" w:type="dxa"/>
        </w:tblCellMar>
      </w:tblPr>
      <w:tblGrid>
        <w:gridCol w:w="3365"/>
        <w:gridCol w:w="165"/>
        <w:gridCol w:w="920"/>
        <w:gridCol w:w="39"/>
        <w:gridCol w:w="165"/>
        <w:gridCol w:w="920"/>
        <w:gridCol w:w="417"/>
      </w:tblGrid>
      <w:tr>
        <w:trPr/>
        <w:tc>
          <w:tcPr>
            <w:tcW w:w="5991" w:type="dxa"/>
            <w:gridSpan w:val="7"/>
            <w:tcBorders/>
            <w:shd w:fill="auto" w:val="clear"/>
            <w:vAlign w:val="center"/>
          </w:tcPr>
          <w:p>
            <w:pPr>
              <w:pStyle w:val="TableContents"/>
              <w:spacing w:before="0" w:after="283"/>
              <w:rPr>
                <w:sz w:val="4"/>
                <w:szCs w:val="4"/>
              </w:rPr>
            </w:pPr>
            <w:r>
              <w:rPr>
                <w:sz w:val="4"/>
                <w:szCs w:val="4"/>
              </w:rPr>
            </w:r>
          </w:p>
        </w:tc>
      </w:tr>
      <w:tr>
        <w:trPr/>
        <w:tc>
          <w:tcPr>
            <w:tcW w:w="33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65" w:type="dxa"/>
            <w:tcBorders/>
            <w:shd w:fill="auto" w:val="clear"/>
            <w:vAlign w:val="center"/>
          </w:tcPr>
          <w:p>
            <w:pPr>
              <w:pStyle w:val="TableContents"/>
              <w:spacing w:before="0" w:after="0"/>
              <w:ind w:left="0" w:right="0" w:firstLine="30"/>
              <w:rPr/>
            </w:pPr>
            <w:r>
              <w:rPr/>
              <w:t> </w:t>
            </w:r>
          </w:p>
        </w:tc>
        <w:tc>
          <w:tcPr>
            <w:tcW w:w="2626"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3365" w:type="dxa"/>
            <w:tcBorders/>
            <w:shd w:fill="auto" w:val="clear"/>
            <w:vAlign w:val="center"/>
          </w:tcPr>
          <w:p>
            <w:pPr>
              <w:pStyle w:val="TableContents"/>
              <w:spacing w:before="0" w:after="0"/>
              <w:ind w:left="0" w:right="0" w:firstLine="30"/>
              <w:rPr/>
            </w:pPr>
            <w:r>
              <w:rPr/>
              <w:t> </w:t>
            </w:r>
          </w:p>
        </w:tc>
        <w:tc>
          <w:tcPr>
            <w:tcW w:w="11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5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3365" w:type="dxa"/>
            <w:tcBorders/>
            <w:shd w:fill="auto" w:val="clear"/>
            <w:vAlign w:val="center"/>
          </w:tcPr>
          <w:p>
            <w:pPr>
              <w:pStyle w:val="TableContents"/>
              <w:spacing w:before="0" w:after="0"/>
              <w:ind w:left="0" w:right="0" w:firstLine="30"/>
              <w:rPr/>
            </w:pPr>
            <w:r>
              <w:rPr/>
              <w:t> </w:t>
            </w:r>
          </w:p>
        </w:tc>
        <w:tc>
          <w:tcPr>
            <w:tcW w:w="1124" w:type="dxa"/>
            <w:gridSpan w:val="3"/>
            <w:tcBorders/>
            <w:shd w:fill="auto" w:val="clear"/>
            <w:vAlign w:val="center"/>
          </w:tcPr>
          <w:p>
            <w:pPr>
              <w:pStyle w:val="TableContents"/>
              <w:spacing w:before="0" w:after="0"/>
              <w:ind w:left="0" w:right="0" w:firstLine="30"/>
              <w:rPr/>
            </w:pPr>
            <w:r>
              <w:rPr/>
              <w:t> </w:t>
            </w:r>
          </w:p>
        </w:tc>
        <w:tc>
          <w:tcPr>
            <w:tcW w:w="1502" w:type="dxa"/>
            <w:gridSpan w:val="3"/>
            <w:tcBorders/>
            <w:shd w:fill="auto" w:val="clear"/>
            <w:vAlign w:val="center"/>
          </w:tcPr>
          <w:p>
            <w:pPr>
              <w:pStyle w:val="TableContents"/>
              <w:spacing w:before="0" w:after="0"/>
              <w:ind w:left="0" w:right="0" w:firstLine="30"/>
              <w:rPr/>
            </w:pPr>
            <w:r>
              <w:rPr/>
              <w:t> </w:t>
            </w:r>
          </w:p>
        </w:tc>
      </w:tr>
      <w:tr>
        <w:trPr/>
        <w:tc>
          <w:tcPr>
            <w:tcW w:w="336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income available for common stock</w:t>
            </w:r>
          </w:p>
        </w:tc>
        <w:tc>
          <w:tcPr>
            <w:tcW w:w="165"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0"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103,808</w:t>
            </w:r>
          </w:p>
        </w:tc>
        <w:tc>
          <w:tcPr>
            <w:tcW w:w="39"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5"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0"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133,004</w:t>
            </w:r>
          </w:p>
        </w:tc>
        <w:tc>
          <w:tcPr>
            <w:tcW w:w="417"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5" w:type="dxa"/>
            <w:tcBorders/>
            <w:shd w:fill="auto" w:val="clear"/>
            <w:vAlign w:val="center"/>
          </w:tcPr>
          <w:p>
            <w:pPr>
              <w:pStyle w:val="TableContents"/>
              <w:spacing w:before="0" w:after="0"/>
              <w:ind w:left="0" w:right="0" w:firstLine="30"/>
              <w:rPr/>
            </w:pPr>
            <w:r>
              <w:rPr/>
              <w:t> </w:t>
            </w:r>
          </w:p>
        </w:tc>
        <w:tc>
          <w:tcPr>
            <w:tcW w:w="1124" w:type="dxa"/>
            <w:gridSpan w:val="3"/>
            <w:tcBorders/>
            <w:shd w:fill="auto" w:val="clear"/>
            <w:vAlign w:val="center"/>
          </w:tcPr>
          <w:p>
            <w:pPr>
              <w:pStyle w:val="TableContents"/>
              <w:spacing w:before="0" w:after="0"/>
              <w:ind w:left="0" w:right="0" w:firstLine="30"/>
              <w:rPr/>
            </w:pPr>
            <w:r>
              <w:rPr/>
              <w:t> </w:t>
            </w:r>
          </w:p>
        </w:tc>
        <w:tc>
          <w:tcPr>
            <w:tcW w:w="1502" w:type="dxa"/>
            <w:gridSpan w:val="3"/>
            <w:tcBorders/>
            <w:shd w:fill="auto" w:val="clear"/>
            <w:vAlign w:val="center"/>
          </w:tcPr>
          <w:p>
            <w:pPr>
              <w:pStyle w:val="TableContents"/>
              <w:spacing w:before="0" w:after="0"/>
              <w:ind w:left="0" w:right="0" w:firstLine="30"/>
              <w:rPr/>
            </w:pPr>
            <w:r>
              <w:rPr/>
              <w:t> </w:t>
            </w:r>
          </w:p>
        </w:tc>
      </w:tr>
      <w:tr>
        <w:trPr/>
        <w:tc>
          <w:tcPr>
            <w:tcW w:w="336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 basic</w:t>
            </w:r>
          </w:p>
        </w:tc>
        <w:tc>
          <w:tcPr>
            <w:tcW w:w="108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59,920</w:t>
            </w:r>
          </w:p>
        </w:tc>
        <w:tc>
          <w:tcPr>
            <w:tcW w:w="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53,319</w:t>
            </w:r>
          </w:p>
        </w:tc>
        <w:tc>
          <w:tcPr>
            <w:tcW w:w="41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w:t>
            </w:r>
          </w:p>
        </w:tc>
        <w:tc>
          <w:tcPr>
            <w:tcW w:w="1124" w:type="dxa"/>
            <w:gridSpan w:val="3"/>
            <w:tcBorders/>
            <w:shd w:fill="auto" w:val="clear"/>
            <w:vAlign w:val="center"/>
          </w:tcPr>
          <w:p>
            <w:pPr>
              <w:pStyle w:val="TableContents"/>
              <w:spacing w:before="0" w:after="0"/>
              <w:ind w:left="0" w:right="0" w:firstLine="30"/>
              <w:rPr/>
            </w:pPr>
            <w:r>
              <w:rPr/>
              <w:t> </w:t>
            </w:r>
          </w:p>
        </w:tc>
        <w:tc>
          <w:tcPr>
            <w:tcW w:w="1502" w:type="dxa"/>
            <w:gridSpan w:val="3"/>
            <w:tcBorders/>
            <w:shd w:fill="auto" w:val="clear"/>
            <w:vAlign w:val="center"/>
          </w:tcPr>
          <w:p>
            <w:pPr>
              <w:pStyle w:val="TableContents"/>
              <w:spacing w:before="0" w:after="0"/>
              <w:ind w:left="0" w:right="0" w:firstLine="300"/>
              <w:rPr/>
            </w:pPr>
            <w:r>
              <w:rPr/>
              <w:t> </w:t>
            </w:r>
          </w:p>
        </w:tc>
      </w:tr>
      <w:tr>
        <w:trPr/>
        <w:tc>
          <w:tcPr>
            <w:tcW w:w="336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Equity Units </w:t>
            </w:r>
            <w:r>
              <w:rPr>
                <w:rFonts w:ascii="inherit" w:hAnsi="inherit"/>
                <w:sz w:val="12"/>
              </w:rPr>
              <w:t>(a)</w:t>
            </w:r>
          </w:p>
        </w:tc>
        <w:tc>
          <w:tcPr>
            <w:tcW w:w="1085" w:type="dxa"/>
            <w:gridSpan w:val="2"/>
            <w:tcBorders/>
            <w:shd w:fill="CEFFE7" w:val="clear"/>
            <w:vAlign w:val="center"/>
          </w:tcPr>
          <w:p>
            <w:pPr>
              <w:pStyle w:val="TableContents"/>
              <w:spacing w:before="0" w:after="0"/>
              <w:jc w:val="right"/>
              <w:rPr/>
            </w:pPr>
            <w:r>
              <w:rPr/>
              <w:t>—</w:t>
            </w:r>
          </w:p>
        </w:tc>
        <w:tc>
          <w:tcPr>
            <w:tcW w:w="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733</w:t>
            </w:r>
          </w:p>
        </w:tc>
        <w:tc>
          <w:tcPr>
            <w:tcW w:w="417"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compensation</w:t>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w:t>
            </w:r>
          </w:p>
        </w:tc>
        <w:tc>
          <w:tcPr>
            <w:tcW w:w="4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 diluted</w:t>
            </w:r>
          </w:p>
        </w:tc>
        <w:tc>
          <w:tcPr>
            <w:tcW w:w="1085" w:type="dxa"/>
            <w:gridSpan w:val="2"/>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60,060</w:t>
            </w:r>
          </w:p>
        </w:tc>
        <w:tc>
          <w:tcPr>
            <w:tcW w:w="3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5" w:type="dxa"/>
            <w:gridSpan w:val="2"/>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54,122</w:t>
            </w:r>
          </w:p>
        </w:tc>
        <w:tc>
          <w:tcPr>
            <w:tcW w:w="41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t>__________</w:t>
      </w:r>
    </w:p>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sz w:val="4"/>
                <w:szCs w:val="4"/>
              </w:rPr>
            </w:pPr>
            <w:r>
              <w:rPr>
                <w:sz w:val="4"/>
                <w:szCs w:val="4"/>
              </w:rPr>
            </w:r>
          </w:p>
        </w:tc>
        <w:tc>
          <w:tcPr>
            <w:tcW w:w="9980" w:type="dxa"/>
            <w:tcBorders/>
            <w:shd w:fill="auto" w:val="clear"/>
            <w:vAlign w:val="center"/>
          </w:tcPr>
          <w:p>
            <w:pPr>
              <w:pStyle w:val="TableContents"/>
              <w:spacing w:before="0" w:after="283"/>
              <w:rPr>
                <w:sz w:val="4"/>
                <w:szCs w:val="4"/>
              </w:rPr>
            </w:pPr>
            <w:r>
              <w:rPr>
                <w:sz w:val="4"/>
                <w:szCs w:val="4"/>
              </w:rPr>
            </w:r>
          </w:p>
        </w:tc>
      </w:tr>
      <w:tr>
        <w:trPr/>
        <w:tc>
          <w:tcPr>
            <w:tcW w:w="22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0" w:type="dxa"/>
            <w:tcBorders/>
            <w:shd w:fill="auto" w:val="clear"/>
            <w:vAlign w:val="center"/>
          </w:tcPr>
          <w:p>
            <w:pPr>
              <w:pStyle w:val="TableContents"/>
              <w:spacing w:lineRule="auto" w:line="288" w:before="0" w:after="0"/>
              <w:rPr>
                <w:rFonts w:ascii="inherit" w:hAnsi="inherit"/>
                <w:sz w:val="15"/>
              </w:rPr>
            </w:pPr>
            <w:r>
              <w:rPr>
                <w:rFonts w:ascii="inherit" w:hAnsi="inherit"/>
                <w:sz w:val="15"/>
              </w:rPr>
              <w:t>Calculated using the treasury stock method. On November 1, 2018, we completed settlement of the stock purchase contracts that are components of the Equity Units issued in November 2015.</w:t>
            </w:r>
          </w:p>
        </w:tc>
      </w:tr>
    </w:tbl>
    <w:p>
      <w:pPr>
        <w:pStyle w:val="TextBody"/>
        <w:spacing w:lineRule="auto" w:line="288" w:before="0" w:after="0"/>
        <w:ind w:left="0" w:right="0" w:hanging="360"/>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t>The following outstanding securities were excluded in the computation of diluted net income (loss) per share as their inclusion would have been anti-dilutive (in thousands):</w:t>
      </w:r>
    </w:p>
    <w:tbl>
      <w:tblPr>
        <w:tblW w:w="4448" w:type="dxa"/>
        <w:jc w:val="center"/>
        <w:tblInd w:w="0" w:type="dxa"/>
        <w:tblCellMar>
          <w:top w:w="0" w:type="dxa"/>
          <w:left w:w="0" w:type="dxa"/>
          <w:bottom w:w="0" w:type="dxa"/>
          <w:right w:w="0" w:type="dxa"/>
        </w:tblCellMar>
      </w:tblPr>
      <w:tblGrid>
        <w:gridCol w:w="1820"/>
        <w:gridCol w:w="565"/>
        <w:gridCol w:w="134"/>
        <w:gridCol w:w="1040"/>
        <w:gridCol w:w="889"/>
      </w:tblGrid>
      <w:tr>
        <w:trPr/>
        <w:tc>
          <w:tcPr>
            <w:tcW w:w="4448" w:type="dxa"/>
            <w:gridSpan w:val="5"/>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20" w:type="dxa"/>
            <w:tcBorders/>
            <w:shd w:fill="auto" w:val="clear"/>
            <w:vAlign w:val="center"/>
          </w:tcPr>
          <w:p>
            <w:pPr>
              <w:pStyle w:val="TableContents"/>
              <w:spacing w:before="0" w:after="0"/>
              <w:ind w:left="0" w:right="0" w:firstLine="30"/>
              <w:rPr/>
            </w:pPr>
            <w:r>
              <w:rPr/>
              <w:t> </w:t>
            </w:r>
          </w:p>
        </w:tc>
        <w:tc>
          <w:tcPr>
            <w:tcW w:w="2628" w:type="dxa"/>
            <w:gridSpan w:val="4"/>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1820" w:type="dxa"/>
            <w:tcBorders/>
            <w:shd w:fill="auto" w:val="clear"/>
            <w:vAlign w:val="center"/>
          </w:tcPr>
          <w:p>
            <w:pPr>
              <w:pStyle w:val="TableContents"/>
              <w:spacing w:before="0" w:after="0"/>
              <w:ind w:left="0" w:right="0" w:firstLine="30"/>
              <w:rPr/>
            </w:pPr>
            <w:r>
              <w:rPr/>
              <w:t> </w:t>
            </w:r>
          </w:p>
        </w:tc>
        <w:tc>
          <w:tcPr>
            <w:tcW w:w="69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9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1820" w:type="dxa"/>
            <w:tcBorders/>
            <w:shd w:fill="auto" w:val="clear"/>
            <w:vAlign w:val="center"/>
          </w:tcPr>
          <w:p>
            <w:pPr>
              <w:pStyle w:val="TableContents"/>
              <w:spacing w:before="0" w:after="0"/>
              <w:ind w:left="0" w:right="0" w:firstLine="30"/>
              <w:rPr/>
            </w:pPr>
            <w:r>
              <w:rPr/>
              <w:t> </w:t>
            </w:r>
          </w:p>
        </w:tc>
        <w:tc>
          <w:tcPr>
            <w:tcW w:w="699" w:type="dxa"/>
            <w:gridSpan w:val="2"/>
            <w:tcBorders/>
            <w:shd w:fill="auto" w:val="clear"/>
            <w:vAlign w:val="center"/>
          </w:tcPr>
          <w:p>
            <w:pPr>
              <w:pStyle w:val="TableContents"/>
              <w:spacing w:before="0" w:after="0"/>
              <w:ind w:left="0" w:right="0" w:firstLine="30"/>
              <w:rPr/>
            </w:pPr>
            <w:r>
              <w:rPr/>
              <w:t> </w:t>
            </w:r>
          </w:p>
        </w:tc>
        <w:tc>
          <w:tcPr>
            <w:tcW w:w="1929" w:type="dxa"/>
            <w:gridSpan w:val="2"/>
            <w:tcBorders/>
            <w:shd w:fill="auto" w:val="clear"/>
            <w:vAlign w:val="center"/>
          </w:tcPr>
          <w:p>
            <w:pPr>
              <w:pStyle w:val="TableContents"/>
              <w:spacing w:before="0" w:after="0"/>
              <w:ind w:left="0" w:right="0" w:firstLine="30"/>
              <w:rPr/>
            </w:pPr>
            <w:r>
              <w:rPr/>
              <w:t> </w:t>
            </w:r>
          </w:p>
        </w:tc>
      </w:tr>
      <w:tr>
        <w:trPr/>
        <w:tc>
          <w:tcPr>
            <w:tcW w:w="182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Equity compensation</w:t>
            </w:r>
          </w:p>
        </w:tc>
        <w:tc>
          <w:tcPr>
            <w:tcW w:w="565" w:type="dxa"/>
            <w:tcBorders/>
            <w:shd w:fill="CEFFE7" w:val="clear"/>
            <w:vAlign w:val="center"/>
          </w:tcPr>
          <w:p>
            <w:pPr>
              <w:pStyle w:val="TableContents"/>
              <w:spacing w:before="0" w:after="0"/>
              <w:jc w:val="right"/>
              <w:rPr>
                <w:rFonts w:ascii="inherit" w:hAnsi="inherit"/>
                <w:sz w:val="17"/>
              </w:rPr>
            </w:pPr>
            <w:r>
              <w:rPr>
                <w:rFonts w:ascii="inherit" w:hAnsi="inherit"/>
                <w:sz w:val="17"/>
              </w:rPr>
              <w:t>6</w:t>
            </w:r>
          </w:p>
        </w:tc>
        <w:tc>
          <w:tcPr>
            <w:tcW w:w="1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0" w:type="dxa"/>
            <w:tcBorders/>
            <w:shd w:fill="CEFFE7" w:val="clear"/>
            <w:vAlign w:val="center"/>
          </w:tcPr>
          <w:p>
            <w:pPr>
              <w:pStyle w:val="TableContents"/>
              <w:spacing w:before="0" w:after="0"/>
              <w:jc w:val="right"/>
              <w:rPr>
                <w:rFonts w:ascii="inherit" w:hAnsi="inherit"/>
                <w:sz w:val="17"/>
              </w:rPr>
            </w:pPr>
            <w:r>
              <w:rPr>
                <w:rFonts w:ascii="inherit" w:hAnsi="inherit"/>
                <w:sz w:val="17"/>
              </w:rPr>
              <w:t>71</w:t>
            </w:r>
          </w:p>
        </w:tc>
        <w:tc>
          <w:tcPr>
            <w:tcW w:w="889"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Anti-dilutive shares</w:t>
            </w:r>
          </w:p>
        </w:tc>
        <w:tc>
          <w:tcPr>
            <w:tcW w:w="5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3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w:t>
            </w:r>
          </w:p>
        </w:tc>
        <w:tc>
          <w:tcPr>
            <w:tcW w:w="8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3"/>
        </w:rPr>
      </w:pPr>
      <w:r>
        <w:rPr>
          <w:rFonts w:ascii="inherit" w:hAnsi="inherit"/>
          <w:sz w:val="13"/>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jc w:val="right"/>
        <w:rPr>
          <w:rFonts w:ascii="inherit" w:hAnsi="inherit"/>
          <w:sz w:val="17"/>
        </w:rPr>
      </w:pPr>
      <w:r>
        <w:rPr>
          <w:rFonts w:ascii="inherit" w:hAnsi="inherit"/>
          <w:sz w:val="17"/>
        </w:rPr>
      </w:r>
      <w:bookmarkStart w:id="36" w:name="sB2B8CCB831C657BF84A07B204C8A6DBD"/>
      <w:bookmarkStart w:id="37" w:name="sB2B8CCB831C657BF84A07B204C8A6DBD"/>
      <w:bookmarkEnd w:id="37"/>
    </w:p>
    <w:p>
      <w:pPr>
        <w:pStyle w:val="TextBody"/>
        <w:spacing w:before="0" w:after="0"/>
        <w:rPr/>
      </w:pPr>
      <w:r>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sz w:val="17"/>
        </w:rPr>
      </w:pPr>
      <w:r>
        <w:rPr>
          <w:rFonts w:ascii="inherit" w:hAnsi="inherit"/>
          <w:sz w:val="17"/>
        </w:rPr>
        <w:t>(</w:t>
      </w:r>
      <w:r>
        <w:rPr>
          <w:rFonts w:ascii="inherit" w:hAnsi="inherit"/>
          <w:strike w:val="false"/>
          <w:dstrike w:val="false"/>
          <w:color w:val="000000"/>
          <w:sz w:val="17"/>
          <w:u w:val="none"/>
          <w:effect w:val="none"/>
        </w:rPr>
        <w:t>8</w:t>
      </w:r>
      <w:r>
        <w:rPr>
          <w:rFonts w:ascii="inherit" w:hAnsi="inherit"/>
          <w:sz w:val="17"/>
        </w:rPr>
        <w:t>)    NOTES PAYABLE, CURRENT MATURITIES AND DEBT</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had the following notes payable outstanding in the accompanying Condensed Consolidated Balance Sheets (in thousands) as of:</w:t>
      </w:r>
    </w:p>
    <w:tbl>
      <w:tblPr>
        <w:tblW w:w="10205" w:type="dxa"/>
        <w:jc w:val="center"/>
        <w:tblInd w:w="0" w:type="dxa"/>
        <w:tblCellMar>
          <w:top w:w="0" w:type="dxa"/>
          <w:left w:w="0" w:type="dxa"/>
          <w:bottom w:w="0" w:type="dxa"/>
          <w:right w:w="0" w:type="dxa"/>
        </w:tblCellMar>
      </w:tblPr>
      <w:tblGrid>
        <w:gridCol w:w="1753"/>
        <w:gridCol w:w="232"/>
        <w:gridCol w:w="1295"/>
        <w:gridCol w:w="57"/>
        <w:gridCol w:w="203"/>
        <w:gridCol w:w="960"/>
        <w:gridCol w:w="48"/>
        <w:gridCol w:w="232"/>
        <w:gridCol w:w="1295"/>
        <w:gridCol w:w="57"/>
        <w:gridCol w:w="203"/>
        <w:gridCol w:w="961"/>
        <w:gridCol w:w="47"/>
        <w:gridCol w:w="232"/>
        <w:gridCol w:w="1295"/>
        <w:gridCol w:w="57"/>
        <w:gridCol w:w="174"/>
        <w:gridCol w:w="824"/>
        <w:gridCol w:w="280"/>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53" w:type="dxa"/>
            <w:tcBorders/>
            <w:shd w:fill="auto" w:val="clear"/>
            <w:vAlign w:val="center"/>
          </w:tcPr>
          <w:p>
            <w:pPr>
              <w:pStyle w:val="TableContents"/>
              <w:spacing w:before="0" w:after="0"/>
              <w:ind w:left="0" w:right="0" w:firstLine="30"/>
              <w:rPr/>
            </w:pPr>
            <w:r>
              <w:rPr/>
              <w:t> </w:t>
            </w:r>
          </w:p>
        </w:tc>
        <w:tc>
          <w:tcPr>
            <w:tcW w:w="279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279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2862"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1753" w:type="dxa"/>
            <w:tcBorders/>
            <w:shd w:fill="auto" w:val="clear"/>
            <w:vAlign w:val="center"/>
          </w:tcPr>
          <w:p>
            <w:pPr>
              <w:pStyle w:val="TableContents"/>
              <w:spacing w:before="0" w:after="0"/>
              <w:ind w:left="0" w:right="0" w:firstLine="30"/>
              <w:rPr/>
            </w:pPr>
            <w:r>
              <w:rPr/>
              <w:t> </w:t>
            </w:r>
          </w:p>
        </w:tc>
        <w:tc>
          <w:tcPr>
            <w:tcW w:w="15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Balance Outstanding</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Letters of Credit</w:t>
            </w:r>
          </w:p>
        </w:tc>
        <w:tc>
          <w:tcPr>
            <w:tcW w:w="15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Balance Outstanding</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Letters of Credit</w:t>
            </w:r>
          </w:p>
        </w:tc>
        <w:tc>
          <w:tcPr>
            <w:tcW w:w="15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Balance Outstanding</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Letters of Credit</w:t>
            </w:r>
          </w:p>
        </w:tc>
      </w:tr>
      <w:tr>
        <w:trPr/>
        <w:tc>
          <w:tcPr>
            <w:tcW w:w="175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Revolving Credit Facility</w:t>
            </w:r>
          </w:p>
        </w:tc>
        <w:tc>
          <w:tcPr>
            <w:tcW w:w="23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top w:val="single" w:sz="2" w:space="0" w:color="000000"/>
            </w:tcBorders>
            <w:shd w:fill="CEFFE7" w:val="clear"/>
            <w:tcMar>
              <w:top w:w="30" w:type="dxa"/>
            </w:tcMar>
            <w:vAlign w:val="center"/>
          </w:tcPr>
          <w:p>
            <w:pPr>
              <w:pStyle w:val="TableContents"/>
              <w:spacing w:before="0" w:after="0"/>
              <w:jc w:val="right"/>
              <w:rPr/>
            </w:pPr>
            <w:r>
              <w:rPr/>
              <w:t>—</w:t>
            </w:r>
          </w:p>
        </w:tc>
        <w:tc>
          <w:tcPr>
            <w:tcW w:w="5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3"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CEFFE7" w:val="clear"/>
            <w:vAlign w:val="center"/>
          </w:tcPr>
          <w:p>
            <w:pPr>
              <w:pStyle w:val="TableContents"/>
              <w:spacing w:before="0" w:after="0"/>
              <w:jc w:val="right"/>
              <w:rPr>
                <w:rFonts w:ascii="inherit" w:hAnsi="inherit"/>
                <w:sz w:val="17"/>
              </w:rPr>
            </w:pPr>
            <w:r>
              <w:rPr>
                <w:rFonts w:ascii="inherit" w:hAnsi="inherit"/>
                <w:sz w:val="17"/>
              </w:rPr>
              <w:t>14,006</w:t>
            </w:r>
          </w:p>
        </w:tc>
        <w:tc>
          <w:tcPr>
            <w:tcW w:w="4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top w:val="single" w:sz="2" w:space="0" w:color="000000"/>
            </w:tcBorders>
            <w:shd w:fill="CEFFE7" w:val="clear"/>
            <w:tcMar>
              <w:top w:w="30" w:type="dxa"/>
            </w:tcMar>
            <w:vAlign w:val="center"/>
          </w:tcPr>
          <w:p>
            <w:pPr>
              <w:pStyle w:val="TableContents"/>
              <w:spacing w:before="0" w:after="0"/>
              <w:jc w:val="right"/>
              <w:rPr/>
            </w:pPr>
            <w:r>
              <w:rPr/>
              <w:t>—</w:t>
            </w:r>
          </w:p>
        </w:tc>
        <w:tc>
          <w:tcPr>
            <w:tcW w:w="5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3"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CEFFE7" w:val="clear"/>
            <w:vAlign w:val="center"/>
          </w:tcPr>
          <w:p>
            <w:pPr>
              <w:pStyle w:val="TableContents"/>
              <w:spacing w:before="0" w:after="0"/>
              <w:jc w:val="right"/>
              <w:rPr>
                <w:rFonts w:ascii="inherit" w:hAnsi="inherit"/>
                <w:sz w:val="17"/>
              </w:rPr>
            </w:pPr>
            <w:r>
              <w:rPr>
                <w:rFonts w:ascii="inherit" w:hAnsi="inherit"/>
                <w:sz w:val="17"/>
              </w:rPr>
              <w:t>22,310</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top w:val="single" w:sz="2" w:space="0" w:color="000000"/>
            </w:tcBorders>
            <w:shd w:fill="CEFFE7" w:val="clear"/>
            <w:tcMar>
              <w:top w:w="30" w:type="dxa"/>
            </w:tcMar>
            <w:vAlign w:val="center"/>
          </w:tcPr>
          <w:p>
            <w:pPr>
              <w:pStyle w:val="TableContents"/>
              <w:spacing w:before="0" w:after="0"/>
              <w:jc w:val="right"/>
              <w:rPr/>
            </w:pPr>
            <w:r>
              <w:rPr/>
              <w:t>—</w:t>
            </w:r>
          </w:p>
        </w:tc>
        <w:tc>
          <w:tcPr>
            <w:tcW w:w="5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4"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15,830</w:t>
            </w:r>
          </w:p>
        </w:tc>
        <w:tc>
          <w:tcPr>
            <w:tcW w:w="28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CP Program</w:t>
            </w:r>
          </w:p>
        </w:tc>
        <w:tc>
          <w:tcPr>
            <w:tcW w:w="15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164,650</w:t>
            </w:r>
          </w:p>
        </w:tc>
        <w:tc>
          <w:tcPr>
            <w:tcW w:w="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185,620</w:t>
            </w:r>
          </w:p>
        </w:tc>
        <w:tc>
          <w:tcPr>
            <w:tcW w:w="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164,200</w:t>
            </w:r>
          </w:p>
        </w:tc>
        <w:tc>
          <w:tcPr>
            <w:tcW w:w="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80"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75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32"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164,650</w:t>
            </w:r>
          </w:p>
        </w:tc>
        <w:tc>
          <w:tcPr>
            <w:tcW w:w="57"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3"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14,006</w:t>
            </w:r>
          </w:p>
        </w:tc>
        <w:tc>
          <w:tcPr>
            <w:tcW w:w="48"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185,620</w:t>
            </w:r>
          </w:p>
        </w:tc>
        <w:tc>
          <w:tcPr>
            <w:tcW w:w="57"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3"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22,310</w:t>
            </w:r>
          </w:p>
        </w:tc>
        <w:tc>
          <w:tcPr>
            <w:tcW w:w="47"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5"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164,200</w:t>
            </w:r>
          </w:p>
        </w:tc>
        <w:tc>
          <w:tcPr>
            <w:tcW w:w="57"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4"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4"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15,830</w:t>
            </w:r>
          </w:p>
        </w:tc>
        <w:tc>
          <w:tcPr>
            <w:tcW w:w="280" w:type="dxa"/>
            <w:tcBorders>
              <w:bottom w:val="double" w:sz="6" w:space="0" w:color="000000"/>
            </w:tcBorders>
            <w:shd w:fill="CEFFE7"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Revolving Credit Facility and CP Program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On July 30, 2018, we amended and restated our corporate Revolving Credit Facility, maintaining total commitments of $750 million</w:t>
      </w:r>
      <w:r>
        <w:rPr>
          <w:sz w:val="17"/>
        </w:rPr>
        <w:t xml:space="preserve"> </w:t>
      </w:r>
      <w:r>
        <w:rPr>
          <w:rFonts w:ascii="inherit" w:hAnsi="inherit"/>
          <w:sz w:val="17"/>
        </w:rPr>
        <w:t>and extending the term through July 30, 2023</w:t>
      </w:r>
      <w:r>
        <w:rPr>
          <w:sz w:val="17"/>
        </w:rPr>
        <w:t xml:space="preserve"> </w:t>
      </w:r>
      <w:r>
        <w:rPr>
          <w:rFonts w:ascii="inherit" w:hAnsi="inherit"/>
          <w:sz w:val="17"/>
        </w:rPr>
        <w:t>with two</w:t>
      </w:r>
      <w:r>
        <w:rPr>
          <w:sz w:val="17"/>
        </w:rPr>
        <w:t xml:space="preserve"> </w:t>
      </w:r>
      <w:r>
        <w:rPr>
          <w:rFonts w:ascii="inherit" w:hAnsi="inherit"/>
          <w:sz w:val="17"/>
        </w:rPr>
        <w:t>one year</w:t>
      </w:r>
      <w:r>
        <w:rPr>
          <w:sz w:val="17"/>
        </w:rPr>
        <w:t xml:space="preserve"> </w:t>
      </w:r>
      <w:r>
        <w:rPr>
          <w:rFonts w:ascii="inherit" w:hAnsi="inherit"/>
          <w:sz w:val="17"/>
        </w:rPr>
        <w:t xml:space="preserve">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w:t>
      </w:r>
      <w:r>
        <w:rPr>
          <w:rFonts w:ascii="inherit" w:hAnsi="inherit"/>
          <w:strike w:val="false"/>
          <w:dstrike w:val="false"/>
          <w:color w:val="000000"/>
          <w:sz w:val="17"/>
          <w:u w:val="none"/>
          <w:effect w:val="none"/>
        </w:rPr>
        <w:t>$1.0 billion</w:t>
      </w:r>
      <w:r>
        <w:rPr>
          <w:rFonts w:ascii="inherit" w:hAnsi="inherit"/>
          <w:sz w:val="17"/>
        </w:rPr>
        <w:t xml:space="preserve">.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w:t>
      </w:r>
      <w:r>
        <w:rPr>
          <w:rFonts w:ascii="inherit" w:hAnsi="inherit"/>
          <w:strike w:val="false"/>
          <w:dstrike w:val="false"/>
          <w:color w:val="000000"/>
          <w:sz w:val="17"/>
          <w:u w:val="none"/>
          <w:effect w:val="none"/>
        </w:rPr>
        <w:t>0.125%</w:t>
      </w:r>
      <w:r>
        <w:rPr>
          <w:rFonts w:ascii="inherit" w:hAnsi="inherit"/>
          <w:sz w:val="17"/>
        </w:rPr>
        <w:t xml:space="preserve">, </w:t>
      </w:r>
      <w:r>
        <w:rPr>
          <w:rFonts w:ascii="inherit" w:hAnsi="inherit"/>
          <w:strike w:val="false"/>
          <w:dstrike w:val="false"/>
          <w:color w:val="000000"/>
          <w:sz w:val="17"/>
          <w:u w:val="none"/>
          <w:effect w:val="none"/>
        </w:rPr>
        <w:t>1.125%</w:t>
      </w:r>
      <w:r>
        <w:rPr>
          <w:rFonts w:ascii="inherit" w:hAnsi="inherit"/>
          <w:sz w:val="17"/>
        </w:rPr>
        <w:t xml:space="preserve">, and </w:t>
      </w:r>
      <w:r>
        <w:rPr>
          <w:rFonts w:ascii="inherit" w:hAnsi="inherit"/>
          <w:strike w:val="false"/>
          <w:dstrike w:val="false"/>
          <w:color w:val="000000"/>
          <w:sz w:val="17"/>
          <w:u w:val="none"/>
          <w:effect w:val="none"/>
        </w:rPr>
        <w:t>1.125%</w:t>
      </w:r>
      <w:r>
        <w:rPr>
          <w:rFonts w:ascii="inherit" w:hAnsi="inherit"/>
          <w:sz w:val="17"/>
        </w:rPr>
        <w:t>, respectively, at March 31, 2019. Based on our credit ratings, a 0.175%</w:t>
      </w:r>
      <w:r>
        <w:rPr>
          <w:sz w:val="17"/>
        </w:rPr>
        <w:t xml:space="preserve"> </w:t>
      </w:r>
      <w:r>
        <w:rPr>
          <w:rFonts w:ascii="inherit" w:hAnsi="inherit"/>
          <w:sz w:val="17"/>
        </w:rPr>
        <w:t xml:space="preserve">commitment fee was charged on the unused amount at March 31, 2019.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w:t>
      </w:r>
      <w:r>
        <w:rPr>
          <w:sz w:val="17"/>
        </w:rPr>
        <w:t xml:space="preserve"> </w:t>
      </w:r>
      <w:r>
        <w:rPr>
          <w:rFonts w:ascii="inherit" w:hAnsi="inherit"/>
          <w:sz w:val="17"/>
        </w:rPr>
        <w:t>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payments under the CP Program during the three months ended March 31, 2019</w:t>
      </w:r>
      <w:r>
        <w:rPr>
          <w:sz w:val="17"/>
        </w:rPr>
        <w:t xml:space="preserve"> </w:t>
      </w:r>
      <w:r>
        <w:rPr>
          <w:rFonts w:ascii="inherit" w:hAnsi="inherit"/>
          <w:sz w:val="17"/>
        </w:rPr>
        <w:t>were $21 million</w:t>
      </w:r>
      <w:r>
        <w:rPr>
          <w:sz w:val="17"/>
        </w:rPr>
        <w:t xml:space="preserve"> </w:t>
      </w:r>
      <w:r>
        <w:rPr>
          <w:rFonts w:ascii="inherit" w:hAnsi="inherit"/>
          <w:sz w:val="17"/>
        </w:rPr>
        <w:t>and our notes outstanding as of March 31, 2019</w:t>
      </w:r>
      <w:r>
        <w:rPr>
          <w:sz w:val="17"/>
        </w:rPr>
        <w:t xml:space="preserve"> </w:t>
      </w:r>
      <w:r>
        <w:rPr>
          <w:rFonts w:ascii="inherit" w:hAnsi="inherit"/>
          <w:sz w:val="17"/>
        </w:rPr>
        <w:t>were $165 million. As of March 31, 2019, the weighted average interest rate on CP Program borrowings was 2.70%. As of March 31, 2019, we had outstanding letters of credit of totaling approximately $14 million.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Debt Covenants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Net Worth, which excludes noncontrolling interest in subsidiaries.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Revolving Credit Facility and term loans require compliance with the following financial covenant at the end of each quarter:</w:t>
      </w:r>
    </w:p>
    <w:tbl>
      <w:tblPr>
        <w:tblW w:w="8099" w:type="dxa"/>
        <w:jc w:val="center"/>
        <w:tblInd w:w="0" w:type="dxa"/>
        <w:tblCellMar>
          <w:top w:w="0" w:type="dxa"/>
          <w:left w:w="0" w:type="dxa"/>
          <w:bottom w:w="0" w:type="dxa"/>
          <w:right w:w="0" w:type="dxa"/>
        </w:tblCellMar>
      </w:tblPr>
      <w:tblGrid>
        <w:gridCol w:w="4205"/>
        <w:gridCol w:w="1790"/>
        <w:gridCol w:w="90"/>
        <w:gridCol w:w="1373"/>
        <w:gridCol w:w="641"/>
      </w:tblGrid>
      <w:tr>
        <w:trPr/>
        <w:tc>
          <w:tcPr>
            <w:tcW w:w="8099" w:type="dxa"/>
            <w:gridSpan w:val="5"/>
            <w:tcBorders/>
            <w:shd w:fill="auto" w:val="clear"/>
            <w:vAlign w:val="center"/>
          </w:tcPr>
          <w:p>
            <w:pPr>
              <w:pStyle w:val="TableContents"/>
              <w:spacing w:before="0" w:after="283"/>
              <w:rPr>
                <w:sz w:val="4"/>
                <w:szCs w:val="4"/>
              </w:rPr>
            </w:pPr>
            <w:r>
              <w:rPr>
                <w:sz w:val="4"/>
                <w:szCs w:val="4"/>
              </w:rPr>
            </w:r>
          </w:p>
        </w:tc>
      </w:tr>
      <w:tr>
        <w:trPr/>
        <w:tc>
          <w:tcPr>
            <w:tcW w:w="4205"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05" w:type="dxa"/>
            <w:tcBorders/>
            <w:shd w:fill="auto" w:val="clear"/>
            <w:vAlign w:val="center"/>
          </w:tcPr>
          <w:p>
            <w:pPr>
              <w:pStyle w:val="TableContents"/>
              <w:spacing w:before="0" w:after="0"/>
              <w:ind w:left="0" w:right="0" w:firstLine="30"/>
              <w:rPr/>
            </w:pPr>
            <w:r>
              <w:rPr/>
              <w:t> </w:t>
            </w:r>
          </w:p>
        </w:tc>
        <w:tc>
          <w:tcPr>
            <w:tcW w:w="17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As of 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1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Covenant Requirement</w:t>
            </w:r>
          </w:p>
        </w:tc>
      </w:tr>
      <w:tr>
        <w:trPr/>
        <w:tc>
          <w:tcPr>
            <w:tcW w:w="42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Indebtedness to Capitalization Ratio</w:t>
            </w:r>
          </w:p>
        </w:tc>
        <w:tc>
          <w:tcPr>
            <w:tcW w:w="1790"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58.1%</w:t>
            </w:r>
          </w:p>
        </w:tc>
        <w:tc>
          <w:tcPr>
            <w:tcW w:w="90" w:type="dxa"/>
            <w:tcBorders/>
            <w:shd w:fill="CEFFE7" w:val="clear"/>
            <w:vAlign w:val="center"/>
          </w:tcPr>
          <w:p>
            <w:pPr>
              <w:pStyle w:val="TableContents"/>
              <w:spacing w:before="0" w:after="0"/>
              <w:ind w:left="0" w:right="0" w:firstLine="30"/>
              <w:rPr/>
            </w:pPr>
            <w:r>
              <w:rPr/>
              <w:t> </w:t>
            </w:r>
          </w:p>
        </w:tc>
        <w:tc>
          <w:tcPr>
            <w:tcW w:w="1373" w:type="dxa"/>
            <w:tcBorders/>
            <w:shd w:fill="CEFFE7" w:val="clear"/>
            <w:vAlign w:val="center"/>
          </w:tcPr>
          <w:p>
            <w:pPr>
              <w:pStyle w:val="TableContents"/>
              <w:spacing w:before="0" w:after="0"/>
              <w:ind w:left="0" w:right="0" w:firstLine="30"/>
              <w:jc w:val="right"/>
              <w:rPr>
                <w:rFonts w:ascii="inherit" w:hAnsi="inherit"/>
                <w:sz w:val="17"/>
              </w:rPr>
            </w:pPr>
            <w:r>
              <w:rPr>
                <w:rFonts w:ascii="inherit" w:hAnsi="inherit"/>
                <w:sz w:val="17"/>
              </w:rPr>
              <w:t>Less than</w:t>
            </w:r>
          </w:p>
        </w:tc>
        <w:tc>
          <w:tcPr>
            <w:tcW w:w="641" w:type="dxa"/>
            <w:tcBorders>
              <w:top w:val="single" w:sz="2" w:space="0" w:color="000000"/>
            </w:tcBorders>
            <w:shd w:fill="CEFFE7" w:val="clear"/>
            <w:tcMar>
              <w:top w:w="30" w:type="dxa"/>
            </w:tcMar>
            <w:vAlign w:val="center"/>
          </w:tcPr>
          <w:p>
            <w:pPr>
              <w:pStyle w:val="TableContents"/>
              <w:spacing w:before="0" w:after="0"/>
              <w:jc w:val="center"/>
              <w:rPr>
                <w:rFonts w:ascii="inherit" w:hAnsi="inherit"/>
                <w:sz w:val="17"/>
              </w:rPr>
            </w:pPr>
            <w:r>
              <w:rPr>
                <w:rFonts w:ascii="inherit" w:hAnsi="inherit"/>
                <w:sz w:val="17"/>
              </w:rPr>
              <w:t>65%</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As of March 31, 2019, we were in compliance with this covenant.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jc w:val="right"/>
        <w:rPr>
          <w:rFonts w:ascii="inherit" w:hAnsi="inherit"/>
          <w:sz w:val="17"/>
        </w:rPr>
      </w:pPr>
      <w:r>
        <w:rPr>
          <w:rFonts w:ascii="inherit" w:hAnsi="inherit"/>
          <w:sz w:val="17"/>
        </w:rPr>
      </w:r>
      <w:bookmarkStart w:id="38" w:name="s16601D3B801450E1946C1625B1EEF087"/>
      <w:bookmarkStart w:id="39" w:name="s16601D3B801450E1946C1625B1EEF087"/>
      <w:bookmarkEnd w:id="39"/>
    </w:p>
    <w:p>
      <w:pPr>
        <w:pStyle w:val="TextBody"/>
        <w:spacing w:before="0" w:after="0"/>
        <w:rPr/>
      </w:pPr>
      <w:r>
        <w:rPr/>
      </w:r>
    </w:p>
    <w:p>
      <w:pPr>
        <w:pStyle w:val="TextBody"/>
        <w:spacing w:lineRule="auto" w:line="240" w:before="0" w:after="0"/>
        <w:jc w:val="left"/>
        <w:rPr>
          <w:rFonts w:ascii="inherit" w:hAnsi="inherit"/>
          <w:sz w:val="17"/>
        </w:rPr>
      </w:pPr>
      <w:r>
        <w:rPr>
          <w:rFonts w:ascii="inherit" w:hAnsi="inherit"/>
          <w:sz w:val="17"/>
        </w:rPr>
        <w:t>(9)    EQUITY</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A summary of the changes in equity is as follows:</w:t>
      </w:r>
    </w:p>
    <w:p>
      <w:pPr>
        <w:pStyle w:val="TextBody"/>
        <w:spacing w:lineRule="auto" w:line="288" w:before="0" w:after="0"/>
        <w:rPr>
          <w:rFonts w:ascii="inherit" w:hAnsi="inherit"/>
          <w:sz w:val="17"/>
        </w:rPr>
      </w:pPr>
      <w:r>
        <w:rPr>
          <w:rFonts w:ascii="inherit" w:hAnsi="inherit"/>
          <w:sz w:val="17"/>
        </w:rPr>
      </w:r>
    </w:p>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341"/>
        <w:gridCol w:w="830"/>
        <w:gridCol w:w="30"/>
        <w:gridCol w:w="110"/>
        <w:gridCol w:w="515"/>
        <w:gridCol w:w="30"/>
        <w:gridCol w:w="575"/>
        <w:gridCol w:w="110"/>
        <w:gridCol w:w="110"/>
        <w:gridCol w:w="485"/>
        <w:gridCol w:w="110"/>
        <w:gridCol w:w="134"/>
        <w:gridCol w:w="907"/>
        <w:gridCol w:w="134"/>
        <w:gridCol w:w="127"/>
        <w:gridCol w:w="700"/>
        <w:gridCol w:w="127"/>
        <w:gridCol w:w="110"/>
        <w:gridCol w:w="575"/>
        <w:gridCol w:w="110"/>
        <w:gridCol w:w="139"/>
        <w:gridCol w:w="773"/>
        <w:gridCol w:w="142"/>
        <w:gridCol w:w="110"/>
        <w:gridCol w:w="740"/>
        <w:gridCol w:w="131"/>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Three Months Ended March 31, 2019</w:t>
            </w:r>
          </w:p>
        </w:tc>
        <w:tc>
          <w:tcPr>
            <w:tcW w:w="151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Common Stock</w:t>
            </w:r>
          </w:p>
        </w:tc>
        <w:tc>
          <w:tcPr>
            <w:tcW w:w="139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Treasury Stock</w:t>
            </w:r>
          </w:p>
        </w:tc>
        <w:tc>
          <w:tcPr>
            <w:tcW w:w="1175" w:type="dxa"/>
            <w:gridSpan w:val="3"/>
            <w:tcBorders/>
            <w:shd w:fill="auto" w:val="clear"/>
            <w:vAlign w:val="center"/>
          </w:tcPr>
          <w:p>
            <w:pPr>
              <w:pStyle w:val="TableContents"/>
              <w:spacing w:before="0" w:after="0"/>
              <w:ind w:left="0" w:right="0" w:firstLine="30"/>
              <w:rPr/>
            </w:pPr>
            <w:r>
              <w:rPr/>
              <w:t> </w:t>
            </w:r>
          </w:p>
        </w:tc>
        <w:tc>
          <w:tcPr>
            <w:tcW w:w="954" w:type="dxa"/>
            <w:gridSpan w:val="3"/>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1054" w:type="dxa"/>
            <w:gridSpan w:val="3"/>
            <w:tcBorders/>
            <w:shd w:fill="auto" w:val="clear"/>
            <w:vAlign w:val="center"/>
          </w:tcPr>
          <w:p>
            <w:pPr>
              <w:pStyle w:val="TableContents"/>
              <w:spacing w:before="0" w:after="0"/>
              <w:ind w:left="0" w:right="0" w:firstLine="30"/>
              <w:rPr/>
            </w:pPr>
            <w:r>
              <w:rPr/>
              <w:t> </w:t>
            </w:r>
          </w:p>
        </w:tc>
        <w:tc>
          <w:tcPr>
            <w:tcW w:w="981" w:type="dxa"/>
            <w:gridSpan w:val="3"/>
            <w:tcBorders/>
            <w:shd w:fill="auto" w:val="clear"/>
            <w:vAlign w:val="center"/>
          </w:tcPr>
          <w:p>
            <w:pPr>
              <w:pStyle w:val="TableContents"/>
              <w:spacing w:before="0" w:after="0"/>
              <w:ind w:left="0" w:right="0" w:firstLine="30"/>
              <w:rPr/>
            </w:pPr>
            <w:r>
              <w:rPr/>
              <w:t> </w:t>
            </w:r>
          </w:p>
        </w:tc>
      </w:tr>
      <w:tr>
        <w:trPr/>
        <w:tc>
          <w:tcPr>
            <w:tcW w:w="23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 thousands except share amounts)</w:t>
            </w:r>
          </w:p>
        </w:tc>
        <w:tc>
          <w:tcPr>
            <w:tcW w:w="86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Shares</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Value</w:t>
            </w:r>
          </w:p>
        </w:tc>
        <w:tc>
          <w:tcPr>
            <w:tcW w:w="6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Shares</w:t>
            </w:r>
          </w:p>
        </w:tc>
        <w:tc>
          <w:tcPr>
            <w:tcW w:w="7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Value</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Additional Paid in Capital</w:t>
            </w:r>
          </w:p>
        </w:tc>
        <w:tc>
          <w:tcPr>
            <w:tcW w:w="9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Retained Earnings</w:t>
            </w:r>
          </w:p>
        </w:tc>
        <w:tc>
          <w:tcPr>
            <w:tcW w:w="7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AOCI</w:t>
            </w:r>
          </w:p>
        </w:tc>
        <w:tc>
          <w:tcPr>
            <w:tcW w:w="10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Non controlling Interest</w:t>
            </w:r>
          </w:p>
        </w:tc>
        <w:tc>
          <w:tcPr>
            <w:tcW w:w="9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Total</w:t>
            </w:r>
          </w:p>
        </w:tc>
      </w:tr>
      <w:tr>
        <w:trPr/>
        <w:tc>
          <w:tcPr>
            <w:tcW w:w="2341" w:type="dxa"/>
            <w:tcBorders/>
            <w:shd w:fill="CEFFE7" w:val="clear"/>
            <w:vAlign w:val="center"/>
          </w:tcPr>
          <w:p>
            <w:pPr>
              <w:pStyle w:val="TableContents"/>
              <w:spacing w:before="0" w:after="0"/>
              <w:ind w:left="0" w:right="0" w:firstLine="30"/>
              <w:jc w:val="right"/>
              <w:rPr>
                <w:rFonts w:ascii="inherit" w:hAnsi="inherit"/>
                <w:b/>
                <w:sz w:val="13"/>
              </w:rPr>
            </w:pPr>
            <w:r>
              <w:rPr>
                <w:rFonts w:ascii="inherit" w:hAnsi="inherit"/>
                <w:b/>
                <w:sz w:val="13"/>
              </w:rPr>
              <w:t>December 31, 2018</w:t>
            </w:r>
          </w:p>
        </w:tc>
        <w:tc>
          <w:tcPr>
            <w:tcW w:w="83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60,048,567</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60,049</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44,253</w:t>
            </w:r>
          </w:p>
        </w:tc>
        <w:tc>
          <w:tcPr>
            <w:tcW w:w="11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48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(2,510</w:t>
            </w:r>
          </w:p>
        </w:tc>
        <w:tc>
          <w:tcPr>
            <w:tcW w:w="11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0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1,450,569</w:t>
            </w:r>
          </w:p>
        </w:tc>
        <w:tc>
          <w:tcPr>
            <w:tcW w:w="134"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0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700,396</w:t>
            </w:r>
          </w:p>
        </w:tc>
        <w:tc>
          <w:tcPr>
            <w:tcW w:w="12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57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(26,916</w:t>
            </w:r>
          </w:p>
        </w:tc>
        <w:tc>
          <w:tcPr>
            <w:tcW w:w="11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7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105,835</w:t>
            </w:r>
          </w:p>
        </w:tc>
        <w:tc>
          <w:tcPr>
            <w:tcW w:w="142"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2,287,423</w:t>
            </w:r>
          </w:p>
        </w:tc>
        <w:tc>
          <w:tcPr>
            <w:tcW w:w="13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 available for common stock</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103,808</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3,554</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107,362</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830"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CEFFE7" w:val="clear"/>
            <w:vAlign w:val="center"/>
          </w:tcPr>
          <w:p>
            <w:pPr>
              <w:pStyle w:val="TableContents"/>
              <w:spacing w:before="0" w:after="0"/>
              <w:jc w:val="right"/>
              <w:rPr/>
            </w:pPr>
            <w:r>
              <w:rPr/>
              <w:t>—</w:t>
            </w:r>
          </w:p>
        </w:tc>
        <w:tc>
          <w:tcPr>
            <w:tcW w:w="1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shd w:fill="CEFFE7" w:val="clear"/>
            <w:vAlign w:val="center"/>
          </w:tcPr>
          <w:p>
            <w:pPr>
              <w:pStyle w:val="TableContents"/>
              <w:spacing w:before="0" w:after="0"/>
              <w:jc w:val="right"/>
              <w:rPr/>
            </w:pPr>
            <w:r>
              <w:rPr/>
              <w:t>—</w:t>
            </w:r>
          </w:p>
        </w:tc>
        <w:tc>
          <w:tcPr>
            <w:tcW w:w="1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457</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CEFFE7" w:val="clear"/>
            <w:vAlign w:val="center"/>
          </w:tcPr>
          <w:p>
            <w:pPr>
              <w:pStyle w:val="TableContents"/>
              <w:spacing w:before="0" w:after="0"/>
              <w:jc w:val="right"/>
              <w:rPr/>
            </w:pPr>
            <w:r>
              <w:rPr/>
              <w:t>—</w:t>
            </w:r>
          </w:p>
        </w:tc>
        <w:tc>
          <w:tcPr>
            <w:tcW w:w="14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457</w:t>
            </w:r>
          </w:p>
        </w:tc>
        <w:tc>
          <w:tcPr>
            <w:tcW w:w="1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Dividends on common stock ($0.505 per share)</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(30,332</w:t>
            </w:r>
          </w:p>
        </w:tc>
        <w:tc>
          <w:tcPr>
            <w:tcW w:w="12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(30,332</w:t>
            </w:r>
          </w:p>
        </w:tc>
        <w:tc>
          <w:tcPr>
            <w:tcW w:w="13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341"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830" w:type="dxa"/>
            <w:tcBorders/>
            <w:shd w:fill="CEFFE7" w:val="clear"/>
            <w:vAlign w:val="center"/>
          </w:tcPr>
          <w:p>
            <w:pPr>
              <w:pStyle w:val="TableContents"/>
              <w:spacing w:before="0" w:after="0"/>
              <w:jc w:val="right"/>
              <w:rPr>
                <w:rFonts w:ascii="inherit" w:hAnsi="inherit"/>
                <w:sz w:val="13"/>
              </w:rPr>
            </w:pPr>
            <w:r>
              <w:rPr>
                <w:rFonts w:ascii="inherit" w:hAnsi="inherit"/>
                <w:sz w:val="13"/>
              </w:rPr>
              <w:t>48,956</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49</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CEFFE7" w:val="clear"/>
            <w:vAlign w:val="center"/>
          </w:tcPr>
          <w:p>
            <w:pPr>
              <w:pStyle w:val="TableContents"/>
              <w:spacing w:before="0" w:after="0"/>
              <w:jc w:val="right"/>
              <w:rPr>
                <w:rFonts w:ascii="inherit" w:hAnsi="inherit"/>
                <w:sz w:val="13"/>
              </w:rPr>
            </w:pPr>
            <w:r>
              <w:rPr>
                <w:rFonts w:ascii="inherit" w:hAnsi="inherit"/>
                <w:sz w:val="13"/>
              </w:rPr>
              <w:t>(20,497</w:t>
            </w:r>
          </w:p>
        </w:tc>
        <w:tc>
          <w:tcPr>
            <w:tcW w:w="11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59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1,078</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(589</w:t>
            </w:r>
          </w:p>
        </w:tc>
        <w:tc>
          <w:tcPr>
            <w:tcW w:w="134"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827" w:type="dxa"/>
            <w:gridSpan w:val="2"/>
            <w:tcBorders/>
            <w:shd w:fill="CEFFE7" w:val="clear"/>
            <w:vAlign w:val="center"/>
          </w:tcPr>
          <w:p>
            <w:pPr>
              <w:pStyle w:val="TableContents"/>
              <w:spacing w:before="0" w:after="0"/>
              <w:jc w:val="right"/>
              <w:rPr/>
            </w:pPr>
            <w:r>
              <w:rPr/>
              <w:t>—</w:t>
            </w:r>
          </w:p>
        </w:tc>
        <w:tc>
          <w:tcPr>
            <w:tcW w:w="1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CEFFE7" w:val="clear"/>
            <w:vAlign w:val="center"/>
          </w:tcPr>
          <w:p>
            <w:pPr>
              <w:pStyle w:val="TableContents"/>
              <w:spacing w:before="0" w:after="0"/>
              <w:jc w:val="right"/>
              <w:rPr/>
            </w:pPr>
            <w:r>
              <w:rPr/>
              <w:t>—</w:t>
            </w:r>
          </w:p>
        </w:tc>
        <w:tc>
          <w:tcPr>
            <w:tcW w:w="14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538</w:t>
            </w:r>
          </w:p>
        </w:tc>
        <w:tc>
          <w:tcPr>
            <w:tcW w:w="1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w:t>
            </w:r>
          </w:p>
        </w:tc>
        <w:tc>
          <w:tcPr>
            <w:tcW w:w="830" w:type="dxa"/>
            <w:tcBorders/>
            <w:shd w:fill="auto" w:val="clear"/>
            <w:vAlign w:val="center"/>
          </w:tcPr>
          <w:p>
            <w:pPr>
              <w:pStyle w:val="TableContents"/>
              <w:spacing w:before="0" w:after="0"/>
              <w:jc w:val="right"/>
              <w:rPr>
                <w:rFonts w:ascii="inherit" w:hAnsi="inherit"/>
                <w:sz w:val="13"/>
              </w:rPr>
            </w:pPr>
            <w:r>
              <w:rPr>
                <w:rFonts w:ascii="inherit" w:hAnsi="inherit"/>
                <w:sz w:val="13"/>
              </w:rPr>
              <w:t>280,497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19,719</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shd w:fill="auto" w:val="clear"/>
            <w:vAlign w:val="center"/>
          </w:tcPr>
          <w:p>
            <w:pPr>
              <w:pStyle w:val="TableContents"/>
              <w:spacing w:before="0" w:after="0"/>
              <w:jc w:val="right"/>
              <w:rPr/>
            </w:pPr>
            <w:r>
              <w:rPr/>
              <w:t>—</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19,999</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Issuance costs</w:t>
            </w:r>
          </w:p>
        </w:tc>
        <w:tc>
          <w:tcPr>
            <w:tcW w:w="830"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(289</w:t>
            </w:r>
          </w:p>
        </w:tc>
        <w:tc>
          <w:tcPr>
            <w:tcW w:w="134"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827" w:type="dxa"/>
            <w:gridSpan w:val="2"/>
            <w:tcBorders/>
            <w:shd w:fill="CEFFE7" w:val="clear"/>
            <w:vAlign w:val="center"/>
          </w:tcPr>
          <w:p>
            <w:pPr>
              <w:pStyle w:val="TableContents"/>
              <w:spacing w:before="0" w:after="0"/>
              <w:jc w:val="right"/>
              <w:rPr/>
            </w:pPr>
            <w:r>
              <w:rPr/>
              <w:t>—</w:t>
            </w:r>
          </w:p>
        </w:tc>
        <w:tc>
          <w:tcPr>
            <w:tcW w:w="1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CEFFE7" w:val="clear"/>
            <w:vAlign w:val="center"/>
          </w:tcPr>
          <w:p>
            <w:pPr>
              <w:pStyle w:val="TableContents"/>
              <w:spacing w:before="0" w:after="0"/>
              <w:jc w:val="right"/>
              <w:rPr/>
            </w:pPr>
            <w:r>
              <w:rPr/>
              <w:t>—</w:t>
            </w:r>
          </w:p>
        </w:tc>
        <w:tc>
          <w:tcPr>
            <w:tcW w:w="14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(289</w:t>
            </w:r>
          </w:p>
        </w:tc>
        <w:tc>
          <w:tcPr>
            <w:tcW w:w="131"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341" w:type="dxa"/>
            <w:tcBorders/>
            <w:shd w:fill="auto" w:val="clear"/>
            <w:vAlign w:val="center"/>
          </w:tcPr>
          <w:p>
            <w:pPr>
              <w:pStyle w:val="TableContents"/>
              <w:spacing w:before="0" w:after="0"/>
              <w:ind w:left="0" w:right="0" w:firstLine="30"/>
              <w:rPr>
                <w:sz w:val="13"/>
              </w:rPr>
            </w:pPr>
            <w:r>
              <w:rPr>
                <w:rFonts w:ascii="inherit" w:hAnsi="inherit"/>
                <w:sz w:val="13"/>
              </w:rPr>
              <w:t xml:space="preserve">Cumulative effect of ASU 2016-02, </w:t>
            </w:r>
            <w:r>
              <w:rPr>
                <w:rFonts w:ascii="inherit" w:hAnsi="inherit"/>
                <w:i/>
                <w:sz w:val="13"/>
              </w:rPr>
              <w:t>Leases</w:t>
            </w:r>
            <w:r>
              <w:rPr>
                <w:sz w:val="13"/>
              </w:rPr>
              <w:t> </w:t>
            </w:r>
            <w:r>
              <w:rPr>
                <w:rFonts w:ascii="inherit" w:hAnsi="inherit"/>
                <w:sz w:val="13"/>
              </w:rPr>
              <w:t>implementation</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3,390</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3,390</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1"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Distributions to noncontrolling interest</w:t>
            </w:r>
          </w:p>
        </w:tc>
        <w:tc>
          <w:tcPr>
            <w:tcW w:w="830" w:type="dxa"/>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1"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7"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27"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bottom w:val="single" w:sz="2" w:space="0" w:color="000000"/>
            </w:tcBorders>
            <w:shd w:fill="CEFFE7"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2"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(4,846</w:t>
            </w:r>
          </w:p>
        </w:tc>
        <w:tc>
          <w:tcPr>
            <w:tcW w:w="142"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85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3"/>
              </w:rPr>
            </w:pPr>
            <w:r>
              <w:rPr>
                <w:rFonts w:ascii="inherit" w:hAnsi="inherit"/>
                <w:sz w:val="13"/>
              </w:rPr>
              <w:t>(4,846</w:t>
            </w:r>
          </w:p>
        </w:tc>
        <w:tc>
          <w:tcPr>
            <w:tcW w:w="131"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341" w:type="dxa"/>
            <w:tcBorders/>
            <w:shd w:fill="auto" w:val="clear"/>
            <w:vAlign w:val="center"/>
          </w:tcPr>
          <w:p>
            <w:pPr>
              <w:pStyle w:val="TableContents"/>
              <w:spacing w:before="0" w:after="0"/>
              <w:ind w:left="0" w:right="0" w:firstLine="30"/>
              <w:jc w:val="right"/>
              <w:rPr>
                <w:rFonts w:ascii="inherit" w:hAnsi="inherit"/>
                <w:b/>
                <w:sz w:val="13"/>
              </w:rPr>
            </w:pPr>
            <w:r>
              <w:rPr>
                <w:rFonts w:ascii="inherit" w:hAnsi="inherit"/>
                <w:b/>
                <w:sz w:val="13"/>
              </w:rPr>
              <w:t>March 31, 2019</w:t>
            </w:r>
          </w:p>
        </w:tc>
        <w:tc>
          <w:tcPr>
            <w:tcW w:w="8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60,378,020</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60,378</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7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23,756</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(1,432</w:t>
            </w:r>
          </w:p>
        </w:tc>
        <w:tc>
          <w:tcPr>
            <w:tcW w:w="11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1,469,410</w:t>
            </w:r>
          </w:p>
        </w:tc>
        <w:tc>
          <w:tcPr>
            <w:tcW w:w="13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777,262</w:t>
            </w:r>
          </w:p>
        </w:tc>
        <w:tc>
          <w:tcPr>
            <w:tcW w:w="12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(26,459</w:t>
            </w:r>
          </w:p>
        </w:tc>
        <w:tc>
          <w:tcPr>
            <w:tcW w:w="11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104,543</w:t>
            </w:r>
          </w:p>
        </w:tc>
        <w:tc>
          <w:tcPr>
            <w:tcW w:w="14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2,383,702</w:t>
            </w:r>
          </w:p>
        </w:tc>
        <w:tc>
          <w:tcPr>
            <w:tcW w:w="13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center"/>
        <w:tblInd w:w="0" w:type="dxa"/>
        <w:tblCellMar>
          <w:top w:w="0" w:type="dxa"/>
          <w:left w:w="0" w:type="dxa"/>
          <w:bottom w:w="0" w:type="dxa"/>
          <w:right w:w="0" w:type="dxa"/>
        </w:tblCellMar>
      </w:tblPr>
      <w:tblGrid>
        <w:gridCol w:w="2120"/>
        <w:gridCol w:w="830"/>
        <w:gridCol w:w="30"/>
        <w:gridCol w:w="110"/>
        <w:gridCol w:w="515"/>
        <w:gridCol w:w="30"/>
        <w:gridCol w:w="515"/>
        <w:gridCol w:w="30"/>
        <w:gridCol w:w="110"/>
        <w:gridCol w:w="485"/>
        <w:gridCol w:w="110"/>
        <w:gridCol w:w="160"/>
        <w:gridCol w:w="1079"/>
        <w:gridCol w:w="43"/>
        <w:gridCol w:w="139"/>
        <w:gridCol w:w="768"/>
        <w:gridCol w:w="139"/>
        <w:gridCol w:w="110"/>
        <w:gridCol w:w="575"/>
        <w:gridCol w:w="110"/>
        <w:gridCol w:w="161"/>
        <w:gridCol w:w="892"/>
        <w:gridCol w:w="164"/>
        <w:gridCol w:w="110"/>
        <w:gridCol w:w="740"/>
        <w:gridCol w:w="130"/>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Three Months Ended March 31, 2018</w:t>
            </w:r>
          </w:p>
        </w:tc>
        <w:tc>
          <w:tcPr>
            <w:tcW w:w="151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Common Stock</w:t>
            </w:r>
          </w:p>
        </w:tc>
        <w:tc>
          <w:tcPr>
            <w:tcW w:w="125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Treasury Stock</w:t>
            </w:r>
          </w:p>
        </w:tc>
        <w:tc>
          <w:tcPr>
            <w:tcW w:w="1282" w:type="dxa"/>
            <w:gridSpan w:val="3"/>
            <w:tcBorders/>
            <w:shd w:fill="auto" w:val="clear"/>
            <w:vAlign w:val="center"/>
          </w:tcPr>
          <w:p>
            <w:pPr>
              <w:pStyle w:val="TableContents"/>
              <w:spacing w:before="0" w:after="0"/>
              <w:ind w:left="0" w:right="0" w:firstLine="30"/>
              <w:rPr/>
            </w:pPr>
            <w:r>
              <w:rPr/>
              <w:t> </w:t>
            </w:r>
          </w:p>
        </w:tc>
        <w:tc>
          <w:tcPr>
            <w:tcW w:w="1046" w:type="dxa"/>
            <w:gridSpan w:val="3"/>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1217" w:type="dxa"/>
            <w:gridSpan w:val="3"/>
            <w:tcBorders/>
            <w:shd w:fill="auto" w:val="clear"/>
            <w:vAlign w:val="center"/>
          </w:tcPr>
          <w:p>
            <w:pPr>
              <w:pStyle w:val="TableContents"/>
              <w:spacing w:before="0" w:after="0"/>
              <w:ind w:left="0" w:right="0" w:firstLine="30"/>
              <w:rPr/>
            </w:pPr>
            <w:r>
              <w:rPr/>
              <w:t> </w:t>
            </w:r>
          </w:p>
        </w:tc>
        <w:tc>
          <w:tcPr>
            <w:tcW w:w="980" w:type="dxa"/>
            <w:gridSpan w:val="3"/>
            <w:tcBorders/>
            <w:shd w:fill="auto" w:val="clear"/>
            <w:vAlign w:val="center"/>
          </w:tcPr>
          <w:p>
            <w:pPr>
              <w:pStyle w:val="TableContents"/>
              <w:spacing w:before="0" w:after="0"/>
              <w:ind w:left="0" w:right="0" w:firstLine="30"/>
              <w:rPr/>
            </w:pPr>
            <w:r>
              <w:rPr/>
              <w:t> </w:t>
            </w:r>
          </w:p>
        </w:tc>
      </w:tr>
      <w:tr>
        <w:trPr/>
        <w:tc>
          <w:tcPr>
            <w:tcW w:w="21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 thousands except share amounts)</w:t>
            </w:r>
          </w:p>
        </w:tc>
        <w:tc>
          <w:tcPr>
            <w:tcW w:w="86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Shares</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Value</w:t>
            </w:r>
          </w:p>
        </w:tc>
        <w:tc>
          <w:tcPr>
            <w:tcW w:w="5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Shares</w:t>
            </w:r>
          </w:p>
        </w:tc>
        <w:tc>
          <w:tcPr>
            <w:tcW w:w="7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Value</w:t>
            </w:r>
          </w:p>
        </w:tc>
        <w:tc>
          <w:tcPr>
            <w:tcW w:w="1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Additional Paid in Capital</w:t>
            </w:r>
          </w:p>
        </w:tc>
        <w:tc>
          <w:tcPr>
            <w:tcW w:w="10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Retained Earnings</w:t>
            </w:r>
          </w:p>
        </w:tc>
        <w:tc>
          <w:tcPr>
            <w:tcW w:w="7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AOCI</w:t>
            </w:r>
          </w:p>
        </w:tc>
        <w:tc>
          <w:tcPr>
            <w:tcW w:w="12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Non controlling Interest</w:t>
            </w:r>
          </w:p>
        </w:tc>
        <w:tc>
          <w:tcPr>
            <w:tcW w:w="9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Total</w:t>
            </w:r>
          </w:p>
        </w:tc>
      </w:tr>
      <w:tr>
        <w:trPr/>
        <w:tc>
          <w:tcPr>
            <w:tcW w:w="2120" w:type="dxa"/>
            <w:tcBorders/>
            <w:shd w:fill="CEFFE7" w:val="clear"/>
            <w:vAlign w:val="center"/>
          </w:tcPr>
          <w:p>
            <w:pPr>
              <w:pStyle w:val="TableContents"/>
              <w:spacing w:before="0" w:after="0"/>
              <w:ind w:left="0" w:right="0" w:firstLine="30"/>
              <w:jc w:val="right"/>
              <w:rPr>
                <w:rFonts w:ascii="inherit" w:hAnsi="inherit"/>
                <w:b/>
                <w:sz w:val="13"/>
              </w:rPr>
            </w:pPr>
            <w:r>
              <w:rPr>
                <w:rFonts w:ascii="inherit" w:hAnsi="inherit"/>
                <w:b/>
                <w:sz w:val="13"/>
              </w:rPr>
              <w:t>December 31, 2017</w:t>
            </w:r>
          </w:p>
        </w:tc>
        <w:tc>
          <w:tcPr>
            <w:tcW w:w="83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53,579,986</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53,580</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39,064</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48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(2,306</w:t>
            </w:r>
          </w:p>
        </w:tc>
        <w:tc>
          <w:tcPr>
            <w:tcW w:w="11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6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107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1,150,285</w:t>
            </w:r>
          </w:p>
        </w:tc>
        <w:tc>
          <w:tcPr>
            <w:tcW w:w="4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548,617</w:t>
            </w:r>
          </w:p>
        </w:tc>
        <w:tc>
          <w:tcPr>
            <w:tcW w:w="139"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57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(41,202</w:t>
            </w:r>
          </w:p>
        </w:tc>
        <w:tc>
          <w:tcPr>
            <w:tcW w:w="11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6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92"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111,232</w:t>
            </w:r>
          </w:p>
        </w:tc>
        <w:tc>
          <w:tcPr>
            <w:tcW w:w="164"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3"/>
              </w:rPr>
            </w:pPr>
            <w:r>
              <w:rPr>
                <w:rFonts w:ascii="inherit" w:hAnsi="inherit"/>
                <w:sz w:val="13"/>
              </w:rPr>
              <w:t>1,820,206</w:t>
            </w:r>
          </w:p>
        </w:tc>
        <w:tc>
          <w:tcPr>
            <w:tcW w:w="1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 available for common stock</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auto" w:val="clear"/>
            <w:vAlign w:val="center"/>
          </w:tcPr>
          <w:p>
            <w:pPr>
              <w:pStyle w:val="TableContents"/>
              <w:spacing w:before="0" w:after="0"/>
              <w:jc w:val="right"/>
              <w:rPr/>
            </w:pPr>
            <w:r>
              <w:rPr/>
              <w:t>—</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133,004</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3,630</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136,634</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830"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CEFFE7" w:val="clear"/>
            <w:vAlign w:val="center"/>
          </w:tcPr>
          <w:p>
            <w:pPr>
              <w:pStyle w:val="TableContents"/>
              <w:spacing w:before="0" w:after="0"/>
              <w:jc w:val="right"/>
              <w:rPr/>
            </w:pPr>
            <w:r>
              <w:rPr/>
              <w:t>—</w:t>
            </w:r>
          </w:p>
        </w:tc>
        <w:tc>
          <w:tcPr>
            <w:tcW w:w="4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CEFFE7" w:val="clear"/>
            <w:vAlign w:val="center"/>
          </w:tcPr>
          <w:p>
            <w:pPr>
              <w:pStyle w:val="TableContents"/>
              <w:spacing w:before="0" w:after="0"/>
              <w:jc w:val="right"/>
              <w:rPr/>
            </w:pPr>
            <w:r>
              <w:rPr/>
              <w:t>—</w:t>
            </w:r>
          </w:p>
        </w:tc>
        <w:tc>
          <w:tcPr>
            <w:tcW w:w="1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1,260</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CEFFE7" w:val="clear"/>
            <w:vAlign w:val="center"/>
          </w:tcPr>
          <w:p>
            <w:pPr>
              <w:pStyle w:val="TableContents"/>
              <w:spacing w:before="0" w:after="0"/>
              <w:jc w:val="right"/>
              <w:rPr/>
            </w:pPr>
            <w:r>
              <w:rPr/>
              <w:t>—</w:t>
            </w:r>
          </w:p>
        </w:tc>
        <w:tc>
          <w:tcPr>
            <w:tcW w:w="1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1,260</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Dividends on common stock ($0.475 per share)</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auto" w:val="clear"/>
            <w:vAlign w:val="center"/>
          </w:tcPr>
          <w:p>
            <w:pPr>
              <w:pStyle w:val="TableContents"/>
              <w:spacing w:before="0" w:after="0"/>
              <w:jc w:val="right"/>
              <w:rPr/>
            </w:pPr>
            <w:r>
              <w:rPr/>
              <w:t>—</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(25,444</w:t>
            </w:r>
          </w:p>
        </w:tc>
        <w:tc>
          <w:tcPr>
            <w:tcW w:w="1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auto" w:val="clear"/>
            <w:vAlign w:val="center"/>
          </w:tcPr>
          <w:p>
            <w:pPr>
              <w:pStyle w:val="TableContents"/>
              <w:spacing w:before="0" w:after="0"/>
              <w:jc w:val="right"/>
              <w:rPr/>
            </w:pPr>
            <w:r>
              <w:rPr/>
              <w:t>—</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(25,444</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12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830" w:type="dxa"/>
            <w:tcBorders/>
            <w:shd w:fill="CEFFE7" w:val="clear"/>
            <w:vAlign w:val="center"/>
          </w:tcPr>
          <w:p>
            <w:pPr>
              <w:pStyle w:val="TableContents"/>
              <w:spacing w:before="0" w:after="0"/>
              <w:jc w:val="right"/>
              <w:rPr>
                <w:rFonts w:ascii="inherit" w:hAnsi="inherit"/>
                <w:sz w:val="13"/>
              </w:rPr>
            </w:pPr>
            <w:r>
              <w:rPr>
                <w:rFonts w:ascii="inherit" w:hAnsi="inherit"/>
                <w:sz w:val="13"/>
              </w:rPr>
              <w:t>64,770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65</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CEFFE7" w:val="clear"/>
            <w:vAlign w:val="center"/>
          </w:tcPr>
          <w:p>
            <w:pPr>
              <w:pStyle w:val="TableContents"/>
              <w:spacing w:before="0" w:after="0"/>
              <w:jc w:val="right"/>
              <w:rPr>
                <w:rFonts w:ascii="inherit" w:hAnsi="inherit"/>
                <w:sz w:val="13"/>
              </w:rPr>
            </w:pPr>
            <w:r>
              <w:rPr>
                <w:rFonts w:ascii="inherit" w:hAnsi="inherit"/>
                <w:sz w:val="13"/>
              </w:rPr>
              <w:t>14,895</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(743</w:t>
            </w:r>
          </w:p>
        </w:tc>
        <w:tc>
          <w:tcPr>
            <w:tcW w:w="11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39"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1,433</w:t>
            </w:r>
          </w:p>
        </w:tc>
        <w:tc>
          <w:tcPr>
            <w:tcW w:w="4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CEFFE7" w:val="clear"/>
            <w:vAlign w:val="center"/>
          </w:tcPr>
          <w:p>
            <w:pPr>
              <w:pStyle w:val="TableContents"/>
              <w:spacing w:before="0" w:after="0"/>
              <w:jc w:val="right"/>
              <w:rPr/>
            </w:pPr>
            <w:r>
              <w:rPr/>
              <w:t>—</w:t>
            </w:r>
          </w:p>
        </w:tc>
        <w:tc>
          <w:tcPr>
            <w:tcW w:w="1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CEFFE7" w:val="clear"/>
            <w:vAlign w:val="center"/>
          </w:tcPr>
          <w:p>
            <w:pPr>
              <w:pStyle w:val="TableContents"/>
              <w:spacing w:before="0" w:after="0"/>
              <w:jc w:val="right"/>
              <w:rPr/>
            </w:pPr>
            <w:r>
              <w:rPr/>
              <w:t>—</w:t>
            </w:r>
          </w:p>
        </w:tc>
        <w:tc>
          <w:tcPr>
            <w:tcW w:w="1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755</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Dividend reinvestment and stock purchase plan</w:t>
            </w:r>
          </w:p>
        </w:tc>
        <w:tc>
          <w:tcPr>
            <w:tcW w:w="830" w:type="dxa"/>
            <w:tcBorders/>
            <w:shd w:fill="auto" w:val="clear"/>
            <w:vAlign w:val="center"/>
          </w:tcPr>
          <w:p>
            <w:pPr>
              <w:pStyle w:val="TableContents"/>
              <w:spacing w:before="0" w:after="0"/>
              <w:jc w:val="right"/>
              <w:rPr>
                <w:rFonts w:ascii="inherit" w:hAnsi="inherit"/>
                <w:sz w:val="13"/>
              </w:rPr>
            </w:pPr>
            <w:r>
              <w:rPr>
                <w:rFonts w:ascii="inherit" w:hAnsi="inherit"/>
                <w:sz w:val="13"/>
              </w:rPr>
              <w:t>4,061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215</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auto" w:val="clear"/>
            <w:vAlign w:val="center"/>
          </w:tcPr>
          <w:p>
            <w:pPr>
              <w:pStyle w:val="TableContents"/>
              <w:spacing w:before="0" w:after="0"/>
              <w:jc w:val="right"/>
              <w:rPr/>
            </w:pPr>
            <w:r>
              <w:rPr/>
              <w:t>—</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219</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Other stock transactions</w:t>
            </w:r>
          </w:p>
        </w:tc>
        <w:tc>
          <w:tcPr>
            <w:tcW w:w="830"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CEFFE7" w:val="clear"/>
            <w:vAlign w:val="center"/>
          </w:tcPr>
          <w:p>
            <w:pPr>
              <w:pStyle w:val="TableContents"/>
              <w:spacing w:before="0" w:after="0"/>
              <w:jc w:val="right"/>
              <w:rPr/>
            </w:pPr>
            <w:r>
              <w:rPr/>
              <w:t>—</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CEFFE7" w:val="clear"/>
            <w:vAlign w:val="center"/>
          </w:tcPr>
          <w:p>
            <w:pPr>
              <w:pStyle w:val="TableContents"/>
              <w:spacing w:before="0" w:after="0"/>
              <w:jc w:val="right"/>
              <w:rPr/>
            </w:pPr>
            <w:r>
              <w:rPr/>
              <w:t>—</w:t>
            </w:r>
          </w:p>
        </w:tc>
        <w:tc>
          <w:tcPr>
            <w:tcW w:w="4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(16</w:t>
            </w:r>
          </w:p>
        </w:tc>
        <w:tc>
          <w:tcPr>
            <w:tcW w:w="139" w:type="dxa"/>
            <w:tcBorders/>
            <w:shd w:fill="CEFFE7"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685"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18</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CEFFE7" w:val="clear"/>
            <w:vAlign w:val="center"/>
          </w:tcPr>
          <w:p>
            <w:pPr>
              <w:pStyle w:val="TableContents"/>
              <w:spacing w:before="0" w:after="0"/>
              <w:jc w:val="right"/>
              <w:rPr/>
            </w:pPr>
            <w:r>
              <w:rPr/>
              <w:t>—</w:t>
            </w:r>
          </w:p>
        </w:tc>
        <w:tc>
          <w:tcPr>
            <w:tcW w:w="1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 w:type="dxa"/>
            <w:gridSpan w:val="2"/>
            <w:tcBorders/>
            <w:shd w:fill="CEFFE7" w:val="clear"/>
            <w:vAlign w:val="center"/>
          </w:tcPr>
          <w:p>
            <w:pPr>
              <w:pStyle w:val="TableContents"/>
              <w:spacing w:before="0" w:after="0"/>
              <w:jc w:val="right"/>
              <w:rPr>
                <w:rFonts w:ascii="inherit" w:hAnsi="inherit"/>
                <w:sz w:val="13"/>
              </w:rPr>
            </w:pPr>
            <w:r>
              <w:rPr>
                <w:rFonts w:ascii="inherit" w:hAnsi="inherit"/>
                <w:sz w:val="13"/>
              </w:rPr>
              <w:t>2</w:t>
            </w:r>
          </w:p>
        </w:tc>
        <w:tc>
          <w:tcPr>
            <w:tcW w:w="1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Distributions to noncontrolling interest</w:t>
            </w:r>
          </w:p>
        </w:tc>
        <w:tc>
          <w:tcPr>
            <w:tcW w:w="83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9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9" w:type="dxa"/>
            <w:gridSpan w:val="2"/>
            <w:tcBorders/>
            <w:shd w:fill="auto" w:val="clear"/>
            <w:vAlign w:val="center"/>
          </w:tcPr>
          <w:p>
            <w:pPr>
              <w:pStyle w:val="TableContents"/>
              <w:spacing w:before="0" w:after="0"/>
              <w:jc w:val="right"/>
              <w:rPr/>
            </w:pPr>
            <w:r>
              <w:rPr/>
              <w:t>—</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7"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(5,648</w:t>
            </w:r>
          </w:p>
        </w:tc>
        <w:tc>
          <w:tcPr>
            <w:tcW w:w="1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(5,648</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2120" w:type="dxa"/>
            <w:tcBorders/>
            <w:shd w:fill="CEFFE7" w:val="clear"/>
            <w:vAlign w:val="center"/>
          </w:tcPr>
          <w:p>
            <w:pPr>
              <w:pStyle w:val="TableContents"/>
              <w:spacing w:before="0" w:after="0"/>
              <w:ind w:left="0" w:right="0" w:firstLine="30"/>
              <w:jc w:val="right"/>
              <w:rPr>
                <w:rFonts w:ascii="inherit" w:hAnsi="inherit"/>
                <w:b/>
                <w:sz w:val="13"/>
              </w:rPr>
            </w:pPr>
            <w:r>
              <w:rPr>
                <w:rFonts w:ascii="inherit" w:hAnsi="inherit"/>
                <w:b/>
                <w:sz w:val="13"/>
              </w:rPr>
              <w:t>March 31, 2018</w:t>
            </w:r>
          </w:p>
        </w:tc>
        <w:tc>
          <w:tcPr>
            <w:tcW w:w="83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53,648,817</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53,649</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53,959</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(3,049</w:t>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6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1,151,933</w:t>
            </w:r>
          </w:p>
        </w:tc>
        <w:tc>
          <w:tcPr>
            <w:tcW w:w="4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656,161</w:t>
            </w:r>
          </w:p>
        </w:tc>
        <w:tc>
          <w:tcPr>
            <w:tcW w:w="13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(39,924</w:t>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6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109,214</w:t>
            </w:r>
          </w:p>
        </w:tc>
        <w:tc>
          <w:tcPr>
            <w:tcW w:w="164"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1,927,984</w:t>
            </w:r>
          </w:p>
        </w:tc>
        <w:tc>
          <w:tcPr>
            <w:tcW w:w="1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u w:val="single"/>
        </w:rPr>
      </w:pPr>
      <w:r>
        <w:rPr>
          <w:rFonts w:ascii="inherit" w:hAnsi="inherit"/>
          <w:sz w:val="17"/>
          <w:u w:val="single"/>
        </w:rPr>
        <w:t>At-the-Market Equity Offering Program</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Our ATM equity offering program allows us to sell shares of our common stock with an aggregate value of up to $300 million. The shares may be offered from time to time pursuant to a sales agreement dated August 4, 2017. Shares of common stock are offered pursuant to our shelf registration statement filed with the SEC. During the three months ended March 31, 2019, we issued a total of 280,497</w:t>
      </w:r>
      <w:r>
        <w:rPr>
          <w:sz w:val="17"/>
        </w:rPr>
        <w:t xml:space="preserve"> </w:t>
      </w:r>
      <w:r>
        <w:rPr>
          <w:rFonts w:ascii="inherit" w:hAnsi="inherit"/>
          <w:sz w:val="17"/>
        </w:rPr>
        <w:t>shares of common stock under the ATM equity offering program for $20 million, net of $0.2 million</w:t>
      </w:r>
      <w:r>
        <w:rPr>
          <w:sz w:val="17"/>
        </w:rPr>
        <w:t xml:space="preserve"> </w:t>
      </w:r>
      <w:r>
        <w:rPr>
          <w:rFonts w:ascii="inherit" w:hAnsi="inherit"/>
          <w:sz w:val="17"/>
        </w:rPr>
        <w:t>in commissions. As of March 31, 2019, there were no shares that were sold, but not settled.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jc w:val="right"/>
        <w:rPr>
          <w:rFonts w:ascii="inherit" w:hAnsi="inherit"/>
          <w:sz w:val="17"/>
        </w:rPr>
      </w:pPr>
      <w:r>
        <w:rPr>
          <w:rFonts w:ascii="inherit" w:hAnsi="inherit"/>
          <w:sz w:val="17"/>
        </w:rPr>
      </w:r>
      <w:bookmarkStart w:id="40" w:name="sBFAFFDB98916507E8C341EEA8B3DFBAC"/>
      <w:bookmarkStart w:id="41" w:name="sBFAFFDB98916507E8C341EEA8B3DFBAC"/>
      <w:bookmarkEnd w:id="41"/>
    </w:p>
    <w:p>
      <w:pPr>
        <w:pStyle w:val="TextBody"/>
        <w:spacing w:before="0" w:after="0"/>
        <w:rPr/>
      </w:pPr>
      <w:r>
        <w:rPr/>
      </w:r>
    </w:p>
    <w:p>
      <w:pPr>
        <w:pStyle w:val="TextBody"/>
        <w:spacing w:lineRule="auto" w:line="288" w:before="0" w:after="0"/>
        <w:jc w:val="left"/>
        <w:rPr>
          <w:sz w:val="17"/>
        </w:rPr>
      </w:pPr>
      <w:r>
        <w:rPr>
          <w:rFonts w:ascii="inherit" w:hAnsi="inherit"/>
          <w:sz w:val="17"/>
        </w:rPr>
        <w:t>(</w:t>
      </w:r>
      <w:r>
        <w:rPr>
          <w:rFonts w:ascii="inherit" w:hAnsi="inherit"/>
          <w:strike w:val="false"/>
          <w:dstrike w:val="false"/>
          <w:color w:val="000000"/>
          <w:sz w:val="17"/>
          <w:u w:val="none"/>
          <w:effect w:val="none"/>
        </w:rPr>
        <w:t>10</w:t>
      </w:r>
      <w:r>
        <w:rPr>
          <w:rFonts w:ascii="inherit" w:hAnsi="inherit"/>
          <w:sz w:val="17"/>
        </w:rPr>
        <w:t>)    RISK MANAGEMENT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and Credit Policies and Procedures as discussed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Market Risk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Market risk is the potential loss that might occur as a result of an adverse change in market price or rate. We are exposed to, but not limited to, commodity price risk associated with our retail natural gas marketing activities and our fuel procurement for certain gas-fired generation assets.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Credit Risk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Credit risk is the risk of financial loss resulting from non-performance of contractual obligations by a counterparty.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For other than retail utility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Our derivative and hedging activities recorded in the accompanying Condensed Consolidated Balance Sheets, Condensed Consolidated Statements of Income and Condensed Consolidated Statements of Comprehensive Income are detailed below and in Note </w:t>
      </w:r>
      <w:r>
        <w:rPr>
          <w:rFonts w:ascii="inherit" w:hAnsi="inherit"/>
          <w:strike w:val="false"/>
          <w:dstrike w:val="false"/>
          <w:color w:val="000000"/>
          <w:sz w:val="17"/>
          <w:u w:val="none"/>
          <w:effect w:val="none"/>
        </w:rPr>
        <w:t>11</w:t>
      </w:r>
      <w:r>
        <w:rPr>
          <w:rFonts w:ascii="inherit" w:hAnsi="inherit"/>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u w:val="single"/>
        </w:rPr>
      </w:pPr>
      <w:r>
        <w:rPr>
          <w:rFonts w:ascii="inherit" w:hAnsi="inherit"/>
          <w:sz w:val="17"/>
          <w:u w:val="single"/>
        </w:rPr>
        <w:t>Utilities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April 2019 through May 2021; a portion of these swaps have been designated as cash flow hedges to mitigate the commodity price risk associated with forward contracts to deliver gas to our Choice Gas Program customers. The gain or loss on these designated derivatives is reported in AOCI in the accompanying Condensed Consolidated Balance Sheets. Effectiveness of our hedged position is evaluated at inception of the hedge, upon occurrence of a triggering event and as of the end of each quarter.</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contract or notional amounts and terms of the natural gas derivative commodity instruments held at our utilities are composed of both long and short positions. We were in a net long position as of:</w:t>
      </w:r>
    </w:p>
    <w:tbl>
      <w:tblPr>
        <w:tblW w:w="8928" w:type="dxa"/>
        <w:jc w:val="center"/>
        <w:tblInd w:w="0" w:type="dxa"/>
        <w:tblCellMar>
          <w:top w:w="0" w:type="dxa"/>
          <w:left w:w="0" w:type="dxa"/>
          <w:bottom w:w="0" w:type="dxa"/>
          <w:right w:w="0" w:type="dxa"/>
        </w:tblCellMar>
      </w:tblPr>
      <w:tblGrid>
        <w:gridCol w:w="3215"/>
        <w:gridCol w:w="783"/>
        <w:gridCol w:w="31"/>
        <w:gridCol w:w="90"/>
        <w:gridCol w:w="920"/>
        <w:gridCol w:w="90"/>
        <w:gridCol w:w="830"/>
        <w:gridCol w:w="30"/>
        <w:gridCol w:w="90"/>
        <w:gridCol w:w="920"/>
        <w:gridCol w:w="90"/>
        <w:gridCol w:w="783"/>
        <w:gridCol w:w="31"/>
        <w:gridCol w:w="90"/>
        <w:gridCol w:w="935"/>
      </w:tblGrid>
      <w:tr>
        <w:trPr/>
        <w:tc>
          <w:tcPr>
            <w:tcW w:w="8928" w:type="dxa"/>
            <w:gridSpan w:val="15"/>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15" w:type="dxa"/>
            <w:tcBorders/>
            <w:shd w:fill="auto" w:val="clear"/>
            <w:vAlign w:val="center"/>
          </w:tcPr>
          <w:p>
            <w:pPr>
              <w:pStyle w:val="TableContents"/>
              <w:spacing w:before="0" w:after="0"/>
              <w:ind w:left="0" w:right="0" w:firstLine="30"/>
              <w:rPr/>
            </w:pPr>
            <w:r>
              <w:rPr/>
              <w:t> </w:t>
            </w:r>
          </w:p>
        </w:tc>
        <w:tc>
          <w:tcPr>
            <w:tcW w:w="1824"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7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39"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March 31, 2018</w:t>
            </w:r>
          </w:p>
        </w:tc>
      </w:tr>
      <w:tr>
        <w:trPr/>
        <w:tc>
          <w:tcPr>
            <w:tcW w:w="3215" w:type="dxa"/>
            <w:tcBorders/>
            <w:shd w:fill="auto" w:val="clear"/>
            <w:vAlign w:val="center"/>
          </w:tcPr>
          <w:p>
            <w:pPr>
              <w:pStyle w:val="TableContents"/>
              <w:spacing w:before="0" w:after="0"/>
              <w:ind w:left="0" w:right="0" w:firstLine="30"/>
              <w:rPr/>
            </w:pPr>
            <w:r>
              <w:rPr/>
              <w:t> </w:t>
            </w:r>
          </w:p>
        </w:tc>
        <w:tc>
          <w:tcPr>
            <w:tcW w:w="81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Notional </w:t>
            </w:r>
          </w:p>
          <w:p>
            <w:pPr>
              <w:pStyle w:val="TableContents"/>
              <w:spacing w:before="0" w:after="0"/>
              <w:ind w:left="0" w:right="0" w:firstLine="30"/>
              <w:jc w:val="center"/>
              <w:rPr>
                <w:rFonts w:ascii="inherit" w:hAnsi="inherit"/>
                <w:sz w:val="15"/>
              </w:rPr>
            </w:pPr>
            <w:r>
              <w:rPr>
                <w:rFonts w:ascii="inherit" w:hAnsi="inherit"/>
                <w:sz w:val="15"/>
              </w:rPr>
              <w:t xml:space="preserve">(MMBtus)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2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Maximum </w:t>
            </w:r>
          </w:p>
          <w:p>
            <w:pPr>
              <w:pStyle w:val="TableContents"/>
              <w:spacing w:before="0" w:after="0"/>
              <w:jc w:val="center"/>
              <w:rPr>
                <w:rFonts w:ascii="inherit" w:hAnsi="inherit"/>
                <w:sz w:val="15"/>
              </w:rPr>
            </w:pPr>
            <w:r>
              <w:rPr>
                <w:rFonts w:ascii="inherit" w:hAnsi="inherit"/>
                <w:sz w:val="15"/>
              </w:rPr>
              <w:t xml:space="preserve">Term </w:t>
            </w:r>
          </w:p>
          <w:p>
            <w:pPr>
              <w:pStyle w:val="TableContents"/>
              <w:spacing w:lineRule="auto" w:line="288" w:before="0" w:after="0"/>
              <w:ind w:left="0" w:right="0" w:firstLine="30"/>
              <w:jc w:val="center"/>
              <w:rPr>
                <w:sz w:val="15"/>
              </w:rPr>
            </w:pPr>
            <w:r>
              <w:rPr>
                <w:rFonts w:ascii="inherit" w:hAnsi="inherit"/>
                <w:sz w:val="15"/>
              </w:rPr>
              <w:t>(months)</w:t>
            </w:r>
            <w:r>
              <w:rPr>
                <w:sz w:val="15"/>
              </w:rPr>
              <w:t> </w:t>
            </w:r>
            <w:r>
              <w:rPr>
                <w:rFonts w:ascii="inherit" w:hAnsi="inherit"/>
                <w:sz w:val="10"/>
              </w:rPr>
              <w:t>(a)</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6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Notional </w:t>
            </w:r>
          </w:p>
          <w:p>
            <w:pPr>
              <w:pStyle w:val="TableContents"/>
              <w:spacing w:before="0" w:after="0"/>
              <w:ind w:left="0" w:right="0" w:firstLine="30"/>
              <w:jc w:val="center"/>
              <w:rPr>
                <w:rFonts w:ascii="inherit" w:hAnsi="inherit"/>
                <w:sz w:val="15"/>
              </w:rPr>
            </w:pPr>
            <w:r>
              <w:rPr>
                <w:rFonts w:ascii="inherit" w:hAnsi="inherit"/>
                <w:sz w:val="15"/>
              </w:rPr>
              <w:t xml:space="preserve">(MMBtus)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2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Maximum </w:t>
            </w:r>
          </w:p>
          <w:p>
            <w:pPr>
              <w:pStyle w:val="TableContents"/>
              <w:spacing w:before="0" w:after="0"/>
              <w:jc w:val="center"/>
              <w:rPr>
                <w:rFonts w:ascii="inherit" w:hAnsi="inherit"/>
                <w:sz w:val="15"/>
              </w:rPr>
            </w:pPr>
            <w:r>
              <w:rPr>
                <w:rFonts w:ascii="inherit" w:hAnsi="inherit"/>
                <w:sz w:val="15"/>
              </w:rPr>
              <w:t xml:space="preserve">Term </w:t>
            </w:r>
          </w:p>
          <w:p>
            <w:pPr>
              <w:pStyle w:val="TableContents"/>
              <w:spacing w:lineRule="auto" w:line="288" w:before="0" w:after="0"/>
              <w:ind w:left="0" w:right="0" w:firstLine="30"/>
              <w:jc w:val="center"/>
              <w:rPr>
                <w:sz w:val="15"/>
              </w:rPr>
            </w:pPr>
            <w:r>
              <w:rPr>
                <w:rFonts w:ascii="inherit" w:hAnsi="inherit"/>
                <w:sz w:val="15"/>
              </w:rPr>
              <w:t>(months)</w:t>
            </w:r>
            <w:r>
              <w:rPr>
                <w:sz w:val="15"/>
              </w:rPr>
              <w:t> </w:t>
            </w:r>
            <w:r>
              <w:rPr>
                <w:rFonts w:ascii="inherit" w:hAnsi="inherit"/>
                <w:sz w:val="10"/>
              </w:rPr>
              <w:t>(a)</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Notional </w:t>
            </w:r>
          </w:p>
          <w:p>
            <w:pPr>
              <w:pStyle w:val="TableContents"/>
              <w:spacing w:before="0" w:after="0"/>
              <w:ind w:left="0" w:right="0" w:firstLine="30"/>
              <w:jc w:val="center"/>
              <w:rPr>
                <w:rFonts w:ascii="inherit" w:hAnsi="inherit"/>
                <w:sz w:val="15"/>
              </w:rPr>
            </w:pPr>
            <w:r>
              <w:rPr>
                <w:rFonts w:ascii="inherit" w:hAnsi="inherit"/>
                <w:sz w:val="15"/>
              </w:rPr>
              <w:t xml:space="preserve">(MMBtus)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3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Maximum </w:t>
            </w:r>
          </w:p>
          <w:p>
            <w:pPr>
              <w:pStyle w:val="TableContents"/>
              <w:spacing w:before="0" w:after="0"/>
              <w:jc w:val="center"/>
              <w:rPr>
                <w:rFonts w:ascii="inherit" w:hAnsi="inherit"/>
                <w:sz w:val="15"/>
              </w:rPr>
            </w:pPr>
            <w:r>
              <w:rPr>
                <w:rFonts w:ascii="inherit" w:hAnsi="inherit"/>
                <w:sz w:val="15"/>
              </w:rPr>
              <w:t xml:space="preserve">Term </w:t>
            </w:r>
          </w:p>
          <w:p>
            <w:pPr>
              <w:pStyle w:val="TableContents"/>
              <w:spacing w:lineRule="auto" w:line="288" w:before="0" w:after="0"/>
              <w:ind w:left="0" w:right="0" w:firstLine="30"/>
              <w:jc w:val="center"/>
              <w:rPr>
                <w:sz w:val="15"/>
              </w:rPr>
            </w:pPr>
            <w:r>
              <w:rPr>
                <w:rFonts w:ascii="inherit" w:hAnsi="inherit"/>
                <w:sz w:val="15"/>
              </w:rPr>
              <w:t>(months)</w:t>
            </w:r>
            <w:r>
              <w:rPr>
                <w:sz w:val="15"/>
              </w:rPr>
              <w:t> </w:t>
            </w:r>
            <w:r>
              <w:rPr>
                <w:rFonts w:ascii="inherit" w:hAnsi="inherit"/>
                <w:sz w:val="10"/>
              </w:rPr>
              <w:t>(a)</w:t>
            </w:r>
          </w:p>
        </w:tc>
      </w:tr>
      <w:tr>
        <w:trPr/>
        <w:tc>
          <w:tcPr>
            <w:tcW w:w="321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Natural gas futures purchased</w:t>
            </w:r>
          </w:p>
        </w:tc>
        <w:tc>
          <w:tcPr>
            <w:tcW w:w="783" w:type="dxa"/>
            <w:tcBorders/>
            <w:shd w:fill="CEFFE7" w:val="clear"/>
            <w:vAlign w:val="center"/>
          </w:tcPr>
          <w:p>
            <w:pPr>
              <w:pStyle w:val="TableContents"/>
              <w:spacing w:before="0" w:after="0"/>
              <w:jc w:val="right"/>
              <w:rPr>
                <w:rFonts w:ascii="inherit" w:hAnsi="inherit"/>
                <w:sz w:val="15"/>
              </w:rPr>
            </w:pPr>
            <w:r>
              <w:rPr>
                <w:rFonts w:ascii="inherit" w:hAnsi="inherit"/>
                <w:sz w:val="15"/>
              </w:rPr>
              <w:t>3,120,000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21</w:t>
            </w:r>
          </w:p>
        </w:tc>
        <w:tc>
          <w:tcPr>
            <w:tcW w:w="90" w:type="dxa"/>
            <w:tcBorders/>
            <w:shd w:fill="CEFFE7" w:val="clear"/>
            <w:vAlign w:val="center"/>
          </w:tcPr>
          <w:p>
            <w:pPr>
              <w:pStyle w:val="TableContents"/>
              <w:spacing w:before="0" w:after="0"/>
              <w:ind w:left="0" w:right="0" w:firstLine="30"/>
              <w:rPr/>
            </w:pPr>
            <w:r>
              <w:rPr/>
              <w:t> </w:t>
            </w:r>
          </w:p>
        </w:tc>
        <w:tc>
          <w:tcPr>
            <w:tcW w:w="83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4,000,000</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top w:val="single" w:sz="2" w:space="0" w:color="000000"/>
            </w:tcBorders>
            <w:shd w:fill="CEFFE7" w:val="clear"/>
            <w:tcMar>
              <w:top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24</w:t>
            </w:r>
          </w:p>
        </w:tc>
        <w:tc>
          <w:tcPr>
            <w:tcW w:w="90" w:type="dxa"/>
            <w:tcBorders/>
            <w:shd w:fill="CEFFE7" w:val="clear"/>
            <w:vAlign w:val="center"/>
          </w:tcPr>
          <w:p>
            <w:pPr>
              <w:pStyle w:val="TableContents"/>
              <w:spacing w:before="0" w:after="0"/>
              <w:ind w:left="0" w:right="0" w:firstLine="30"/>
              <w:rPr/>
            </w:pPr>
            <w:r>
              <w:rPr/>
              <w:t> </w:t>
            </w:r>
          </w:p>
        </w:tc>
        <w:tc>
          <w:tcPr>
            <w:tcW w:w="78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6,760,000</w:t>
            </w:r>
          </w:p>
        </w:tc>
        <w:tc>
          <w:tcPr>
            <w:tcW w:w="3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35" w:type="dxa"/>
            <w:tcBorders>
              <w:top w:val="single" w:sz="2" w:space="0" w:color="000000"/>
            </w:tcBorders>
            <w:shd w:fill="CEFFE7" w:val="clear"/>
            <w:tcMar>
              <w:top w:w="30" w:type="dxa"/>
            </w:tcMar>
            <w:vAlign w:val="center"/>
          </w:tcPr>
          <w:p>
            <w:pPr>
              <w:pStyle w:val="TableContents"/>
              <w:spacing w:before="0" w:after="0"/>
              <w:ind w:left="0" w:right="0" w:firstLine="30"/>
              <w:jc w:val="center"/>
              <w:rPr>
                <w:rFonts w:ascii="inherit" w:hAnsi="inherit"/>
                <w:sz w:val="15"/>
              </w:rPr>
            </w:pPr>
            <w:r>
              <w:rPr>
                <w:rFonts w:ascii="inherit" w:hAnsi="inherit"/>
                <w:sz w:val="15"/>
              </w:rPr>
              <w:t>33</w:t>
            </w:r>
          </w:p>
        </w:tc>
      </w:tr>
      <w:tr>
        <w:trPr/>
        <w:tc>
          <w:tcPr>
            <w:tcW w:w="32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Natural gas options purchased, net</w:t>
            </w:r>
          </w:p>
        </w:tc>
        <w:tc>
          <w:tcPr>
            <w:tcW w:w="783" w:type="dxa"/>
            <w:tcBorders/>
            <w:shd w:fill="auto" w:val="clear"/>
            <w:vAlign w:val="center"/>
          </w:tcPr>
          <w:p>
            <w:pPr>
              <w:pStyle w:val="TableContents"/>
              <w:spacing w:before="0" w:after="0"/>
              <w:jc w:val="right"/>
              <w:rPr>
                <w:rFonts w:ascii="inherit" w:hAnsi="inherit"/>
                <w:sz w:val="15"/>
              </w:rPr>
            </w:pPr>
            <w:r>
              <w:rPr>
                <w:rFonts w:ascii="inherit" w:hAnsi="inherit"/>
                <w:sz w:val="15"/>
              </w:rPr>
              <w:t>1,150,000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w:t>
            </w:r>
          </w:p>
        </w:tc>
        <w:tc>
          <w:tcPr>
            <w:tcW w:w="90" w:type="dxa"/>
            <w:tcBorders/>
            <w:shd w:fill="auto" w:val="clear"/>
            <w:vAlign w:val="center"/>
          </w:tcPr>
          <w:p>
            <w:pPr>
              <w:pStyle w:val="TableContents"/>
              <w:spacing w:before="0" w:after="0"/>
              <w:ind w:left="0" w:right="0" w:firstLine="30"/>
              <w:rPr/>
            </w:pPr>
            <w:r>
              <w:rPr/>
              <w:t> </w:t>
            </w:r>
          </w:p>
        </w:tc>
        <w:tc>
          <w:tcPr>
            <w:tcW w:w="830" w:type="dxa"/>
            <w:tcBorders/>
            <w:shd w:fill="auto" w:val="clear"/>
            <w:vAlign w:val="center"/>
          </w:tcPr>
          <w:p>
            <w:pPr>
              <w:pStyle w:val="TableContents"/>
              <w:spacing w:before="0" w:after="0"/>
              <w:jc w:val="right"/>
              <w:rPr>
                <w:rFonts w:ascii="inherit" w:hAnsi="inherit"/>
                <w:sz w:val="15"/>
              </w:rPr>
            </w:pPr>
            <w:r>
              <w:rPr>
                <w:rFonts w:ascii="inherit" w:hAnsi="inherit"/>
                <w:sz w:val="15"/>
              </w:rPr>
              <w:t>4,320,000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13</w:t>
            </w:r>
          </w:p>
        </w:tc>
        <w:tc>
          <w:tcPr>
            <w:tcW w:w="90" w:type="dxa"/>
            <w:tcBorders/>
            <w:shd w:fill="auto" w:val="clear"/>
            <w:vAlign w:val="center"/>
          </w:tcPr>
          <w:p>
            <w:pPr>
              <w:pStyle w:val="TableContents"/>
              <w:spacing w:before="0" w:after="0"/>
              <w:ind w:left="0" w:right="0" w:firstLine="30"/>
              <w:rPr/>
            </w:pPr>
            <w:r>
              <w:rPr/>
              <w:t> </w:t>
            </w:r>
          </w:p>
        </w:tc>
        <w:tc>
          <w:tcPr>
            <w:tcW w:w="783" w:type="dxa"/>
            <w:tcBorders/>
            <w:shd w:fill="auto" w:val="clear"/>
            <w:vAlign w:val="center"/>
          </w:tcPr>
          <w:p>
            <w:pPr>
              <w:pStyle w:val="TableContents"/>
              <w:spacing w:before="0" w:after="0"/>
              <w:jc w:val="right"/>
              <w:rPr>
                <w:rFonts w:ascii="inherit" w:hAnsi="inherit"/>
                <w:sz w:val="15"/>
              </w:rPr>
            </w:pPr>
            <w:r>
              <w:rPr>
                <w:rFonts w:ascii="inherit" w:hAnsi="inherit"/>
                <w:sz w:val="15"/>
              </w:rPr>
              <w:t>170,000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11</w:t>
            </w:r>
          </w:p>
        </w:tc>
      </w:tr>
      <w:tr>
        <w:trPr/>
        <w:tc>
          <w:tcPr>
            <w:tcW w:w="321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Natural gas basis swaps purchased </w:t>
            </w:r>
          </w:p>
        </w:tc>
        <w:tc>
          <w:tcPr>
            <w:tcW w:w="783" w:type="dxa"/>
            <w:tcBorders/>
            <w:shd w:fill="CEFFE7" w:val="clear"/>
            <w:vAlign w:val="center"/>
          </w:tcPr>
          <w:p>
            <w:pPr>
              <w:pStyle w:val="TableContents"/>
              <w:spacing w:before="0" w:after="0"/>
              <w:jc w:val="right"/>
              <w:rPr>
                <w:rFonts w:ascii="inherit" w:hAnsi="inherit"/>
                <w:sz w:val="15"/>
              </w:rPr>
            </w:pPr>
            <w:r>
              <w:rPr>
                <w:rFonts w:ascii="inherit" w:hAnsi="inherit"/>
                <w:sz w:val="15"/>
              </w:rPr>
              <w:t>3,020,000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21</w:t>
            </w:r>
          </w:p>
        </w:tc>
        <w:tc>
          <w:tcPr>
            <w:tcW w:w="90" w:type="dxa"/>
            <w:tcBorders/>
            <w:shd w:fill="CEFFE7" w:val="clear"/>
            <w:vAlign w:val="center"/>
          </w:tcPr>
          <w:p>
            <w:pPr>
              <w:pStyle w:val="TableContents"/>
              <w:spacing w:before="0" w:after="0"/>
              <w:ind w:left="0" w:right="0" w:firstLine="30"/>
              <w:rPr/>
            </w:pPr>
            <w:r>
              <w:rPr/>
              <w:t> </w:t>
            </w:r>
          </w:p>
        </w:tc>
        <w:tc>
          <w:tcPr>
            <w:tcW w:w="830" w:type="dxa"/>
            <w:tcBorders/>
            <w:shd w:fill="CEFFE7" w:val="clear"/>
            <w:vAlign w:val="center"/>
          </w:tcPr>
          <w:p>
            <w:pPr>
              <w:pStyle w:val="TableContents"/>
              <w:spacing w:before="0" w:after="0"/>
              <w:jc w:val="right"/>
              <w:rPr>
                <w:rFonts w:ascii="inherit" w:hAnsi="inherit"/>
                <w:sz w:val="15"/>
              </w:rPr>
            </w:pPr>
            <w:r>
              <w:rPr>
                <w:rFonts w:ascii="inherit" w:hAnsi="inherit"/>
                <w:sz w:val="15"/>
              </w:rPr>
              <w:t>3,960,000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24</w:t>
            </w:r>
          </w:p>
        </w:tc>
        <w:tc>
          <w:tcPr>
            <w:tcW w:w="90" w:type="dxa"/>
            <w:tcBorders/>
            <w:shd w:fill="CEFFE7" w:val="clear"/>
            <w:vAlign w:val="center"/>
          </w:tcPr>
          <w:p>
            <w:pPr>
              <w:pStyle w:val="TableContents"/>
              <w:spacing w:before="0" w:after="0"/>
              <w:ind w:left="0" w:right="0" w:firstLine="30"/>
              <w:rPr/>
            </w:pPr>
            <w:r>
              <w:rPr/>
              <w:t> </w:t>
            </w:r>
          </w:p>
        </w:tc>
        <w:tc>
          <w:tcPr>
            <w:tcW w:w="783" w:type="dxa"/>
            <w:tcBorders/>
            <w:shd w:fill="CEFFE7" w:val="clear"/>
            <w:vAlign w:val="center"/>
          </w:tcPr>
          <w:p>
            <w:pPr>
              <w:pStyle w:val="TableContents"/>
              <w:spacing w:before="0" w:after="0"/>
              <w:jc w:val="right"/>
              <w:rPr>
                <w:rFonts w:ascii="inherit" w:hAnsi="inherit"/>
                <w:sz w:val="15"/>
              </w:rPr>
            </w:pPr>
            <w:r>
              <w:rPr>
                <w:rFonts w:ascii="inherit" w:hAnsi="inherit"/>
                <w:sz w:val="15"/>
              </w:rPr>
              <w:t>6,770,000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35"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33</w:t>
            </w:r>
          </w:p>
        </w:tc>
      </w:tr>
      <w:tr>
        <w:trPr/>
        <w:tc>
          <w:tcPr>
            <w:tcW w:w="3215" w:type="dxa"/>
            <w:tcBorders/>
            <w:shd w:fill="auto" w:val="clear"/>
            <w:vAlign w:val="center"/>
          </w:tcPr>
          <w:p>
            <w:pPr>
              <w:pStyle w:val="TableContents"/>
              <w:spacing w:lineRule="auto" w:line="288" w:before="0" w:after="0"/>
              <w:ind w:left="0" w:right="0" w:firstLine="30"/>
              <w:rPr>
                <w:sz w:val="15"/>
              </w:rPr>
            </w:pPr>
            <w:r>
              <w:rPr>
                <w:rFonts w:ascii="inherit" w:hAnsi="inherit"/>
                <w:sz w:val="15"/>
              </w:rPr>
              <w:t xml:space="preserve">Natural gas over-the-counter swaps, net </w:t>
            </w:r>
            <w:r>
              <w:rPr>
                <w:rFonts w:ascii="inherit" w:hAnsi="inherit"/>
                <w:sz w:val="10"/>
              </w:rPr>
              <w:t>(b)</w:t>
            </w:r>
          </w:p>
        </w:tc>
        <w:tc>
          <w:tcPr>
            <w:tcW w:w="783" w:type="dxa"/>
            <w:tcBorders/>
            <w:shd w:fill="auto" w:val="clear"/>
            <w:vAlign w:val="center"/>
          </w:tcPr>
          <w:p>
            <w:pPr>
              <w:pStyle w:val="TableContents"/>
              <w:spacing w:before="0" w:after="0"/>
              <w:jc w:val="right"/>
              <w:rPr>
                <w:rFonts w:ascii="inherit" w:hAnsi="inherit"/>
                <w:sz w:val="15"/>
              </w:rPr>
            </w:pPr>
            <w:r>
              <w:rPr>
                <w:rFonts w:ascii="inherit" w:hAnsi="inherit"/>
                <w:sz w:val="15"/>
              </w:rPr>
              <w:t>3,316,000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26</w:t>
            </w:r>
          </w:p>
        </w:tc>
        <w:tc>
          <w:tcPr>
            <w:tcW w:w="90" w:type="dxa"/>
            <w:tcBorders/>
            <w:shd w:fill="auto" w:val="clear"/>
            <w:vAlign w:val="center"/>
          </w:tcPr>
          <w:p>
            <w:pPr>
              <w:pStyle w:val="TableContents"/>
              <w:spacing w:before="0" w:after="0"/>
              <w:ind w:left="0" w:right="0" w:firstLine="30"/>
              <w:rPr/>
            </w:pPr>
            <w:r>
              <w:rPr/>
              <w:t> </w:t>
            </w:r>
          </w:p>
        </w:tc>
        <w:tc>
          <w:tcPr>
            <w:tcW w:w="830" w:type="dxa"/>
            <w:tcBorders/>
            <w:shd w:fill="auto" w:val="clear"/>
            <w:vAlign w:val="center"/>
          </w:tcPr>
          <w:p>
            <w:pPr>
              <w:pStyle w:val="TableContents"/>
              <w:spacing w:before="0" w:after="0"/>
              <w:jc w:val="right"/>
              <w:rPr>
                <w:rFonts w:ascii="inherit" w:hAnsi="inherit"/>
                <w:sz w:val="15"/>
              </w:rPr>
            </w:pPr>
            <w:r>
              <w:rPr>
                <w:rFonts w:ascii="inherit" w:hAnsi="inherit"/>
                <w:sz w:val="15"/>
              </w:rPr>
              <w:t>3,660,000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24</w:t>
            </w:r>
          </w:p>
        </w:tc>
        <w:tc>
          <w:tcPr>
            <w:tcW w:w="90" w:type="dxa"/>
            <w:tcBorders/>
            <w:shd w:fill="auto" w:val="clear"/>
            <w:vAlign w:val="center"/>
          </w:tcPr>
          <w:p>
            <w:pPr>
              <w:pStyle w:val="TableContents"/>
              <w:spacing w:before="0" w:after="0"/>
              <w:ind w:left="0" w:right="0" w:firstLine="30"/>
              <w:rPr/>
            </w:pPr>
            <w:r>
              <w:rPr/>
              <w:t> </w:t>
            </w:r>
          </w:p>
        </w:tc>
        <w:tc>
          <w:tcPr>
            <w:tcW w:w="783" w:type="dxa"/>
            <w:tcBorders/>
            <w:shd w:fill="auto" w:val="clear"/>
            <w:vAlign w:val="center"/>
          </w:tcPr>
          <w:p>
            <w:pPr>
              <w:pStyle w:val="TableContents"/>
              <w:spacing w:before="0" w:after="0"/>
              <w:jc w:val="right"/>
              <w:rPr>
                <w:rFonts w:ascii="inherit" w:hAnsi="inherit"/>
                <w:sz w:val="15"/>
              </w:rPr>
            </w:pPr>
            <w:r>
              <w:rPr>
                <w:rFonts w:ascii="inherit" w:hAnsi="inherit"/>
                <w:sz w:val="15"/>
              </w:rPr>
              <w:t>2,760,000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26</w:t>
            </w:r>
          </w:p>
        </w:tc>
      </w:tr>
      <w:tr>
        <w:trPr/>
        <w:tc>
          <w:tcPr>
            <w:tcW w:w="3215" w:type="dxa"/>
            <w:tcBorders/>
            <w:shd w:fill="CEFFE7" w:val="clear"/>
            <w:vAlign w:val="center"/>
          </w:tcPr>
          <w:p>
            <w:pPr>
              <w:pStyle w:val="TableContents"/>
              <w:spacing w:lineRule="auto" w:line="288" w:before="0" w:after="0"/>
              <w:ind w:left="0" w:right="0" w:firstLine="30"/>
              <w:rPr>
                <w:sz w:val="15"/>
              </w:rPr>
            </w:pPr>
            <w:r>
              <w:rPr>
                <w:rFonts w:ascii="inherit" w:hAnsi="inherit"/>
                <w:sz w:val="15"/>
              </w:rPr>
              <w:t xml:space="preserve">Natural gas physical contracts, net </w:t>
            </w:r>
            <w:r>
              <w:rPr>
                <w:rFonts w:ascii="inherit" w:hAnsi="inherit"/>
                <w:sz w:val="10"/>
              </w:rPr>
              <w:t>(c)</w:t>
            </w:r>
          </w:p>
        </w:tc>
        <w:tc>
          <w:tcPr>
            <w:tcW w:w="783" w:type="dxa"/>
            <w:tcBorders/>
            <w:shd w:fill="CEFFE7" w:val="clear"/>
            <w:vAlign w:val="center"/>
          </w:tcPr>
          <w:p>
            <w:pPr>
              <w:pStyle w:val="TableContents"/>
              <w:spacing w:before="0" w:after="0"/>
              <w:jc w:val="right"/>
              <w:rPr>
                <w:rFonts w:ascii="inherit" w:hAnsi="inherit"/>
                <w:sz w:val="15"/>
              </w:rPr>
            </w:pPr>
            <w:r>
              <w:rPr>
                <w:rFonts w:ascii="inherit" w:hAnsi="inherit"/>
                <w:sz w:val="15"/>
              </w:rPr>
              <w:t>2,786,980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12</w:t>
            </w:r>
          </w:p>
        </w:tc>
        <w:tc>
          <w:tcPr>
            <w:tcW w:w="90" w:type="dxa"/>
            <w:tcBorders/>
            <w:shd w:fill="CEFFE7" w:val="clear"/>
            <w:vAlign w:val="center"/>
          </w:tcPr>
          <w:p>
            <w:pPr>
              <w:pStyle w:val="TableContents"/>
              <w:spacing w:before="0" w:after="0"/>
              <w:ind w:left="0" w:right="0" w:firstLine="30"/>
              <w:rPr/>
            </w:pPr>
            <w:r>
              <w:rPr/>
              <w:t> </w:t>
            </w:r>
          </w:p>
        </w:tc>
        <w:tc>
          <w:tcPr>
            <w:tcW w:w="830" w:type="dxa"/>
            <w:tcBorders/>
            <w:shd w:fill="CEFFE7" w:val="clear"/>
            <w:vAlign w:val="center"/>
          </w:tcPr>
          <w:p>
            <w:pPr>
              <w:pStyle w:val="TableContents"/>
              <w:spacing w:before="0" w:after="0"/>
              <w:jc w:val="right"/>
              <w:rPr>
                <w:rFonts w:ascii="inherit" w:hAnsi="inherit"/>
                <w:sz w:val="15"/>
              </w:rPr>
            </w:pPr>
            <w:r>
              <w:rPr>
                <w:rFonts w:ascii="inherit" w:hAnsi="inherit"/>
                <w:sz w:val="15"/>
              </w:rPr>
              <w:t>18,325,852</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20"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30</w:t>
            </w:r>
          </w:p>
        </w:tc>
        <w:tc>
          <w:tcPr>
            <w:tcW w:w="90" w:type="dxa"/>
            <w:tcBorders/>
            <w:shd w:fill="CEFFE7" w:val="clear"/>
            <w:vAlign w:val="center"/>
          </w:tcPr>
          <w:p>
            <w:pPr>
              <w:pStyle w:val="TableContents"/>
              <w:spacing w:before="0" w:after="0"/>
              <w:ind w:left="0" w:right="0" w:firstLine="30"/>
              <w:rPr/>
            </w:pPr>
            <w:r>
              <w:rPr/>
              <w:t> </w:t>
            </w:r>
          </w:p>
        </w:tc>
        <w:tc>
          <w:tcPr>
            <w:tcW w:w="783" w:type="dxa"/>
            <w:tcBorders/>
            <w:shd w:fill="CEFFE7" w:val="clear"/>
            <w:vAlign w:val="center"/>
          </w:tcPr>
          <w:p>
            <w:pPr>
              <w:pStyle w:val="TableContents"/>
              <w:spacing w:before="0" w:after="0"/>
              <w:jc w:val="right"/>
              <w:rPr>
                <w:rFonts w:ascii="inherit" w:hAnsi="inherit"/>
                <w:sz w:val="15"/>
              </w:rPr>
            </w:pPr>
            <w:r>
              <w:rPr>
                <w:rFonts w:ascii="inherit" w:hAnsi="inherit"/>
                <w:sz w:val="15"/>
              </w:rPr>
              <w:t>386,250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35" w:type="dxa"/>
            <w:tcBorders/>
            <w:shd w:fill="CEFFE7" w:val="clear"/>
            <w:vAlign w:val="center"/>
          </w:tcPr>
          <w:p>
            <w:pPr>
              <w:pStyle w:val="TableContents"/>
              <w:spacing w:before="0" w:after="0"/>
              <w:jc w:val="center"/>
              <w:rPr>
                <w:rFonts w:ascii="inherit" w:hAnsi="inherit"/>
                <w:sz w:val="15"/>
              </w:rPr>
            </w:pPr>
            <w:r>
              <w:rPr>
                <w:rFonts w:ascii="inherit" w:hAnsi="inherit"/>
                <w:sz w:val="15"/>
              </w:rPr>
              <w:t>32</w:t>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__________</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283"/>
              <w:rPr>
                <w:sz w:val="4"/>
                <w:szCs w:val="4"/>
              </w:rPr>
            </w:pPr>
            <w:r>
              <w:rPr>
                <w:sz w:val="4"/>
                <w:szCs w:val="4"/>
              </w:rPr>
            </w:r>
          </w:p>
        </w:tc>
        <w:tc>
          <w:tcPr>
            <w:tcW w:w="38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386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Term reflects the maximum forward period hedged.</w:t>
            </w:r>
          </w:p>
        </w:tc>
      </w:tr>
    </w:tbl>
    <w:tbl>
      <w:tblPr>
        <w:tblW w:w="5950" w:type="dxa"/>
        <w:jc w:val="left"/>
        <w:tblInd w:w="0" w:type="dxa"/>
        <w:tblCellMar>
          <w:top w:w="0" w:type="dxa"/>
          <w:left w:w="0" w:type="dxa"/>
          <w:bottom w:w="0" w:type="dxa"/>
          <w:right w:w="0" w:type="dxa"/>
        </w:tblCellMar>
      </w:tblPr>
      <w:tblGrid>
        <w:gridCol w:w="245"/>
        <w:gridCol w:w="5705"/>
      </w:tblGrid>
      <w:tr>
        <w:trPr/>
        <w:tc>
          <w:tcPr>
            <w:tcW w:w="245" w:type="dxa"/>
            <w:tcBorders/>
            <w:shd w:fill="auto" w:val="clear"/>
            <w:vAlign w:val="center"/>
          </w:tcPr>
          <w:p>
            <w:pPr>
              <w:pStyle w:val="TableContents"/>
              <w:spacing w:before="0" w:after="283"/>
              <w:rPr>
                <w:sz w:val="4"/>
                <w:szCs w:val="4"/>
              </w:rPr>
            </w:pPr>
            <w:r>
              <w:rPr>
                <w:sz w:val="4"/>
                <w:szCs w:val="4"/>
              </w:rPr>
            </w:r>
          </w:p>
        </w:tc>
        <w:tc>
          <w:tcPr>
            <w:tcW w:w="57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5705" w:type="dxa"/>
            <w:tcBorders/>
            <w:shd w:fill="auto" w:val="clear"/>
            <w:vAlign w:val="center"/>
          </w:tcPr>
          <w:p>
            <w:pPr>
              <w:pStyle w:val="TableContents"/>
              <w:spacing w:lineRule="auto" w:line="288" w:before="0" w:after="0"/>
              <w:jc w:val="left"/>
              <w:rPr>
                <w:sz w:val="17"/>
              </w:rPr>
            </w:pPr>
            <w:r>
              <w:rPr>
                <w:rFonts w:ascii="inherit" w:hAnsi="inherit"/>
                <w:sz w:val="15"/>
              </w:rPr>
              <w:t>As of March 31, 2019</w:t>
            </w:r>
            <w:r>
              <w:rPr>
                <w:rFonts w:ascii="inherit" w:hAnsi="inherit"/>
                <w:sz w:val="17"/>
              </w:rPr>
              <w:t xml:space="preserve">, </w:t>
            </w:r>
            <w:r>
              <w:rPr>
                <w:rFonts w:ascii="inherit" w:hAnsi="inherit"/>
                <w:sz w:val="15"/>
              </w:rPr>
              <w:t>534,000</w:t>
            </w:r>
            <w:r>
              <w:rPr>
                <w:sz w:val="17"/>
              </w:rPr>
              <w:t xml:space="preserve"> </w:t>
            </w:r>
            <w:r>
              <w:rPr>
                <w:rFonts w:ascii="inherit" w:hAnsi="inherit"/>
                <w:sz w:val="15"/>
              </w:rPr>
              <w:t>MMBtus were designated as cash flow hedges.</w:t>
            </w:r>
          </w:p>
        </w:tc>
      </w:tr>
    </w:tbl>
    <w:tbl>
      <w:tblPr>
        <w:tblW w:w="6895" w:type="dxa"/>
        <w:jc w:val="left"/>
        <w:tblInd w:w="0" w:type="dxa"/>
        <w:tblCellMar>
          <w:top w:w="0" w:type="dxa"/>
          <w:left w:w="0" w:type="dxa"/>
          <w:bottom w:w="0" w:type="dxa"/>
          <w:right w:w="0" w:type="dxa"/>
        </w:tblCellMar>
      </w:tblPr>
      <w:tblGrid>
        <w:gridCol w:w="275"/>
        <w:gridCol w:w="6620"/>
      </w:tblGrid>
      <w:tr>
        <w:trPr/>
        <w:tc>
          <w:tcPr>
            <w:tcW w:w="27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 xml:space="preserve">(c) </w:t>
            </w:r>
          </w:p>
        </w:tc>
        <w:tc>
          <w:tcPr>
            <w:tcW w:w="662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Volumes exclude contracts that qualify for the normal purchase, normal sales exception. </w:t>
            </w:r>
          </w:p>
        </w:tc>
      </w:tr>
    </w:tbl>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Based on March 31, 2019</w:t>
      </w:r>
      <w:r>
        <w:rPr>
          <w:sz w:val="17"/>
        </w:rPr>
        <w:t xml:space="preserve"> </w:t>
      </w:r>
      <w:r>
        <w:rPr>
          <w:rFonts w:ascii="inherit" w:hAnsi="inherit"/>
          <w:sz w:val="17"/>
        </w:rPr>
        <w:t>prices, a $0.1 million</w:t>
      </w:r>
      <w:r>
        <w:rPr>
          <w:sz w:val="17"/>
        </w:rPr>
        <w:t xml:space="preserve"> </w:t>
      </w:r>
      <w:r>
        <w:rPr>
          <w:rFonts w:ascii="inherit" w:hAnsi="inherit"/>
          <w:sz w:val="17"/>
        </w:rPr>
        <w:t xml:space="preserve">loss would be realized, reported in pre-tax earnings and reclassified from AOCI during the next 12 months. As market prices fluctuate, estimated and actual realized gains or losses will change during future periods.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We have certain derivative contracts which contain credit provisions. These credit provisions may require the Company to post collateral when credit exposure to the Company is in excess of a negotiated line of unsecured credit. At March 31, 2019, the Company posted $0.2 million</w:t>
      </w:r>
      <w:r>
        <w:rPr>
          <w:sz w:val="17"/>
        </w:rPr>
        <w:t xml:space="preserve"> </w:t>
      </w:r>
      <w:r>
        <w:rPr>
          <w:rFonts w:ascii="inherit" w:hAnsi="inherit"/>
          <w:sz w:val="17"/>
        </w:rPr>
        <w:t>related to such provisions, which is included in Other current assets on the Condensed Consolidated Balance Sheets.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Cash Flow Hedges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impacts of cash flow hedges on our Condensed Consolidated Statements of Income is presented below for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 Note that this presentation does not reflect gains or losses arising from the underlying physical transactions; therefore, it is not indicative of the economic profit or loss we realized when the underlying physical and financial transactions were settled.</w:t>
      </w:r>
    </w:p>
    <w:tbl>
      <w:tblPr>
        <w:tblW w:w="9330" w:type="dxa"/>
        <w:jc w:val="center"/>
        <w:tblInd w:w="0" w:type="dxa"/>
        <w:tblCellMar>
          <w:top w:w="0" w:type="dxa"/>
          <w:left w:w="0" w:type="dxa"/>
          <w:bottom w:w="0" w:type="dxa"/>
          <w:right w:w="0" w:type="dxa"/>
        </w:tblCellMar>
      </w:tblPr>
      <w:tblGrid>
        <w:gridCol w:w="3590"/>
        <w:gridCol w:w="90"/>
        <w:gridCol w:w="3770"/>
        <w:gridCol w:w="90"/>
        <w:gridCol w:w="220"/>
        <w:gridCol w:w="700"/>
        <w:gridCol w:w="870"/>
      </w:tblGrid>
      <w:tr>
        <w:trPr/>
        <w:tc>
          <w:tcPr>
            <w:tcW w:w="9330" w:type="dxa"/>
            <w:gridSpan w:val="7"/>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330" w:type="dxa"/>
            <w:gridSpan w:val="7"/>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r>
      <w:tr>
        <w:trPr/>
        <w:tc>
          <w:tcPr>
            <w:tcW w:w="9330" w:type="dxa"/>
            <w:gridSpan w:val="7"/>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(in thousands)</w:t>
            </w:r>
          </w:p>
        </w:tc>
      </w:tr>
      <w:tr>
        <w:trPr/>
        <w:tc>
          <w:tcPr>
            <w:tcW w:w="35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Derivatives in Cash Flow Hedging Relationships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77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Location of </w:t>
            </w:r>
          </w:p>
          <w:p>
            <w:pPr>
              <w:pStyle w:val="TableContents"/>
              <w:spacing w:before="0" w:after="0"/>
              <w:ind w:left="0" w:right="0" w:firstLine="30"/>
              <w:jc w:val="center"/>
              <w:rPr>
                <w:rFonts w:ascii="inherit" w:hAnsi="inherit"/>
                <w:sz w:val="15"/>
              </w:rPr>
            </w:pPr>
            <w:r>
              <w:rPr>
                <w:rFonts w:ascii="inherit" w:hAnsi="inherit"/>
                <w:sz w:val="15"/>
              </w:rPr>
              <w:t>Reclassifications from AOCI into Income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9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Amount of</w:t>
            </w:r>
          </w:p>
          <w:p>
            <w:pPr>
              <w:pStyle w:val="TableContents"/>
              <w:spacing w:before="0" w:after="0"/>
              <w:jc w:val="center"/>
              <w:rPr>
                <w:rFonts w:ascii="inherit" w:hAnsi="inherit"/>
                <w:sz w:val="15"/>
              </w:rPr>
            </w:pPr>
            <w:r>
              <w:rPr>
                <w:rFonts w:ascii="inherit" w:hAnsi="inherit"/>
                <w:sz w:val="15"/>
              </w:rPr>
              <w:t>Gain/(Loss) Reclassified</w:t>
            </w:r>
          </w:p>
          <w:p>
            <w:pPr>
              <w:pStyle w:val="TableContents"/>
              <w:spacing w:before="0" w:after="0"/>
              <w:jc w:val="center"/>
              <w:rPr>
                <w:rFonts w:ascii="inherit" w:hAnsi="inherit"/>
                <w:sz w:val="15"/>
              </w:rPr>
            </w:pPr>
            <w:r>
              <w:rPr>
                <w:rFonts w:ascii="inherit" w:hAnsi="inherit"/>
                <w:sz w:val="15"/>
              </w:rPr>
              <w:t>from AOCI</w:t>
            </w:r>
          </w:p>
          <w:p>
            <w:pPr>
              <w:pStyle w:val="TableContents"/>
              <w:spacing w:before="0" w:after="0"/>
              <w:ind w:left="0" w:right="0" w:firstLine="30"/>
              <w:jc w:val="center"/>
              <w:rPr>
                <w:rFonts w:ascii="inherit" w:hAnsi="inherit"/>
                <w:sz w:val="15"/>
              </w:rPr>
            </w:pPr>
            <w:r>
              <w:rPr>
                <w:rFonts w:ascii="inherit" w:hAnsi="inherit"/>
                <w:sz w:val="15"/>
              </w:rPr>
              <w:t>into Income</w:t>
            </w:r>
          </w:p>
        </w:tc>
      </w:tr>
      <w:tr>
        <w:trPr/>
        <w:tc>
          <w:tcPr>
            <w:tcW w:w="359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rate swaps</w:t>
            </w:r>
          </w:p>
        </w:tc>
        <w:tc>
          <w:tcPr>
            <w:tcW w:w="90" w:type="dxa"/>
            <w:tcBorders/>
            <w:shd w:fill="CEFFE7" w:val="clear"/>
            <w:vAlign w:val="center"/>
          </w:tcPr>
          <w:p>
            <w:pPr>
              <w:pStyle w:val="TableContents"/>
              <w:spacing w:before="0" w:after="0"/>
              <w:ind w:left="0" w:right="0" w:firstLine="30"/>
              <w:rPr/>
            </w:pPr>
            <w:r>
              <w:rPr/>
              <w:t> </w:t>
            </w:r>
          </w:p>
        </w:tc>
        <w:tc>
          <w:tcPr>
            <w:tcW w:w="377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w:t>
            </w:r>
          </w:p>
        </w:tc>
        <w:tc>
          <w:tcPr>
            <w:tcW w:w="90" w:type="dxa"/>
            <w:tcBorders/>
            <w:shd w:fill="CEFFE7" w:val="clear"/>
            <w:vAlign w:val="center"/>
          </w:tcPr>
          <w:p>
            <w:pPr>
              <w:pStyle w:val="TableContents"/>
              <w:spacing w:before="0" w:after="0"/>
              <w:ind w:left="0" w:right="0" w:firstLine="30"/>
              <w:rPr/>
            </w:pPr>
            <w:r>
              <w:rPr/>
              <w:t> </w:t>
            </w:r>
          </w:p>
        </w:tc>
        <w:tc>
          <w:tcPr>
            <w:tcW w:w="22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0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(713</w:t>
            </w:r>
          </w:p>
        </w:tc>
        <w:tc>
          <w:tcPr>
            <w:tcW w:w="87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Commodity derivatives</w:t>
            </w:r>
          </w:p>
        </w:tc>
        <w:tc>
          <w:tcPr>
            <w:tcW w:w="90" w:type="dxa"/>
            <w:tcBorders/>
            <w:shd w:fill="auto" w:val="clear"/>
            <w:vAlign w:val="center"/>
          </w:tcPr>
          <w:p>
            <w:pPr>
              <w:pStyle w:val="TableContents"/>
              <w:spacing w:before="0" w:after="0"/>
              <w:ind w:left="0" w:right="0" w:firstLine="30"/>
              <w:rPr/>
            </w:pPr>
            <w:r>
              <w:rPr/>
              <w:t> </w:t>
            </w:r>
          </w:p>
        </w:tc>
        <w:tc>
          <w:tcPr>
            <w:tcW w:w="377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Fuel, purchased power and cost of natural gas sold</w:t>
            </w:r>
          </w:p>
        </w:tc>
        <w:tc>
          <w:tcPr>
            <w:tcW w:w="90"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554</w:t>
            </w:r>
          </w:p>
        </w:tc>
        <w:tc>
          <w:tcPr>
            <w:tcW w:w="87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9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w:t>
            </w:r>
          </w:p>
        </w:tc>
        <w:tc>
          <w:tcPr>
            <w:tcW w:w="90" w:type="dxa"/>
            <w:tcBorders/>
            <w:shd w:fill="CEFFE7" w:val="clear"/>
            <w:vAlign w:val="center"/>
          </w:tcPr>
          <w:p>
            <w:pPr>
              <w:pStyle w:val="TableContents"/>
              <w:spacing w:before="0" w:after="0"/>
              <w:ind w:left="0" w:right="0" w:firstLine="30"/>
              <w:rPr/>
            </w:pPr>
            <w:r>
              <w:rPr/>
              <w:t> </w:t>
            </w:r>
          </w:p>
        </w:tc>
        <w:tc>
          <w:tcPr>
            <w:tcW w:w="3770"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2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0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(159</w:t>
            </w:r>
          </w:p>
        </w:tc>
        <w:tc>
          <w:tcPr>
            <w:tcW w:w="87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jc w:val="center"/>
        <w:rPr>
          <w:rFonts w:ascii="inherit" w:hAnsi="inherit"/>
          <w:sz w:val="17"/>
        </w:rPr>
      </w:pPr>
      <w:r>
        <w:rPr>
          <w:rFonts w:ascii="inherit" w:hAnsi="inherit"/>
          <w:sz w:val="17"/>
        </w:rPr>
      </w:r>
    </w:p>
    <w:tbl>
      <w:tblPr>
        <w:tblW w:w="9329" w:type="dxa"/>
        <w:jc w:val="center"/>
        <w:tblInd w:w="0" w:type="dxa"/>
        <w:tblCellMar>
          <w:top w:w="0" w:type="dxa"/>
          <w:left w:w="0" w:type="dxa"/>
          <w:bottom w:w="0" w:type="dxa"/>
          <w:right w:w="0" w:type="dxa"/>
        </w:tblCellMar>
      </w:tblPr>
      <w:tblGrid>
        <w:gridCol w:w="3590"/>
        <w:gridCol w:w="90"/>
        <w:gridCol w:w="3770"/>
        <w:gridCol w:w="90"/>
        <w:gridCol w:w="177"/>
        <w:gridCol w:w="782"/>
        <w:gridCol w:w="830"/>
      </w:tblGrid>
      <w:tr>
        <w:trPr/>
        <w:tc>
          <w:tcPr>
            <w:tcW w:w="9329" w:type="dxa"/>
            <w:gridSpan w:val="7"/>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329" w:type="dxa"/>
            <w:gridSpan w:val="7"/>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9329" w:type="dxa"/>
            <w:gridSpan w:val="7"/>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(in thousands)</w:t>
            </w:r>
          </w:p>
        </w:tc>
      </w:tr>
      <w:tr>
        <w:trPr/>
        <w:tc>
          <w:tcPr>
            <w:tcW w:w="35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Derivatives in Cash Flow Hedging Relationships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77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Location of </w:t>
            </w:r>
          </w:p>
          <w:p>
            <w:pPr>
              <w:pStyle w:val="TableContents"/>
              <w:spacing w:before="0" w:after="0"/>
              <w:ind w:left="0" w:right="0" w:firstLine="30"/>
              <w:jc w:val="center"/>
              <w:rPr>
                <w:rFonts w:ascii="inherit" w:hAnsi="inherit"/>
                <w:sz w:val="15"/>
              </w:rPr>
            </w:pPr>
            <w:r>
              <w:rPr>
                <w:rFonts w:ascii="inherit" w:hAnsi="inherit"/>
                <w:sz w:val="15"/>
              </w:rPr>
              <w:t>Reclassifications from AOCI into Income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8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Amount of</w:t>
            </w:r>
          </w:p>
          <w:p>
            <w:pPr>
              <w:pStyle w:val="TableContents"/>
              <w:spacing w:before="0" w:after="0"/>
              <w:jc w:val="center"/>
              <w:rPr>
                <w:rFonts w:ascii="inherit" w:hAnsi="inherit"/>
                <w:sz w:val="15"/>
              </w:rPr>
            </w:pPr>
            <w:r>
              <w:rPr>
                <w:rFonts w:ascii="inherit" w:hAnsi="inherit"/>
                <w:sz w:val="15"/>
              </w:rPr>
              <w:t>Gain/(Loss) Reclassified</w:t>
            </w:r>
          </w:p>
          <w:p>
            <w:pPr>
              <w:pStyle w:val="TableContents"/>
              <w:spacing w:before="0" w:after="0"/>
              <w:jc w:val="center"/>
              <w:rPr>
                <w:rFonts w:ascii="inherit" w:hAnsi="inherit"/>
                <w:sz w:val="15"/>
              </w:rPr>
            </w:pPr>
            <w:r>
              <w:rPr>
                <w:rFonts w:ascii="inherit" w:hAnsi="inherit"/>
                <w:sz w:val="15"/>
              </w:rPr>
              <w:t>from AOCI</w:t>
            </w:r>
          </w:p>
          <w:p>
            <w:pPr>
              <w:pStyle w:val="TableContents"/>
              <w:spacing w:before="0" w:after="0"/>
              <w:ind w:left="0" w:right="0" w:firstLine="30"/>
              <w:jc w:val="center"/>
              <w:rPr>
                <w:rFonts w:ascii="inherit" w:hAnsi="inherit"/>
                <w:sz w:val="15"/>
              </w:rPr>
            </w:pPr>
            <w:r>
              <w:rPr>
                <w:rFonts w:ascii="inherit" w:hAnsi="inherit"/>
                <w:sz w:val="15"/>
              </w:rPr>
              <w:t>into Income</w:t>
            </w:r>
          </w:p>
        </w:tc>
      </w:tr>
      <w:tr>
        <w:trPr/>
        <w:tc>
          <w:tcPr>
            <w:tcW w:w="359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rate swaps</w:t>
            </w:r>
          </w:p>
        </w:tc>
        <w:tc>
          <w:tcPr>
            <w:tcW w:w="90" w:type="dxa"/>
            <w:tcBorders/>
            <w:shd w:fill="CEFFE7" w:val="clear"/>
            <w:vAlign w:val="center"/>
          </w:tcPr>
          <w:p>
            <w:pPr>
              <w:pStyle w:val="TableContents"/>
              <w:spacing w:before="0" w:after="0"/>
              <w:ind w:left="0" w:right="0" w:firstLine="30"/>
              <w:rPr/>
            </w:pPr>
            <w:r>
              <w:rPr/>
              <w:t> </w:t>
            </w:r>
          </w:p>
        </w:tc>
        <w:tc>
          <w:tcPr>
            <w:tcW w:w="377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w:t>
            </w:r>
          </w:p>
        </w:tc>
        <w:tc>
          <w:tcPr>
            <w:tcW w:w="90" w:type="dxa"/>
            <w:tcBorders/>
            <w:shd w:fill="CEFFE7" w:val="clear"/>
            <w:vAlign w:val="center"/>
          </w:tcPr>
          <w:p>
            <w:pPr>
              <w:pStyle w:val="TableContents"/>
              <w:spacing w:before="0" w:after="0"/>
              <w:ind w:left="0" w:right="0" w:firstLine="30"/>
              <w:rPr/>
            </w:pPr>
            <w:r>
              <w:rPr/>
              <w:t> </w:t>
            </w:r>
          </w:p>
        </w:tc>
        <w:tc>
          <w:tcPr>
            <w:tcW w:w="17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82"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(713</w:t>
            </w:r>
          </w:p>
        </w:tc>
        <w:tc>
          <w:tcPr>
            <w:tcW w:w="83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Commodity derivatives</w:t>
            </w:r>
          </w:p>
        </w:tc>
        <w:tc>
          <w:tcPr>
            <w:tcW w:w="90" w:type="dxa"/>
            <w:tcBorders/>
            <w:shd w:fill="auto" w:val="clear"/>
            <w:vAlign w:val="center"/>
          </w:tcPr>
          <w:p>
            <w:pPr>
              <w:pStyle w:val="TableContents"/>
              <w:spacing w:before="0" w:after="0"/>
              <w:ind w:left="0" w:right="0" w:firstLine="30"/>
              <w:rPr/>
            </w:pPr>
            <w:r>
              <w:rPr/>
              <w:t> </w:t>
            </w:r>
          </w:p>
        </w:tc>
        <w:tc>
          <w:tcPr>
            <w:tcW w:w="377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Fuel, purchased power and cost of natural gas sold</w:t>
            </w:r>
          </w:p>
        </w:tc>
        <w:tc>
          <w:tcPr>
            <w:tcW w:w="90" w:type="dxa"/>
            <w:tcBorders/>
            <w:shd w:fill="auto" w:val="clear"/>
            <w:vAlign w:val="center"/>
          </w:tcPr>
          <w:p>
            <w:pPr>
              <w:pStyle w:val="TableContents"/>
              <w:spacing w:before="0" w:after="0"/>
              <w:ind w:left="0" w:right="0" w:firstLine="30"/>
              <w:rPr/>
            </w:pPr>
            <w:r>
              <w:rPr/>
              <w:t> </w:t>
            </w:r>
          </w:p>
        </w:tc>
        <w:tc>
          <w:tcPr>
            <w:tcW w:w="9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(621</w:t>
            </w:r>
          </w:p>
        </w:tc>
        <w:tc>
          <w:tcPr>
            <w:tcW w:w="830"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5"/>
              </w:rPr>
            </w:pPr>
            <w:r>
              <w:rPr>
                <w:rFonts w:ascii="inherit" w:hAnsi="inherit"/>
                <w:sz w:val="15"/>
              </w:rPr>
              <w:t>)</w:t>
            </w:r>
          </w:p>
        </w:tc>
      </w:tr>
      <w:tr>
        <w:trPr/>
        <w:tc>
          <w:tcPr>
            <w:tcW w:w="359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w:t>
            </w:r>
          </w:p>
        </w:tc>
        <w:tc>
          <w:tcPr>
            <w:tcW w:w="90" w:type="dxa"/>
            <w:tcBorders/>
            <w:shd w:fill="CEFFE7" w:val="clear"/>
            <w:vAlign w:val="center"/>
          </w:tcPr>
          <w:p>
            <w:pPr>
              <w:pStyle w:val="TableContents"/>
              <w:spacing w:before="0" w:after="0"/>
              <w:ind w:left="0" w:right="0" w:firstLine="30"/>
              <w:rPr/>
            </w:pPr>
            <w:r>
              <w:rPr/>
              <w:t> </w:t>
            </w:r>
          </w:p>
        </w:tc>
        <w:tc>
          <w:tcPr>
            <w:tcW w:w="3770"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(1,334</w:t>
            </w:r>
          </w:p>
        </w:tc>
        <w:tc>
          <w:tcPr>
            <w:tcW w:w="83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sz w:val="17"/>
        </w:rPr>
      </w:pPr>
      <w:r>
        <w:rPr>
          <w:rFonts w:ascii="inherit" w:hAnsi="inherit"/>
          <w:sz w:val="17"/>
        </w:rPr>
        <w:t>The following tables summarize the gains and losses arising from hedging transactions that were recognized as a component of other comprehensive income (loss) for the three</w:t>
      </w:r>
      <w:r>
        <w:rPr>
          <w:sz w:val="17"/>
        </w:rPr>
        <w:t xml:space="preserve"> </w:t>
      </w:r>
      <w:r>
        <w:rPr>
          <w:rFonts w:ascii="inherit" w:hAnsi="inherit"/>
          <w:sz w:val="17"/>
        </w:rPr>
        <w:t>months ended March 31, 2019</w:t>
      </w:r>
      <w:r>
        <w:rPr>
          <w:sz w:val="17"/>
        </w:rPr>
        <w:t xml:space="preserve"> </w:t>
      </w:r>
      <w:r>
        <w:rPr>
          <w:rFonts w:ascii="inherit" w:hAnsi="inherit"/>
          <w:sz w:val="17"/>
        </w:rPr>
        <w:t xml:space="preserve">and 2018. </w:t>
      </w:r>
    </w:p>
    <w:tbl>
      <w:tblPr>
        <w:tblW w:w="360" w:type="dxa"/>
        <w:jc w:val="center"/>
        <w:tblInd w:w="0" w:type="dxa"/>
        <w:tblCellMar>
          <w:top w:w="0" w:type="dxa"/>
          <w:left w:w="0" w:type="dxa"/>
          <w:bottom w:w="0" w:type="dxa"/>
          <w:right w:w="0" w:type="dxa"/>
        </w:tblCellMar>
      </w:tblPr>
      <w:tblGrid>
        <w:gridCol w:w="105"/>
        <w:gridCol w:w="90"/>
        <w:gridCol w:w="90"/>
        <w:gridCol w:w="75"/>
      </w:tblGrid>
      <w:tr>
        <w:trPr/>
        <w:tc>
          <w:tcPr>
            <w:tcW w:w="360"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7717" w:type="dxa"/>
        <w:jc w:val="center"/>
        <w:tblInd w:w="0" w:type="dxa"/>
        <w:tblCellMar>
          <w:top w:w="0" w:type="dxa"/>
          <w:left w:w="0" w:type="dxa"/>
          <w:bottom w:w="0" w:type="dxa"/>
          <w:right w:w="0" w:type="dxa"/>
        </w:tblCellMar>
      </w:tblPr>
      <w:tblGrid>
        <w:gridCol w:w="5090"/>
        <w:gridCol w:w="224"/>
        <w:gridCol w:w="601"/>
        <w:gridCol w:w="197"/>
        <w:gridCol w:w="161"/>
        <w:gridCol w:w="224"/>
        <w:gridCol w:w="870"/>
        <w:gridCol w:w="350"/>
      </w:tblGrid>
      <w:tr>
        <w:trPr/>
        <w:tc>
          <w:tcPr>
            <w:tcW w:w="7717" w:type="dxa"/>
            <w:gridSpan w:val="8"/>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90" w:type="dxa"/>
            <w:tcBorders/>
            <w:shd w:fill="auto" w:val="clear"/>
            <w:vAlign w:val="center"/>
          </w:tcPr>
          <w:p>
            <w:pPr>
              <w:pStyle w:val="TableContents"/>
              <w:spacing w:before="0" w:after="0"/>
              <w:ind w:left="0" w:right="0" w:firstLine="30"/>
              <w:rPr/>
            </w:pPr>
            <w:r>
              <w:rPr/>
              <w:t> </w:t>
            </w:r>
          </w:p>
        </w:tc>
        <w:tc>
          <w:tcPr>
            <w:tcW w:w="2627" w:type="dxa"/>
            <w:gridSpan w:val="7"/>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5090" w:type="dxa"/>
            <w:tcBorders/>
            <w:shd w:fill="auto" w:val="clear"/>
            <w:vAlign w:val="center"/>
          </w:tcPr>
          <w:p>
            <w:pPr>
              <w:pStyle w:val="TableContents"/>
              <w:spacing w:before="0" w:after="0"/>
              <w:ind w:left="0" w:right="0" w:firstLine="30"/>
              <w:rPr/>
            </w:pPr>
            <w:r>
              <w:rPr/>
              <w:t> </w:t>
            </w:r>
          </w:p>
        </w:tc>
        <w:tc>
          <w:tcPr>
            <w:tcW w:w="102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6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4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5090" w:type="dxa"/>
            <w:tcBorders/>
            <w:shd w:fill="auto" w:val="clear"/>
            <w:vAlign w:val="center"/>
          </w:tcPr>
          <w:p>
            <w:pPr>
              <w:pStyle w:val="TableContents"/>
              <w:spacing w:before="0" w:after="0"/>
              <w:ind w:left="0" w:right="0" w:firstLine="30"/>
              <w:rPr/>
            </w:pPr>
            <w:r>
              <w:rPr/>
              <w:t> </w:t>
            </w:r>
          </w:p>
        </w:tc>
        <w:tc>
          <w:tcPr>
            <w:tcW w:w="2627" w:type="dxa"/>
            <w:gridSpan w:val="7"/>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Increase (decrease) in fair value:</w:t>
            </w:r>
          </w:p>
        </w:tc>
        <w:tc>
          <w:tcPr>
            <w:tcW w:w="1022" w:type="dxa"/>
            <w:gridSpan w:val="3"/>
            <w:tcBorders/>
            <w:shd w:fill="CEFFE7" w:val="clear"/>
            <w:vAlign w:val="center"/>
          </w:tcPr>
          <w:p>
            <w:pPr>
              <w:pStyle w:val="TableContents"/>
              <w:spacing w:before="0" w:after="0"/>
              <w:ind w:left="0" w:right="0" w:firstLine="30"/>
              <w:rPr/>
            </w:pPr>
            <w:r>
              <w:rPr/>
              <w:t> </w:t>
            </w:r>
          </w:p>
        </w:tc>
        <w:tc>
          <w:tcPr>
            <w:tcW w:w="161" w:type="dxa"/>
            <w:tcBorders/>
            <w:shd w:fill="CEFFE7" w:val="clear"/>
            <w:vAlign w:val="center"/>
          </w:tcPr>
          <w:p>
            <w:pPr>
              <w:pStyle w:val="TableContents"/>
              <w:spacing w:before="0" w:after="0"/>
              <w:ind w:left="0" w:right="0" w:firstLine="30"/>
              <w:rPr/>
            </w:pPr>
            <w:r>
              <w:rPr/>
              <w:t> </w:t>
            </w:r>
          </w:p>
        </w:tc>
        <w:tc>
          <w:tcPr>
            <w:tcW w:w="1444" w:type="dxa"/>
            <w:gridSpan w:val="3"/>
            <w:tcBorders/>
            <w:shd w:fill="CEFFE7" w:val="clear"/>
            <w:vAlign w:val="center"/>
          </w:tcPr>
          <w:p>
            <w:pPr>
              <w:pStyle w:val="TableContents"/>
              <w:spacing w:before="0" w:after="0"/>
              <w:ind w:left="0" w:right="0" w:firstLine="180"/>
              <w:rPr/>
            </w:pPr>
            <w:r>
              <w:rPr/>
              <w:t> </w:t>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Forward commodity contracts</w:t>
            </w:r>
          </w:p>
        </w:tc>
        <w:tc>
          <w:tcPr>
            <w:tcW w:w="2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1" w:type="dxa"/>
            <w:tcBorders/>
            <w:shd w:fill="auto" w:val="clear"/>
            <w:vAlign w:val="center"/>
          </w:tcPr>
          <w:p>
            <w:pPr>
              <w:pStyle w:val="TableContents"/>
              <w:spacing w:before="0" w:after="0"/>
              <w:jc w:val="right"/>
              <w:rPr>
                <w:rFonts w:ascii="inherit" w:hAnsi="inherit"/>
                <w:sz w:val="17"/>
              </w:rPr>
            </w:pPr>
            <w:r>
              <w:rPr>
                <w:rFonts w:ascii="inherit" w:hAnsi="inherit"/>
                <w:sz w:val="17"/>
              </w:rPr>
              <w:t>234</w:t>
            </w:r>
          </w:p>
        </w:tc>
        <w:tc>
          <w:tcPr>
            <w:tcW w:w="1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1" w:type="dxa"/>
            <w:tcBorders/>
            <w:shd w:fill="auto" w:val="clear"/>
            <w:vAlign w:val="center"/>
          </w:tcPr>
          <w:p>
            <w:pPr>
              <w:pStyle w:val="TableContents"/>
              <w:spacing w:before="0" w:after="0"/>
              <w:ind w:left="0" w:right="0" w:firstLine="30"/>
              <w:rPr/>
            </w:pPr>
            <w:r>
              <w:rPr/>
              <w:t> </w:t>
            </w:r>
          </w:p>
        </w:tc>
        <w:tc>
          <w:tcPr>
            <w:tcW w:w="2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shd w:fill="auto" w:val="clear"/>
            <w:vAlign w:val="center"/>
          </w:tcPr>
          <w:p>
            <w:pPr>
              <w:pStyle w:val="TableContents"/>
              <w:spacing w:before="0" w:after="0"/>
              <w:jc w:val="right"/>
              <w:rPr>
                <w:rFonts w:ascii="inherit" w:hAnsi="inherit"/>
                <w:sz w:val="17"/>
              </w:rPr>
            </w:pPr>
            <w:r>
              <w:rPr>
                <w:rFonts w:ascii="inherit" w:hAnsi="inherit"/>
                <w:sz w:val="17"/>
              </w:rPr>
              <w:t>(297</w:t>
            </w:r>
          </w:p>
        </w:tc>
        <w:tc>
          <w:tcPr>
            <w:tcW w:w="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Recognition of (gains) losses in earnings due to settlements:</w:t>
            </w:r>
          </w:p>
        </w:tc>
        <w:tc>
          <w:tcPr>
            <w:tcW w:w="1022" w:type="dxa"/>
            <w:gridSpan w:val="3"/>
            <w:tcBorders/>
            <w:shd w:fill="CEFFE7" w:val="clear"/>
            <w:vAlign w:val="center"/>
          </w:tcPr>
          <w:p>
            <w:pPr>
              <w:pStyle w:val="TableContents"/>
              <w:spacing w:before="0" w:after="0"/>
              <w:ind w:left="0" w:right="0" w:firstLine="30"/>
              <w:rPr/>
            </w:pPr>
            <w:r>
              <w:rPr/>
              <w:t> </w:t>
            </w:r>
          </w:p>
        </w:tc>
        <w:tc>
          <w:tcPr>
            <w:tcW w:w="161" w:type="dxa"/>
            <w:tcBorders/>
            <w:shd w:fill="CEFFE7" w:val="clear"/>
            <w:vAlign w:val="center"/>
          </w:tcPr>
          <w:p>
            <w:pPr>
              <w:pStyle w:val="TableContents"/>
              <w:spacing w:before="0" w:after="0"/>
              <w:ind w:left="0" w:right="0" w:firstLine="30"/>
              <w:rPr/>
            </w:pPr>
            <w:r>
              <w:rPr/>
              <w:t> </w:t>
            </w:r>
          </w:p>
        </w:tc>
        <w:tc>
          <w:tcPr>
            <w:tcW w:w="1444" w:type="dxa"/>
            <w:gridSpan w:val="3"/>
            <w:tcBorders/>
            <w:shd w:fill="CEFFE7" w:val="clear"/>
            <w:vAlign w:val="center"/>
          </w:tcPr>
          <w:p>
            <w:pPr>
              <w:pStyle w:val="TableContents"/>
              <w:spacing w:before="0" w:after="0"/>
              <w:ind w:left="0" w:right="0" w:firstLine="180"/>
              <w:rPr/>
            </w:pPr>
            <w:r>
              <w:rPr/>
              <w:t> </w:t>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swaps</w:t>
            </w:r>
          </w:p>
        </w:tc>
        <w:tc>
          <w:tcPr>
            <w:tcW w:w="8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713</w:t>
            </w:r>
          </w:p>
        </w:tc>
        <w:tc>
          <w:tcPr>
            <w:tcW w:w="1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1" w:type="dxa"/>
            <w:tcBorders/>
            <w:shd w:fill="auto" w:val="clear"/>
            <w:vAlign w:val="center"/>
          </w:tcPr>
          <w:p>
            <w:pPr>
              <w:pStyle w:val="TableContents"/>
              <w:spacing w:before="0" w:after="0"/>
              <w:ind w:left="0" w:right="0" w:firstLine="30"/>
              <w:rPr/>
            </w:pPr>
            <w:r>
              <w:rPr/>
              <w:t> </w:t>
            </w:r>
          </w:p>
        </w:tc>
        <w:tc>
          <w:tcPr>
            <w:tcW w:w="10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713</w:t>
            </w:r>
          </w:p>
        </w:tc>
        <w:tc>
          <w:tcPr>
            <w:tcW w:w="35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Forward commodity contracts</w:t>
            </w:r>
          </w:p>
        </w:tc>
        <w:tc>
          <w:tcPr>
            <w:tcW w:w="82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(554</w:t>
            </w:r>
          </w:p>
        </w:tc>
        <w:tc>
          <w:tcPr>
            <w:tcW w:w="197"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1" w:type="dxa"/>
            <w:tcBorders/>
            <w:shd w:fill="CEFFE7" w:val="clear"/>
            <w:vAlign w:val="center"/>
          </w:tcPr>
          <w:p>
            <w:pPr>
              <w:pStyle w:val="TableContents"/>
              <w:spacing w:before="0" w:after="0"/>
              <w:ind w:left="0" w:right="0" w:firstLine="30"/>
              <w:rPr/>
            </w:pPr>
            <w:r>
              <w:rPr/>
              <w:t> </w:t>
            </w:r>
          </w:p>
        </w:tc>
        <w:tc>
          <w:tcPr>
            <w:tcW w:w="1094"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621</w:t>
            </w:r>
          </w:p>
        </w:tc>
        <w:tc>
          <w:tcPr>
            <w:tcW w:w="35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other comprehensive income (loss) from hedging</w:t>
            </w:r>
          </w:p>
        </w:tc>
        <w:tc>
          <w:tcPr>
            <w:tcW w:w="22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393</w:t>
            </w:r>
          </w:p>
        </w:tc>
        <w:tc>
          <w:tcPr>
            <w:tcW w:w="1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2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1,037</w:t>
            </w:r>
          </w:p>
        </w:tc>
        <w:tc>
          <w:tcPr>
            <w:tcW w:w="3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i/>
          <w:sz w:val="17"/>
          <w:u w:val="single"/>
        </w:rPr>
      </w:pPr>
      <w:r>
        <w:rPr>
          <w:rFonts w:ascii="inherit" w:hAnsi="inherit"/>
          <w:i/>
          <w:sz w:val="17"/>
          <w:u w:val="single"/>
        </w:rPr>
        <w:t>Derivatives Not Designated as Hedge Instruments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following table summarizes the impacts of derivative instruments not designated as hedge instruments on our Condensed Consolidated Statements of Income for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w:t>
      </w:r>
      <w:r>
        <w:rPr>
          <w:sz w:val="17"/>
        </w:rPr>
        <w:t xml:space="preserve"> </w:t>
      </w:r>
      <w:r>
        <w:rPr>
          <w:rFonts w:ascii="inherit" w:hAnsi="inherit"/>
          <w:sz w:val="17"/>
        </w:rPr>
        <w:t>(in thousands). Note that this presentation does not reflect gains or losses arising from the underlying physical transactions; therefore, it is not indicative of the economic profit or loss we realized when the underlying physical and financial transactions were settled.</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333"/>
        <w:gridCol w:w="2581"/>
        <w:gridCol w:w="833"/>
        <w:gridCol w:w="1535"/>
        <w:gridCol w:w="194"/>
        <w:gridCol w:w="147"/>
        <w:gridCol w:w="685"/>
        <w:gridCol w:w="1693"/>
        <w:gridCol w:w="204"/>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2333"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33" w:type="dxa"/>
            <w:tcBorders/>
            <w:shd w:fill="auto" w:val="clear"/>
            <w:vAlign w:val="center"/>
          </w:tcPr>
          <w:p>
            <w:pPr>
              <w:pStyle w:val="TableContents"/>
              <w:spacing w:before="0" w:after="0"/>
              <w:ind w:left="0" w:right="0" w:firstLine="30"/>
              <w:rPr/>
            </w:pPr>
            <w:r>
              <w:rPr/>
              <w:t> </w:t>
            </w:r>
          </w:p>
        </w:tc>
        <w:tc>
          <w:tcPr>
            <w:tcW w:w="2581" w:type="dxa"/>
            <w:tcBorders/>
            <w:shd w:fill="auto" w:val="clear"/>
            <w:vAlign w:val="center"/>
          </w:tcPr>
          <w:p>
            <w:pPr>
              <w:pStyle w:val="TableContents"/>
              <w:spacing w:before="0" w:after="0"/>
              <w:ind w:left="0" w:right="0" w:firstLine="30"/>
              <w:rPr/>
            </w:pPr>
            <w:r>
              <w:rPr/>
              <w:t> </w:t>
            </w:r>
          </w:p>
        </w:tc>
        <w:tc>
          <w:tcPr>
            <w:tcW w:w="5291" w:type="dxa"/>
            <w:gridSpan w:val="7"/>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333" w:type="dxa"/>
            <w:tcBorders/>
            <w:shd w:fill="auto" w:val="clear"/>
            <w:vAlign w:val="center"/>
          </w:tcPr>
          <w:p>
            <w:pPr>
              <w:pStyle w:val="TableContents"/>
              <w:spacing w:before="0" w:after="0"/>
              <w:ind w:left="0" w:right="0" w:firstLine="30"/>
              <w:rPr/>
            </w:pPr>
            <w:r>
              <w:rPr/>
              <w:t> </w:t>
            </w:r>
          </w:p>
        </w:tc>
        <w:tc>
          <w:tcPr>
            <w:tcW w:w="2581" w:type="dxa"/>
            <w:tcBorders/>
            <w:shd w:fill="auto" w:val="clear"/>
            <w:vAlign w:val="center"/>
          </w:tcPr>
          <w:p>
            <w:pPr>
              <w:pStyle w:val="TableContents"/>
              <w:spacing w:before="0" w:after="0"/>
              <w:ind w:left="0" w:right="0" w:firstLine="30"/>
              <w:rPr/>
            </w:pPr>
            <w:r>
              <w:rPr/>
              <w:t> </w:t>
            </w:r>
          </w:p>
        </w:tc>
        <w:tc>
          <w:tcPr>
            <w:tcW w:w="25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4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5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233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Derivatives Not Designated as Hedging Instruments</w:t>
            </w:r>
          </w:p>
        </w:tc>
        <w:tc>
          <w:tcPr>
            <w:tcW w:w="258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Location of Gain/(Loss) on Derivatives Recognized in Income</w:t>
            </w:r>
          </w:p>
        </w:tc>
        <w:tc>
          <w:tcPr>
            <w:tcW w:w="25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Amount of Gain/(Loss) on Derivatives Recognized in Income</w:t>
            </w:r>
          </w:p>
        </w:tc>
        <w:tc>
          <w:tcPr>
            <w:tcW w:w="14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5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Amount of Gain/(Loss) on Derivatives Recognized in Income</w:t>
            </w:r>
          </w:p>
        </w:tc>
      </w:tr>
      <w:tr>
        <w:trPr/>
        <w:tc>
          <w:tcPr>
            <w:tcW w:w="2333" w:type="dxa"/>
            <w:tcBorders/>
            <w:shd w:fill="auto" w:val="clear"/>
            <w:vAlign w:val="center"/>
          </w:tcPr>
          <w:p>
            <w:pPr>
              <w:pStyle w:val="TableContents"/>
              <w:spacing w:before="0" w:after="0"/>
              <w:ind w:left="0" w:right="0" w:firstLine="30"/>
              <w:rPr/>
            </w:pPr>
            <w:r>
              <w:rPr/>
              <w:t> </w:t>
            </w:r>
          </w:p>
        </w:tc>
        <w:tc>
          <w:tcPr>
            <w:tcW w:w="2581" w:type="dxa"/>
            <w:tcBorders/>
            <w:shd w:fill="auto" w:val="clear"/>
            <w:vAlign w:val="center"/>
          </w:tcPr>
          <w:p>
            <w:pPr>
              <w:pStyle w:val="TableContents"/>
              <w:spacing w:before="0" w:after="0"/>
              <w:ind w:left="0" w:right="0" w:firstLine="30"/>
              <w:rPr/>
            </w:pPr>
            <w:r>
              <w:rPr/>
              <w:t> </w:t>
            </w:r>
          </w:p>
        </w:tc>
        <w:tc>
          <w:tcPr>
            <w:tcW w:w="2562" w:type="dxa"/>
            <w:gridSpan w:val="3"/>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ind w:left="0" w:right="0" w:firstLine="30"/>
              <w:rPr/>
            </w:pPr>
            <w:r>
              <w:rPr/>
              <w:t> </w:t>
            </w:r>
          </w:p>
        </w:tc>
        <w:tc>
          <w:tcPr>
            <w:tcW w:w="2582" w:type="dxa"/>
            <w:gridSpan w:val="3"/>
            <w:tcBorders/>
            <w:shd w:fill="auto" w:val="clear"/>
            <w:vAlign w:val="center"/>
          </w:tcPr>
          <w:p>
            <w:pPr>
              <w:pStyle w:val="TableContents"/>
              <w:spacing w:before="0" w:after="0"/>
              <w:ind w:left="0" w:right="0" w:firstLine="30"/>
              <w:rPr/>
            </w:pPr>
            <w:r>
              <w:rPr/>
              <w:t> </w:t>
            </w:r>
          </w:p>
        </w:tc>
      </w:tr>
      <w:tr>
        <w:trPr/>
        <w:tc>
          <w:tcPr>
            <w:tcW w:w="233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w:t>
            </w:r>
          </w:p>
        </w:tc>
        <w:tc>
          <w:tcPr>
            <w:tcW w:w="258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Fuel, purchased power and cost of natural gas sold</w:t>
            </w:r>
          </w:p>
        </w:tc>
        <w:tc>
          <w:tcPr>
            <w:tcW w:w="833"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535" w:type="dxa"/>
            <w:tcBorders/>
            <w:shd w:fill="CEFFE7" w:val="clear"/>
            <w:vAlign w:val="center"/>
          </w:tcPr>
          <w:p>
            <w:pPr>
              <w:pStyle w:val="TableContents"/>
              <w:spacing w:before="0" w:after="0"/>
              <w:jc w:val="right"/>
              <w:rPr>
                <w:rFonts w:ascii="inherit" w:hAnsi="inherit"/>
                <w:sz w:val="17"/>
              </w:rPr>
            </w:pPr>
            <w:r>
              <w:rPr>
                <w:rFonts w:ascii="inherit" w:hAnsi="inherit"/>
                <w:sz w:val="17"/>
              </w:rPr>
              <w:t>25</w:t>
            </w:r>
          </w:p>
        </w:tc>
        <w:tc>
          <w:tcPr>
            <w:tcW w:w="19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EFFE7" w:val="clear"/>
            <w:vAlign w:val="center"/>
          </w:tcPr>
          <w:p>
            <w:pPr>
              <w:pStyle w:val="TableContents"/>
              <w:spacing w:before="0" w:after="0"/>
              <w:ind w:left="0" w:right="0" w:firstLine="30"/>
              <w:rPr/>
            </w:pPr>
            <w:r>
              <w:rPr/>
              <w:t> </w:t>
            </w:r>
          </w:p>
        </w:tc>
        <w:tc>
          <w:tcPr>
            <w:tcW w:w="68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693" w:type="dxa"/>
            <w:tcBorders/>
            <w:shd w:fill="CEFFE7" w:val="clear"/>
            <w:vAlign w:val="center"/>
          </w:tcPr>
          <w:p>
            <w:pPr>
              <w:pStyle w:val="TableContents"/>
              <w:spacing w:before="0" w:after="0"/>
              <w:jc w:val="right"/>
              <w:rPr>
                <w:rFonts w:ascii="inherit" w:hAnsi="inherit"/>
                <w:sz w:val="17"/>
              </w:rPr>
            </w:pPr>
            <w:r>
              <w:rPr>
                <w:rFonts w:ascii="inherit" w:hAnsi="inherit"/>
                <w:sz w:val="17"/>
              </w:rPr>
              <w:t>254</w:t>
            </w:r>
          </w:p>
        </w:tc>
        <w:tc>
          <w:tcPr>
            <w:tcW w:w="20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33" w:type="dxa"/>
            <w:tcBorders/>
            <w:shd w:fill="auto" w:val="clear"/>
            <w:vAlign w:val="center"/>
          </w:tcPr>
          <w:p>
            <w:pPr>
              <w:pStyle w:val="TableContents"/>
              <w:spacing w:before="0" w:after="0"/>
              <w:ind w:left="0" w:right="0" w:firstLine="30"/>
              <w:rPr/>
            </w:pPr>
            <w:r>
              <w:rPr/>
              <w:t> </w:t>
            </w:r>
          </w:p>
        </w:tc>
        <w:tc>
          <w:tcPr>
            <w:tcW w:w="2581" w:type="dxa"/>
            <w:tcBorders/>
            <w:shd w:fill="auto" w:val="clear"/>
            <w:vAlign w:val="center"/>
          </w:tcPr>
          <w:p>
            <w:pPr>
              <w:pStyle w:val="TableContents"/>
              <w:spacing w:before="0" w:after="0"/>
              <w:ind w:left="0" w:right="0" w:firstLine="30"/>
              <w:rPr/>
            </w:pPr>
            <w:r>
              <w:rPr/>
              <w:t> </w:t>
            </w:r>
          </w:p>
        </w:tc>
        <w:tc>
          <w:tcPr>
            <w:tcW w:w="8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w:t>
            </w:r>
          </w:p>
        </w:tc>
        <w:tc>
          <w:tcPr>
            <w:tcW w:w="1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6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69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254</w:t>
            </w:r>
          </w:p>
        </w:tc>
        <w:tc>
          <w:tcPr>
            <w:tcW w:w="20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$3.9 million, $6.2 million</w:t>
      </w:r>
      <w:r>
        <w:rPr>
          <w:sz w:val="17"/>
        </w:rPr>
        <w:t xml:space="preserve"> </w:t>
      </w:r>
      <w:r>
        <w:rPr>
          <w:rFonts w:ascii="inherit" w:hAnsi="inherit"/>
          <w:sz w:val="17"/>
        </w:rPr>
        <w:t>and $11 million</w:t>
      </w:r>
      <w:r>
        <w:rPr>
          <w:sz w:val="17"/>
        </w:rPr>
        <w:t xml:space="preserve"> </w:t>
      </w:r>
      <w:r>
        <w:rPr>
          <w:rFonts w:ascii="inherit" w:hAnsi="inherit"/>
          <w:sz w:val="17"/>
        </w:rPr>
        <w:t>at March 31, 2019, December 31, 2018</w:t>
      </w:r>
      <w:r>
        <w:rPr>
          <w:sz w:val="17"/>
        </w:rPr>
        <w:t xml:space="preserve"> </w:t>
      </w:r>
      <w:r>
        <w:rPr>
          <w:rFonts w:ascii="inherit" w:hAnsi="inherit"/>
          <w:sz w:val="17"/>
        </w:rPr>
        <w:t>and March 31, 2018, respectively.</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bookmarkStart w:id="42" w:name="sE26B2690982B58599F28C4968A7600E2"/>
      <w:bookmarkStart w:id="43" w:name="sE26B2690982B58599F28C4968A7600E2"/>
      <w:bookmarkEnd w:id="43"/>
    </w:p>
    <w:p>
      <w:pPr>
        <w:pStyle w:val="TextBody"/>
        <w:spacing w:lineRule="auto" w:line="288" w:before="0" w:after="0"/>
        <w:jc w:val="left"/>
        <w:rPr>
          <w:sz w:val="17"/>
        </w:rPr>
      </w:pPr>
      <w:r>
        <w:rPr>
          <w:rFonts w:ascii="inherit" w:hAnsi="inherit"/>
          <w:sz w:val="17"/>
        </w:rPr>
        <w:t>(</w:t>
      </w:r>
      <w:r>
        <w:rPr>
          <w:rFonts w:ascii="inherit" w:hAnsi="inherit"/>
          <w:strike w:val="false"/>
          <w:dstrike w:val="false"/>
          <w:color w:val="000000"/>
          <w:sz w:val="17"/>
          <w:u w:val="none"/>
          <w:effect w:val="none"/>
        </w:rPr>
        <w:t>11</w:t>
      </w:r>
      <w:r>
        <w:rPr>
          <w:rFonts w:ascii="inherit" w:hAnsi="inherit"/>
          <w:sz w:val="17"/>
        </w:rPr>
        <w:t>)    FAIR VALUE MEASUREMENTS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Derivative Financial Instruments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2018</w:t>
      </w:r>
      <w:r>
        <w:rPr>
          <w:sz w:val="17"/>
        </w:rPr>
        <w:t xml:space="preserve"> </w:t>
      </w:r>
      <w:r>
        <w:rPr>
          <w:rFonts w:ascii="inherit" w:hAnsi="inherit"/>
          <w:sz w:val="17"/>
        </w:rPr>
        <w:t>Annual Report on Form 10-K filed with the SEC.</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Valuation Methodologies for Derivatives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Recurring Fair Value Measurements</w:t>
      </w:r>
    </w:p>
    <w:p>
      <w:pPr>
        <w:pStyle w:val="TextBody"/>
        <w:spacing w:lineRule="auto" w:line="288" w:before="0" w:after="0"/>
        <w:jc w:val="left"/>
        <w:rPr>
          <w:rFonts w:ascii="inherit" w:hAnsi="inherit"/>
          <w:sz w:val="17"/>
        </w:rPr>
      </w:pPr>
      <w:r>
        <w:rPr>
          <w:rFonts w:ascii="inherit" w:hAnsi="inherit"/>
          <w:sz w:val="17"/>
        </w:rPr>
      </w:r>
    </w:p>
    <w:tbl>
      <w:tblPr>
        <w:tblW w:w="8264" w:type="dxa"/>
        <w:jc w:val="center"/>
        <w:tblInd w:w="0" w:type="dxa"/>
        <w:tblCellMar>
          <w:top w:w="0" w:type="dxa"/>
          <w:left w:w="0" w:type="dxa"/>
          <w:bottom w:w="0" w:type="dxa"/>
          <w:right w:w="0" w:type="dxa"/>
        </w:tblCellMar>
      </w:tblPr>
      <w:tblGrid>
        <w:gridCol w:w="2900"/>
        <w:gridCol w:w="195"/>
        <w:gridCol w:w="406"/>
        <w:gridCol w:w="48"/>
        <w:gridCol w:w="126"/>
        <w:gridCol w:w="492"/>
        <w:gridCol w:w="30"/>
        <w:gridCol w:w="195"/>
        <w:gridCol w:w="406"/>
        <w:gridCol w:w="48"/>
        <w:gridCol w:w="90"/>
        <w:gridCol w:w="451"/>
        <w:gridCol w:w="1973"/>
        <w:gridCol w:w="399"/>
        <w:gridCol w:w="125"/>
        <w:gridCol w:w="335"/>
        <w:gridCol w:w="45"/>
      </w:tblGrid>
      <w:tr>
        <w:trPr/>
        <w:tc>
          <w:tcPr>
            <w:tcW w:w="8264" w:type="dxa"/>
            <w:gridSpan w:val="17"/>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0" w:type="dxa"/>
            <w:tcBorders/>
            <w:shd w:fill="auto" w:val="clear"/>
            <w:vAlign w:val="center"/>
          </w:tcPr>
          <w:p>
            <w:pPr>
              <w:pStyle w:val="TableContents"/>
              <w:spacing w:before="0" w:after="0"/>
              <w:ind w:left="0" w:right="0" w:firstLine="30"/>
              <w:rPr/>
            </w:pPr>
            <w:r>
              <w:rPr/>
              <w:t> </w:t>
            </w:r>
          </w:p>
        </w:tc>
        <w:tc>
          <w:tcPr>
            <w:tcW w:w="5364" w:type="dxa"/>
            <w:gridSpan w:val="16"/>
            <w:tcBorders/>
            <w:shd w:fill="auto" w:val="clear"/>
            <w:vAlign w:val="center"/>
          </w:tcPr>
          <w:p>
            <w:pPr>
              <w:pStyle w:val="TableContents"/>
              <w:spacing w:before="0" w:after="0"/>
              <w:ind w:left="0" w:right="0" w:firstLine="30"/>
              <w:jc w:val="center"/>
              <w:rPr>
                <w:rFonts w:ascii="inherit" w:hAnsi="inherit"/>
                <w:sz w:val="17"/>
                <w:u w:val="single"/>
              </w:rPr>
            </w:pPr>
            <w:r>
              <w:rPr>
                <w:rFonts w:ascii="inherit" w:hAnsi="inherit"/>
                <w:sz w:val="17"/>
                <w:u w:val="single"/>
              </w:rPr>
              <w:t>As of March 31, 2019</w:t>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1</w:t>
            </w:r>
          </w:p>
        </w:tc>
        <w:tc>
          <w:tcPr>
            <w:tcW w:w="6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2</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3</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82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Cash Collateral and Counterparty</w:t>
            </w:r>
          </w:p>
          <w:p>
            <w:pPr>
              <w:pStyle w:val="TableContents"/>
              <w:spacing w:before="0" w:after="0"/>
              <w:ind w:left="0" w:right="0" w:firstLine="30"/>
              <w:jc w:val="center"/>
              <w:rPr>
                <w:rFonts w:ascii="inherit" w:hAnsi="inherit"/>
                <w:sz w:val="17"/>
              </w:rPr>
            </w:pPr>
            <w:r>
              <w:rPr>
                <w:rFonts w:ascii="inherit" w:hAnsi="inherit"/>
                <w:sz w:val="17"/>
              </w:rPr>
              <w:t>Netting</w:t>
            </w:r>
          </w:p>
        </w:tc>
        <w:tc>
          <w:tcPr>
            <w:tcW w:w="5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2900" w:type="dxa"/>
            <w:tcBorders/>
            <w:shd w:fill="auto" w:val="clear"/>
            <w:vAlign w:val="center"/>
          </w:tcPr>
          <w:p>
            <w:pPr>
              <w:pStyle w:val="TableContents"/>
              <w:spacing w:before="0" w:after="0"/>
              <w:ind w:left="0" w:right="0" w:firstLine="30"/>
              <w:rPr/>
            </w:pPr>
            <w:r>
              <w:rPr/>
              <w:t> </w:t>
            </w:r>
          </w:p>
        </w:tc>
        <w:tc>
          <w:tcPr>
            <w:tcW w:w="5364" w:type="dxa"/>
            <w:gridSpan w:val="1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649" w:type="dxa"/>
            <w:gridSpan w:val="3"/>
            <w:tcBorders/>
            <w:shd w:fill="CEFFE7" w:val="clear"/>
            <w:vAlign w:val="center"/>
          </w:tcPr>
          <w:p>
            <w:pPr>
              <w:pStyle w:val="TableContents"/>
              <w:spacing w:before="0" w:after="0"/>
              <w:ind w:left="0" w:right="0" w:firstLine="30"/>
              <w:rPr/>
            </w:pPr>
            <w:r>
              <w:rPr/>
              <w:t> </w:t>
            </w:r>
          </w:p>
        </w:tc>
        <w:tc>
          <w:tcPr>
            <w:tcW w:w="648"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3" w:type="dxa"/>
            <w:gridSpan w:val="3"/>
            <w:tcBorders/>
            <w:shd w:fill="CEFFE7" w:val="clear"/>
            <w:vAlign w:val="center"/>
          </w:tcPr>
          <w:p>
            <w:pPr>
              <w:pStyle w:val="TableContents"/>
              <w:spacing w:before="0" w:after="0"/>
              <w:ind w:left="0" w:right="0" w:firstLine="30"/>
              <w:rPr/>
            </w:pPr>
            <w:r>
              <w:rPr/>
              <w:t> </w:t>
            </w:r>
          </w:p>
        </w:tc>
        <w:tc>
          <w:tcPr>
            <w:tcW w:w="50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shd w:fill="auto" w:val="clear"/>
            <w:vAlign w:val="center"/>
          </w:tcPr>
          <w:p>
            <w:pPr>
              <w:pStyle w:val="TableContents"/>
              <w:spacing w:before="0" w:after="0"/>
              <w:jc w:val="right"/>
              <w:rPr>
                <w:rFonts w:ascii="inherit" w:hAnsi="inherit"/>
                <w:sz w:val="17"/>
              </w:rPr>
            </w:pPr>
            <w:r>
              <w:rPr>
                <w:rFonts w:ascii="inherit" w:hAnsi="inherit"/>
                <w:sz w:val="17"/>
              </w:rPr>
              <w:t>1,375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987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1,375</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4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(388</w:t>
            </w:r>
          </w:p>
        </w:tc>
        <w:tc>
          <w:tcPr>
            <w:tcW w:w="39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987</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648" w:type="dxa"/>
            <w:gridSpan w:val="3"/>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3" w:type="dxa"/>
            <w:gridSpan w:val="3"/>
            <w:tcBorders/>
            <w:shd w:fill="auto" w:val="clear"/>
            <w:vAlign w:val="center"/>
          </w:tcPr>
          <w:p>
            <w:pPr>
              <w:pStyle w:val="TableContents"/>
              <w:spacing w:before="0" w:after="0"/>
              <w:ind w:left="0" w:right="0" w:firstLine="30"/>
              <w:rPr/>
            </w:pPr>
            <w:r>
              <w:rPr/>
              <w:t> </w:t>
            </w:r>
          </w:p>
        </w:tc>
        <w:tc>
          <w:tcPr>
            <w:tcW w:w="505" w:type="dxa"/>
            <w:gridSpan w:val="3"/>
            <w:tcBorders/>
            <w:shd w:fill="auto" w:val="clear"/>
            <w:vAlign w:val="center"/>
          </w:tcPr>
          <w:p>
            <w:pPr>
              <w:pStyle w:val="TableContents"/>
              <w:spacing w:before="0" w:after="0"/>
              <w:ind w:left="0" w:right="0" w:firstLine="30"/>
              <w:rPr/>
            </w:pPr>
            <w:r>
              <w:rPr/>
              <w:t> </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Liabilities:</w:t>
            </w:r>
          </w:p>
        </w:tc>
        <w:tc>
          <w:tcPr>
            <w:tcW w:w="649" w:type="dxa"/>
            <w:gridSpan w:val="3"/>
            <w:tcBorders/>
            <w:shd w:fill="CEFFE7" w:val="clear"/>
            <w:vAlign w:val="center"/>
          </w:tcPr>
          <w:p>
            <w:pPr>
              <w:pStyle w:val="TableContents"/>
              <w:spacing w:before="0" w:after="0"/>
              <w:ind w:left="0" w:right="0" w:firstLine="30"/>
              <w:rPr/>
            </w:pPr>
            <w:r>
              <w:rPr/>
              <w:t> </w:t>
            </w:r>
          </w:p>
        </w:tc>
        <w:tc>
          <w:tcPr>
            <w:tcW w:w="648"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3" w:type="dxa"/>
            <w:gridSpan w:val="3"/>
            <w:tcBorders/>
            <w:shd w:fill="CEFFE7" w:val="clear"/>
            <w:vAlign w:val="center"/>
          </w:tcPr>
          <w:p>
            <w:pPr>
              <w:pStyle w:val="TableContents"/>
              <w:spacing w:before="0" w:after="0"/>
              <w:ind w:left="0" w:right="0" w:firstLine="30"/>
              <w:rPr/>
            </w:pPr>
            <w:r>
              <w:rPr/>
              <w:t> </w:t>
            </w:r>
          </w:p>
        </w:tc>
        <w:tc>
          <w:tcPr>
            <w:tcW w:w="50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shd w:fill="auto" w:val="clear"/>
            <w:vAlign w:val="center"/>
          </w:tcPr>
          <w:p>
            <w:pPr>
              <w:pStyle w:val="TableContents"/>
              <w:spacing w:before="0" w:after="0"/>
              <w:jc w:val="right"/>
              <w:rPr>
                <w:rFonts w:ascii="inherit" w:hAnsi="inherit"/>
                <w:sz w:val="17"/>
              </w:rPr>
            </w:pPr>
            <w:r>
              <w:rPr>
                <w:rFonts w:ascii="inherit" w:hAnsi="inherit"/>
                <w:sz w:val="17"/>
              </w:rPr>
              <w:t>4,122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shd w:fill="auto" w:val="clear"/>
            <w:vAlign w:val="center"/>
          </w:tcPr>
          <w:p>
            <w:pPr>
              <w:pStyle w:val="TableContents"/>
              <w:spacing w:before="0" w:after="0"/>
              <w:jc w:val="right"/>
              <w:rPr>
                <w:rFonts w:ascii="inherit" w:hAnsi="inherit"/>
                <w:sz w:val="17"/>
              </w:rPr>
            </w:pPr>
            <w:r>
              <w:rPr>
                <w:rFonts w:ascii="inherit" w:hAnsi="inherit"/>
                <w:sz w:val="17"/>
              </w:rPr>
              <w:t>(4,009</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113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4,122</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4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(4,009</w:t>
            </w:r>
          </w:p>
        </w:tc>
        <w:tc>
          <w:tcPr>
            <w:tcW w:w="39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tbl>
      <w:tblPr>
        <w:tblW w:w="8414" w:type="dxa"/>
        <w:jc w:val="center"/>
        <w:tblInd w:w="0" w:type="dxa"/>
        <w:tblCellMar>
          <w:top w:w="0" w:type="dxa"/>
          <w:left w:w="0" w:type="dxa"/>
          <w:bottom w:w="0" w:type="dxa"/>
          <w:right w:w="0" w:type="dxa"/>
        </w:tblCellMar>
      </w:tblPr>
      <w:tblGrid>
        <w:gridCol w:w="2900"/>
        <w:gridCol w:w="195"/>
        <w:gridCol w:w="406"/>
        <w:gridCol w:w="48"/>
        <w:gridCol w:w="126"/>
        <w:gridCol w:w="492"/>
        <w:gridCol w:w="30"/>
        <w:gridCol w:w="195"/>
        <w:gridCol w:w="406"/>
        <w:gridCol w:w="48"/>
        <w:gridCol w:w="90"/>
        <w:gridCol w:w="451"/>
        <w:gridCol w:w="1973"/>
        <w:gridCol w:w="399"/>
        <w:gridCol w:w="125"/>
        <w:gridCol w:w="485"/>
        <w:gridCol w:w="45"/>
      </w:tblGrid>
      <w:tr>
        <w:trPr/>
        <w:tc>
          <w:tcPr>
            <w:tcW w:w="8414" w:type="dxa"/>
            <w:gridSpan w:val="17"/>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0" w:type="dxa"/>
            <w:tcBorders/>
            <w:shd w:fill="auto" w:val="clear"/>
            <w:vAlign w:val="center"/>
          </w:tcPr>
          <w:p>
            <w:pPr>
              <w:pStyle w:val="TableContents"/>
              <w:spacing w:before="0" w:after="0"/>
              <w:ind w:left="0" w:right="0" w:firstLine="30"/>
              <w:rPr/>
            </w:pPr>
            <w:r>
              <w:rPr/>
              <w:t> </w:t>
            </w:r>
          </w:p>
        </w:tc>
        <w:tc>
          <w:tcPr>
            <w:tcW w:w="5514" w:type="dxa"/>
            <w:gridSpan w:val="16"/>
            <w:tcBorders/>
            <w:shd w:fill="auto" w:val="clear"/>
            <w:vAlign w:val="center"/>
          </w:tcPr>
          <w:p>
            <w:pPr>
              <w:pStyle w:val="TableContents"/>
              <w:spacing w:before="0" w:after="0"/>
              <w:ind w:left="0" w:right="0" w:firstLine="30"/>
              <w:jc w:val="center"/>
              <w:rPr>
                <w:rFonts w:ascii="inherit" w:hAnsi="inherit"/>
                <w:sz w:val="17"/>
                <w:u w:val="single"/>
              </w:rPr>
            </w:pPr>
            <w:r>
              <w:rPr>
                <w:rFonts w:ascii="inherit" w:hAnsi="inherit"/>
                <w:sz w:val="17"/>
                <w:u w:val="single"/>
              </w:rPr>
              <w:t>As of December 31, 2018</w:t>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1</w:t>
            </w:r>
          </w:p>
        </w:tc>
        <w:tc>
          <w:tcPr>
            <w:tcW w:w="6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2</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3</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82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Cash Collateral and Counterparty</w:t>
            </w:r>
          </w:p>
          <w:p>
            <w:pPr>
              <w:pStyle w:val="TableContents"/>
              <w:spacing w:before="0" w:after="0"/>
              <w:ind w:left="0" w:right="0" w:firstLine="30"/>
              <w:jc w:val="center"/>
              <w:rPr>
                <w:rFonts w:ascii="inherit" w:hAnsi="inherit"/>
                <w:sz w:val="17"/>
              </w:rPr>
            </w:pPr>
            <w:r>
              <w:rPr>
                <w:rFonts w:ascii="inherit" w:hAnsi="inherit"/>
                <w:sz w:val="17"/>
              </w:rPr>
              <w:t>Netting</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2900" w:type="dxa"/>
            <w:tcBorders/>
            <w:shd w:fill="auto" w:val="clear"/>
            <w:vAlign w:val="center"/>
          </w:tcPr>
          <w:p>
            <w:pPr>
              <w:pStyle w:val="TableContents"/>
              <w:spacing w:before="0" w:after="0"/>
              <w:ind w:left="0" w:right="0" w:firstLine="30"/>
              <w:rPr/>
            </w:pPr>
            <w:r>
              <w:rPr/>
              <w:t> </w:t>
            </w:r>
          </w:p>
        </w:tc>
        <w:tc>
          <w:tcPr>
            <w:tcW w:w="5514" w:type="dxa"/>
            <w:gridSpan w:val="1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649" w:type="dxa"/>
            <w:gridSpan w:val="3"/>
            <w:tcBorders/>
            <w:shd w:fill="CEFFE7" w:val="clear"/>
            <w:vAlign w:val="center"/>
          </w:tcPr>
          <w:p>
            <w:pPr>
              <w:pStyle w:val="TableContents"/>
              <w:spacing w:before="0" w:after="0"/>
              <w:ind w:left="0" w:right="0" w:firstLine="30"/>
              <w:rPr/>
            </w:pPr>
            <w:r>
              <w:rPr/>
              <w:t> </w:t>
            </w:r>
          </w:p>
        </w:tc>
        <w:tc>
          <w:tcPr>
            <w:tcW w:w="648"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3"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shd w:fill="auto" w:val="clear"/>
            <w:vAlign w:val="center"/>
          </w:tcPr>
          <w:p>
            <w:pPr>
              <w:pStyle w:val="TableContents"/>
              <w:spacing w:before="0" w:after="0"/>
              <w:jc w:val="right"/>
              <w:rPr>
                <w:rFonts w:ascii="inherit" w:hAnsi="inherit"/>
                <w:sz w:val="17"/>
              </w:rPr>
            </w:pPr>
            <w:r>
              <w:rPr>
                <w:rFonts w:ascii="inherit" w:hAnsi="inherit"/>
                <w:sz w:val="17"/>
              </w:rPr>
              <w:t>2,927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shd w:fill="auto" w:val="clear"/>
            <w:vAlign w:val="center"/>
          </w:tcPr>
          <w:p>
            <w:pPr>
              <w:pStyle w:val="TableContents"/>
              <w:spacing w:before="0" w:after="0"/>
              <w:jc w:val="right"/>
              <w:rPr>
                <w:rFonts w:ascii="inherit" w:hAnsi="inherit"/>
                <w:sz w:val="17"/>
              </w:rPr>
            </w:pPr>
            <w:r>
              <w:rPr>
                <w:rFonts w:ascii="inherit" w:hAnsi="inherit"/>
                <w:sz w:val="17"/>
              </w:rPr>
              <w:t>(1,408</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1,519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2,927</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4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(1,408</w:t>
            </w:r>
          </w:p>
        </w:tc>
        <w:tc>
          <w:tcPr>
            <w:tcW w:w="39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1,519</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648" w:type="dxa"/>
            <w:gridSpan w:val="3"/>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3"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Liabilities:</w:t>
            </w:r>
          </w:p>
        </w:tc>
        <w:tc>
          <w:tcPr>
            <w:tcW w:w="649" w:type="dxa"/>
            <w:gridSpan w:val="3"/>
            <w:tcBorders/>
            <w:shd w:fill="CEFFE7" w:val="clear"/>
            <w:vAlign w:val="center"/>
          </w:tcPr>
          <w:p>
            <w:pPr>
              <w:pStyle w:val="TableContents"/>
              <w:spacing w:before="0" w:after="0"/>
              <w:ind w:left="0" w:right="0" w:firstLine="30"/>
              <w:rPr/>
            </w:pPr>
            <w:r>
              <w:rPr/>
              <w:t> </w:t>
            </w:r>
          </w:p>
        </w:tc>
        <w:tc>
          <w:tcPr>
            <w:tcW w:w="648"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3"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shd w:fill="auto" w:val="clear"/>
            <w:vAlign w:val="center"/>
          </w:tcPr>
          <w:p>
            <w:pPr>
              <w:pStyle w:val="TableContents"/>
              <w:spacing w:before="0" w:after="0"/>
              <w:jc w:val="right"/>
              <w:rPr>
                <w:rFonts w:ascii="inherit" w:hAnsi="inherit"/>
                <w:sz w:val="17"/>
              </w:rPr>
            </w:pPr>
            <w:r>
              <w:rPr>
                <w:rFonts w:ascii="inherit" w:hAnsi="inherit"/>
                <w:sz w:val="17"/>
              </w:rPr>
              <w:t>6,801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shd w:fill="auto" w:val="clear"/>
            <w:vAlign w:val="center"/>
          </w:tcPr>
          <w:p>
            <w:pPr>
              <w:pStyle w:val="TableContents"/>
              <w:spacing w:before="0" w:after="0"/>
              <w:jc w:val="right"/>
              <w:rPr>
                <w:rFonts w:ascii="inherit" w:hAnsi="inherit"/>
                <w:sz w:val="17"/>
              </w:rPr>
            </w:pPr>
            <w:r>
              <w:rPr>
                <w:rFonts w:ascii="inherit" w:hAnsi="inherit"/>
                <w:sz w:val="17"/>
              </w:rPr>
              <w:t>(5,794</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1,007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6,801</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4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(5,794</w:t>
            </w:r>
          </w:p>
        </w:tc>
        <w:tc>
          <w:tcPr>
            <w:tcW w:w="39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1,007</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8512" w:type="dxa"/>
        <w:jc w:val="center"/>
        <w:tblInd w:w="0" w:type="dxa"/>
        <w:tblCellMar>
          <w:top w:w="0" w:type="dxa"/>
          <w:left w:w="0" w:type="dxa"/>
          <w:bottom w:w="0" w:type="dxa"/>
          <w:right w:w="0" w:type="dxa"/>
        </w:tblCellMar>
      </w:tblPr>
      <w:tblGrid>
        <w:gridCol w:w="2900"/>
        <w:gridCol w:w="195"/>
        <w:gridCol w:w="406"/>
        <w:gridCol w:w="48"/>
        <w:gridCol w:w="125"/>
        <w:gridCol w:w="590"/>
        <w:gridCol w:w="30"/>
        <w:gridCol w:w="195"/>
        <w:gridCol w:w="406"/>
        <w:gridCol w:w="48"/>
        <w:gridCol w:w="90"/>
        <w:gridCol w:w="397"/>
        <w:gridCol w:w="2072"/>
        <w:gridCol w:w="355"/>
        <w:gridCol w:w="125"/>
        <w:gridCol w:w="485"/>
        <w:gridCol w:w="45"/>
      </w:tblGrid>
      <w:tr>
        <w:trPr/>
        <w:tc>
          <w:tcPr>
            <w:tcW w:w="8512" w:type="dxa"/>
            <w:gridSpan w:val="17"/>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0" w:type="dxa"/>
            <w:tcBorders/>
            <w:shd w:fill="auto" w:val="clear"/>
            <w:vAlign w:val="center"/>
          </w:tcPr>
          <w:p>
            <w:pPr>
              <w:pStyle w:val="TableContents"/>
              <w:spacing w:before="0" w:after="0"/>
              <w:ind w:left="0" w:right="0" w:firstLine="30"/>
              <w:rPr/>
            </w:pPr>
            <w:r>
              <w:rPr/>
              <w:t> </w:t>
            </w:r>
          </w:p>
        </w:tc>
        <w:tc>
          <w:tcPr>
            <w:tcW w:w="5612" w:type="dxa"/>
            <w:gridSpan w:val="16"/>
            <w:tcBorders/>
            <w:shd w:fill="auto" w:val="clear"/>
            <w:vAlign w:val="center"/>
          </w:tcPr>
          <w:p>
            <w:pPr>
              <w:pStyle w:val="TableContents"/>
              <w:spacing w:before="0" w:after="0"/>
              <w:ind w:left="0" w:right="0" w:firstLine="30"/>
              <w:jc w:val="center"/>
              <w:rPr>
                <w:rFonts w:ascii="inherit" w:hAnsi="inherit"/>
                <w:sz w:val="17"/>
                <w:u w:val="single"/>
              </w:rPr>
            </w:pPr>
            <w:r>
              <w:rPr>
                <w:rFonts w:ascii="inherit" w:hAnsi="inherit"/>
                <w:sz w:val="17"/>
                <w:u w:val="single"/>
              </w:rPr>
              <w:t>As of March 31, 2018</w:t>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1</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2</w:t>
            </w:r>
          </w:p>
        </w:tc>
        <w:tc>
          <w:tcPr>
            <w:tcW w:w="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Level 3</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8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Cash Collateral and Counterparty</w:t>
            </w:r>
          </w:p>
          <w:p>
            <w:pPr>
              <w:pStyle w:val="TableContents"/>
              <w:spacing w:before="0" w:after="0"/>
              <w:ind w:left="0" w:right="0" w:firstLine="30"/>
              <w:jc w:val="center"/>
              <w:rPr>
                <w:rFonts w:ascii="inherit" w:hAnsi="inherit"/>
                <w:sz w:val="17"/>
              </w:rPr>
            </w:pPr>
            <w:r>
              <w:rPr>
                <w:rFonts w:ascii="inherit" w:hAnsi="inherit"/>
                <w:sz w:val="17"/>
              </w:rPr>
              <w:t>Netting</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2900" w:type="dxa"/>
            <w:tcBorders/>
            <w:shd w:fill="auto" w:val="clear"/>
            <w:vAlign w:val="center"/>
          </w:tcPr>
          <w:p>
            <w:pPr>
              <w:pStyle w:val="TableContents"/>
              <w:spacing w:before="0" w:after="0"/>
              <w:ind w:left="0" w:right="0" w:firstLine="30"/>
              <w:rPr/>
            </w:pPr>
            <w:r>
              <w:rPr/>
              <w:t> </w:t>
            </w:r>
          </w:p>
        </w:tc>
        <w:tc>
          <w:tcPr>
            <w:tcW w:w="5612" w:type="dxa"/>
            <w:gridSpan w:val="1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649" w:type="dxa"/>
            <w:gridSpan w:val="3"/>
            <w:tcBorders/>
            <w:shd w:fill="CEFFE7" w:val="clear"/>
            <w:vAlign w:val="center"/>
          </w:tcPr>
          <w:p>
            <w:pPr>
              <w:pStyle w:val="TableContents"/>
              <w:spacing w:before="0" w:after="0"/>
              <w:ind w:left="0" w:right="0" w:firstLine="30"/>
              <w:rPr/>
            </w:pPr>
            <w:r>
              <w:rPr/>
              <w:t> </w:t>
            </w:r>
          </w:p>
        </w:tc>
        <w:tc>
          <w:tcPr>
            <w:tcW w:w="745"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4"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2072" w:type="dxa"/>
            <w:tcBorders/>
            <w:shd w:fill="auto" w:val="clear"/>
            <w:vAlign w:val="center"/>
          </w:tcPr>
          <w:p>
            <w:pPr>
              <w:pStyle w:val="TableContents"/>
              <w:spacing w:before="0" w:after="0"/>
              <w:jc w:val="right"/>
              <w:rPr>
                <w:rFonts w:ascii="inherit" w:hAnsi="inherit"/>
                <w:sz w:val="17"/>
              </w:rPr>
            </w:pPr>
            <w:r>
              <w:rPr>
                <w:rFonts w:ascii="inherit" w:hAnsi="inherit"/>
                <w:sz w:val="17"/>
              </w:rPr>
              <w:t>(119</w:t>
            </w:r>
          </w:p>
        </w:tc>
        <w:tc>
          <w:tcPr>
            <w:tcW w:w="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414</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39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7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(119</w:t>
            </w:r>
          </w:p>
        </w:tc>
        <w:tc>
          <w:tcPr>
            <w:tcW w:w="35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295</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6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4" w:type="dxa"/>
            <w:gridSpan w:val="3"/>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rPr/>
            </w:pPr>
            <w:r>
              <w:rPr/>
              <w:t> </w:t>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Liabilities:</w:t>
            </w:r>
          </w:p>
        </w:tc>
        <w:tc>
          <w:tcPr>
            <w:tcW w:w="649" w:type="dxa"/>
            <w:gridSpan w:val="3"/>
            <w:tcBorders/>
            <w:shd w:fill="CEFFE7" w:val="clear"/>
            <w:vAlign w:val="center"/>
          </w:tcPr>
          <w:p>
            <w:pPr>
              <w:pStyle w:val="TableContents"/>
              <w:spacing w:before="0" w:after="0"/>
              <w:ind w:left="0" w:right="0" w:firstLine="30"/>
              <w:rPr/>
            </w:pPr>
            <w:r>
              <w:rPr/>
              <w:t> </w:t>
            </w:r>
          </w:p>
        </w:tc>
        <w:tc>
          <w:tcPr>
            <w:tcW w:w="745" w:type="dxa"/>
            <w:gridSpan w:val="3"/>
            <w:tcBorders/>
            <w:shd w:fill="CEFFE7" w:val="clear"/>
            <w:vAlign w:val="center"/>
          </w:tcPr>
          <w:p>
            <w:pPr>
              <w:pStyle w:val="TableContents"/>
              <w:spacing w:before="0" w:after="0"/>
              <w:ind w:left="0" w:right="0" w:firstLine="30"/>
              <w:rPr/>
            </w:pPr>
            <w:r>
              <w:rPr/>
              <w:t> </w:t>
            </w:r>
          </w:p>
        </w:tc>
        <w:tc>
          <w:tcPr>
            <w:tcW w:w="649"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824" w:type="dxa"/>
            <w:gridSpan w:val="3"/>
            <w:tcBorders/>
            <w:shd w:fill="CEFFE7" w:val="clear"/>
            <w:vAlign w:val="center"/>
          </w:tcPr>
          <w:p>
            <w:pPr>
              <w:pStyle w:val="TableContents"/>
              <w:spacing w:before="0" w:after="0"/>
              <w:ind w:left="0" w:right="0" w:firstLine="30"/>
              <w:rPr/>
            </w:pPr>
            <w:r>
              <w:rPr/>
              <w:t> </w:t>
            </w:r>
          </w:p>
        </w:tc>
        <w:tc>
          <w:tcPr>
            <w:tcW w:w="655" w:type="dxa"/>
            <w:gridSpan w:val="3"/>
            <w:tcBorders/>
            <w:shd w:fill="CEFFE7" w:val="clear"/>
            <w:vAlign w:val="center"/>
          </w:tcPr>
          <w:p>
            <w:pPr>
              <w:pStyle w:val="TableContents"/>
              <w:spacing w:before="0" w:after="0"/>
              <w:ind w:left="0" w:right="0" w:firstLine="180"/>
              <w:rPr/>
            </w:pPr>
            <w:r>
              <w:rPr/>
              <w:t> </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 — Utilities</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12,259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2072" w:type="dxa"/>
            <w:tcBorders/>
            <w:shd w:fill="auto" w:val="clear"/>
            <w:vAlign w:val="center"/>
          </w:tcPr>
          <w:p>
            <w:pPr>
              <w:pStyle w:val="TableContents"/>
              <w:spacing w:before="0" w:after="0"/>
              <w:jc w:val="right"/>
              <w:rPr>
                <w:rFonts w:ascii="inherit" w:hAnsi="inherit"/>
                <w:sz w:val="17"/>
              </w:rPr>
            </w:pPr>
            <w:r>
              <w:rPr>
                <w:rFonts w:ascii="inherit" w:hAnsi="inherit"/>
                <w:sz w:val="17"/>
              </w:rPr>
              <w:t>(11,175</w:t>
            </w:r>
          </w:p>
        </w:tc>
        <w:tc>
          <w:tcPr>
            <w:tcW w:w="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1,084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12,259</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pPr>
            <w:r>
              <w:rPr/>
              <w:t>—</w:t>
            </w:r>
          </w:p>
        </w:tc>
        <w:tc>
          <w:tcPr>
            <w:tcW w:w="4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39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7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(11,175</w:t>
            </w:r>
          </w:p>
        </w:tc>
        <w:tc>
          <w:tcPr>
            <w:tcW w:w="35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1,084</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7"/>
          <w:u w:val="single"/>
        </w:rPr>
      </w:pPr>
      <w:r>
        <w:rPr>
          <w:rFonts w:ascii="inherit" w:hAnsi="inherit"/>
          <w:sz w:val="17"/>
          <w:u w:val="single"/>
        </w:rPr>
        <w:t>Fair Value Measures by Balance Sheet Classification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table presents the fair value and balance sheet classification of our derivative instruments (in thousands) as of:</w:t>
      </w:r>
    </w:p>
    <w:tbl>
      <w:tblPr>
        <w:tblW w:w="10205" w:type="dxa"/>
        <w:jc w:val="center"/>
        <w:tblInd w:w="0" w:type="dxa"/>
        <w:tblCellMar>
          <w:top w:w="0" w:type="dxa"/>
          <w:left w:w="0" w:type="dxa"/>
          <w:bottom w:w="0" w:type="dxa"/>
          <w:right w:w="0" w:type="dxa"/>
        </w:tblCellMar>
      </w:tblPr>
      <w:tblGrid>
        <w:gridCol w:w="2993"/>
        <w:gridCol w:w="2913"/>
        <w:gridCol w:w="90"/>
        <w:gridCol w:w="274"/>
        <w:gridCol w:w="725"/>
        <w:gridCol w:w="275"/>
        <w:gridCol w:w="278"/>
        <w:gridCol w:w="1077"/>
        <w:gridCol w:w="279"/>
        <w:gridCol w:w="153"/>
        <w:gridCol w:w="488"/>
        <w:gridCol w:w="66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291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93" w:type="dxa"/>
            <w:tcBorders/>
            <w:shd w:fill="auto" w:val="clear"/>
            <w:vAlign w:val="center"/>
          </w:tcPr>
          <w:p>
            <w:pPr>
              <w:pStyle w:val="TableContents"/>
              <w:spacing w:before="0" w:after="0"/>
              <w:ind w:left="0" w:right="0" w:firstLine="30"/>
              <w:rPr/>
            </w:pPr>
            <w:r>
              <w:rPr/>
              <w:t> </w:t>
            </w:r>
          </w:p>
        </w:tc>
        <w:tc>
          <w:tcPr>
            <w:tcW w:w="291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Balance Sheet Location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6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130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Derivatives designated as hedges:</w:t>
            </w:r>
          </w:p>
        </w:tc>
        <w:tc>
          <w:tcPr>
            <w:tcW w:w="291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634" w:type="dxa"/>
            <w:gridSpan w:val="3"/>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255"/>
              <w:rPr/>
            </w:pPr>
            <w:r>
              <w:rPr/>
              <w:t> </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Asset derivative instruments:</w:t>
            </w:r>
          </w:p>
        </w:tc>
        <w:tc>
          <w:tcPr>
            <w:tcW w:w="2913"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274" w:type="dxa"/>
            <w:gridSpan w:val="3"/>
            <w:tcBorders/>
            <w:shd w:fill="CEFFE7" w:val="clear"/>
            <w:vAlign w:val="center"/>
          </w:tcPr>
          <w:p>
            <w:pPr>
              <w:pStyle w:val="TableContents"/>
              <w:spacing w:before="0" w:after="0"/>
              <w:ind w:left="0" w:right="0" w:firstLine="30"/>
              <w:rPr/>
            </w:pPr>
            <w:r>
              <w:rPr/>
              <w:t> </w:t>
            </w:r>
          </w:p>
        </w:tc>
        <w:tc>
          <w:tcPr>
            <w:tcW w:w="1634" w:type="dxa"/>
            <w:gridSpan w:val="3"/>
            <w:tcBorders/>
            <w:shd w:fill="CEFFE7" w:val="clear"/>
            <w:vAlign w:val="center"/>
          </w:tcPr>
          <w:p>
            <w:pPr>
              <w:pStyle w:val="TableContents"/>
              <w:spacing w:before="0" w:after="0"/>
              <w:ind w:left="0" w:right="0" w:firstLine="30"/>
              <w:rPr/>
            </w:pPr>
            <w:r>
              <w:rPr/>
              <w:t> </w:t>
            </w:r>
          </w:p>
        </w:tc>
        <w:tc>
          <w:tcPr>
            <w:tcW w:w="1301" w:type="dxa"/>
            <w:gridSpan w:val="3"/>
            <w:tcBorders/>
            <w:shd w:fill="CEFFE7" w:val="clear"/>
            <w:vAlign w:val="center"/>
          </w:tcPr>
          <w:p>
            <w:pPr>
              <w:pStyle w:val="TableContents"/>
              <w:spacing w:before="0" w:after="0"/>
              <w:ind w:left="0" w:right="0" w:firstLine="375"/>
              <w:rPr/>
            </w:pPr>
            <w:r>
              <w:rPr/>
              <w:t> </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commodity derivatives</w:t>
            </w:r>
          </w:p>
        </w:tc>
        <w:tc>
          <w:tcPr>
            <w:tcW w:w="29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Derivative assets — current</w:t>
            </w:r>
          </w:p>
        </w:tc>
        <w:tc>
          <w:tcPr>
            <w:tcW w:w="90" w:type="dxa"/>
            <w:tcBorders/>
            <w:shd w:fill="auto" w:val="clear"/>
            <w:vAlign w:val="center"/>
          </w:tcPr>
          <w:p>
            <w:pPr>
              <w:pStyle w:val="TableContents"/>
              <w:spacing w:before="0" w:after="0"/>
              <w:ind w:left="0" w:right="0" w:firstLine="30"/>
              <w:rPr/>
            </w:pPr>
            <w:r>
              <w:rPr/>
              <w:t> </w:t>
            </w:r>
          </w:p>
        </w:tc>
        <w:tc>
          <w:tcPr>
            <w:tcW w:w="27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5" w:type="dxa"/>
            <w:tcBorders/>
            <w:shd w:fill="auto" w:val="clear"/>
            <w:vAlign w:val="center"/>
          </w:tcPr>
          <w:p>
            <w:pPr>
              <w:pStyle w:val="TableContents"/>
              <w:spacing w:before="0" w:after="0"/>
              <w:jc w:val="right"/>
              <w:rPr>
                <w:rFonts w:ascii="inherit" w:hAnsi="inherit"/>
                <w:sz w:val="15"/>
              </w:rPr>
            </w:pPr>
            <w:r>
              <w:rPr>
                <w:rFonts w:ascii="inherit" w:hAnsi="inherit"/>
                <w:sz w:val="15"/>
              </w:rPr>
              <w:t>131</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77" w:type="dxa"/>
            <w:tcBorders/>
            <w:shd w:fill="auto" w:val="clear"/>
            <w:vAlign w:val="center"/>
          </w:tcPr>
          <w:p>
            <w:pPr>
              <w:pStyle w:val="TableContents"/>
              <w:spacing w:before="0" w:after="0"/>
              <w:jc w:val="right"/>
              <w:rPr>
                <w:rFonts w:ascii="inherit" w:hAnsi="inherit"/>
                <w:sz w:val="15"/>
              </w:rPr>
            </w:pPr>
            <w:r>
              <w:rPr>
                <w:rFonts w:ascii="inherit" w:hAnsi="inherit"/>
                <w:sz w:val="15"/>
              </w:rPr>
              <w:t>415</w:t>
            </w:r>
          </w:p>
        </w:tc>
        <w:tc>
          <w:tcPr>
            <w:tcW w:w="2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88" w:type="dxa"/>
            <w:tcBorders/>
            <w:shd w:fill="auto" w:val="clear"/>
            <w:vAlign w:val="center"/>
          </w:tcPr>
          <w:p>
            <w:pPr>
              <w:pStyle w:val="TableContents"/>
              <w:spacing w:before="0" w:after="0"/>
              <w:jc w:val="right"/>
              <w:rPr/>
            </w:pPr>
            <w:r>
              <w:rPr/>
              <w:t>—</w:t>
            </w:r>
          </w:p>
        </w:tc>
        <w:tc>
          <w:tcPr>
            <w:tcW w:w="660" w:type="dxa"/>
            <w:tcBorders/>
            <w:shd w:fill="auto" w:val="clear"/>
            <w:vAlign w:val="center"/>
          </w:tcPr>
          <w:p>
            <w:pPr>
              <w:pStyle w:val="TableContents"/>
              <w:spacing w:before="0" w:after="0"/>
              <w:ind w:left="0" w:right="0" w:firstLine="375"/>
              <w:jc w:val="left"/>
              <w:rPr>
                <w:rFonts w:ascii="inherit" w:hAnsi="inherit"/>
                <w:sz w:val="17"/>
              </w:rPr>
            </w:pPr>
            <w:r>
              <w:rPr>
                <w:rFonts w:ascii="inherit" w:hAnsi="inherit"/>
                <w:sz w:val="17"/>
              </w:rPr>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Noncurrent commodity derivatives</w:t>
            </w:r>
          </w:p>
        </w:tc>
        <w:tc>
          <w:tcPr>
            <w:tcW w:w="29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non-current</w:t>
            </w:r>
          </w:p>
        </w:tc>
        <w:tc>
          <w:tcPr>
            <w:tcW w:w="90" w:type="dxa"/>
            <w:tcBorders/>
            <w:shd w:fill="CEFFE7" w:val="clear"/>
            <w:vAlign w:val="center"/>
          </w:tcPr>
          <w:p>
            <w:pPr>
              <w:pStyle w:val="TableContents"/>
              <w:spacing w:before="0" w:after="0"/>
              <w:ind w:left="0" w:right="0" w:firstLine="30"/>
              <w:rPr/>
            </w:pPr>
            <w:r>
              <w:rPr/>
              <w:t> </w:t>
            </w:r>
          </w:p>
        </w:tc>
        <w:tc>
          <w:tcPr>
            <w:tcW w:w="99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9</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18</w:t>
            </w:r>
          </w:p>
        </w:tc>
        <w:tc>
          <w:tcPr>
            <w:tcW w:w="27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41" w:type="dxa"/>
            <w:gridSpan w:val="2"/>
            <w:tcBorders/>
            <w:shd w:fill="CEFFE7" w:val="clear"/>
            <w:vAlign w:val="center"/>
          </w:tcPr>
          <w:p>
            <w:pPr>
              <w:pStyle w:val="TableContents"/>
              <w:spacing w:before="0" w:after="0"/>
              <w:jc w:val="right"/>
              <w:rPr/>
            </w:pPr>
            <w:r>
              <w:rPr/>
              <w:t>—</w:t>
            </w:r>
          </w:p>
        </w:tc>
        <w:tc>
          <w:tcPr>
            <w:tcW w:w="660"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Liability derivative instruments:</w:t>
            </w:r>
          </w:p>
        </w:tc>
        <w:tc>
          <w:tcPr>
            <w:tcW w:w="291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634" w:type="dxa"/>
            <w:gridSpan w:val="3"/>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75"/>
              <w:rPr/>
            </w:pPr>
            <w:r>
              <w:rPr/>
              <w:t> </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Current commodity derivatives</w:t>
            </w:r>
          </w:p>
        </w:tc>
        <w:tc>
          <w:tcPr>
            <w:tcW w:w="29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Derivative liabilities — current</w:t>
            </w:r>
          </w:p>
        </w:tc>
        <w:tc>
          <w:tcPr>
            <w:tcW w:w="90" w:type="dxa"/>
            <w:tcBorders/>
            <w:shd w:fill="CEFFE7" w:val="clear"/>
            <w:vAlign w:val="center"/>
          </w:tcPr>
          <w:p>
            <w:pPr>
              <w:pStyle w:val="TableContents"/>
              <w:spacing w:before="0" w:after="0"/>
              <w:ind w:left="0" w:right="0" w:firstLine="30"/>
              <w:rPr/>
            </w:pPr>
            <w:r>
              <w:rPr/>
              <w:t> </w:t>
            </w:r>
          </w:p>
        </w:tc>
        <w:tc>
          <w:tcPr>
            <w:tcW w:w="99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(11</w:t>
            </w:r>
          </w:p>
        </w:tc>
        <w:tc>
          <w:tcPr>
            <w:tcW w:w="27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(114</w:t>
            </w:r>
          </w:p>
        </w:tc>
        <w:tc>
          <w:tcPr>
            <w:tcW w:w="27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64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(394</w:t>
            </w:r>
          </w:p>
        </w:tc>
        <w:tc>
          <w:tcPr>
            <w:tcW w:w="660" w:type="dxa"/>
            <w:tcBorders/>
            <w:shd w:fill="CEFFE7" w:val="clear"/>
            <w:vAlign w:val="center"/>
          </w:tcPr>
          <w:p>
            <w:pPr>
              <w:pStyle w:val="TableContents"/>
              <w:spacing w:before="0" w:after="0"/>
              <w:ind w:left="0" w:right="0" w:firstLine="375"/>
              <w:jc w:val="left"/>
              <w:rPr>
                <w:rFonts w:ascii="inherit" w:hAnsi="inherit"/>
                <w:sz w:val="15"/>
              </w:rPr>
            </w:pPr>
            <w:r>
              <w:rPr>
                <w:rFonts w:ascii="inherit" w:hAnsi="inherit"/>
                <w:sz w:val="15"/>
              </w:rPr>
              <w:t>)</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Noncurrent commodity derivatives</w:t>
            </w:r>
          </w:p>
        </w:tc>
        <w:tc>
          <w:tcPr>
            <w:tcW w:w="29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deferred credits and other liabilities</w:t>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w:t>
            </w:r>
          </w:p>
        </w:tc>
        <w:tc>
          <w:tcPr>
            <w:tcW w:w="27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6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(29</w:t>
            </w:r>
          </w:p>
        </w:tc>
        <w:tc>
          <w:tcPr>
            <w:tcW w:w="6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derivatives designated as hedges</w:t>
            </w:r>
          </w:p>
        </w:tc>
        <w:tc>
          <w:tcPr>
            <w:tcW w:w="2913"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27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129</w:t>
            </w:r>
          </w:p>
        </w:tc>
        <w:tc>
          <w:tcPr>
            <w:tcW w:w="27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7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315</w:t>
            </w:r>
          </w:p>
        </w:tc>
        <w:tc>
          <w:tcPr>
            <w:tcW w:w="27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8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(423</w:t>
            </w:r>
          </w:p>
        </w:tc>
        <w:tc>
          <w:tcPr>
            <w:tcW w:w="66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993" w:type="dxa"/>
            <w:tcBorders/>
            <w:shd w:fill="auto" w:val="clear"/>
            <w:vAlign w:val="center"/>
          </w:tcPr>
          <w:p>
            <w:pPr>
              <w:pStyle w:val="TableContents"/>
              <w:spacing w:before="0" w:after="0"/>
              <w:ind w:left="0" w:right="0" w:firstLine="30"/>
              <w:rPr/>
            </w:pPr>
            <w:r>
              <w:rPr/>
              <w:t> </w:t>
            </w:r>
          </w:p>
        </w:tc>
        <w:tc>
          <w:tcPr>
            <w:tcW w:w="291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634" w:type="dxa"/>
            <w:gridSpan w:val="3"/>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0"/>
              <w:rPr/>
            </w:pPr>
            <w:r>
              <w:rPr/>
              <w:t> </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Derivatives not designated as hedges:</w:t>
            </w:r>
          </w:p>
        </w:tc>
        <w:tc>
          <w:tcPr>
            <w:tcW w:w="2913"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274" w:type="dxa"/>
            <w:gridSpan w:val="3"/>
            <w:tcBorders/>
            <w:shd w:fill="CEFFE7" w:val="clear"/>
            <w:vAlign w:val="center"/>
          </w:tcPr>
          <w:p>
            <w:pPr>
              <w:pStyle w:val="TableContents"/>
              <w:spacing w:before="0" w:after="0"/>
              <w:ind w:left="0" w:right="0" w:firstLine="30"/>
              <w:rPr/>
            </w:pPr>
            <w:r>
              <w:rPr/>
              <w:t> </w:t>
            </w:r>
          </w:p>
        </w:tc>
        <w:tc>
          <w:tcPr>
            <w:tcW w:w="1634" w:type="dxa"/>
            <w:gridSpan w:val="3"/>
            <w:tcBorders/>
            <w:shd w:fill="CEFFE7" w:val="clear"/>
            <w:vAlign w:val="center"/>
          </w:tcPr>
          <w:p>
            <w:pPr>
              <w:pStyle w:val="TableContents"/>
              <w:spacing w:before="0" w:after="0"/>
              <w:ind w:left="0" w:right="0" w:firstLine="30"/>
              <w:rPr/>
            </w:pPr>
            <w:r>
              <w:rPr/>
              <w:t> </w:t>
            </w:r>
          </w:p>
        </w:tc>
        <w:tc>
          <w:tcPr>
            <w:tcW w:w="1301" w:type="dxa"/>
            <w:gridSpan w:val="3"/>
            <w:tcBorders/>
            <w:shd w:fill="CEFFE7" w:val="clear"/>
            <w:vAlign w:val="center"/>
          </w:tcPr>
          <w:p>
            <w:pPr>
              <w:pStyle w:val="TableContents"/>
              <w:spacing w:before="0" w:after="0"/>
              <w:ind w:left="0" w:right="0" w:firstLine="255"/>
              <w:rPr/>
            </w:pPr>
            <w:r>
              <w:rPr/>
              <w:t> </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 derivative instruments:</w:t>
            </w:r>
          </w:p>
        </w:tc>
        <w:tc>
          <w:tcPr>
            <w:tcW w:w="291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634" w:type="dxa"/>
            <w:gridSpan w:val="3"/>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75"/>
              <w:rPr/>
            </w:pPr>
            <w:r>
              <w:rPr/>
              <w:t> </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Current commodity derivatives</w:t>
            </w:r>
          </w:p>
        </w:tc>
        <w:tc>
          <w:tcPr>
            <w:tcW w:w="29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Derivative assets — current</w:t>
            </w:r>
          </w:p>
        </w:tc>
        <w:tc>
          <w:tcPr>
            <w:tcW w:w="90" w:type="dxa"/>
            <w:tcBorders/>
            <w:shd w:fill="CEFFE7" w:val="clear"/>
            <w:vAlign w:val="center"/>
          </w:tcPr>
          <w:p>
            <w:pPr>
              <w:pStyle w:val="TableContents"/>
              <w:spacing w:before="0" w:after="0"/>
              <w:ind w:left="0" w:right="0" w:firstLine="30"/>
              <w:rPr/>
            </w:pPr>
            <w:r>
              <w:rPr/>
              <w:t> </w:t>
            </w:r>
          </w:p>
        </w:tc>
        <w:tc>
          <w:tcPr>
            <w:tcW w:w="274"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725" w:type="dxa"/>
            <w:tcBorders/>
            <w:shd w:fill="CEFFE7" w:val="clear"/>
            <w:vAlign w:val="center"/>
          </w:tcPr>
          <w:p>
            <w:pPr>
              <w:pStyle w:val="TableContents"/>
              <w:spacing w:before="0" w:after="0"/>
              <w:jc w:val="right"/>
              <w:rPr>
                <w:rFonts w:ascii="inherit" w:hAnsi="inherit"/>
                <w:sz w:val="15"/>
              </w:rPr>
            </w:pPr>
            <w:r>
              <w:rPr>
                <w:rFonts w:ascii="inherit" w:hAnsi="inherit"/>
                <w:sz w:val="15"/>
              </w:rPr>
              <w:t>801</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8"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077" w:type="dxa"/>
            <w:tcBorders/>
            <w:shd w:fill="CEFFE7" w:val="clear"/>
            <w:vAlign w:val="center"/>
          </w:tcPr>
          <w:p>
            <w:pPr>
              <w:pStyle w:val="TableContents"/>
              <w:spacing w:before="0" w:after="0"/>
              <w:jc w:val="right"/>
              <w:rPr>
                <w:rFonts w:ascii="inherit" w:hAnsi="inherit"/>
                <w:sz w:val="15"/>
              </w:rPr>
            </w:pPr>
            <w:r>
              <w:rPr>
                <w:rFonts w:ascii="inherit" w:hAnsi="inherit"/>
                <w:sz w:val="15"/>
              </w:rPr>
              <w:t>1,085</w:t>
            </w:r>
          </w:p>
        </w:tc>
        <w:tc>
          <w:tcPr>
            <w:tcW w:w="27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488" w:type="dxa"/>
            <w:tcBorders/>
            <w:shd w:fill="CEFFE7" w:val="clear"/>
            <w:vAlign w:val="center"/>
          </w:tcPr>
          <w:p>
            <w:pPr>
              <w:pStyle w:val="TableContents"/>
              <w:spacing w:before="0" w:after="0"/>
              <w:jc w:val="right"/>
              <w:rPr>
                <w:rFonts w:ascii="inherit" w:hAnsi="inherit"/>
                <w:sz w:val="15"/>
              </w:rPr>
            </w:pPr>
            <w:r>
              <w:rPr>
                <w:rFonts w:ascii="inherit" w:hAnsi="inherit"/>
                <w:sz w:val="15"/>
              </w:rPr>
              <w:t>295</w:t>
            </w:r>
          </w:p>
        </w:tc>
        <w:tc>
          <w:tcPr>
            <w:tcW w:w="660" w:type="dxa"/>
            <w:tcBorders/>
            <w:shd w:fill="CEFFE7" w:val="clear"/>
            <w:vAlign w:val="center"/>
          </w:tcPr>
          <w:p>
            <w:pPr>
              <w:pStyle w:val="TableContents"/>
              <w:spacing w:before="0" w:after="0"/>
              <w:ind w:left="0" w:right="0" w:firstLine="375"/>
              <w:jc w:val="left"/>
              <w:rPr>
                <w:rFonts w:ascii="inherit" w:hAnsi="inherit"/>
                <w:sz w:val="17"/>
              </w:rPr>
            </w:pPr>
            <w:r>
              <w:rPr>
                <w:rFonts w:ascii="inherit" w:hAnsi="inherit"/>
                <w:sz w:val="17"/>
              </w:rPr>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Noncurrent commodity derivatives</w:t>
            </w:r>
          </w:p>
        </w:tc>
        <w:tc>
          <w:tcPr>
            <w:tcW w:w="29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non-current</w:t>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46</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2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41" w:type="dxa"/>
            <w:gridSpan w:val="2"/>
            <w:tcBorders/>
            <w:shd w:fill="auto" w:val="clear"/>
            <w:vAlign w:val="center"/>
          </w:tcPr>
          <w:p>
            <w:pPr>
              <w:pStyle w:val="TableContents"/>
              <w:spacing w:before="0" w:after="0"/>
              <w:jc w:val="right"/>
              <w:rPr/>
            </w:pPr>
            <w:r>
              <w:rPr/>
              <w:t>—</w:t>
            </w:r>
          </w:p>
        </w:tc>
        <w:tc>
          <w:tcPr>
            <w:tcW w:w="660"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Liability derivative instruments:</w:t>
            </w:r>
          </w:p>
        </w:tc>
        <w:tc>
          <w:tcPr>
            <w:tcW w:w="2913" w:type="dxa"/>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274" w:type="dxa"/>
            <w:gridSpan w:val="3"/>
            <w:tcBorders/>
            <w:shd w:fill="CEFFE7" w:val="clear"/>
            <w:vAlign w:val="center"/>
          </w:tcPr>
          <w:p>
            <w:pPr>
              <w:pStyle w:val="TableContents"/>
              <w:spacing w:before="0" w:after="0"/>
              <w:ind w:left="0" w:right="0" w:firstLine="30"/>
              <w:rPr/>
            </w:pPr>
            <w:r>
              <w:rPr/>
              <w:t> </w:t>
            </w:r>
          </w:p>
        </w:tc>
        <w:tc>
          <w:tcPr>
            <w:tcW w:w="1634" w:type="dxa"/>
            <w:gridSpan w:val="3"/>
            <w:tcBorders/>
            <w:shd w:fill="CEFFE7" w:val="clear"/>
            <w:vAlign w:val="center"/>
          </w:tcPr>
          <w:p>
            <w:pPr>
              <w:pStyle w:val="TableContents"/>
              <w:spacing w:before="0" w:after="0"/>
              <w:ind w:left="0" w:right="0" w:firstLine="30"/>
              <w:rPr/>
            </w:pPr>
            <w:r>
              <w:rPr/>
              <w:t> </w:t>
            </w:r>
          </w:p>
        </w:tc>
        <w:tc>
          <w:tcPr>
            <w:tcW w:w="1301" w:type="dxa"/>
            <w:gridSpan w:val="3"/>
            <w:tcBorders/>
            <w:shd w:fill="CEFFE7" w:val="clear"/>
            <w:vAlign w:val="center"/>
          </w:tcPr>
          <w:p>
            <w:pPr>
              <w:pStyle w:val="TableContents"/>
              <w:spacing w:before="0" w:after="0"/>
              <w:ind w:left="0" w:right="0" w:firstLine="375"/>
              <w:rPr/>
            </w:pPr>
            <w:r>
              <w:rPr/>
              <w:t> </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commodity derivatives</w:t>
            </w:r>
          </w:p>
        </w:tc>
        <w:tc>
          <w:tcPr>
            <w:tcW w:w="291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Derivative liabilities — current</w:t>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(84</w:t>
            </w:r>
          </w:p>
        </w:tc>
        <w:tc>
          <w:tcPr>
            <w:tcW w:w="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(833</w:t>
            </w:r>
          </w:p>
        </w:tc>
        <w:tc>
          <w:tcPr>
            <w:tcW w:w="2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6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(497</w:t>
            </w:r>
          </w:p>
        </w:tc>
        <w:tc>
          <w:tcPr>
            <w:tcW w:w="660" w:type="dxa"/>
            <w:tcBorders/>
            <w:shd w:fill="auto" w:val="clear"/>
            <w:vAlign w:val="center"/>
          </w:tcPr>
          <w:p>
            <w:pPr>
              <w:pStyle w:val="TableContents"/>
              <w:spacing w:before="0" w:after="0"/>
              <w:ind w:left="0" w:right="0" w:firstLine="375"/>
              <w:jc w:val="left"/>
              <w:rPr>
                <w:rFonts w:ascii="inherit" w:hAnsi="inherit"/>
                <w:sz w:val="15"/>
              </w:rPr>
            </w:pPr>
            <w:r>
              <w:rPr>
                <w:rFonts w:ascii="inherit" w:hAnsi="inherit"/>
                <w:sz w:val="15"/>
              </w:rPr>
              <w:t>)</w:t>
            </w:r>
          </w:p>
        </w:tc>
      </w:tr>
      <w:tr>
        <w:trPr/>
        <w:tc>
          <w:tcPr>
            <w:tcW w:w="299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Noncurrent commodity derivatives</w:t>
            </w:r>
          </w:p>
        </w:tc>
        <w:tc>
          <w:tcPr>
            <w:tcW w:w="2913"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Other deferred credits and other liabilities</w:t>
            </w:r>
          </w:p>
        </w:tc>
        <w:tc>
          <w:tcPr>
            <w:tcW w:w="90" w:type="dxa"/>
            <w:tcBorders/>
            <w:shd w:fill="CEFFE7" w:val="clear"/>
            <w:vAlign w:val="center"/>
          </w:tcPr>
          <w:p>
            <w:pPr>
              <w:pStyle w:val="TableContents"/>
              <w:spacing w:before="0" w:after="0"/>
              <w:ind w:left="0" w:right="0" w:firstLine="30"/>
              <w:rPr/>
            </w:pPr>
            <w:r>
              <w:rPr/>
              <w:t> </w:t>
            </w:r>
          </w:p>
        </w:tc>
        <w:tc>
          <w:tcPr>
            <w:tcW w:w="999"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(18</w:t>
            </w:r>
          </w:p>
        </w:tc>
        <w:tc>
          <w:tcPr>
            <w:tcW w:w="275"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(56</w:t>
            </w:r>
          </w:p>
        </w:tc>
        <w:tc>
          <w:tcPr>
            <w:tcW w:w="279"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64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(164</w:t>
            </w:r>
          </w:p>
        </w:tc>
        <w:tc>
          <w:tcPr>
            <w:tcW w:w="660"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9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derivatives not designated as hedges</w:t>
            </w:r>
          </w:p>
        </w:tc>
        <w:tc>
          <w:tcPr>
            <w:tcW w:w="291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745</w:t>
            </w:r>
          </w:p>
        </w:tc>
        <w:tc>
          <w:tcPr>
            <w:tcW w:w="2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197</w:t>
            </w:r>
          </w:p>
        </w:tc>
        <w:tc>
          <w:tcPr>
            <w:tcW w:w="27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8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(366</w:t>
            </w:r>
          </w:p>
        </w:tc>
        <w:tc>
          <w:tcPr>
            <w:tcW w:w="6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2018</w:t>
      </w:r>
      <w:r>
        <w:rPr>
          <w:sz w:val="17"/>
        </w:rPr>
        <w:t xml:space="preserve"> </w:t>
      </w:r>
      <w:r>
        <w:rPr>
          <w:rFonts w:ascii="inherit" w:hAnsi="inherit"/>
          <w:sz w:val="17"/>
        </w:rPr>
        <w:t>Annual Report on Form 10-K.</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jc w:val="right"/>
        <w:rPr>
          <w:rFonts w:ascii="inherit" w:hAnsi="inherit"/>
          <w:sz w:val="17"/>
        </w:rPr>
      </w:pPr>
      <w:r>
        <w:rPr>
          <w:rFonts w:ascii="inherit" w:hAnsi="inherit"/>
          <w:sz w:val="17"/>
        </w:rPr>
      </w:r>
      <w:bookmarkStart w:id="44" w:name="s35266A83A02F5A0DABE4D25B447004A3"/>
      <w:bookmarkStart w:id="45" w:name="s35266A83A02F5A0DABE4D25B447004A3"/>
      <w:bookmarkEnd w:id="45"/>
    </w:p>
    <w:p>
      <w:pPr>
        <w:pStyle w:val="TextBody"/>
        <w:spacing w:before="0" w:after="0"/>
        <w:rPr/>
      </w:pPr>
      <w:r>
        <w:rPr/>
      </w:r>
    </w:p>
    <w:p>
      <w:pPr>
        <w:pStyle w:val="TextBody"/>
        <w:spacing w:lineRule="auto" w:line="288" w:before="0" w:after="0"/>
        <w:rPr>
          <w:sz w:val="17"/>
        </w:rPr>
      </w:pPr>
      <w:r>
        <w:rPr>
          <w:rFonts w:ascii="inherit" w:hAnsi="inherit"/>
          <w:sz w:val="17"/>
        </w:rPr>
        <w:t>(</w:t>
      </w:r>
      <w:r>
        <w:rPr>
          <w:rFonts w:ascii="inherit" w:hAnsi="inherit"/>
          <w:strike w:val="false"/>
          <w:dstrike w:val="false"/>
          <w:color w:val="000000"/>
          <w:sz w:val="17"/>
          <w:u w:val="none"/>
          <w:effect w:val="none"/>
        </w:rPr>
        <w:t>12</w:t>
      </w:r>
      <w:r>
        <w:rPr>
          <w:rFonts w:ascii="inherit" w:hAnsi="inherit"/>
          <w:sz w:val="17"/>
        </w:rPr>
        <w:t>)    FAIR VALUE OF FINANCIAL INSTRUMENTS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estimated fair values of our financial instruments, excluding derivatives which are presented in Note 11, were as follows (in thousands) as of:</w:t>
      </w:r>
    </w:p>
    <w:tbl>
      <w:tblPr>
        <w:tblW w:w="10205" w:type="dxa"/>
        <w:jc w:val="center"/>
        <w:tblInd w:w="0" w:type="dxa"/>
        <w:tblCellMar>
          <w:top w:w="0" w:type="dxa"/>
          <w:left w:w="0" w:type="dxa"/>
          <w:bottom w:w="0" w:type="dxa"/>
          <w:right w:w="0" w:type="dxa"/>
        </w:tblCellMar>
      </w:tblPr>
      <w:tblGrid>
        <w:gridCol w:w="4010"/>
        <w:gridCol w:w="125"/>
        <w:gridCol w:w="845"/>
        <w:gridCol w:w="30"/>
        <w:gridCol w:w="125"/>
        <w:gridCol w:w="845"/>
        <w:gridCol w:w="30"/>
        <w:gridCol w:w="90"/>
        <w:gridCol w:w="125"/>
        <w:gridCol w:w="845"/>
        <w:gridCol w:w="30"/>
        <w:gridCol w:w="125"/>
        <w:gridCol w:w="845"/>
        <w:gridCol w:w="30"/>
        <w:gridCol w:w="90"/>
        <w:gridCol w:w="125"/>
        <w:gridCol w:w="845"/>
        <w:gridCol w:w="30"/>
        <w:gridCol w:w="125"/>
        <w:gridCol w:w="845"/>
        <w:gridCol w:w="45"/>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10" w:type="dxa"/>
            <w:tcBorders/>
            <w:shd w:fill="auto" w:val="clear"/>
            <w:vAlign w:val="center"/>
          </w:tcPr>
          <w:p>
            <w:pPr>
              <w:pStyle w:val="TableContents"/>
              <w:spacing w:before="0" w:after="0"/>
              <w:ind w:left="0" w:right="0" w:firstLine="30"/>
              <w:rPr/>
            </w:pPr>
            <w:r>
              <w:rPr/>
              <w:t> </w:t>
            </w:r>
          </w:p>
        </w:tc>
        <w:tc>
          <w:tcPr>
            <w:tcW w:w="200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90" w:type="dxa"/>
            <w:tcBorders/>
            <w:shd w:fill="auto" w:val="clear"/>
            <w:vAlign w:val="center"/>
          </w:tcPr>
          <w:p>
            <w:pPr>
              <w:pStyle w:val="TableContents"/>
              <w:spacing w:before="0" w:after="0"/>
              <w:ind w:left="0" w:right="0" w:firstLine="30"/>
              <w:rPr/>
            </w:pPr>
            <w:r>
              <w:rPr/>
              <w:t> </w:t>
            </w:r>
          </w:p>
        </w:tc>
        <w:tc>
          <w:tcPr>
            <w:tcW w:w="200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shd w:fill="auto" w:val="clear"/>
            <w:vAlign w:val="center"/>
          </w:tcPr>
          <w:p>
            <w:pPr>
              <w:pStyle w:val="TableContents"/>
              <w:spacing w:before="0" w:after="0"/>
              <w:ind w:left="0" w:right="0" w:firstLine="30"/>
              <w:rPr/>
            </w:pPr>
            <w:r>
              <w:rPr/>
              <w:t> </w:t>
            </w:r>
          </w:p>
        </w:tc>
        <w:tc>
          <w:tcPr>
            <w:tcW w:w="201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401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 xml:space="preserve">Carrying </w:t>
            </w:r>
          </w:p>
          <w:p>
            <w:pPr>
              <w:pStyle w:val="TableContents"/>
              <w:spacing w:before="0" w:after="0"/>
              <w:ind w:left="0" w:right="0" w:firstLine="30"/>
              <w:jc w:val="center"/>
              <w:rPr>
                <w:rFonts w:ascii="inherit" w:hAnsi="inherit"/>
                <w:sz w:val="17"/>
              </w:rPr>
            </w:pPr>
            <w:r>
              <w:rPr>
                <w:rFonts w:ascii="inherit" w:hAnsi="inherit"/>
                <w:sz w:val="17"/>
              </w:rPr>
              <w:t>Amount</w:t>
            </w:r>
          </w:p>
        </w:tc>
        <w:tc>
          <w:tcPr>
            <w:tcW w:w="10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Fair Value</w:t>
            </w:r>
          </w:p>
        </w:tc>
        <w:tc>
          <w:tcPr>
            <w:tcW w:w="90" w:type="dxa"/>
            <w:tcBorders/>
            <w:shd w:fill="auto" w:val="clear"/>
            <w:vAlign w:val="center"/>
          </w:tcPr>
          <w:p>
            <w:pPr>
              <w:pStyle w:val="TableContents"/>
              <w:spacing w:before="0" w:after="0"/>
              <w:ind w:left="0" w:right="0" w:firstLine="30"/>
              <w:rPr/>
            </w:pPr>
            <w:r>
              <w:rPr/>
              <w:t> </w:t>
            </w:r>
          </w:p>
        </w:tc>
        <w:tc>
          <w:tcPr>
            <w:tcW w:w="10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 xml:space="preserve">Carrying </w:t>
            </w:r>
          </w:p>
          <w:p>
            <w:pPr>
              <w:pStyle w:val="TableContents"/>
              <w:spacing w:before="0" w:after="0"/>
              <w:ind w:left="0" w:right="0" w:firstLine="30"/>
              <w:jc w:val="center"/>
              <w:rPr>
                <w:rFonts w:ascii="inherit" w:hAnsi="inherit"/>
                <w:sz w:val="17"/>
              </w:rPr>
            </w:pPr>
            <w:r>
              <w:rPr>
                <w:rFonts w:ascii="inherit" w:hAnsi="inherit"/>
                <w:sz w:val="17"/>
              </w:rPr>
              <w:t>Amount</w:t>
            </w:r>
          </w:p>
        </w:tc>
        <w:tc>
          <w:tcPr>
            <w:tcW w:w="10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Fair Value</w:t>
            </w:r>
          </w:p>
        </w:tc>
        <w:tc>
          <w:tcPr>
            <w:tcW w:w="90" w:type="dxa"/>
            <w:tcBorders/>
            <w:shd w:fill="auto" w:val="clear"/>
            <w:vAlign w:val="center"/>
          </w:tcPr>
          <w:p>
            <w:pPr>
              <w:pStyle w:val="TableContents"/>
              <w:spacing w:before="0" w:after="0"/>
              <w:ind w:left="0" w:right="0" w:firstLine="30"/>
              <w:rPr/>
            </w:pPr>
            <w:r>
              <w:rPr/>
              <w:t> </w:t>
            </w:r>
          </w:p>
        </w:tc>
        <w:tc>
          <w:tcPr>
            <w:tcW w:w="10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 xml:space="preserve">Carrying </w:t>
            </w:r>
          </w:p>
          <w:p>
            <w:pPr>
              <w:pStyle w:val="TableContents"/>
              <w:spacing w:before="0" w:after="0"/>
              <w:ind w:left="0" w:right="0" w:firstLine="30"/>
              <w:jc w:val="center"/>
              <w:rPr>
                <w:rFonts w:ascii="inherit" w:hAnsi="inherit"/>
                <w:sz w:val="17"/>
              </w:rPr>
            </w:pPr>
            <w:r>
              <w:rPr>
                <w:rFonts w:ascii="inherit" w:hAnsi="inherit"/>
                <w:sz w:val="17"/>
              </w:rPr>
              <w:t>Amount</w:t>
            </w:r>
          </w:p>
        </w:tc>
        <w:tc>
          <w:tcPr>
            <w:tcW w:w="10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Fair Value</w:t>
            </w:r>
          </w:p>
        </w:tc>
      </w:tr>
      <w:tr>
        <w:trPr/>
        <w:tc>
          <w:tcPr>
            <w:tcW w:w="4010"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Cash and cash equivalents </w:t>
            </w:r>
            <w:r>
              <w:rPr>
                <w:rFonts w:ascii="inherit" w:hAnsi="inherit"/>
                <w:sz w:val="12"/>
              </w:rPr>
              <w:t>(a)</w:t>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12,225</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12,225</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20,776</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20,776</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30,947</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30,947</w:t>
            </w:r>
          </w:p>
        </w:tc>
        <w:tc>
          <w:tcPr>
            <w:tcW w:w="4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Restricted cash </w:t>
            </w:r>
            <w:r>
              <w:rPr>
                <w:rFonts w:ascii="inherit" w:hAnsi="inherit"/>
                <w:sz w:val="12"/>
              </w:rPr>
              <w:t>(a)</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3,494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3,494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3,369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3,369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2,958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2,958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Notes payable </w:t>
            </w:r>
            <w:r>
              <w:rPr>
                <w:rFonts w:ascii="inherit" w:hAnsi="inherit"/>
                <w:sz w:val="12"/>
              </w:rPr>
              <w:t>(b)</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164,650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164,650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185,620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185,620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164,200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CEFFE7" w:val="clear"/>
            <w:vAlign w:val="center"/>
          </w:tcPr>
          <w:p>
            <w:pPr>
              <w:pStyle w:val="TableContents"/>
              <w:spacing w:before="0" w:after="0"/>
              <w:jc w:val="right"/>
              <w:rPr>
                <w:rFonts w:ascii="inherit" w:hAnsi="inherit"/>
                <w:sz w:val="17"/>
              </w:rPr>
            </w:pPr>
            <w:r>
              <w:rPr>
                <w:rFonts w:ascii="inherit" w:hAnsi="inherit"/>
                <w:sz w:val="17"/>
              </w:rPr>
              <w:t>164,200</w:t>
            </w:r>
          </w:p>
        </w:tc>
        <w:tc>
          <w:tcPr>
            <w:tcW w:w="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Long-term debt, including current maturities </w:t>
            </w:r>
            <w:r>
              <w:rPr>
                <w:rFonts w:ascii="inherit" w:hAnsi="inherit"/>
                <w:sz w:val="12"/>
              </w:rPr>
              <w:t>(c) (d)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2,956,042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3,137,538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2,956,578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3,039,108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3,114,530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rFonts w:ascii="inherit" w:hAnsi="inherit"/>
                <w:sz w:val="17"/>
              </w:rPr>
            </w:pPr>
            <w:r>
              <w:rPr>
                <w:rFonts w:ascii="inherit" w:hAnsi="inherit"/>
                <w:sz w:val="17"/>
              </w:rPr>
              <w:t>3,265,965</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w:t>
      </w:r>
    </w:p>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283"/>
              <w:rPr>
                <w:sz w:val="4"/>
                <w:szCs w:val="4"/>
              </w:rPr>
            </w:pPr>
            <w:r>
              <w:rPr>
                <w:sz w:val="4"/>
                <w:szCs w:val="4"/>
              </w:rPr>
            </w:r>
          </w:p>
        </w:tc>
        <w:tc>
          <w:tcPr>
            <w:tcW w:w="9985" w:type="dxa"/>
            <w:tcBorders/>
            <w:shd w:fill="auto" w:val="clear"/>
            <w:vAlign w:val="center"/>
          </w:tcPr>
          <w:p>
            <w:pPr>
              <w:pStyle w:val="TableContents"/>
              <w:spacing w:before="0" w:after="283"/>
              <w:rPr>
                <w:sz w:val="4"/>
                <w:szCs w:val="4"/>
              </w:rPr>
            </w:pPr>
            <w:r>
              <w:rPr>
                <w:sz w:val="4"/>
                <w:szCs w:val="4"/>
              </w:rPr>
            </w:r>
          </w:p>
        </w:tc>
      </w:tr>
      <w:tr>
        <w:trPr/>
        <w:tc>
          <w:tcPr>
            <w:tcW w:w="22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Carrying value approximates fair value due to either the short-term length of maturity or variable interest rates that approximate prevailing market rates, and therefore is classified in Level 1 in the fair value hierarchy.</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95" w:type="dxa"/>
            <w:tcBorders/>
            <w:shd w:fill="auto" w:val="clear"/>
            <w:vAlign w:val="center"/>
          </w:tcPr>
          <w:p>
            <w:pPr>
              <w:pStyle w:val="TableContents"/>
              <w:spacing w:lineRule="auto" w:line="288" w:before="0" w:after="0"/>
              <w:rPr>
                <w:rFonts w:ascii="inherit" w:hAnsi="inherit"/>
                <w:sz w:val="15"/>
              </w:rPr>
            </w:pPr>
            <w:r>
              <w:rPr>
                <w:rFonts w:ascii="inherit" w:hAnsi="inherit"/>
                <w:sz w:val="15"/>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999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Long-term debt is valued based on observable inputs available either directly or indirectly for similar liabilities in active markets and therefore is classified in Level 2 in the fair value hierarchy.</w:t>
            </w:r>
          </w:p>
        </w:tc>
      </w:tr>
    </w:tbl>
    <w:tbl>
      <w:tblPr>
        <w:tblW w:w="5365" w:type="dxa"/>
        <w:jc w:val="left"/>
        <w:tblInd w:w="0" w:type="dxa"/>
        <w:tblCellMar>
          <w:top w:w="0" w:type="dxa"/>
          <w:left w:w="0" w:type="dxa"/>
          <w:bottom w:w="0" w:type="dxa"/>
          <w:right w:w="0" w:type="dxa"/>
        </w:tblCellMar>
      </w:tblPr>
      <w:tblGrid>
        <w:gridCol w:w="245"/>
        <w:gridCol w:w="5120"/>
      </w:tblGrid>
      <w:tr>
        <w:trPr/>
        <w:tc>
          <w:tcPr>
            <w:tcW w:w="245" w:type="dxa"/>
            <w:tcBorders/>
            <w:shd w:fill="auto" w:val="clear"/>
            <w:vAlign w:val="center"/>
          </w:tcPr>
          <w:p>
            <w:pPr>
              <w:pStyle w:val="TableContents"/>
              <w:spacing w:before="0" w:after="283"/>
              <w:rPr>
                <w:sz w:val="4"/>
                <w:szCs w:val="4"/>
              </w:rPr>
            </w:pPr>
            <w:r>
              <w:rPr>
                <w:sz w:val="4"/>
                <w:szCs w:val="4"/>
              </w:rPr>
            </w:r>
          </w:p>
        </w:tc>
        <w:tc>
          <w:tcPr>
            <w:tcW w:w="512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(d)</w:t>
            </w:r>
          </w:p>
        </w:tc>
        <w:tc>
          <w:tcPr>
            <w:tcW w:w="512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Carrying amount of long-term debt is net of deferred financing costs.</w:t>
            </w:r>
          </w:p>
        </w:tc>
      </w:tr>
    </w:tbl>
    <w:p>
      <w:pPr>
        <w:pStyle w:val="TextBody"/>
        <w:spacing w:lineRule="auto" w:line="288" w:before="0" w:after="0"/>
        <w:jc w:val="left"/>
        <w:rPr>
          <w:rFonts w:ascii="inherit" w:hAnsi="inherit"/>
          <w:sz w:val="17"/>
        </w:rPr>
      </w:pPr>
      <w:r>
        <w:rPr>
          <w:rFonts w:ascii="inherit" w:hAnsi="inherit"/>
          <w:sz w:val="17"/>
        </w:rPr>
      </w:r>
    </w:p>
    <w:p>
      <w:pPr>
        <w:pStyle w:val="Normal"/>
        <w:spacing w:before="0" w:after="0"/>
        <w:rPr>
          <w:sz w:val="4"/>
          <w:szCs w:val="4"/>
        </w:rPr>
      </w:pPr>
      <w:r>
        <w:rPr>
          <w:sz w:val="4"/>
          <w:szCs w:val="4"/>
        </w:rPr>
      </w:r>
      <w:bookmarkStart w:id="46" w:name="s5BA22D71A8045DA09908C08B5A3FBD1A"/>
      <w:bookmarkStart w:id="47" w:name="s5BA22D71A8045DA09908C08B5A3FBD1A"/>
      <w:bookmarkEnd w:id="47"/>
    </w:p>
    <w:tbl>
      <w:tblPr>
        <w:tblW w:w="3775" w:type="dxa"/>
        <w:jc w:val="left"/>
        <w:tblInd w:w="0" w:type="dxa"/>
        <w:tblCellMar>
          <w:top w:w="0" w:type="dxa"/>
          <w:left w:w="0" w:type="dxa"/>
          <w:bottom w:w="0" w:type="dxa"/>
          <w:right w:w="0" w:type="dxa"/>
        </w:tblCellMar>
      </w:tblPr>
      <w:tblGrid>
        <w:gridCol w:w="365"/>
        <w:gridCol w:w="3410"/>
      </w:tblGrid>
      <w:tr>
        <w:trPr/>
        <w:tc>
          <w:tcPr>
            <w:tcW w:w="365"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365" w:type="dxa"/>
            <w:tcBorders/>
            <w:shd w:fill="auto" w:val="clear"/>
            <w:vAlign w:val="center"/>
          </w:tcPr>
          <w:p>
            <w:pPr>
              <w:pStyle w:val="TableContents"/>
              <w:spacing w:lineRule="auto" w:line="288" w:before="0" w:after="0"/>
              <w:ind w:left="0" w:right="0" w:hanging="0"/>
              <w:rPr>
                <w:sz w:val="17"/>
              </w:rPr>
            </w:pPr>
            <w:r>
              <w:rPr>
                <w:rFonts w:ascii="inherit" w:hAnsi="inherit"/>
                <w:sz w:val="17"/>
              </w:rPr>
              <w:t>(</w:t>
            </w:r>
            <w:r>
              <w:rPr>
                <w:rFonts w:ascii="inherit" w:hAnsi="inherit"/>
                <w:strike w:val="false"/>
                <w:dstrike w:val="false"/>
                <w:color w:val="000000"/>
                <w:sz w:val="17"/>
                <w:u w:val="none"/>
                <w:effect w:val="none"/>
              </w:rPr>
              <w:t>13</w:t>
            </w:r>
            <w:r>
              <w:rPr>
                <w:rFonts w:ascii="inherit" w:hAnsi="inherit"/>
                <w:sz w:val="17"/>
              </w:rPr>
              <w:t>)</w:t>
            </w:r>
          </w:p>
        </w:tc>
        <w:tc>
          <w:tcPr>
            <w:tcW w:w="34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OTHER COMPREHENSIVE INCOME (LOSS)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table details reclassifications out of AOCI and into net income. The amounts in parentheses below indicate decreases to net income in the Condensed Consolidated Statements of Income for the period, net of tax (in thousands):</w:t>
      </w:r>
    </w:p>
    <w:tbl>
      <w:tblPr>
        <w:tblW w:w="10205" w:type="dxa"/>
        <w:jc w:val="left"/>
        <w:tblInd w:w="0" w:type="dxa"/>
        <w:tblCellMar>
          <w:top w:w="0" w:type="dxa"/>
          <w:left w:w="0" w:type="dxa"/>
          <w:bottom w:w="0" w:type="dxa"/>
          <w:right w:w="0" w:type="dxa"/>
        </w:tblCellMar>
      </w:tblPr>
      <w:tblGrid>
        <w:gridCol w:w="4244"/>
        <w:gridCol w:w="3515"/>
        <w:gridCol w:w="240"/>
        <w:gridCol w:w="703"/>
        <w:gridCol w:w="177"/>
        <w:gridCol w:w="174"/>
        <w:gridCol w:w="763"/>
        <w:gridCol w:w="38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4244" w:type="dxa"/>
            <w:tcBorders/>
            <w:shd w:fill="auto" w:val="clear"/>
            <w:vAlign w:val="center"/>
          </w:tcPr>
          <w:p>
            <w:pPr>
              <w:pStyle w:val="TableContents"/>
              <w:spacing w:before="0" w:after="283"/>
              <w:rPr>
                <w:sz w:val="4"/>
                <w:szCs w:val="4"/>
              </w:rPr>
            </w:pPr>
            <w:r>
              <w:rPr>
                <w:sz w:val="4"/>
                <w:szCs w:val="4"/>
              </w:rPr>
            </w:r>
          </w:p>
        </w:tc>
        <w:tc>
          <w:tcPr>
            <w:tcW w:w="35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44"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51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Location on the Condensed Consolidated Statements of Income</w:t>
            </w:r>
          </w:p>
        </w:tc>
        <w:tc>
          <w:tcPr>
            <w:tcW w:w="2446"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Amount Reclassified from AOCI</w:t>
            </w:r>
          </w:p>
        </w:tc>
      </w:tr>
      <w:tr>
        <w:trPr/>
        <w:tc>
          <w:tcPr>
            <w:tcW w:w="4244" w:type="dxa"/>
            <w:vMerge w:val="continue"/>
            <w:tcBorders>
              <w:bottom w:val="single" w:sz="2" w:space="0" w:color="000000"/>
            </w:tcBorders>
            <w:shd w:fill="auto" w:val="clear"/>
            <w:tcMar>
              <w:bottom w:w="30" w:type="dxa"/>
            </w:tcMar>
            <w:vAlign w:val="center"/>
          </w:tcPr>
          <w:p>
            <w:pPr>
              <w:pStyle w:val="Normal"/>
              <w:rPr/>
            </w:pPr>
            <w:r>
              <w:rPr/>
            </w:r>
          </w:p>
        </w:tc>
        <w:tc>
          <w:tcPr>
            <w:tcW w:w="3515" w:type="dxa"/>
            <w:vMerge w:val="continue"/>
            <w:tcBorders>
              <w:bottom w:val="single" w:sz="2" w:space="0" w:color="000000"/>
            </w:tcBorders>
            <w:shd w:fill="auto" w:val="clear"/>
            <w:tcMar>
              <w:bottom w:w="30" w:type="dxa"/>
            </w:tcMar>
            <w:vAlign w:val="center"/>
          </w:tcPr>
          <w:p>
            <w:pPr>
              <w:pStyle w:val="Normal"/>
              <w:rPr/>
            </w:pPr>
            <w:r>
              <w:rPr/>
            </w:r>
          </w:p>
        </w:tc>
        <w:tc>
          <w:tcPr>
            <w:tcW w:w="2446"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w:t>
            </w:r>
          </w:p>
        </w:tc>
      </w:tr>
      <w:tr>
        <w:trPr/>
        <w:tc>
          <w:tcPr>
            <w:tcW w:w="4244" w:type="dxa"/>
            <w:vMerge w:val="continue"/>
            <w:tcBorders>
              <w:bottom w:val="single" w:sz="2" w:space="0" w:color="000000"/>
            </w:tcBorders>
            <w:shd w:fill="auto" w:val="clear"/>
            <w:tcMar>
              <w:bottom w:w="30" w:type="dxa"/>
            </w:tcMar>
            <w:vAlign w:val="center"/>
          </w:tcPr>
          <w:p>
            <w:pPr>
              <w:pStyle w:val="Normal"/>
              <w:rPr/>
            </w:pPr>
            <w:r>
              <w:rPr/>
            </w:r>
          </w:p>
        </w:tc>
        <w:tc>
          <w:tcPr>
            <w:tcW w:w="3515" w:type="dxa"/>
            <w:vMerge w:val="continue"/>
            <w:tcBorders>
              <w:bottom w:val="single" w:sz="2" w:space="0" w:color="000000"/>
            </w:tcBorders>
            <w:shd w:fill="auto" w:val="clear"/>
            <w:tcMar>
              <w:bottom w:w="30" w:type="dxa"/>
            </w:tcMar>
            <w:vAlign w:val="center"/>
          </w:tcPr>
          <w:p>
            <w:pPr>
              <w:pStyle w:val="Normal"/>
              <w:rPr/>
            </w:pPr>
            <w:r>
              <w:rPr/>
            </w:r>
          </w:p>
        </w:tc>
        <w:tc>
          <w:tcPr>
            <w:tcW w:w="11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32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Gains and (losses) on cash flow hedges:</w:t>
            </w:r>
          </w:p>
        </w:tc>
        <w:tc>
          <w:tcPr>
            <w:tcW w:w="3515" w:type="dxa"/>
            <w:tcBorders/>
            <w:shd w:fill="CEFFE7" w:val="clear"/>
            <w:vAlign w:val="center"/>
          </w:tcPr>
          <w:p>
            <w:pPr>
              <w:pStyle w:val="TableContents"/>
              <w:spacing w:before="0" w:after="0"/>
              <w:ind w:left="0" w:right="0" w:firstLine="30"/>
              <w:rPr/>
            </w:pPr>
            <w:r>
              <w:rPr/>
              <w:t> </w:t>
            </w:r>
          </w:p>
        </w:tc>
        <w:tc>
          <w:tcPr>
            <w:tcW w:w="1120" w:type="dxa"/>
            <w:gridSpan w:val="3"/>
            <w:tcBorders/>
            <w:shd w:fill="CEFFE7" w:val="clear"/>
            <w:vAlign w:val="center"/>
          </w:tcPr>
          <w:p>
            <w:pPr>
              <w:pStyle w:val="TableContents"/>
              <w:spacing w:before="0" w:after="0"/>
              <w:ind w:left="0" w:right="0" w:firstLine="30"/>
              <w:rPr/>
            </w:pPr>
            <w:r>
              <w:rPr/>
              <w:t> </w:t>
            </w:r>
          </w:p>
        </w:tc>
        <w:tc>
          <w:tcPr>
            <w:tcW w:w="1326" w:type="dxa"/>
            <w:gridSpan w:val="3"/>
            <w:tcBorders/>
            <w:shd w:fill="CEFFE7" w:val="clear"/>
            <w:vAlign w:val="center"/>
          </w:tcPr>
          <w:p>
            <w:pPr>
              <w:pStyle w:val="TableContents"/>
              <w:spacing w:before="0" w:after="0"/>
              <w:ind w:left="0" w:right="0" w:firstLine="180"/>
              <w:rPr/>
            </w:pPr>
            <w:r>
              <w:rPr/>
              <w:t> </w:t>
            </w:r>
          </w:p>
        </w:tc>
      </w:tr>
      <w:tr>
        <w:trPr/>
        <w:tc>
          <w:tcPr>
            <w:tcW w:w="4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swaps</w:t>
            </w:r>
          </w:p>
        </w:tc>
        <w:tc>
          <w:tcPr>
            <w:tcW w:w="3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2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shd w:fill="auto" w:val="clear"/>
            <w:vAlign w:val="center"/>
          </w:tcPr>
          <w:p>
            <w:pPr>
              <w:pStyle w:val="TableContents"/>
              <w:spacing w:before="0" w:after="0"/>
              <w:jc w:val="right"/>
              <w:rPr>
                <w:rFonts w:ascii="inherit" w:hAnsi="inherit"/>
                <w:sz w:val="17"/>
              </w:rPr>
            </w:pPr>
            <w:r>
              <w:rPr>
                <w:rFonts w:ascii="inherit" w:hAnsi="inherit"/>
                <w:sz w:val="17"/>
              </w:rPr>
              <w:t>(713</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shd w:fill="auto" w:val="clear"/>
            <w:vAlign w:val="center"/>
          </w:tcPr>
          <w:p>
            <w:pPr>
              <w:pStyle w:val="TableContents"/>
              <w:spacing w:before="0" w:after="0"/>
              <w:jc w:val="right"/>
              <w:rPr>
                <w:rFonts w:ascii="inherit" w:hAnsi="inherit"/>
                <w:sz w:val="17"/>
              </w:rPr>
            </w:pPr>
            <w:r>
              <w:rPr>
                <w:rFonts w:ascii="inherit" w:hAnsi="inherit"/>
                <w:sz w:val="17"/>
              </w:rPr>
              <w:t>(713</w:t>
            </w:r>
          </w:p>
        </w:tc>
        <w:tc>
          <w:tcPr>
            <w:tcW w:w="38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Commodity contracts</w:t>
            </w:r>
          </w:p>
        </w:tc>
        <w:tc>
          <w:tcPr>
            <w:tcW w:w="3515" w:type="dxa"/>
            <w:tcBorders/>
            <w:shd w:fill="CEFFE7" w:val="clear"/>
            <w:vAlign w:val="center"/>
          </w:tcPr>
          <w:p>
            <w:pPr>
              <w:pStyle w:val="TableContents"/>
              <w:spacing w:before="0" w:after="0"/>
              <w:rPr>
                <w:rFonts w:ascii="inherit" w:hAnsi="inherit"/>
                <w:sz w:val="17"/>
              </w:rPr>
            </w:pPr>
            <w:r>
              <w:rPr>
                <w:rFonts w:ascii="inherit" w:hAnsi="inherit"/>
                <w:sz w:val="17"/>
              </w:rPr>
              <w:t>Fuel, purchased power and cost of natural gas sold</w:t>
            </w:r>
          </w:p>
          <w:p>
            <w:pPr>
              <w:pStyle w:val="TableContents"/>
              <w:spacing w:before="0" w:after="0"/>
              <w:ind w:left="0" w:right="0" w:firstLine="30"/>
              <w:rPr>
                <w:rFonts w:ascii="inherit" w:hAnsi="inherit"/>
                <w:sz w:val="17"/>
              </w:rPr>
            </w:pPr>
            <w:r>
              <w:rPr>
                <w:rFonts w:ascii="inherit" w:hAnsi="inherit"/>
                <w:sz w:val="17"/>
              </w:rPr>
            </w:r>
          </w:p>
        </w:tc>
        <w:tc>
          <w:tcPr>
            <w:tcW w:w="943"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554</w:t>
            </w:r>
          </w:p>
        </w:tc>
        <w:tc>
          <w:tcPr>
            <w:tcW w:w="177"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7"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(621</w:t>
            </w:r>
          </w:p>
        </w:tc>
        <w:tc>
          <w:tcPr>
            <w:tcW w:w="389"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244" w:type="dxa"/>
            <w:tcBorders/>
            <w:shd w:fill="auto" w:val="clear"/>
            <w:vAlign w:val="center"/>
          </w:tcPr>
          <w:p>
            <w:pPr>
              <w:pStyle w:val="TableContents"/>
              <w:spacing w:before="0" w:after="0"/>
              <w:ind w:left="0" w:right="0" w:firstLine="30"/>
              <w:rPr/>
            </w:pPr>
            <w:r>
              <w:rPr/>
              <w:t> </w:t>
            </w:r>
          </w:p>
        </w:tc>
        <w:tc>
          <w:tcPr>
            <w:tcW w:w="3515" w:type="dxa"/>
            <w:tcBorders/>
            <w:shd w:fill="auto" w:val="clear"/>
            <w:vAlign w:val="center"/>
          </w:tcPr>
          <w:p>
            <w:pPr>
              <w:pStyle w:val="TableContents"/>
              <w:spacing w:before="0" w:after="0"/>
              <w:ind w:left="0" w:right="0" w:firstLine="30"/>
              <w:rPr/>
            </w:pPr>
            <w:r>
              <w:rPr/>
              <w:t> </w:t>
            </w:r>
          </w:p>
        </w:tc>
        <w:tc>
          <w:tcPr>
            <w:tcW w:w="94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(159</w:t>
            </w:r>
          </w:p>
        </w:tc>
        <w:tc>
          <w:tcPr>
            <w:tcW w:w="17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3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(1,334</w:t>
            </w:r>
          </w:p>
        </w:tc>
        <w:tc>
          <w:tcPr>
            <w:tcW w:w="389"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tax</w:t>
            </w:r>
          </w:p>
        </w:tc>
        <w:tc>
          <w:tcPr>
            <w:tcW w:w="35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(expense)</w:t>
            </w:r>
          </w:p>
        </w:tc>
        <w:tc>
          <w:tcPr>
            <w:tcW w:w="94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35</w:t>
            </w:r>
          </w:p>
        </w:tc>
        <w:tc>
          <w:tcPr>
            <w:tcW w:w="17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297</w:t>
            </w:r>
          </w:p>
        </w:tc>
        <w:tc>
          <w:tcPr>
            <w:tcW w:w="38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reclassification adjustments related to cash flow hedges, net of tax</w:t>
            </w:r>
          </w:p>
        </w:tc>
        <w:tc>
          <w:tcPr>
            <w:tcW w:w="3515" w:type="dxa"/>
            <w:tcBorders/>
            <w:shd w:fill="auto" w:val="clear"/>
            <w:vAlign w:val="center"/>
          </w:tcPr>
          <w:p>
            <w:pPr>
              <w:pStyle w:val="TableContents"/>
              <w:spacing w:before="0" w:after="0"/>
              <w:ind w:left="0" w:right="0" w:firstLine="30"/>
              <w:rPr/>
            </w:pPr>
            <w:r>
              <w:rPr/>
              <w:t> </w:t>
            </w:r>
          </w:p>
        </w:tc>
        <w:tc>
          <w:tcPr>
            <w:tcW w:w="2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17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(1,037</w:t>
            </w:r>
          </w:p>
        </w:tc>
        <w:tc>
          <w:tcPr>
            <w:tcW w:w="38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244" w:type="dxa"/>
            <w:tcBorders/>
            <w:shd w:fill="CEFFE7" w:val="clear"/>
            <w:vAlign w:val="center"/>
          </w:tcPr>
          <w:p>
            <w:pPr>
              <w:pStyle w:val="TableContents"/>
              <w:spacing w:before="0" w:after="0"/>
              <w:ind w:left="0" w:right="0" w:firstLine="30"/>
              <w:rPr/>
            </w:pPr>
            <w:r>
              <w:rPr/>
              <w:t> </w:t>
            </w:r>
          </w:p>
        </w:tc>
        <w:tc>
          <w:tcPr>
            <w:tcW w:w="3515" w:type="dxa"/>
            <w:tcBorders/>
            <w:shd w:fill="CEFFE7" w:val="clear"/>
            <w:vAlign w:val="center"/>
          </w:tcPr>
          <w:p>
            <w:pPr>
              <w:pStyle w:val="TableContents"/>
              <w:spacing w:before="0" w:after="0"/>
              <w:ind w:left="0" w:right="0" w:firstLine="30"/>
              <w:rPr/>
            </w:pPr>
            <w:r>
              <w:rPr/>
              <w:t> </w:t>
            </w:r>
          </w:p>
        </w:tc>
        <w:tc>
          <w:tcPr>
            <w:tcW w:w="1120" w:type="dxa"/>
            <w:gridSpan w:val="3"/>
            <w:tcBorders/>
            <w:shd w:fill="CEFFE7" w:val="clear"/>
            <w:vAlign w:val="center"/>
          </w:tcPr>
          <w:p>
            <w:pPr>
              <w:pStyle w:val="TableContents"/>
              <w:spacing w:before="0" w:after="0"/>
              <w:ind w:left="0" w:right="0" w:firstLine="30"/>
              <w:rPr/>
            </w:pPr>
            <w:r>
              <w:rPr/>
              <w:t> </w:t>
            </w:r>
          </w:p>
        </w:tc>
        <w:tc>
          <w:tcPr>
            <w:tcW w:w="1326" w:type="dxa"/>
            <w:gridSpan w:val="3"/>
            <w:tcBorders/>
            <w:shd w:fill="CEFFE7" w:val="clear"/>
            <w:vAlign w:val="center"/>
          </w:tcPr>
          <w:p>
            <w:pPr>
              <w:pStyle w:val="TableContents"/>
              <w:spacing w:before="0" w:after="0"/>
              <w:ind w:left="0" w:right="0" w:firstLine="30"/>
              <w:rPr/>
            </w:pPr>
            <w:r>
              <w:rPr/>
              <w:t> </w:t>
            </w:r>
          </w:p>
        </w:tc>
      </w:tr>
      <w:tr>
        <w:trPr/>
        <w:tc>
          <w:tcPr>
            <w:tcW w:w="4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components of defined benefit plans:</w:t>
            </w:r>
          </w:p>
        </w:tc>
        <w:tc>
          <w:tcPr>
            <w:tcW w:w="3515" w:type="dxa"/>
            <w:tcBorders/>
            <w:shd w:fill="auto" w:val="clear"/>
            <w:vAlign w:val="center"/>
          </w:tcPr>
          <w:p>
            <w:pPr>
              <w:pStyle w:val="TableContents"/>
              <w:spacing w:before="0" w:after="0"/>
              <w:ind w:left="0" w:right="0" w:firstLine="30"/>
              <w:rPr/>
            </w:pPr>
            <w:r>
              <w:rPr/>
              <w:t> </w:t>
            </w:r>
          </w:p>
        </w:tc>
        <w:tc>
          <w:tcPr>
            <w:tcW w:w="1120" w:type="dxa"/>
            <w:gridSpan w:val="3"/>
            <w:tcBorders/>
            <w:shd w:fill="auto" w:val="clear"/>
            <w:vAlign w:val="center"/>
          </w:tcPr>
          <w:p>
            <w:pPr>
              <w:pStyle w:val="TableContents"/>
              <w:spacing w:before="0" w:after="0"/>
              <w:ind w:left="0" w:right="0" w:firstLine="30"/>
              <w:rPr/>
            </w:pPr>
            <w:r>
              <w:rPr/>
              <w:t> </w:t>
            </w:r>
          </w:p>
        </w:tc>
        <w:tc>
          <w:tcPr>
            <w:tcW w:w="1326" w:type="dxa"/>
            <w:gridSpan w:val="3"/>
            <w:tcBorders/>
            <w:shd w:fill="auto" w:val="clear"/>
            <w:vAlign w:val="center"/>
          </w:tcPr>
          <w:p>
            <w:pPr>
              <w:pStyle w:val="TableContents"/>
              <w:spacing w:before="0" w:after="0"/>
              <w:ind w:left="0" w:right="0" w:firstLine="180"/>
              <w:rPr/>
            </w:pPr>
            <w:r>
              <w:rPr/>
              <w:t> </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Prior service cost</w:t>
            </w:r>
          </w:p>
        </w:tc>
        <w:tc>
          <w:tcPr>
            <w:tcW w:w="35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240"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shd w:fill="CEFFE7" w:val="clear"/>
            <w:vAlign w:val="center"/>
          </w:tcPr>
          <w:p>
            <w:pPr>
              <w:pStyle w:val="TableContents"/>
              <w:spacing w:before="0" w:after="0"/>
              <w:jc w:val="right"/>
              <w:rPr>
                <w:rFonts w:ascii="inherit" w:hAnsi="inherit"/>
                <w:sz w:val="17"/>
              </w:rPr>
            </w:pPr>
            <w:r>
              <w:rPr>
                <w:rFonts w:ascii="inherit" w:hAnsi="inherit"/>
                <w:sz w:val="17"/>
              </w:rPr>
              <w:t>19</w:t>
            </w:r>
          </w:p>
        </w:tc>
        <w:tc>
          <w:tcPr>
            <w:tcW w:w="17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4"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shd w:fill="CEFFE7" w:val="clear"/>
            <w:vAlign w:val="center"/>
          </w:tcPr>
          <w:p>
            <w:pPr>
              <w:pStyle w:val="TableContents"/>
              <w:spacing w:before="0" w:after="0"/>
              <w:jc w:val="right"/>
              <w:rPr>
                <w:rFonts w:ascii="inherit" w:hAnsi="inherit"/>
                <w:sz w:val="17"/>
              </w:rPr>
            </w:pPr>
            <w:r>
              <w:rPr>
                <w:rFonts w:ascii="inherit" w:hAnsi="inherit"/>
                <w:sz w:val="17"/>
              </w:rPr>
              <w:t>45</w:t>
            </w:r>
          </w:p>
        </w:tc>
        <w:tc>
          <w:tcPr>
            <w:tcW w:w="38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44" w:type="dxa"/>
            <w:tcBorders/>
            <w:shd w:fill="auto" w:val="clear"/>
            <w:vAlign w:val="center"/>
          </w:tcPr>
          <w:p>
            <w:pPr>
              <w:pStyle w:val="TableContents"/>
              <w:spacing w:before="0" w:after="0"/>
              <w:ind w:left="0" w:right="0" w:firstLine="30"/>
              <w:rPr/>
            </w:pPr>
            <w:r>
              <w:rPr/>
              <w:t> </w:t>
            </w:r>
          </w:p>
        </w:tc>
        <w:tc>
          <w:tcPr>
            <w:tcW w:w="3515" w:type="dxa"/>
            <w:tcBorders/>
            <w:shd w:fill="auto" w:val="clear"/>
            <w:vAlign w:val="center"/>
          </w:tcPr>
          <w:p>
            <w:pPr>
              <w:pStyle w:val="TableContents"/>
              <w:spacing w:before="0" w:after="0"/>
              <w:ind w:left="0" w:right="0" w:firstLine="30"/>
              <w:rPr/>
            </w:pPr>
            <w:r>
              <w:rPr/>
              <w:t> </w:t>
            </w:r>
          </w:p>
        </w:tc>
        <w:tc>
          <w:tcPr>
            <w:tcW w:w="1120" w:type="dxa"/>
            <w:gridSpan w:val="3"/>
            <w:tcBorders/>
            <w:shd w:fill="auto" w:val="clear"/>
            <w:vAlign w:val="center"/>
          </w:tcPr>
          <w:p>
            <w:pPr>
              <w:pStyle w:val="TableContents"/>
              <w:spacing w:before="0" w:after="0"/>
              <w:ind w:left="0" w:right="0" w:firstLine="30"/>
              <w:rPr/>
            </w:pPr>
            <w:r>
              <w:rPr/>
              <w:t> </w:t>
            </w:r>
          </w:p>
        </w:tc>
        <w:tc>
          <w:tcPr>
            <w:tcW w:w="1326" w:type="dxa"/>
            <w:gridSpan w:val="3"/>
            <w:tcBorders/>
            <w:shd w:fill="auto" w:val="clear"/>
            <w:vAlign w:val="center"/>
          </w:tcPr>
          <w:p>
            <w:pPr>
              <w:pStyle w:val="TableContents"/>
              <w:spacing w:before="0" w:after="0"/>
              <w:ind w:left="0" w:right="0" w:firstLine="180"/>
              <w:rPr/>
            </w:pPr>
            <w:r>
              <w:rPr/>
              <w:t> </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Actuarial gain (loss)</w:t>
            </w:r>
          </w:p>
        </w:tc>
        <w:tc>
          <w:tcPr>
            <w:tcW w:w="35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94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(220</w:t>
            </w:r>
          </w:p>
        </w:tc>
        <w:tc>
          <w:tcPr>
            <w:tcW w:w="17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3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(622</w:t>
            </w:r>
          </w:p>
        </w:tc>
        <w:tc>
          <w:tcPr>
            <w:tcW w:w="38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244" w:type="dxa"/>
            <w:tcBorders/>
            <w:shd w:fill="auto" w:val="clear"/>
            <w:vAlign w:val="center"/>
          </w:tcPr>
          <w:p>
            <w:pPr>
              <w:pStyle w:val="TableContents"/>
              <w:spacing w:before="0" w:after="0"/>
              <w:ind w:left="0" w:right="0" w:firstLine="30"/>
              <w:rPr/>
            </w:pPr>
            <w:r>
              <w:rPr/>
              <w:t> </w:t>
            </w:r>
          </w:p>
        </w:tc>
        <w:tc>
          <w:tcPr>
            <w:tcW w:w="3515" w:type="dxa"/>
            <w:tcBorders/>
            <w:shd w:fill="auto" w:val="clear"/>
            <w:vAlign w:val="center"/>
          </w:tcPr>
          <w:p>
            <w:pPr>
              <w:pStyle w:val="TableContents"/>
              <w:spacing w:before="0" w:after="0"/>
              <w:ind w:left="0" w:right="0" w:firstLine="30"/>
              <w:rPr/>
            </w:pPr>
            <w:r>
              <w:rPr/>
              <w:t> </w:t>
            </w:r>
          </w:p>
        </w:tc>
        <w:tc>
          <w:tcPr>
            <w:tcW w:w="94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(201</w:t>
            </w:r>
          </w:p>
        </w:tc>
        <w:tc>
          <w:tcPr>
            <w:tcW w:w="17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3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(577</w:t>
            </w:r>
          </w:p>
        </w:tc>
        <w:tc>
          <w:tcPr>
            <w:tcW w:w="389"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tax</w:t>
            </w:r>
          </w:p>
        </w:tc>
        <w:tc>
          <w:tcPr>
            <w:tcW w:w="35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(expense)</w:t>
            </w:r>
          </w:p>
        </w:tc>
        <w:tc>
          <w:tcPr>
            <w:tcW w:w="94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48</w:t>
            </w:r>
          </w:p>
        </w:tc>
        <w:tc>
          <w:tcPr>
            <w:tcW w:w="17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126</w:t>
            </w:r>
          </w:p>
        </w:tc>
        <w:tc>
          <w:tcPr>
            <w:tcW w:w="38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reclassification adjustments related to defined benefit plans, net of tax</w:t>
            </w:r>
          </w:p>
        </w:tc>
        <w:tc>
          <w:tcPr>
            <w:tcW w:w="3515" w:type="dxa"/>
            <w:tcBorders/>
            <w:shd w:fill="auto" w:val="clear"/>
            <w:vAlign w:val="center"/>
          </w:tcPr>
          <w:p>
            <w:pPr>
              <w:pStyle w:val="TableContents"/>
              <w:spacing w:before="0" w:after="0"/>
              <w:ind w:left="0" w:right="0" w:firstLine="30"/>
              <w:rPr/>
            </w:pPr>
            <w:r>
              <w:rPr/>
              <w:t> </w:t>
            </w:r>
          </w:p>
        </w:tc>
        <w:tc>
          <w:tcPr>
            <w:tcW w:w="2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(153</w:t>
            </w:r>
          </w:p>
        </w:tc>
        <w:tc>
          <w:tcPr>
            <w:tcW w:w="17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(451</w:t>
            </w:r>
          </w:p>
        </w:tc>
        <w:tc>
          <w:tcPr>
            <w:tcW w:w="38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24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reclassifications</w:t>
            </w:r>
          </w:p>
        </w:tc>
        <w:tc>
          <w:tcPr>
            <w:tcW w:w="3515" w:type="dxa"/>
            <w:tcBorders/>
            <w:shd w:fill="CEFFE7" w:val="clear"/>
            <w:vAlign w:val="center"/>
          </w:tcPr>
          <w:p>
            <w:pPr>
              <w:pStyle w:val="TableContents"/>
              <w:spacing w:before="0" w:after="0"/>
              <w:ind w:left="0" w:right="0" w:firstLine="30"/>
              <w:rPr/>
            </w:pPr>
            <w:r>
              <w:rPr/>
              <w:t> </w:t>
            </w:r>
          </w:p>
        </w:tc>
        <w:tc>
          <w:tcPr>
            <w:tcW w:w="240"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(277</w:t>
            </w:r>
          </w:p>
        </w:tc>
        <w:tc>
          <w:tcPr>
            <w:tcW w:w="177" w:type="dxa"/>
            <w:tcBorders>
              <w:bottom w:val="double" w:sz="6"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74"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(1,488</w:t>
            </w:r>
          </w:p>
        </w:tc>
        <w:tc>
          <w:tcPr>
            <w:tcW w:w="389"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Balances by classification included within AOCI, net of tax on the accompanying Condensed Consolidated Balance Sheets were as follows (in thousands):</w:t>
      </w:r>
    </w:p>
    <w:tbl>
      <w:tblPr>
        <w:tblW w:w="10205" w:type="dxa"/>
        <w:jc w:val="center"/>
        <w:tblInd w:w="0" w:type="dxa"/>
        <w:tblCellMar>
          <w:top w:w="0" w:type="dxa"/>
          <w:left w:w="0" w:type="dxa"/>
          <w:bottom w:w="0" w:type="dxa"/>
          <w:right w:w="0" w:type="dxa"/>
        </w:tblCellMar>
      </w:tblPr>
      <w:tblGrid>
        <w:gridCol w:w="3854"/>
        <w:gridCol w:w="229"/>
        <w:gridCol w:w="1193"/>
        <w:gridCol w:w="201"/>
        <w:gridCol w:w="380"/>
        <w:gridCol w:w="1202"/>
        <w:gridCol w:w="336"/>
        <w:gridCol w:w="267"/>
        <w:gridCol w:w="1398"/>
        <w:gridCol w:w="239"/>
        <w:gridCol w:w="125"/>
        <w:gridCol w:w="650"/>
        <w:gridCol w:w="131"/>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85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54" w:type="dxa"/>
            <w:tcBorders/>
            <w:shd w:fill="auto" w:val="clear"/>
            <w:vAlign w:val="center"/>
          </w:tcPr>
          <w:p>
            <w:pPr>
              <w:pStyle w:val="TableContents"/>
              <w:spacing w:before="0" w:after="0"/>
              <w:ind w:left="0" w:right="0" w:firstLine="30"/>
              <w:rPr/>
            </w:pPr>
            <w:r>
              <w:rPr/>
              <w:t> </w:t>
            </w:r>
          </w:p>
        </w:tc>
        <w:tc>
          <w:tcPr>
            <w:tcW w:w="16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Interest Rate Swaps</w:t>
            </w:r>
          </w:p>
        </w:tc>
        <w:tc>
          <w:tcPr>
            <w:tcW w:w="19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Commodity Derivatives</w:t>
            </w:r>
          </w:p>
        </w:tc>
        <w:tc>
          <w:tcPr>
            <w:tcW w:w="19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Employee Benefit Plans</w:t>
            </w:r>
          </w:p>
        </w:tc>
        <w:tc>
          <w:tcPr>
            <w:tcW w:w="9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December 31, 2018</w:t>
            </w:r>
          </w:p>
        </w:tc>
        <w:tc>
          <w:tcPr>
            <w:tcW w:w="229"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(17,307</w:t>
            </w:r>
          </w:p>
        </w:tc>
        <w:tc>
          <w:tcPr>
            <w:tcW w:w="20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8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0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328</w:t>
            </w:r>
          </w:p>
        </w:tc>
        <w:tc>
          <w:tcPr>
            <w:tcW w:w="33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(9,937</w:t>
            </w:r>
          </w:p>
        </w:tc>
        <w:tc>
          <w:tcPr>
            <w:tcW w:w="239"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(26,916</w:t>
            </w:r>
          </w:p>
        </w:tc>
        <w:tc>
          <w:tcPr>
            <w:tcW w:w="13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Other comprehensive income (loss) </w:t>
            </w:r>
          </w:p>
        </w:tc>
        <w:tc>
          <w:tcPr>
            <w:tcW w:w="1623" w:type="dxa"/>
            <w:gridSpan w:val="3"/>
            <w:tcBorders/>
            <w:shd w:fill="CEFFE7" w:val="clear"/>
            <w:vAlign w:val="center"/>
          </w:tcPr>
          <w:p>
            <w:pPr>
              <w:pStyle w:val="TableContents"/>
              <w:spacing w:before="0" w:after="0"/>
              <w:ind w:left="0" w:right="0" w:firstLine="30"/>
              <w:rPr/>
            </w:pPr>
            <w:r>
              <w:rPr/>
              <w:t> </w:t>
            </w:r>
          </w:p>
        </w:tc>
        <w:tc>
          <w:tcPr>
            <w:tcW w:w="1918" w:type="dxa"/>
            <w:gridSpan w:val="3"/>
            <w:tcBorders/>
            <w:shd w:fill="CEFFE7" w:val="clear"/>
            <w:vAlign w:val="center"/>
          </w:tcPr>
          <w:p>
            <w:pPr>
              <w:pStyle w:val="TableContents"/>
              <w:spacing w:before="0" w:after="0"/>
              <w:ind w:left="0" w:right="0" w:firstLine="30"/>
              <w:rPr/>
            </w:pPr>
            <w:r>
              <w:rPr/>
              <w:t> </w:t>
            </w:r>
          </w:p>
        </w:tc>
        <w:tc>
          <w:tcPr>
            <w:tcW w:w="1904" w:type="dxa"/>
            <w:gridSpan w:val="3"/>
            <w:tcBorders/>
            <w:shd w:fill="CEFFE7" w:val="clear"/>
            <w:vAlign w:val="center"/>
          </w:tcPr>
          <w:p>
            <w:pPr>
              <w:pStyle w:val="TableContents"/>
              <w:spacing w:before="0" w:after="0"/>
              <w:ind w:left="0" w:right="0" w:firstLine="30"/>
              <w:rPr/>
            </w:pPr>
            <w:r>
              <w:rPr/>
              <w:t> </w:t>
            </w:r>
          </w:p>
        </w:tc>
        <w:tc>
          <w:tcPr>
            <w:tcW w:w="906" w:type="dxa"/>
            <w:gridSpan w:val="3"/>
            <w:tcBorders/>
            <w:shd w:fill="CEFFE7" w:val="clear"/>
            <w:vAlign w:val="center"/>
          </w:tcPr>
          <w:p>
            <w:pPr>
              <w:pStyle w:val="TableContents"/>
              <w:spacing w:before="0" w:after="0"/>
              <w:ind w:left="0" w:right="0" w:firstLine="180"/>
              <w:rPr/>
            </w:pPr>
            <w:r>
              <w:rPr/>
              <w:t> </w:t>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before reclassifications</w:t>
            </w:r>
          </w:p>
        </w:tc>
        <w:tc>
          <w:tcPr>
            <w:tcW w:w="1422"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w:t>
            </w:r>
          </w:p>
        </w:tc>
        <w:tc>
          <w:tcPr>
            <w:tcW w:w="3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65"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AOCI</w:t>
            </w:r>
          </w:p>
        </w:tc>
        <w:tc>
          <w:tcPr>
            <w:tcW w:w="142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550</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(426</w:t>
            </w:r>
          </w:p>
        </w:tc>
        <w:tc>
          <w:tcPr>
            <w:tcW w:w="33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6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153</w:t>
            </w:r>
          </w:p>
        </w:tc>
        <w:tc>
          <w:tcPr>
            <w:tcW w:w="2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277</w:t>
            </w:r>
          </w:p>
        </w:tc>
        <w:tc>
          <w:tcPr>
            <w:tcW w:w="1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2019</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(16,757</w:t>
            </w:r>
          </w:p>
        </w:tc>
        <w:tc>
          <w:tcPr>
            <w:tcW w:w="2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w:t>
            </w:r>
          </w:p>
        </w:tc>
        <w:tc>
          <w:tcPr>
            <w:tcW w:w="3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(9,784</w:t>
            </w:r>
          </w:p>
        </w:tc>
        <w:tc>
          <w:tcPr>
            <w:tcW w:w="2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(26,459</w:t>
            </w:r>
          </w:p>
        </w:tc>
        <w:tc>
          <w:tcPr>
            <w:tcW w:w="1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54" w:type="dxa"/>
            <w:tcBorders/>
            <w:shd w:fill="CEFFE7" w:val="clear"/>
            <w:vAlign w:val="center"/>
          </w:tcPr>
          <w:p>
            <w:pPr>
              <w:pStyle w:val="TableContents"/>
              <w:spacing w:before="0" w:after="0"/>
              <w:ind w:left="0" w:right="0" w:firstLine="30"/>
              <w:rPr/>
            </w:pPr>
            <w:r>
              <w:rPr/>
              <w:t> </w:t>
            </w:r>
          </w:p>
        </w:tc>
        <w:tc>
          <w:tcPr>
            <w:tcW w:w="1623" w:type="dxa"/>
            <w:gridSpan w:val="3"/>
            <w:tcBorders/>
            <w:shd w:fill="CEFFE7" w:val="clear"/>
            <w:vAlign w:val="center"/>
          </w:tcPr>
          <w:p>
            <w:pPr>
              <w:pStyle w:val="TableContents"/>
              <w:spacing w:before="0" w:after="0"/>
              <w:ind w:left="0" w:right="0" w:firstLine="30"/>
              <w:rPr/>
            </w:pPr>
            <w:r>
              <w:rPr/>
              <w:t> </w:t>
            </w:r>
          </w:p>
        </w:tc>
        <w:tc>
          <w:tcPr>
            <w:tcW w:w="1918" w:type="dxa"/>
            <w:gridSpan w:val="3"/>
            <w:tcBorders/>
            <w:shd w:fill="CEFFE7" w:val="clear"/>
            <w:vAlign w:val="center"/>
          </w:tcPr>
          <w:p>
            <w:pPr>
              <w:pStyle w:val="TableContents"/>
              <w:spacing w:before="0" w:after="0"/>
              <w:ind w:left="0" w:right="0" w:firstLine="30"/>
              <w:rPr/>
            </w:pPr>
            <w:r>
              <w:rPr/>
              <w:t> </w:t>
            </w:r>
          </w:p>
        </w:tc>
        <w:tc>
          <w:tcPr>
            <w:tcW w:w="1904" w:type="dxa"/>
            <w:gridSpan w:val="3"/>
            <w:tcBorders/>
            <w:shd w:fill="CEFFE7" w:val="clear"/>
            <w:vAlign w:val="center"/>
          </w:tcPr>
          <w:p>
            <w:pPr>
              <w:pStyle w:val="TableContents"/>
              <w:spacing w:before="0" w:after="0"/>
              <w:ind w:left="0" w:right="0" w:firstLine="30"/>
              <w:rPr/>
            </w:pPr>
            <w:r>
              <w:rPr/>
              <w:t> </w:t>
            </w:r>
          </w:p>
        </w:tc>
        <w:tc>
          <w:tcPr>
            <w:tcW w:w="906" w:type="dxa"/>
            <w:gridSpan w:val="3"/>
            <w:tcBorders/>
            <w:shd w:fill="CEFFE7" w:val="clear"/>
            <w:vAlign w:val="center"/>
          </w:tcPr>
          <w:p>
            <w:pPr>
              <w:pStyle w:val="TableContents"/>
              <w:spacing w:before="0" w:after="0"/>
              <w:ind w:left="0" w:right="0" w:firstLine="30"/>
              <w:rPr/>
            </w:pPr>
            <w:r>
              <w:rPr/>
              <w:t> </w:t>
            </w:r>
          </w:p>
        </w:tc>
      </w:tr>
      <w:tr>
        <w:trPr/>
        <w:tc>
          <w:tcPr>
            <w:tcW w:w="3854" w:type="dxa"/>
            <w:tcBorders/>
            <w:shd w:fill="auto" w:val="clear"/>
            <w:vAlign w:val="center"/>
          </w:tcPr>
          <w:p>
            <w:pPr>
              <w:pStyle w:val="TableContents"/>
              <w:spacing w:before="0" w:after="0"/>
              <w:ind w:left="0" w:right="0" w:firstLine="30"/>
              <w:rPr/>
            </w:pPr>
            <w:r>
              <w:rPr/>
              <w:t> </w:t>
            </w:r>
          </w:p>
        </w:tc>
        <w:tc>
          <w:tcPr>
            <w:tcW w:w="1623" w:type="dxa"/>
            <w:gridSpan w:val="3"/>
            <w:tcBorders/>
            <w:shd w:fill="auto" w:val="clear"/>
            <w:vAlign w:val="center"/>
          </w:tcPr>
          <w:p>
            <w:pPr>
              <w:pStyle w:val="TableContents"/>
              <w:spacing w:before="0" w:after="0"/>
              <w:ind w:left="0" w:right="0" w:firstLine="30"/>
              <w:rPr/>
            </w:pPr>
            <w:r>
              <w:rPr/>
              <w:t> </w:t>
            </w:r>
          </w:p>
        </w:tc>
        <w:tc>
          <w:tcPr>
            <w:tcW w:w="1918" w:type="dxa"/>
            <w:gridSpan w:val="3"/>
            <w:tcBorders/>
            <w:shd w:fill="auto" w:val="clear"/>
            <w:vAlign w:val="center"/>
          </w:tcPr>
          <w:p>
            <w:pPr>
              <w:pStyle w:val="TableContents"/>
              <w:spacing w:before="0" w:after="0"/>
              <w:ind w:left="0" w:right="0" w:firstLine="30"/>
              <w:rPr/>
            </w:pPr>
            <w:r>
              <w:rPr/>
              <w:t> </w:t>
            </w:r>
          </w:p>
        </w:tc>
        <w:tc>
          <w:tcPr>
            <w:tcW w:w="1904" w:type="dxa"/>
            <w:gridSpan w:val="3"/>
            <w:tcBorders/>
            <w:shd w:fill="auto" w:val="clear"/>
            <w:vAlign w:val="center"/>
          </w:tcPr>
          <w:p>
            <w:pPr>
              <w:pStyle w:val="TableContents"/>
              <w:spacing w:before="0" w:after="0"/>
              <w:ind w:left="0" w:right="0" w:firstLine="30"/>
              <w:rPr/>
            </w:pPr>
            <w:r>
              <w:rPr/>
              <w:t> </w:t>
            </w:r>
          </w:p>
        </w:tc>
        <w:tc>
          <w:tcPr>
            <w:tcW w:w="906" w:type="dxa"/>
            <w:gridSpan w:val="3"/>
            <w:tcBorders/>
            <w:shd w:fill="auto" w:val="clear"/>
            <w:vAlign w:val="center"/>
          </w:tcPr>
          <w:p>
            <w:pPr>
              <w:pStyle w:val="TableContents"/>
              <w:spacing w:before="0" w:after="0"/>
              <w:ind w:left="0" w:right="0" w:firstLine="30"/>
              <w:rPr/>
            </w:pPr>
            <w:r>
              <w:rPr/>
              <w:t> </w:t>
            </w:r>
          </w:p>
        </w:tc>
      </w:tr>
      <w:tr>
        <w:trPr/>
        <w:tc>
          <w:tcPr>
            <w:tcW w:w="3854" w:type="dxa"/>
            <w:tcBorders/>
            <w:shd w:fill="CEFFE7" w:val="clear"/>
            <w:vAlign w:val="center"/>
          </w:tcPr>
          <w:p>
            <w:pPr>
              <w:pStyle w:val="TableContents"/>
              <w:spacing w:before="0" w:after="0"/>
              <w:ind w:left="0" w:right="0" w:firstLine="30"/>
              <w:rPr/>
            </w:pPr>
            <w:r>
              <w:rPr/>
              <w:t> </w:t>
            </w:r>
          </w:p>
        </w:tc>
        <w:tc>
          <w:tcPr>
            <w:tcW w:w="1623" w:type="dxa"/>
            <w:gridSpan w:val="3"/>
            <w:tcBorders>
              <w:bottom w:val="single" w:sz="2" w:space="0" w:color="000000"/>
            </w:tcBorders>
            <w:shd w:fill="CEFFE7"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Interest Rate Swaps</w:t>
            </w:r>
          </w:p>
        </w:tc>
        <w:tc>
          <w:tcPr>
            <w:tcW w:w="1918" w:type="dxa"/>
            <w:gridSpan w:val="3"/>
            <w:tcBorders>
              <w:bottom w:val="single" w:sz="2" w:space="0" w:color="000000"/>
            </w:tcBorders>
            <w:shd w:fill="CEFFE7"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Commodity Derivatives</w:t>
            </w:r>
          </w:p>
        </w:tc>
        <w:tc>
          <w:tcPr>
            <w:tcW w:w="1904" w:type="dxa"/>
            <w:gridSpan w:val="3"/>
            <w:tcBorders>
              <w:bottom w:val="single" w:sz="2" w:space="0" w:color="000000"/>
            </w:tcBorders>
            <w:shd w:fill="CEFFE7"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Employee Benefit Plans</w:t>
            </w:r>
          </w:p>
        </w:tc>
        <w:tc>
          <w:tcPr>
            <w:tcW w:w="906" w:type="dxa"/>
            <w:gridSpan w:val="3"/>
            <w:tcBorders>
              <w:bottom w:val="single" w:sz="2" w:space="0" w:color="000000"/>
            </w:tcBorders>
            <w:shd w:fill="CEFFE7"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December 31, 2017</w:t>
            </w:r>
          </w:p>
        </w:tc>
        <w:tc>
          <w:tcPr>
            <w:tcW w:w="229"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(19,581</w:t>
            </w:r>
          </w:p>
        </w:tc>
        <w:tc>
          <w:tcPr>
            <w:tcW w:w="20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8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0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(518</w:t>
            </w:r>
          </w:p>
        </w:tc>
        <w:tc>
          <w:tcPr>
            <w:tcW w:w="336"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6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(21,103</w:t>
            </w:r>
          </w:p>
        </w:tc>
        <w:tc>
          <w:tcPr>
            <w:tcW w:w="239"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(41,202</w:t>
            </w:r>
          </w:p>
        </w:tc>
        <w:tc>
          <w:tcPr>
            <w:tcW w:w="13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Other comprehensive income (loss) </w:t>
            </w:r>
          </w:p>
        </w:tc>
        <w:tc>
          <w:tcPr>
            <w:tcW w:w="1623" w:type="dxa"/>
            <w:gridSpan w:val="3"/>
            <w:tcBorders/>
            <w:shd w:fill="CEFFE7" w:val="clear"/>
            <w:vAlign w:val="center"/>
          </w:tcPr>
          <w:p>
            <w:pPr>
              <w:pStyle w:val="TableContents"/>
              <w:spacing w:before="0" w:after="0"/>
              <w:ind w:left="0" w:right="0" w:firstLine="30"/>
              <w:rPr/>
            </w:pPr>
            <w:r>
              <w:rPr/>
              <w:t> </w:t>
            </w:r>
          </w:p>
        </w:tc>
        <w:tc>
          <w:tcPr>
            <w:tcW w:w="1918" w:type="dxa"/>
            <w:gridSpan w:val="3"/>
            <w:tcBorders/>
            <w:shd w:fill="CEFFE7" w:val="clear"/>
            <w:vAlign w:val="center"/>
          </w:tcPr>
          <w:p>
            <w:pPr>
              <w:pStyle w:val="TableContents"/>
              <w:spacing w:before="0" w:after="0"/>
              <w:ind w:left="0" w:right="0" w:firstLine="30"/>
              <w:rPr/>
            </w:pPr>
            <w:r>
              <w:rPr/>
              <w:t> </w:t>
            </w:r>
          </w:p>
        </w:tc>
        <w:tc>
          <w:tcPr>
            <w:tcW w:w="1904" w:type="dxa"/>
            <w:gridSpan w:val="3"/>
            <w:tcBorders/>
            <w:shd w:fill="CEFFE7" w:val="clear"/>
            <w:vAlign w:val="center"/>
          </w:tcPr>
          <w:p>
            <w:pPr>
              <w:pStyle w:val="TableContents"/>
              <w:spacing w:before="0" w:after="0"/>
              <w:ind w:left="0" w:right="0" w:firstLine="30"/>
              <w:rPr/>
            </w:pPr>
            <w:r>
              <w:rPr/>
              <w:t> </w:t>
            </w:r>
          </w:p>
        </w:tc>
        <w:tc>
          <w:tcPr>
            <w:tcW w:w="906" w:type="dxa"/>
            <w:gridSpan w:val="3"/>
            <w:tcBorders/>
            <w:shd w:fill="CEFFE7" w:val="clear"/>
            <w:vAlign w:val="center"/>
          </w:tcPr>
          <w:p>
            <w:pPr>
              <w:pStyle w:val="TableContents"/>
              <w:spacing w:before="0" w:after="0"/>
              <w:ind w:left="0" w:right="0" w:firstLine="180"/>
              <w:rPr/>
            </w:pPr>
            <w:r>
              <w:rPr/>
              <w:t> </w:t>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before reclassifications</w:t>
            </w:r>
          </w:p>
        </w:tc>
        <w:tc>
          <w:tcPr>
            <w:tcW w:w="1422"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w:t>
            </w:r>
          </w:p>
        </w:tc>
        <w:tc>
          <w:tcPr>
            <w:tcW w:w="3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65"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AOCI</w:t>
            </w:r>
          </w:p>
        </w:tc>
        <w:tc>
          <w:tcPr>
            <w:tcW w:w="142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561</w:t>
            </w:r>
          </w:p>
        </w:tc>
        <w:tc>
          <w:tcPr>
            <w:tcW w:w="20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476</w:t>
            </w:r>
          </w:p>
        </w:tc>
        <w:tc>
          <w:tcPr>
            <w:tcW w:w="33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6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451</w:t>
            </w:r>
          </w:p>
        </w:tc>
        <w:tc>
          <w:tcPr>
            <w:tcW w:w="23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1,488</w:t>
            </w:r>
          </w:p>
        </w:tc>
        <w:tc>
          <w:tcPr>
            <w:tcW w:w="1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Reclassifications of certain tax effects from AOCI</w:t>
            </w:r>
          </w:p>
        </w:tc>
        <w:tc>
          <w:tcPr>
            <w:tcW w:w="14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2" w:type="dxa"/>
            <w:gridSpan w:val="2"/>
            <w:tcBorders/>
            <w:shd w:fill="auto" w:val="clear"/>
            <w:vAlign w:val="center"/>
          </w:tcPr>
          <w:p>
            <w:pPr>
              <w:pStyle w:val="TableContents"/>
              <w:spacing w:before="0" w:after="0"/>
              <w:jc w:val="right"/>
              <w:rPr/>
            </w:pPr>
            <w:r>
              <w:rPr/>
              <w:t>—</w:t>
            </w:r>
          </w:p>
        </w:tc>
        <w:tc>
          <w:tcPr>
            <w:tcW w:w="3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5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22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(19,005</w:t>
            </w:r>
          </w:p>
        </w:tc>
        <w:tc>
          <w:tcPr>
            <w:tcW w:w="20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(270</w:t>
            </w:r>
          </w:p>
        </w:tc>
        <w:tc>
          <w:tcPr>
            <w:tcW w:w="33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6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(20,649</w:t>
            </w:r>
          </w:p>
        </w:tc>
        <w:tc>
          <w:tcPr>
            <w:tcW w:w="23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(39,924</w:t>
            </w:r>
          </w:p>
        </w:tc>
        <w:tc>
          <w:tcPr>
            <w:tcW w:w="13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bookmarkStart w:id="48" w:name="s13139835A4ED512386279B819B18A423"/>
      <w:bookmarkEnd w:id="48"/>
      <w:r>
        <w:rPr>
          <w:rFonts w:ascii="inherit" w:hAnsi="inherit"/>
          <w:sz w:val="17"/>
        </w:rPr>
        <w:t>(</w:t>
      </w:r>
      <w:r>
        <w:rPr>
          <w:rFonts w:ascii="inherit" w:hAnsi="inherit"/>
          <w:strike w:val="false"/>
          <w:dstrike w:val="false"/>
          <w:color w:val="000000"/>
          <w:sz w:val="17"/>
          <w:u w:val="none"/>
          <w:effect w:val="none"/>
        </w:rPr>
        <w:t>14</w:t>
      </w:r>
      <w:r>
        <w:rPr>
          <w:rFonts w:ascii="inherit" w:hAnsi="inherit"/>
          <w:sz w:val="17"/>
        </w:rPr>
        <w:t>)    SUPPLEMENTAL DISCLOSURE OF CASH FLOW INFORMATION</w:t>
      </w:r>
    </w:p>
    <w:p>
      <w:pPr>
        <w:pStyle w:val="TextBody"/>
        <w:spacing w:lineRule="auto" w:line="288" w:before="0" w:after="0"/>
        <w:jc w:val="left"/>
        <w:rPr>
          <w:rFonts w:ascii="inherit" w:hAnsi="inherit"/>
          <w:sz w:val="17"/>
        </w:rPr>
      </w:pPr>
      <w:r>
        <w:rPr>
          <w:rFonts w:ascii="inherit" w:hAnsi="inherit"/>
          <w:sz w:val="17"/>
        </w:rPr>
      </w:r>
    </w:p>
    <w:tbl>
      <w:tblPr>
        <w:tblW w:w="8037" w:type="dxa"/>
        <w:jc w:val="center"/>
        <w:tblInd w:w="0" w:type="dxa"/>
        <w:tblCellMar>
          <w:top w:w="0" w:type="dxa"/>
          <w:left w:w="0" w:type="dxa"/>
          <w:bottom w:w="0" w:type="dxa"/>
          <w:right w:w="0" w:type="dxa"/>
        </w:tblCellMar>
      </w:tblPr>
      <w:tblGrid>
        <w:gridCol w:w="5285"/>
        <w:gridCol w:w="187"/>
        <w:gridCol w:w="973"/>
        <w:gridCol w:w="164"/>
        <w:gridCol w:w="90"/>
        <w:gridCol w:w="159"/>
        <w:gridCol w:w="829"/>
        <w:gridCol w:w="350"/>
      </w:tblGrid>
      <w:tr>
        <w:trPr/>
        <w:tc>
          <w:tcPr>
            <w:tcW w:w="8037" w:type="dxa"/>
            <w:gridSpan w:val="8"/>
            <w:tcBorders/>
            <w:shd w:fill="auto" w:val="clear"/>
            <w:vAlign w:val="center"/>
          </w:tcPr>
          <w:p>
            <w:pPr>
              <w:pStyle w:val="TableContents"/>
              <w:spacing w:before="0" w:after="283"/>
              <w:rPr>
                <w:sz w:val="4"/>
                <w:szCs w:val="4"/>
              </w:rPr>
            </w:pPr>
            <w:r>
              <w:rPr>
                <w:sz w:val="4"/>
                <w:szCs w:val="4"/>
              </w:rPr>
            </w:r>
          </w:p>
        </w:tc>
      </w:tr>
      <w:tr>
        <w:trPr/>
        <w:tc>
          <w:tcPr>
            <w:tcW w:w="528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Three Months Ended</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5285" w:type="dxa"/>
            <w:tcBorders/>
            <w:shd w:fill="auto" w:val="clear"/>
            <w:vAlign w:val="center"/>
          </w:tcPr>
          <w:p>
            <w:pPr>
              <w:pStyle w:val="TableContents"/>
              <w:spacing w:before="0" w:after="0"/>
              <w:ind w:left="0" w:right="0" w:firstLine="30"/>
              <w:rPr/>
            </w:pPr>
            <w:r>
              <w:rPr/>
              <w:t> </w:t>
            </w:r>
          </w:p>
        </w:tc>
        <w:tc>
          <w:tcPr>
            <w:tcW w:w="2752" w:type="dxa"/>
            <w:gridSpan w:val="7"/>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52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Non-cash investing and financing activities —</w:t>
            </w:r>
          </w:p>
        </w:tc>
        <w:tc>
          <w:tcPr>
            <w:tcW w:w="13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8" w:type="dxa"/>
            <w:gridSpan w:val="3"/>
            <w:tcBorders/>
            <w:shd w:fill="auto" w:val="clear"/>
            <w:vAlign w:val="center"/>
          </w:tcPr>
          <w:p>
            <w:pPr>
              <w:pStyle w:val="TableContents"/>
              <w:spacing w:before="0" w:after="0"/>
              <w:ind w:left="0" w:right="0" w:firstLine="180"/>
              <w:rPr/>
            </w:pPr>
            <w:r>
              <w:rPr/>
              <w:t> </w:t>
            </w:r>
          </w:p>
        </w:tc>
      </w:tr>
      <w:tr>
        <w:trPr/>
        <w:tc>
          <w:tcPr>
            <w:tcW w:w="52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acquired with accrued liabilities</w:t>
            </w:r>
          </w:p>
        </w:tc>
        <w:tc>
          <w:tcPr>
            <w:tcW w:w="18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EFFE7" w:val="clear"/>
            <w:vAlign w:val="center"/>
          </w:tcPr>
          <w:p>
            <w:pPr>
              <w:pStyle w:val="TableContents"/>
              <w:spacing w:before="0" w:after="0"/>
              <w:jc w:val="right"/>
              <w:rPr>
                <w:rFonts w:ascii="inherit" w:hAnsi="inherit"/>
                <w:sz w:val="17"/>
              </w:rPr>
            </w:pPr>
            <w:r>
              <w:rPr>
                <w:rFonts w:ascii="inherit" w:hAnsi="inherit"/>
                <w:sz w:val="17"/>
              </w:rPr>
              <w:t>56,571</w:t>
            </w:r>
          </w:p>
        </w:tc>
        <w:tc>
          <w:tcPr>
            <w:tcW w:w="1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9"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shd w:fill="CEFFE7" w:val="clear"/>
            <w:vAlign w:val="center"/>
          </w:tcPr>
          <w:p>
            <w:pPr>
              <w:pStyle w:val="TableContents"/>
              <w:spacing w:before="0" w:after="0"/>
              <w:jc w:val="right"/>
              <w:rPr>
                <w:rFonts w:ascii="inherit" w:hAnsi="inherit"/>
                <w:sz w:val="17"/>
              </w:rPr>
            </w:pPr>
            <w:r>
              <w:rPr>
                <w:rFonts w:ascii="inherit" w:hAnsi="inherit"/>
                <w:sz w:val="17"/>
              </w:rPr>
              <w:t>21,708</w:t>
            </w:r>
          </w:p>
        </w:tc>
        <w:tc>
          <w:tcPr>
            <w:tcW w:w="35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85" w:type="dxa"/>
            <w:tcBorders/>
            <w:shd w:fill="auto" w:val="clear"/>
            <w:vAlign w:val="center"/>
          </w:tcPr>
          <w:p>
            <w:pPr>
              <w:pStyle w:val="TableContents"/>
              <w:spacing w:before="0" w:after="0"/>
              <w:ind w:left="0" w:right="0" w:firstLine="30"/>
              <w:rPr/>
            </w:pPr>
            <w:r>
              <w:rPr/>
              <w:t> </w:t>
            </w:r>
          </w:p>
        </w:tc>
        <w:tc>
          <w:tcPr>
            <w:tcW w:w="13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8" w:type="dxa"/>
            <w:gridSpan w:val="3"/>
            <w:tcBorders/>
            <w:shd w:fill="auto" w:val="clear"/>
            <w:vAlign w:val="center"/>
          </w:tcPr>
          <w:p>
            <w:pPr>
              <w:pStyle w:val="TableContents"/>
              <w:spacing w:before="0" w:after="0"/>
              <w:ind w:left="0" w:right="0" w:firstLine="30"/>
              <w:rPr/>
            </w:pPr>
            <w:r>
              <w:rPr/>
              <w:t> </w:t>
            </w:r>
          </w:p>
        </w:tc>
      </w:tr>
      <w:tr>
        <w:trPr/>
        <w:tc>
          <w:tcPr>
            <w:tcW w:w="52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Cash (paid) refunded during the period —</w:t>
            </w:r>
          </w:p>
        </w:tc>
        <w:tc>
          <w:tcPr>
            <w:tcW w:w="1324" w:type="dxa"/>
            <w:gridSpan w:val="3"/>
            <w:tcBorders/>
            <w:shd w:fill="CEFFE7" w:val="clear"/>
            <w:vAlign w:val="center"/>
          </w:tcPr>
          <w:p>
            <w:pPr>
              <w:pStyle w:val="TableContents"/>
              <w:spacing w:before="0" w:after="0"/>
              <w:ind w:left="0" w:right="0" w:firstLine="30"/>
              <w:rPr/>
            </w:pPr>
            <w:r>
              <w:rPr/>
              <w:t> </w:t>
            </w:r>
          </w:p>
        </w:tc>
        <w:tc>
          <w:tcPr>
            <w:tcW w:w="90" w:type="dxa"/>
            <w:tcBorders/>
            <w:shd w:fill="CEFFE7" w:val="clear"/>
            <w:vAlign w:val="center"/>
          </w:tcPr>
          <w:p>
            <w:pPr>
              <w:pStyle w:val="TableContents"/>
              <w:spacing w:before="0" w:after="0"/>
              <w:ind w:left="0" w:right="0" w:firstLine="30"/>
              <w:rPr/>
            </w:pPr>
            <w:r>
              <w:rPr/>
              <w:t> </w:t>
            </w:r>
          </w:p>
        </w:tc>
        <w:tc>
          <w:tcPr>
            <w:tcW w:w="1338" w:type="dxa"/>
            <w:gridSpan w:val="3"/>
            <w:tcBorders/>
            <w:shd w:fill="CEFFE7" w:val="clear"/>
            <w:vAlign w:val="center"/>
          </w:tcPr>
          <w:p>
            <w:pPr>
              <w:pStyle w:val="TableContents"/>
              <w:spacing w:before="0" w:after="0"/>
              <w:ind w:left="0" w:right="0" w:firstLine="180"/>
              <w:rPr/>
            </w:pPr>
            <w:r>
              <w:rPr/>
              <w:t> </w:t>
            </w:r>
          </w:p>
        </w:tc>
      </w:tr>
      <w:tr>
        <w:trPr/>
        <w:tc>
          <w:tcPr>
            <w:tcW w:w="52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 of amounts capitalized)</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auto" w:val="clear"/>
            <w:vAlign w:val="center"/>
          </w:tcPr>
          <w:p>
            <w:pPr>
              <w:pStyle w:val="TableContents"/>
              <w:spacing w:before="0" w:after="0"/>
              <w:jc w:val="right"/>
              <w:rPr>
                <w:rFonts w:ascii="inherit" w:hAnsi="inherit"/>
                <w:sz w:val="17"/>
              </w:rPr>
            </w:pPr>
            <w:r>
              <w:rPr>
                <w:rFonts w:ascii="inherit" w:hAnsi="inherit"/>
                <w:sz w:val="17"/>
              </w:rPr>
              <w:t>(30,672</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shd w:fill="auto" w:val="clear"/>
            <w:vAlign w:val="center"/>
          </w:tcPr>
          <w:p>
            <w:pPr>
              <w:pStyle w:val="TableContents"/>
              <w:spacing w:before="0" w:after="0"/>
              <w:jc w:val="right"/>
              <w:rPr>
                <w:rFonts w:ascii="inherit" w:hAnsi="inherit"/>
                <w:sz w:val="17"/>
              </w:rPr>
            </w:pPr>
            <w:r>
              <w:rPr>
                <w:rFonts w:ascii="inherit" w:hAnsi="inherit"/>
                <w:sz w:val="17"/>
              </w:rPr>
              <w:t>(36,928</w:t>
            </w:r>
          </w:p>
        </w:tc>
        <w:tc>
          <w:tcPr>
            <w:tcW w:w="35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2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taxes</w:t>
            </w:r>
          </w:p>
        </w:tc>
        <w:tc>
          <w:tcPr>
            <w:tcW w:w="18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EFFE7" w:val="clear"/>
            <w:vAlign w:val="center"/>
          </w:tcPr>
          <w:p>
            <w:pPr>
              <w:pStyle w:val="TableContents"/>
              <w:spacing w:before="0" w:after="0"/>
              <w:jc w:val="right"/>
              <w:rPr>
                <w:rFonts w:ascii="inherit" w:hAnsi="inherit"/>
                <w:sz w:val="17"/>
              </w:rPr>
            </w:pPr>
            <w:r>
              <w:rPr>
                <w:rFonts w:ascii="inherit" w:hAnsi="inherit"/>
                <w:sz w:val="17"/>
              </w:rPr>
              <w:t>8</w:t>
            </w:r>
          </w:p>
        </w:tc>
        <w:tc>
          <w:tcPr>
            <w:tcW w:w="16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59"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829" w:type="dxa"/>
            <w:tcBorders/>
            <w:shd w:fill="CEFFE7" w:val="clear"/>
            <w:vAlign w:val="center"/>
          </w:tcPr>
          <w:p>
            <w:pPr>
              <w:pStyle w:val="TableContents"/>
              <w:spacing w:before="0" w:after="0"/>
              <w:jc w:val="right"/>
              <w:rPr>
                <w:rFonts w:ascii="inherit" w:hAnsi="inherit"/>
                <w:sz w:val="17"/>
              </w:rPr>
            </w:pPr>
            <w:r>
              <w:rPr>
                <w:rFonts w:ascii="inherit" w:hAnsi="inherit"/>
                <w:sz w:val="17"/>
              </w:rPr>
              <w:t>(14,336</w:t>
            </w:r>
          </w:p>
        </w:tc>
        <w:tc>
          <w:tcPr>
            <w:tcW w:w="350"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jc w:val="right"/>
        <w:rPr>
          <w:rFonts w:ascii="inherit" w:hAnsi="inherit"/>
          <w:sz w:val="17"/>
        </w:rPr>
      </w:pPr>
      <w:r>
        <w:rPr>
          <w:rFonts w:ascii="inherit" w:hAnsi="inherit"/>
          <w:sz w:val="17"/>
        </w:rPr>
      </w:r>
      <w:bookmarkStart w:id="49" w:name="sE7FE5F681E225BBC8B2A76DE5934BFA0"/>
      <w:bookmarkStart w:id="50" w:name="sE7FE5F681E225BBC8B2A76DE5934BFA0"/>
      <w:bookmarkEnd w:id="50"/>
    </w:p>
    <w:p>
      <w:pPr>
        <w:pStyle w:val="TextBody"/>
        <w:spacing w:before="0" w:after="0"/>
        <w:rPr/>
      </w:pPr>
      <w:r>
        <w:rPr/>
      </w:r>
    </w:p>
    <w:p>
      <w:pPr>
        <w:pStyle w:val="TextBody"/>
        <w:spacing w:lineRule="auto" w:line="288" w:before="0" w:after="0"/>
        <w:jc w:val="left"/>
        <w:rPr>
          <w:sz w:val="17"/>
        </w:rPr>
      </w:pPr>
      <w:r>
        <w:rPr>
          <w:rFonts w:ascii="inherit" w:hAnsi="inherit"/>
          <w:sz w:val="17"/>
        </w:rPr>
        <w:t>(</w:t>
      </w:r>
      <w:r>
        <w:rPr>
          <w:rFonts w:ascii="inherit" w:hAnsi="inherit"/>
          <w:strike w:val="false"/>
          <w:dstrike w:val="false"/>
          <w:color w:val="000000"/>
          <w:sz w:val="17"/>
          <w:u w:val="none"/>
          <w:effect w:val="none"/>
        </w:rPr>
        <w:t>15</w:t>
      </w:r>
      <w:r>
        <w:rPr>
          <w:rFonts w:ascii="inherit" w:hAnsi="inherit"/>
          <w:sz w:val="17"/>
        </w:rPr>
        <w:t>)    EMPLOYEE BENEFIT PLANS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Defined Benefit Pension Plan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components of net periodic benefit cost for the Defined Benefit Pension Plan were as follows (in thousands):</w:t>
      </w:r>
    </w:p>
    <w:tbl>
      <w:tblPr>
        <w:tblW w:w="5285" w:type="dxa"/>
        <w:jc w:val="center"/>
        <w:tblInd w:w="0" w:type="dxa"/>
        <w:tblCellMar>
          <w:top w:w="0" w:type="dxa"/>
          <w:left w:w="0" w:type="dxa"/>
          <w:bottom w:w="0" w:type="dxa"/>
          <w:right w:w="0" w:type="dxa"/>
        </w:tblCellMar>
      </w:tblPr>
      <w:tblGrid>
        <w:gridCol w:w="2660"/>
        <w:gridCol w:w="225"/>
        <w:gridCol w:w="876"/>
        <w:gridCol w:w="198"/>
        <w:gridCol w:w="225"/>
        <w:gridCol w:w="876"/>
        <w:gridCol w:w="225"/>
      </w:tblGrid>
      <w:tr>
        <w:trPr/>
        <w:tc>
          <w:tcPr>
            <w:tcW w:w="5285" w:type="dxa"/>
            <w:gridSpan w:val="7"/>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60" w:type="dxa"/>
            <w:tcBorders/>
            <w:shd w:fill="auto" w:val="clear"/>
            <w:vAlign w:val="center"/>
          </w:tcPr>
          <w:p>
            <w:pPr>
              <w:pStyle w:val="TableContents"/>
              <w:spacing w:before="0" w:after="0"/>
              <w:ind w:left="0" w:right="0" w:firstLine="30"/>
              <w:rPr/>
            </w:pPr>
            <w:r>
              <w:rPr/>
              <w:t> </w:t>
            </w:r>
          </w:p>
        </w:tc>
        <w:tc>
          <w:tcPr>
            <w:tcW w:w="2625"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660" w:type="dxa"/>
            <w:tcBorders/>
            <w:shd w:fill="auto" w:val="clear"/>
            <w:vAlign w:val="center"/>
          </w:tcPr>
          <w:p>
            <w:pPr>
              <w:pStyle w:val="TableContents"/>
              <w:spacing w:before="0" w:after="0"/>
              <w:ind w:left="0" w:right="0" w:firstLine="30"/>
              <w:rPr/>
            </w:pPr>
            <w:r>
              <w:rPr/>
              <w:t> </w:t>
            </w:r>
          </w:p>
        </w:tc>
        <w:tc>
          <w:tcPr>
            <w:tcW w:w="12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3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Service cost</w:t>
            </w:r>
          </w:p>
        </w:tc>
        <w:tc>
          <w:tcPr>
            <w:tcW w:w="2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1,346</w:t>
            </w:r>
          </w:p>
        </w:tc>
        <w:tc>
          <w:tcPr>
            <w:tcW w:w="198"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1,708</w:t>
            </w:r>
          </w:p>
        </w:tc>
        <w:tc>
          <w:tcPr>
            <w:tcW w:w="22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cost</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4,343</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3,867</w:t>
            </w:r>
          </w:p>
        </w:tc>
        <w:tc>
          <w:tcPr>
            <w:tcW w:w="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Expected return on plan assets</w:t>
            </w:r>
          </w:p>
        </w:tc>
        <w:tc>
          <w:tcPr>
            <w:tcW w:w="110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(6,100</w:t>
            </w:r>
          </w:p>
        </w:tc>
        <w:tc>
          <w:tcPr>
            <w:tcW w:w="198"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0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(6,185</w:t>
            </w:r>
          </w:p>
        </w:tc>
        <w:tc>
          <w:tcPr>
            <w:tcW w:w="2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Prior service cost</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loss (gain)</w:t>
            </w:r>
          </w:p>
        </w:tc>
        <w:tc>
          <w:tcPr>
            <w:tcW w:w="110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941</w:t>
            </w:r>
          </w:p>
        </w:tc>
        <w:tc>
          <w:tcPr>
            <w:tcW w:w="19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2,158</w:t>
            </w:r>
          </w:p>
        </w:tc>
        <w:tc>
          <w:tcPr>
            <w:tcW w:w="22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periodic benefit cost</w:t>
            </w:r>
          </w:p>
        </w:tc>
        <w:tc>
          <w:tcPr>
            <w:tcW w:w="2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536</w:t>
            </w:r>
          </w:p>
        </w:tc>
        <w:tc>
          <w:tcPr>
            <w:tcW w:w="1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1,563</w:t>
            </w:r>
          </w:p>
        </w:tc>
        <w:tc>
          <w:tcPr>
            <w:tcW w:w="22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Defined Benefit Postretirement Healthcare Plans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components of net periodic benefit cost for the Defined Benefit Postretirement Healthcare Plans were as follows (in thousands):</w:t>
      </w:r>
    </w:p>
    <w:tbl>
      <w:tblPr>
        <w:tblW w:w="5286" w:type="dxa"/>
        <w:jc w:val="center"/>
        <w:tblInd w:w="0" w:type="dxa"/>
        <w:tblCellMar>
          <w:top w:w="0" w:type="dxa"/>
          <w:left w:w="0" w:type="dxa"/>
          <w:bottom w:w="0" w:type="dxa"/>
          <w:right w:w="0" w:type="dxa"/>
        </w:tblCellMar>
      </w:tblPr>
      <w:tblGrid>
        <w:gridCol w:w="2660"/>
        <w:gridCol w:w="284"/>
        <w:gridCol w:w="762"/>
        <w:gridCol w:w="250"/>
        <w:gridCol w:w="284"/>
        <w:gridCol w:w="762"/>
        <w:gridCol w:w="284"/>
      </w:tblGrid>
      <w:tr>
        <w:trPr/>
        <w:tc>
          <w:tcPr>
            <w:tcW w:w="5286" w:type="dxa"/>
            <w:gridSpan w:val="7"/>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60" w:type="dxa"/>
            <w:tcBorders/>
            <w:shd w:fill="auto" w:val="clear"/>
            <w:vAlign w:val="center"/>
          </w:tcPr>
          <w:p>
            <w:pPr>
              <w:pStyle w:val="TableContents"/>
              <w:spacing w:before="0" w:after="0"/>
              <w:ind w:left="0" w:right="0" w:firstLine="30"/>
              <w:rPr/>
            </w:pPr>
            <w:r>
              <w:rPr/>
              <w:t> </w:t>
            </w:r>
          </w:p>
        </w:tc>
        <w:tc>
          <w:tcPr>
            <w:tcW w:w="2626"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660" w:type="dxa"/>
            <w:tcBorders/>
            <w:shd w:fill="auto" w:val="clear"/>
            <w:vAlign w:val="center"/>
          </w:tcPr>
          <w:p>
            <w:pPr>
              <w:pStyle w:val="TableContents"/>
              <w:spacing w:before="0" w:after="0"/>
              <w:ind w:left="0" w:right="0" w:firstLine="30"/>
              <w:rPr/>
            </w:pPr>
            <w:r>
              <w:rPr/>
              <w:t> </w:t>
            </w:r>
          </w:p>
        </w:tc>
        <w:tc>
          <w:tcPr>
            <w:tcW w:w="129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Service cost</w:t>
            </w:r>
          </w:p>
        </w:tc>
        <w:tc>
          <w:tcPr>
            <w:tcW w:w="28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454</w:t>
            </w:r>
          </w:p>
        </w:tc>
        <w:tc>
          <w:tcPr>
            <w:tcW w:w="25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8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573</w:t>
            </w:r>
          </w:p>
        </w:tc>
        <w:tc>
          <w:tcPr>
            <w:tcW w:w="284"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cost</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560</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521</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Expected return on plan assets</w:t>
            </w:r>
          </w:p>
        </w:tc>
        <w:tc>
          <w:tcPr>
            <w:tcW w:w="104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(57</w:t>
            </w:r>
          </w:p>
        </w:tc>
        <w:tc>
          <w:tcPr>
            <w:tcW w:w="25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(57</w:t>
            </w:r>
          </w:p>
        </w:tc>
        <w:tc>
          <w:tcPr>
            <w:tcW w:w="28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Prior service cost (benefit)</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loss (gain)</w:t>
            </w:r>
          </w:p>
        </w:tc>
        <w:tc>
          <w:tcPr>
            <w:tcW w:w="1046" w:type="dxa"/>
            <w:gridSpan w:val="2"/>
            <w:tcBorders/>
            <w:shd w:fill="CEFFE7" w:val="clear"/>
            <w:vAlign w:val="center"/>
          </w:tcPr>
          <w:p>
            <w:pPr>
              <w:pStyle w:val="TableContents"/>
              <w:spacing w:before="0" w:after="0"/>
              <w:jc w:val="right"/>
              <w:rPr/>
            </w:pPr>
            <w:r>
              <w:rPr/>
              <w:t>—</w:t>
            </w:r>
          </w:p>
        </w:tc>
        <w:tc>
          <w:tcPr>
            <w:tcW w:w="25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54</w:t>
            </w:r>
          </w:p>
        </w:tc>
        <w:tc>
          <w:tcPr>
            <w:tcW w:w="28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periodic benefit cost</w:t>
            </w:r>
          </w:p>
        </w:tc>
        <w:tc>
          <w:tcPr>
            <w:tcW w:w="2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858</w:t>
            </w:r>
          </w:p>
        </w:tc>
        <w:tc>
          <w:tcPr>
            <w:tcW w:w="2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992</w:t>
            </w:r>
          </w:p>
        </w:tc>
        <w:tc>
          <w:tcPr>
            <w:tcW w:w="2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Supplemental Non-qualified Defined Benefit and Defined Contribution Plans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components of net periodic benefit cost for the Supplemental Non-qualified Defined Benefit and Defined Contribution Plans were as follows (in thousands):</w:t>
      </w:r>
    </w:p>
    <w:tbl>
      <w:tblPr>
        <w:tblW w:w="4718" w:type="dxa"/>
        <w:jc w:val="center"/>
        <w:tblInd w:w="0" w:type="dxa"/>
        <w:tblCellMar>
          <w:top w:w="0" w:type="dxa"/>
          <w:left w:w="0" w:type="dxa"/>
          <w:bottom w:w="0" w:type="dxa"/>
          <w:right w:w="0" w:type="dxa"/>
        </w:tblCellMar>
      </w:tblPr>
      <w:tblGrid>
        <w:gridCol w:w="2090"/>
        <w:gridCol w:w="287"/>
        <w:gridCol w:w="1114"/>
        <w:gridCol w:w="68"/>
        <w:gridCol w:w="287"/>
        <w:gridCol w:w="769"/>
        <w:gridCol w:w="103"/>
      </w:tblGrid>
      <w:tr>
        <w:trPr/>
        <w:tc>
          <w:tcPr>
            <w:tcW w:w="4718" w:type="dxa"/>
            <w:gridSpan w:val="7"/>
            <w:tcBorders/>
            <w:shd w:fill="auto" w:val="clear"/>
            <w:vAlign w:val="center"/>
          </w:tcPr>
          <w:p>
            <w:pPr>
              <w:pStyle w:val="TableContents"/>
              <w:spacing w:before="0" w:after="283"/>
              <w:rPr>
                <w:sz w:val="4"/>
                <w:szCs w:val="4"/>
              </w:rPr>
            </w:pPr>
            <w:r>
              <w:rPr>
                <w:sz w:val="4"/>
                <w:szCs w:val="4"/>
              </w:rPr>
            </w:r>
          </w:p>
        </w:tc>
      </w:tr>
      <w:tr>
        <w:trPr/>
        <w:tc>
          <w:tcPr>
            <w:tcW w:w="209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90" w:type="dxa"/>
            <w:tcBorders/>
            <w:shd w:fill="auto" w:val="clear"/>
            <w:vAlign w:val="center"/>
          </w:tcPr>
          <w:p>
            <w:pPr>
              <w:pStyle w:val="TableContents"/>
              <w:spacing w:before="0" w:after="0"/>
              <w:ind w:left="0" w:right="0" w:firstLine="30"/>
              <w:rPr/>
            </w:pPr>
            <w:r>
              <w:rPr/>
              <w:t> </w:t>
            </w:r>
          </w:p>
        </w:tc>
        <w:tc>
          <w:tcPr>
            <w:tcW w:w="2628"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090" w:type="dxa"/>
            <w:tcBorders/>
            <w:shd w:fill="auto" w:val="clear"/>
            <w:vAlign w:val="center"/>
          </w:tcPr>
          <w:p>
            <w:pPr>
              <w:pStyle w:val="TableContents"/>
              <w:spacing w:before="0" w:after="0"/>
              <w:ind w:left="0" w:right="0" w:firstLine="30"/>
              <w:rPr/>
            </w:pPr>
            <w:r>
              <w:rPr/>
              <w:t> </w:t>
            </w:r>
          </w:p>
        </w:tc>
        <w:tc>
          <w:tcPr>
            <w:tcW w:w="14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1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2090"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Service cost</w:t>
            </w:r>
            <w:r>
              <w:rPr>
                <w:sz w:val="17"/>
              </w:rPr>
              <w:t> </w:t>
            </w:r>
            <w:r>
              <w:rPr>
                <w:rFonts w:ascii="inherit" w:hAnsi="inherit"/>
                <w:sz w:val="12"/>
              </w:rPr>
              <w:t>(a)</w:t>
            </w:r>
          </w:p>
        </w:tc>
        <w:tc>
          <w:tcPr>
            <w:tcW w:w="28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4"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1,285</w:t>
            </w:r>
          </w:p>
        </w:tc>
        <w:tc>
          <w:tcPr>
            <w:tcW w:w="68"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8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6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280</w:t>
            </w:r>
          </w:p>
        </w:tc>
        <w:tc>
          <w:tcPr>
            <w:tcW w:w="10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cost</w:t>
            </w:r>
          </w:p>
        </w:tc>
        <w:tc>
          <w:tcPr>
            <w:tcW w:w="14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324</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loss (gain)</w:t>
            </w:r>
          </w:p>
        </w:tc>
        <w:tc>
          <w:tcPr>
            <w:tcW w:w="140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134</w:t>
            </w:r>
          </w:p>
        </w:tc>
        <w:tc>
          <w:tcPr>
            <w:tcW w:w="6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6"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250</w:t>
            </w:r>
          </w:p>
        </w:tc>
        <w:tc>
          <w:tcPr>
            <w:tcW w:w="103"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periodic benefit cost</w:t>
            </w:r>
          </w:p>
        </w:tc>
        <w:tc>
          <w:tcPr>
            <w:tcW w:w="28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1,743</w:t>
            </w:r>
          </w:p>
        </w:tc>
        <w:tc>
          <w:tcPr>
            <w:tcW w:w="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8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823</w:t>
            </w:r>
          </w:p>
        </w:tc>
        <w:tc>
          <w:tcPr>
            <w:tcW w:w="10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jc w:val="left"/>
        <w:rPr>
          <w:rFonts w:ascii="inherit" w:hAnsi="inherit"/>
          <w:sz w:val="15"/>
        </w:rPr>
      </w:pPr>
      <w:r>
        <w:rPr>
          <w:rFonts w:ascii="inherit" w:hAnsi="inherit"/>
          <w:sz w:val="15"/>
        </w:rPr>
        <w:t>__________</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rPr>
                <w:sz w:val="4"/>
                <w:szCs w:val="4"/>
              </w:rPr>
            </w:pPr>
            <w:r>
              <w:rPr>
                <w:sz w:val="4"/>
                <w:szCs w:val="4"/>
              </w:rPr>
            </w:r>
          </w:p>
        </w:tc>
        <w:tc>
          <w:tcPr>
            <w:tcW w:w="9966" w:type="dxa"/>
            <w:tcBorders/>
            <w:shd w:fill="auto" w:val="clear"/>
            <w:vAlign w:val="center"/>
          </w:tcPr>
          <w:p>
            <w:pPr>
              <w:pStyle w:val="TableContents"/>
              <w:spacing w:before="0" w:after="283"/>
              <w:rPr>
                <w:sz w:val="4"/>
                <w:szCs w:val="4"/>
              </w:rPr>
            </w:pPr>
            <w:r>
              <w:rPr>
                <w:sz w:val="4"/>
                <w:szCs w:val="4"/>
              </w:rPr>
            </w:r>
          </w:p>
        </w:tc>
      </w:tr>
      <w:tr>
        <w:trPr/>
        <w:tc>
          <w:tcPr>
            <w:tcW w:w="23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66"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The increase in service cost for the three months ended March 31, 2019 compared to the same period in 2018 is primarily driven by market returns.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Contributions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Contributions to the Defined Benefit Pension Plan are cash contributions made directly to the Pension Plan Trust account. Contributions to the Postretirement Healthcare and Supplemental Plans are made in the form of benefit payments. Contributions made in 2019 and anticipated contributions for 2019 and 2020 are as follows (in thousands):</w:t>
      </w:r>
    </w:p>
    <w:tbl>
      <w:tblPr>
        <w:tblW w:w="10205" w:type="dxa"/>
        <w:jc w:val="center"/>
        <w:tblInd w:w="0" w:type="dxa"/>
        <w:tblCellMar>
          <w:top w:w="0" w:type="dxa"/>
          <w:left w:w="0" w:type="dxa"/>
          <w:bottom w:w="0" w:type="dxa"/>
          <w:right w:w="0" w:type="dxa"/>
        </w:tblCellMar>
      </w:tblPr>
      <w:tblGrid>
        <w:gridCol w:w="4522"/>
        <w:gridCol w:w="465"/>
        <w:gridCol w:w="1811"/>
        <w:gridCol w:w="112"/>
        <w:gridCol w:w="291"/>
        <w:gridCol w:w="1376"/>
        <w:gridCol w:w="70"/>
        <w:gridCol w:w="254"/>
        <w:gridCol w:w="1205"/>
        <w:gridCol w:w="99"/>
      </w:tblGrid>
      <w:tr>
        <w:trPr/>
        <w:tc>
          <w:tcPr>
            <w:tcW w:w="10205" w:type="dxa"/>
            <w:gridSpan w:val="10"/>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22" w:type="dxa"/>
            <w:tcBorders/>
            <w:shd w:fill="auto" w:val="clear"/>
            <w:vAlign w:val="center"/>
          </w:tcPr>
          <w:p>
            <w:pPr>
              <w:pStyle w:val="TableContents"/>
              <w:spacing w:before="0" w:after="0"/>
              <w:ind w:left="0" w:right="0" w:firstLine="30"/>
              <w:rPr/>
            </w:pPr>
            <w:r>
              <w:rPr/>
              <w:t> </w:t>
            </w:r>
          </w:p>
        </w:tc>
        <w:tc>
          <w:tcPr>
            <w:tcW w:w="2388"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Contributions Made</w:t>
            </w:r>
          </w:p>
        </w:tc>
        <w:tc>
          <w:tcPr>
            <w:tcW w:w="1737"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Additional Contributions</w:t>
            </w:r>
          </w:p>
        </w:tc>
        <w:tc>
          <w:tcPr>
            <w:tcW w:w="1558"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Contributions</w:t>
            </w:r>
          </w:p>
        </w:tc>
      </w:tr>
      <w:tr>
        <w:trPr/>
        <w:tc>
          <w:tcPr>
            <w:tcW w:w="4522" w:type="dxa"/>
            <w:tcBorders/>
            <w:shd w:fill="auto" w:val="clear"/>
            <w:vAlign w:val="center"/>
          </w:tcPr>
          <w:p>
            <w:pPr>
              <w:pStyle w:val="TableContents"/>
              <w:spacing w:before="0" w:after="0"/>
              <w:ind w:left="0" w:right="0" w:firstLine="30"/>
              <w:rPr/>
            </w:pPr>
            <w:r>
              <w:rPr/>
              <w:t> </w:t>
            </w:r>
          </w:p>
        </w:tc>
        <w:tc>
          <w:tcPr>
            <w:tcW w:w="23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 2019</w:t>
            </w:r>
          </w:p>
        </w:tc>
        <w:tc>
          <w:tcPr>
            <w:tcW w:w="17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Anticipated for 2019</w:t>
            </w:r>
          </w:p>
        </w:tc>
        <w:tc>
          <w:tcPr>
            <w:tcW w:w="15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Anticipated for 2020</w:t>
            </w:r>
          </w:p>
        </w:tc>
      </w:tr>
      <w:tr>
        <w:trPr/>
        <w:tc>
          <w:tcPr>
            <w:tcW w:w="45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Defined Benefit Pension Plan</w:t>
            </w:r>
          </w:p>
        </w:tc>
        <w:tc>
          <w:tcPr>
            <w:tcW w:w="46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811" w:type="dxa"/>
            <w:tcBorders>
              <w:top w:val="single" w:sz="2" w:space="0" w:color="000000"/>
            </w:tcBorders>
            <w:shd w:fill="CEFFE7" w:val="clear"/>
            <w:tcMar>
              <w:top w:w="30" w:type="dxa"/>
            </w:tcMar>
            <w:vAlign w:val="center"/>
          </w:tcPr>
          <w:p>
            <w:pPr>
              <w:pStyle w:val="TableContents"/>
              <w:spacing w:before="0" w:after="0"/>
              <w:jc w:val="right"/>
              <w:rPr/>
            </w:pPr>
            <w:r>
              <w:rPr/>
              <w:t>—</w:t>
            </w:r>
          </w:p>
        </w:tc>
        <w:tc>
          <w:tcPr>
            <w:tcW w:w="112"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9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12,700</w:t>
            </w:r>
          </w:p>
        </w:tc>
        <w:tc>
          <w:tcPr>
            <w:tcW w:w="7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0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12,700</w:t>
            </w:r>
          </w:p>
        </w:tc>
        <w:tc>
          <w:tcPr>
            <w:tcW w:w="99"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Non-pension Defined Benefit Postretirement Healthcare Plans</w:t>
            </w:r>
          </w:p>
        </w:tc>
        <w:tc>
          <w:tcPr>
            <w:tcW w:w="4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811" w:type="dxa"/>
            <w:tcBorders/>
            <w:shd w:fill="auto" w:val="clear"/>
            <w:vAlign w:val="center"/>
          </w:tcPr>
          <w:p>
            <w:pPr>
              <w:pStyle w:val="TableContents"/>
              <w:spacing w:before="0" w:after="0"/>
              <w:jc w:val="right"/>
              <w:rPr>
                <w:rFonts w:ascii="inherit" w:hAnsi="inherit"/>
                <w:sz w:val="17"/>
              </w:rPr>
            </w:pPr>
            <w:r>
              <w:rPr>
                <w:rFonts w:ascii="inherit" w:hAnsi="inherit"/>
                <w:sz w:val="17"/>
              </w:rPr>
              <w:t>1,109</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shd w:fill="auto" w:val="clear"/>
            <w:vAlign w:val="center"/>
          </w:tcPr>
          <w:p>
            <w:pPr>
              <w:pStyle w:val="TableContents"/>
              <w:spacing w:before="0" w:after="0"/>
              <w:jc w:val="right"/>
              <w:rPr>
                <w:rFonts w:ascii="inherit" w:hAnsi="inherit"/>
                <w:sz w:val="17"/>
              </w:rPr>
            </w:pPr>
            <w:r>
              <w:rPr>
                <w:rFonts w:ascii="inherit" w:hAnsi="inherit"/>
                <w:sz w:val="17"/>
              </w:rPr>
              <w:t>3,326</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5" w:type="dxa"/>
            <w:tcBorders/>
            <w:shd w:fill="auto" w:val="clear"/>
            <w:vAlign w:val="center"/>
          </w:tcPr>
          <w:p>
            <w:pPr>
              <w:pStyle w:val="TableContents"/>
              <w:spacing w:before="0" w:after="0"/>
              <w:jc w:val="right"/>
              <w:rPr>
                <w:rFonts w:ascii="inherit" w:hAnsi="inherit"/>
                <w:sz w:val="17"/>
              </w:rPr>
            </w:pPr>
            <w:r>
              <w:rPr>
                <w:rFonts w:ascii="inherit" w:hAnsi="inherit"/>
                <w:sz w:val="17"/>
              </w:rPr>
              <w:t>4,271</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2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Supplemental Non-qualified Defined Benefit and Defined Contribution Plans</w:t>
            </w:r>
          </w:p>
        </w:tc>
        <w:tc>
          <w:tcPr>
            <w:tcW w:w="46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811" w:type="dxa"/>
            <w:tcBorders/>
            <w:shd w:fill="CEFFE7" w:val="clear"/>
            <w:vAlign w:val="center"/>
          </w:tcPr>
          <w:p>
            <w:pPr>
              <w:pStyle w:val="TableContents"/>
              <w:spacing w:before="0" w:after="0"/>
              <w:jc w:val="right"/>
              <w:rPr>
                <w:rFonts w:ascii="inherit" w:hAnsi="inherit"/>
                <w:sz w:val="17"/>
              </w:rPr>
            </w:pPr>
            <w:r>
              <w:rPr>
                <w:rFonts w:ascii="inherit" w:hAnsi="inherit"/>
                <w:sz w:val="17"/>
              </w:rPr>
              <w:t>366</w:t>
            </w:r>
          </w:p>
        </w:tc>
        <w:tc>
          <w:tcPr>
            <w:tcW w:w="11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91"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376" w:type="dxa"/>
            <w:tcBorders/>
            <w:shd w:fill="CEFFE7" w:val="clear"/>
            <w:vAlign w:val="center"/>
          </w:tcPr>
          <w:p>
            <w:pPr>
              <w:pStyle w:val="TableContents"/>
              <w:spacing w:before="0" w:after="0"/>
              <w:jc w:val="right"/>
              <w:rPr>
                <w:rFonts w:ascii="inherit" w:hAnsi="inherit"/>
                <w:sz w:val="17"/>
              </w:rPr>
            </w:pPr>
            <w:r>
              <w:rPr>
                <w:rFonts w:ascii="inherit" w:hAnsi="inherit"/>
                <w:sz w:val="17"/>
              </w:rPr>
              <w:t>1,097</w:t>
            </w:r>
          </w:p>
        </w:tc>
        <w:tc>
          <w:tcPr>
            <w:tcW w:w="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4"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205" w:type="dxa"/>
            <w:tcBorders/>
            <w:shd w:fill="CEFFE7" w:val="clear"/>
            <w:vAlign w:val="center"/>
          </w:tcPr>
          <w:p>
            <w:pPr>
              <w:pStyle w:val="TableContents"/>
              <w:spacing w:before="0" w:after="0"/>
              <w:jc w:val="right"/>
              <w:rPr>
                <w:rFonts w:ascii="inherit" w:hAnsi="inherit"/>
                <w:sz w:val="17"/>
              </w:rPr>
            </w:pPr>
            <w:r>
              <w:rPr>
                <w:rFonts w:ascii="inherit" w:hAnsi="inherit"/>
                <w:sz w:val="17"/>
              </w:rPr>
              <w:t>1,562</w:t>
            </w:r>
          </w:p>
        </w:tc>
        <w:tc>
          <w:tcPr>
            <w:tcW w:w="99" w:type="dxa"/>
            <w:tcBorders/>
            <w:shd w:fill="CEFFE7"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51" w:name="sC9070492611E5829AF484D15B11225C4"/>
      <w:bookmarkEnd w:id="51"/>
      <w:r>
        <w:rPr>
          <w:rFonts w:ascii="inherit" w:hAnsi="inherit"/>
          <w:sz w:val="17"/>
        </w:rPr>
        <w:t>(</w:t>
      </w:r>
      <w:r>
        <w:rPr>
          <w:rFonts w:ascii="inherit" w:hAnsi="inherit"/>
          <w:strike w:val="false"/>
          <w:dstrike w:val="false"/>
          <w:color w:val="000000"/>
          <w:sz w:val="17"/>
          <w:u w:val="none"/>
          <w:effect w:val="none"/>
        </w:rPr>
        <w:t>16</w:t>
      </w:r>
      <w:r>
        <w:rPr>
          <w:rFonts w:ascii="inherit" w:hAnsi="inherit"/>
          <w:sz w:val="17"/>
        </w:rPr>
        <w:t>)    COMMITMENTS AND CONTINGENCIES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There have been no significant changes to commitments and contingencies from those previously disclosed in Note 19 of our Notes to the Consolidated Financial Statements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 except for those described below.</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Dividend Restrictions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Revolving Credit Facility and other debt obligations contain restrictions on the payment of cash dividends upon a default or event of default. As of March 31, 2019, we were in compliance with the debt covenants.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utilities are generally limited in the amount of dividends allowed to be paid to us as a utility holding company under the Federal Power Act and settlement agreements with state regulatory jurisdictions and financing agreements. As of March 31, 2019, the restricted net assets at our Electric Utilities and Gas Utilities were approximately $257 million.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52" w:name="s2DEAA23A6ED35A74B8B4A04F0ECFC093"/>
      <w:bookmarkStart w:id="53" w:name="s2DEAA23A6ED35A74B8B4A04F0ECFC093"/>
      <w:bookmarkEnd w:id="53"/>
    </w:p>
    <w:p>
      <w:pPr>
        <w:pStyle w:val="TextBody"/>
        <w:spacing w:lineRule="auto" w:line="288" w:before="0" w:after="0"/>
        <w:rPr>
          <w:rFonts w:ascii="inherit" w:hAnsi="inherit"/>
          <w:sz w:val="17"/>
        </w:rPr>
      </w:pPr>
      <w:r>
        <w:rPr>
          <w:rFonts w:ascii="inherit" w:hAnsi="inherit"/>
          <w:sz w:val="17"/>
        </w:rPr>
        <w:t>(17)    DISCONTINUED OPERATIONS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Results of operations for discontinued operations have been classified as Loss from discontinued operations, net of income taxes in the accompanying Condensed Consolidated Statements of Income. Assets and liabilities of the discontinued operations have been reclassified and reflected on the accompanying Condensed Consolidated Balance Sheets as “Current assets held for sale” and “Current liabilities held for sale”, respectively. Prior periods relating to our discontinued operations have also been reclassified to reflect consistency within our condensed consolidated financial statements.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u w:val="single"/>
        </w:rPr>
      </w:pPr>
      <w:r>
        <w:rPr>
          <w:rFonts w:ascii="inherit" w:hAnsi="inherit"/>
          <w:sz w:val="17"/>
          <w:u w:val="single"/>
        </w:rPr>
        <w:t>Oil and Gas Segment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On November 1, 2017, the BHC Board of Directors approved a complete divestiture of our Oil and Gas segment. We completed the divestiture of our Oil and Gas segment in 2018.</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Total assets and liabilities of </w:t>
      </w:r>
      <w:r>
        <w:rPr>
          <w:rFonts w:ascii="inherit" w:hAnsi="inherit"/>
          <w:sz w:val="17"/>
          <w:highlight w:val="white"/>
        </w:rPr>
        <w:t>our Oil and Gas segment</w:t>
      </w:r>
      <w:r>
        <w:rPr>
          <w:sz w:val="17"/>
        </w:rPr>
        <w:t xml:space="preserve"> </w:t>
      </w:r>
      <w:r>
        <w:rPr>
          <w:rFonts w:ascii="inherit" w:hAnsi="inherit"/>
          <w:sz w:val="17"/>
        </w:rPr>
        <w:t>at March 31, 2018</w:t>
      </w:r>
      <w:r>
        <w:rPr>
          <w:sz w:val="17"/>
        </w:rPr>
        <w:t xml:space="preserve"> </w:t>
      </w:r>
      <w:r>
        <w:rPr>
          <w:rFonts w:ascii="inherit" w:hAnsi="inherit"/>
          <w:sz w:val="17"/>
        </w:rPr>
        <w:t>were classified as Current assets held for sale and Current liabilities held for sale on the accompanying Condensed Consolidated Balance Sheets due to the final disposals occurring in 2018.</w:t>
      </w:r>
    </w:p>
    <w:tbl>
      <w:tblPr>
        <w:tblW w:w="5063" w:type="dxa"/>
        <w:jc w:val="left"/>
        <w:tblInd w:w="0" w:type="dxa"/>
        <w:tblCellMar>
          <w:top w:w="0" w:type="dxa"/>
          <w:left w:w="0" w:type="dxa"/>
          <w:bottom w:w="0" w:type="dxa"/>
          <w:right w:w="0" w:type="dxa"/>
        </w:tblCellMar>
      </w:tblPr>
      <w:tblGrid>
        <w:gridCol w:w="3725"/>
        <w:gridCol w:w="226"/>
        <w:gridCol w:w="883"/>
        <w:gridCol w:w="229"/>
      </w:tblGrid>
      <w:tr>
        <w:trPr/>
        <w:tc>
          <w:tcPr>
            <w:tcW w:w="5063" w:type="dxa"/>
            <w:gridSpan w:val="4"/>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25" w:type="dxa"/>
            <w:tcBorders/>
            <w:shd w:fill="auto" w:val="clear"/>
            <w:vAlign w:val="center"/>
          </w:tcPr>
          <w:p>
            <w:pPr>
              <w:pStyle w:val="TableContents"/>
              <w:spacing w:before="0" w:after="0"/>
              <w:ind w:left="0" w:right="0" w:firstLine="30"/>
              <w:rPr/>
            </w:pPr>
            <w:r>
              <w:rPr/>
              <w:t> </w:t>
            </w:r>
          </w:p>
        </w:tc>
        <w:tc>
          <w:tcPr>
            <w:tcW w:w="1338"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As of</w:t>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 thousands)</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37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226"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8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4,332</w:t>
            </w:r>
          </w:p>
        </w:tc>
        <w:tc>
          <w:tcPr>
            <w:tcW w:w="229"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rPr>
                <w:rFonts w:ascii="inherit" w:hAnsi="inherit"/>
                <w:sz w:val="17"/>
              </w:rPr>
            </w:pPr>
            <w:r>
              <w:rPr>
                <w:rFonts w:ascii="inherit" w:hAnsi="inherit"/>
                <w:sz w:val="17"/>
              </w:rPr>
              <w:t>Deferred income tax assets, noncurrent, net</w:t>
            </w:r>
          </w:p>
          <w:p>
            <w:pPr>
              <w:pStyle w:val="TableContents"/>
              <w:spacing w:before="0" w:after="0"/>
              <w:ind w:left="0" w:right="0" w:firstLine="30"/>
              <w:rPr>
                <w:rFonts w:ascii="inherit" w:hAnsi="inherit"/>
                <w:sz w:val="17"/>
              </w:rPr>
            </w:pPr>
            <w:r>
              <w:rPr>
                <w:rFonts w:ascii="inherit" w:hAnsi="inherit"/>
                <w:sz w:val="17"/>
              </w:rPr>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3,739</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110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16,653</w:t>
            </w:r>
          </w:p>
        </w:tc>
        <w:tc>
          <w:tcPr>
            <w:tcW w:w="2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(17,233</w:t>
            </w:r>
          </w:p>
        </w:tc>
        <w:tc>
          <w:tcPr>
            <w:tcW w:w="2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7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noncurrent liabilities</w:t>
            </w:r>
          </w:p>
        </w:tc>
        <w:tc>
          <w:tcPr>
            <w:tcW w:w="110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(7,677</w:t>
            </w:r>
          </w:p>
        </w:tc>
        <w:tc>
          <w:tcPr>
            <w:tcW w:w="2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(liabilities)</w:t>
            </w:r>
          </w:p>
        </w:tc>
        <w:tc>
          <w:tcPr>
            <w:tcW w:w="2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(186</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bookmarkStart w:id="54" w:name="sA161E18B8C905DA9B4E3C0CBC98348FD"/>
      <w:bookmarkEnd w:id="54"/>
      <w:r>
        <w:rPr>
          <w:rFonts w:ascii="inherit" w:hAnsi="inherit"/>
          <w:sz w:val="17"/>
        </w:rPr>
        <w:t>(18)    INCOME TAXES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Income tax benefit (expense), net for the three months ended March 31, 2019</w:t>
      </w:r>
      <w:r>
        <w:rPr>
          <w:sz w:val="17"/>
        </w:rPr>
        <w:t xml:space="preserve"> </w:t>
      </w:r>
      <w:r>
        <w:rPr>
          <w:rFonts w:ascii="inherit" w:hAnsi="inherit"/>
          <w:sz w:val="17"/>
        </w:rPr>
        <w:t>was $(17) million</w:t>
      </w:r>
      <w:r>
        <w:rPr>
          <w:sz w:val="17"/>
        </w:rPr>
        <w:t xml:space="preserve"> </w:t>
      </w:r>
      <w:r>
        <w:rPr>
          <w:rFonts w:ascii="inherit" w:hAnsi="inherit"/>
          <w:sz w:val="17"/>
        </w:rPr>
        <w:t>compared to $26 million</w:t>
      </w:r>
      <w:r>
        <w:rPr>
          <w:sz w:val="17"/>
        </w:rPr>
        <w:t xml:space="preserve"> </w:t>
      </w:r>
      <w:r>
        <w:rPr>
          <w:rFonts w:ascii="inherit" w:hAnsi="inherit"/>
          <w:sz w:val="17"/>
        </w:rPr>
        <w:t>reported for the same period in 2018. The increase in tax expense was primarily due to:</w:t>
      </w:r>
    </w:p>
    <w:p>
      <w:pPr>
        <w:pStyle w:val="TextBody"/>
        <w:spacing w:lineRule="auto" w:line="288" w:before="0" w:after="0"/>
        <w:rPr>
          <w:rFonts w:ascii="inherit" w:hAnsi="inherit"/>
          <w:sz w:val="17"/>
        </w:rPr>
      </w:pPr>
      <w:r>
        <w:rPr>
          <w:rFonts w:ascii="inherit" w:hAnsi="inherit"/>
          <w:sz w:val="17"/>
        </w:rPr>
      </w:r>
    </w:p>
    <w:tbl>
      <w:tblPr>
        <w:tblW w:w="8395" w:type="dxa"/>
        <w:jc w:val="left"/>
        <w:tblInd w:w="0" w:type="dxa"/>
        <w:tblCellMar>
          <w:top w:w="0" w:type="dxa"/>
          <w:left w:w="0" w:type="dxa"/>
          <w:bottom w:w="0" w:type="dxa"/>
          <w:right w:w="0" w:type="dxa"/>
        </w:tblCellMar>
      </w:tblPr>
      <w:tblGrid>
        <w:gridCol w:w="485"/>
        <w:gridCol w:w="7910"/>
      </w:tblGrid>
      <w:tr>
        <w:trPr/>
        <w:tc>
          <w:tcPr>
            <w:tcW w:w="485" w:type="dxa"/>
            <w:tcBorders/>
            <w:shd w:fill="auto" w:val="clear"/>
            <w:vAlign w:val="center"/>
          </w:tcPr>
          <w:p>
            <w:pPr>
              <w:pStyle w:val="TableContents"/>
              <w:spacing w:before="0" w:after="283"/>
              <w:rPr>
                <w:sz w:val="4"/>
                <w:szCs w:val="4"/>
              </w:rPr>
            </w:pPr>
            <w:r>
              <w:rPr>
                <w:sz w:val="4"/>
                <w:szCs w:val="4"/>
              </w:rPr>
            </w:r>
          </w:p>
        </w:tc>
        <w:tc>
          <w:tcPr>
            <w:tcW w:w="79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910" w:type="dxa"/>
            <w:tcBorders/>
            <w:shd w:fill="auto" w:val="clear"/>
            <w:vAlign w:val="center"/>
          </w:tcPr>
          <w:p>
            <w:pPr>
              <w:pStyle w:val="TableContents"/>
              <w:spacing w:lineRule="auto" w:line="288" w:before="0" w:after="0"/>
              <w:rPr>
                <w:sz w:val="17"/>
              </w:rPr>
            </w:pPr>
            <w:r>
              <w:rPr>
                <w:rFonts w:ascii="inherit" w:hAnsi="inherit"/>
                <w:sz w:val="17"/>
              </w:rPr>
              <w:t>A prior year $49 million</w:t>
            </w:r>
            <w:r>
              <w:rPr>
                <w:sz w:val="17"/>
              </w:rPr>
              <w:t xml:space="preserve"> </w:t>
            </w:r>
            <w:r>
              <w:rPr>
                <w:rFonts w:ascii="inherit" w:hAnsi="inherit"/>
                <w:sz w:val="17"/>
              </w:rPr>
              <w:t>tax benefit resulting from</w:t>
            </w:r>
            <w:r>
              <w:rPr>
                <w:color w:val="1F497D"/>
                <w:sz w:val="17"/>
              </w:rPr>
              <w:t xml:space="preserve"> </w:t>
            </w:r>
            <w:r>
              <w:rPr>
                <w:rFonts w:ascii="inherit" w:hAnsi="inherit"/>
                <w:sz w:val="17"/>
              </w:rPr>
              <w:t>legal entity restructuring, partially offset by:</w:t>
            </w:r>
          </w:p>
        </w:tc>
      </w:tr>
    </w:tbl>
    <w:p>
      <w:pPr>
        <w:pStyle w:val="TextBody"/>
        <w:spacing w:lineRule="auto" w:line="288" w:before="0" w:after="0"/>
        <w:ind w:left="0" w:right="0" w:firstLine="72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sz w:val="17"/>
              </w:rPr>
            </w:pPr>
            <w:r>
              <w:rPr>
                <w:rFonts w:ascii="inherit" w:hAnsi="inherit"/>
                <w:sz w:val="17"/>
              </w:rPr>
              <w:t>A prior year $2.3 million</w:t>
            </w:r>
            <w:r>
              <w:rPr>
                <w:sz w:val="17"/>
              </w:rPr>
              <w:t xml:space="preserve"> </w:t>
            </w:r>
            <w:r>
              <w:rPr>
                <w:rFonts w:ascii="inherit" w:hAnsi="inherit"/>
                <w:sz w:val="17"/>
              </w:rPr>
              <w:t>income tax expense associated with changes in the prior estimated impact of tax reform on deferred income taxes; and</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sz w:val="17"/>
              </w:rPr>
            </w:pPr>
            <w:r>
              <w:rPr>
                <w:rFonts w:ascii="inherit" w:hAnsi="inherit"/>
                <w:sz w:val="17"/>
              </w:rPr>
              <w:t>A current year $3.4 million</w:t>
            </w:r>
            <w:r>
              <w:rPr>
                <w:sz w:val="17"/>
              </w:rPr>
              <w:t xml:space="preserve"> </w:t>
            </w:r>
            <w:r>
              <w:rPr>
                <w:rFonts w:ascii="inherit" w:hAnsi="inherit"/>
                <w:sz w:val="17"/>
              </w:rPr>
              <w:t>increase in income tax benefit from forecasted federal production tax credits and state investment tax credits as well as $1.8 million</w:t>
            </w:r>
            <w:r>
              <w:rPr>
                <w:sz w:val="17"/>
              </w:rPr>
              <w:t xml:space="preserve"> </w:t>
            </w:r>
            <w:r>
              <w:rPr>
                <w:rFonts w:ascii="inherit" w:hAnsi="inherit"/>
                <w:sz w:val="17"/>
              </w:rPr>
              <w:t>of income tax benefit for deferred tax amortization related to tax reform (which is offset by reduced revenue at our utilities).</w:t>
            </w:r>
          </w:p>
        </w:tc>
      </w:tr>
    </w:tbl>
    <w:p>
      <w:pPr>
        <w:pStyle w:val="TextBody"/>
        <w:spacing w:lineRule="auto" w:line="288" w:before="0" w:after="0"/>
        <w:ind w:left="0" w:right="0" w:firstLine="144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Prior year tax benefit related to legal restructuring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As part of the Company’s ongoing efforts to continue to integrate the</w:t>
      </w:r>
      <w:r>
        <w:rPr>
          <w:sz w:val="17"/>
        </w:rPr>
        <w:t xml:space="preserve"> </w:t>
      </w:r>
      <w:r>
        <w:rPr>
          <w:rFonts w:ascii="inherit" w:hAnsi="inherit"/>
          <w:sz w:val="17"/>
        </w:rPr>
        <w:t>legal entities that the Company acquired in recent years, certain legal entity restructuring transactions occurred on March 31, 2018.  As a result of these transactions, $49 million</w:t>
      </w:r>
      <w:r>
        <w:rPr>
          <w:sz w:val="17"/>
        </w:rPr>
        <w:t xml:space="preserve"> </w:t>
      </w:r>
      <w:r>
        <w:rPr>
          <w:rFonts w:ascii="inherit" w:hAnsi="inherit"/>
          <w:sz w:val="17"/>
        </w:rPr>
        <w:t>of deferred income tax assets, related to goodwill that is amortizable for tax purposes, were recorded and deferred tax benefits of $49 million</w:t>
      </w:r>
      <w:r>
        <w:rPr>
          <w:sz w:val="17"/>
        </w:rPr>
        <w:t xml:space="preserve"> </w:t>
      </w:r>
      <w:r>
        <w:rPr>
          <w:rFonts w:ascii="inherit" w:hAnsi="inherit"/>
          <w:sz w:val="17"/>
        </w:rPr>
        <w:t>were recorded to Income tax benefit (expense) on the Condensed Consolidated Statements of Income. Due to this being a common control transaction, it had no effect on the other assets and liabilities of these entities.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Prior year TCJA expense</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On December 22, 2017, the TCJA was signed into law reducing the federal corporate rate from 35% to 21% effective January 1, 2018. During the three months ended March 31, 2018, we recorded approximately $2.3 million</w:t>
      </w:r>
      <w:r>
        <w:rPr>
          <w:sz w:val="17"/>
        </w:rPr>
        <w:t xml:space="preserve"> </w:t>
      </w:r>
      <w:r>
        <w:rPr>
          <w:rFonts w:ascii="inherit" w:hAnsi="inherit"/>
          <w:sz w:val="17"/>
        </w:rPr>
        <w:t>of additional tax expense associated with changes in the prior estimated impacts of TCJA related items.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jc w:val="right"/>
        <w:rPr>
          <w:rFonts w:ascii="inherit" w:hAnsi="inherit"/>
          <w:sz w:val="17"/>
        </w:rPr>
      </w:pPr>
      <w:r>
        <w:rPr>
          <w:rFonts w:ascii="inherit" w:hAnsi="inherit"/>
          <w:sz w:val="17"/>
        </w:rPr>
      </w:r>
      <w:bookmarkStart w:id="55" w:name="s194547210942547589C039C96203B1C9"/>
      <w:bookmarkStart w:id="56" w:name="s194547210942547589C039C96203B1C9"/>
      <w:bookmarkEnd w:id="56"/>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(19)    ACCRUED LIABILITIES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amounts by major classification are included in Accrued liabilities in the accompanying Condensed Consolidated Balance Sheets (in thousands) as of:</w:t>
      </w:r>
    </w:p>
    <w:tbl>
      <w:tblPr>
        <w:tblW w:w="9436" w:type="dxa"/>
        <w:jc w:val="center"/>
        <w:tblInd w:w="0" w:type="dxa"/>
        <w:tblCellMar>
          <w:top w:w="0" w:type="dxa"/>
          <w:left w:w="0" w:type="dxa"/>
          <w:bottom w:w="0" w:type="dxa"/>
          <w:right w:w="0" w:type="dxa"/>
        </w:tblCellMar>
      </w:tblPr>
      <w:tblGrid>
        <w:gridCol w:w="5090"/>
        <w:gridCol w:w="194"/>
        <w:gridCol w:w="1083"/>
        <w:gridCol w:w="47"/>
        <w:gridCol w:w="247"/>
        <w:gridCol w:w="1377"/>
        <w:gridCol w:w="60"/>
        <w:gridCol w:w="147"/>
        <w:gridCol w:w="820"/>
        <w:gridCol w:w="371"/>
      </w:tblGrid>
      <w:tr>
        <w:trPr/>
        <w:tc>
          <w:tcPr>
            <w:tcW w:w="9436" w:type="dxa"/>
            <w:gridSpan w:val="10"/>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90" w:type="dxa"/>
            <w:tcBorders/>
            <w:shd w:fill="auto" w:val="clear"/>
            <w:vAlign w:val="center"/>
          </w:tcPr>
          <w:p>
            <w:pPr>
              <w:pStyle w:val="TableContents"/>
              <w:spacing w:before="0" w:after="0"/>
              <w:ind w:left="0" w:right="0" w:firstLine="30"/>
              <w:rPr/>
            </w:pPr>
            <w:r>
              <w:rPr/>
              <w:t> </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6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Accrued employee compensation, benefits and withholdings</w:t>
            </w:r>
          </w:p>
        </w:tc>
        <w:tc>
          <w:tcPr>
            <w:tcW w:w="194"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8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48,078</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63,742</w:t>
            </w:r>
          </w:p>
        </w:tc>
        <w:tc>
          <w:tcPr>
            <w:tcW w:w="6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46,262</w:t>
            </w:r>
          </w:p>
        </w:tc>
        <w:tc>
          <w:tcPr>
            <w:tcW w:w="37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property taxes</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43,662</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42,510</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42,912</w:t>
            </w:r>
          </w:p>
        </w:tc>
        <w:tc>
          <w:tcPr>
            <w:tcW w:w="3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Customer deposits and prepayments</w:t>
            </w:r>
          </w:p>
        </w:tc>
        <w:tc>
          <w:tcPr>
            <w:tcW w:w="127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39,125</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2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43,574</w:t>
            </w:r>
          </w:p>
        </w:tc>
        <w:tc>
          <w:tcPr>
            <w:tcW w:w="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35,748</w:t>
            </w:r>
          </w:p>
        </w:tc>
        <w:tc>
          <w:tcPr>
            <w:tcW w:w="37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interest and contract adjustment payments</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35,149</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31,759</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30,426</w:t>
            </w:r>
          </w:p>
        </w:tc>
        <w:tc>
          <w:tcPr>
            <w:tcW w:w="3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CIAC current portion</w:t>
            </w:r>
          </w:p>
        </w:tc>
        <w:tc>
          <w:tcPr>
            <w:tcW w:w="127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1,485</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24"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1,485</w:t>
            </w:r>
          </w:p>
        </w:tc>
        <w:tc>
          <w:tcPr>
            <w:tcW w:w="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1,552</w:t>
            </w:r>
          </w:p>
        </w:tc>
        <w:tc>
          <w:tcPr>
            <w:tcW w:w="37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(none of which is individually significant)</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28,573</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32,431</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37,140</w:t>
            </w:r>
          </w:p>
        </w:tc>
        <w:tc>
          <w:tcPr>
            <w:tcW w:w="37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9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accrued liabilities</w:t>
            </w:r>
          </w:p>
        </w:tc>
        <w:tc>
          <w:tcPr>
            <w:tcW w:w="19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196,072</w:t>
            </w:r>
          </w:p>
        </w:tc>
        <w:tc>
          <w:tcPr>
            <w:tcW w:w="4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215,501</w:t>
            </w:r>
          </w:p>
        </w:tc>
        <w:tc>
          <w:tcPr>
            <w:tcW w:w="6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194,040</w:t>
            </w:r>
          </w:p>
        </w:tc>
        <w:tc>
          <w:tcPr>
            <w:tcW w:w="37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36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rFonts w:ascii="inherit" w:hAnsi="inherit"/>
          <w:sz w:val="17"/>
        </w:rPr>
      </w:pPr>
      <w:bookmarkStart w:id="57" w:name="s3ec88c6343834fa99ea754bbfed6ac9d"/>
      <w:bookmarkEnd w:id="57"/>
      <w:r>
        <w:rPr>
          <w:rFonts w:ascii="inherit" w:hAnsi="inherit"/>
          <w:sz w:val="17"/>
        </w:rPr>
        <w:t>(20)     LEASES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u w:val="single"/>
        </w:rPr>
      </w:pPr>
      <w:r>
        <w:rPr>
          <w:rFonts w:ascii="inherit" w:hAnsi="inherit"/>
          <w:b/>
          <w:sz w:val="17"/>
          <w:u w:val="single"/>
        </w:rPr>
        <w:t>Lessee</w:t>
      </w:r>
    </w:p>
    <w:p>
      <w:pPr>
        <w:pStyle w:val="TextBody"/>
        <w:spacing w:lineRule="auto" w:line="288" w:before="0" w:after="0"/>
        <w:jc w:val="left"/>
        <w:rPr>
          <w:sz w:val="17"/>
        </w:rPr>
      </w:pPr>
      <w:r>
        <w:rPr>
          <w:rFonts w:ascii="inherit" w:hAnsi="inherit"/>
          <w:sz w:val="17"/>
        </w:rPr>
        <w:t>We lease from third parties certain office and operation center facilities, communication tower sites, equipment, and materials storage. Our leases have remaining lease terms ranging from less than one year</w:t>
      </w:r>
      <w:r>
        <w:rPr>
          <w:sz w:val="17"/>
        </w:rPr>
        <w:t xml:space="preserve"> </w:t>
      </w:r>
      <w:r>
        <w:rPr>
          <w:rFonts w:ascii="inherit" w:hAnsi="inherit"/>
          <w:sz w:val="17"/>
        </w:rPr>
        <w:t>to 37 years, including options to extend that are reasonably certain to be exercised.</w:t>
      </w:r>
    </w:p>
    <w:p>
      <w:pPr>
        <w:pStyle w:val="TextBody"/>
        <w:spacing w:lineRule="auto" w:line="288" w:before="0" w:after="0"/>
        <w:jc w:val="left"/>
        <w:rPr>
          <w:rFonts w:ascii="inherit" w:hAnsi="inherit"/>
          <w:sz w:val="17"/>
        </w:rPr>
      </w:pPr>
      <w:r>
        <w:rPr>
          <w:rFonts w:ascii="inherit" w:hAnsi="inherit"/>
          <w:sz w:val="17"/>
        </w:rPr>
        <w:t>The components of lease expense were as follows (in thousands):</w:t>
      </w:r>
    </w:p>
    <w:tbl>
      <w:tblPr>
        <w:tblW w:w="10205" w:type="dxa"/>
        <w:jc w:val="center"/>
        <w:tblInd w:w="0" w:type="dxa"/>
        <w:tblCellMar>
          <w:top w:w="0" w:type="dxa"/>
          <w:left w:w="0" w:type="dxa"/>
          <w:bottom w:w="0" w:type="dxa"/>
          <w:right w:w="0" w:type="dxa"/>
        </w:tblCellMar>
      </w:tblPr>
      <w:tblGrid>
        <w:gridCol w:w="2062"/>
        <w:gridCol w:w="6135"/>
        <w:gridCol w:w="323"/>
        <w:gridCol w:w="867"/>
        <w:gridCol w:w="818"/>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2062" w:type="dxa"/>
            <w:tcBorders/>
            <w:shd w:fill="auto" w:val="clear"/>
            <w:vAlign w:val="center"/>
          </w:tcPr>
          <w:p>
            <w:pPr>
              <w:pStyle w:val="TableContents"/>
              <w:spacing w:before="0" w:after="283"/>
              <w:rPr>
                <w:sz w:val="4"/>
                <w:szCs w:val="4"/>
              </w:rPr>
            </w:pPr>
            <w:r>
              <w:rPr>
                <w:sz w:val="4"/>
                <w:szCs w:val="4"/>
              </w:rPr>
            </w:r>
          </w:p>
        </w:tc>
        <w:tc>
          <w:tcPr>
            <w:tcW w:w="613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62" w:type="dxa"/>
            <w:tcBorders/>
            <w:shd w:fill="auto" w:val="clear"/>
            <w:vAlign w:val="center"/>
          </w:tcPr>
          <w:p>
            <w:pPr>
              <w:pStyle w:val="TableContents"/>
              <w:spacing w:before="0" w:after="0"/>
              <w:ind w:left="0" w:right="0" w:firstLine="30"/>
              <w:rPr/>
            </w:pPr>
            <w:r>
              <w:rPr/>
              <w:t> </w:t>
            </w:r>
          </w:p>
        </w:tc>
        <w:tc>
          <w:tcPr>
            <w:tcW w:w="6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Income Statement Location</w:t>
            </w:r>
          </w:p>
        </w:tc>
        <w:tc>
          <w:tcPr>
            <w:tcW w:w="20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 2019</w:t>
            </w:r>
          </w:p>
        </w:tc>
      </w:tr>
      <w:tr>
        <w:trPr/>
        <w:tc>
          <w:tcPr>
            <w:tcW w:w="20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cost</w:t>
            </w:r>
          </w:p>
        </w:tc>
        <w:tc>
          <w:tcPr>
            <w:tcW w:w="6135"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323"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311</w:t>
            </w:r>
          </w:p>
        </w:tc>
        <w:tc>
          <w:tcPr>
            <w:tcW w:w="818"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Finance lease cost:</w:t>
            </w:r>
          </w:p>
        </w:tc>
        <w:tc>
          <w:tcPr>
            <w:tcW w:w="6135" w:type="dxa"/>
            <w:tcBorders/>
            <w:shd w:fill="auto" w:val="clear"/>
            <w:vAlign w:val="center"/>
          </w:tcPr>
          <w:p>
            <w:pPr>
              <w:pStyle w:val="TableContents"/>
              <w:spacing w:before="0" w:after="0"/>
              <w:ind w:left="0" w:right="0" w:firstLine="30"/>
              <w:rPr/>
            </w:pPr>
            <w:r>
              <w:rPr/>
              <w:t> </w:t>
            </w:r>
          </w:p>
        </w:tc>
        <w:tc>
          <w:tcPr>
            <w:tcW w:w="2008" w:type="dxa"/>
            <w:gridSpan w:val="3"/>
            <w:tcBorders/>
            <w:shd w:fill="auto" w:val="clear"/>
            <w:vAlign w:val="center"/>
          </w:tcPr>
          <w:p>
            <w:pPr>
              <w:pStyle w:val="TableContents"/>
              <w:spacing w:before="0" w:after="0"/>
              <w:ind w:left="0" w:right="0" w:firstLine="300"/>
              <w:rPr/>
            </w:pPr>
            <w:r>
              <w:rPr/>
              <w:t> </w:t>
            </w:r>
          </w:p>
        </w:tc>
      </w:tr>
      <w:tr>
        <w:trPr/>
        <w:tc>
          <w:tcPr>
            <w:tcW w:w="20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right-of-use asset</w:t>
            </w:r>
          </w:p>
        </w:tc>
        <w:tc>
          <w:tcPr>
            <w:tcW w:w="613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Depreciation, depletion and amortization</w:t>
            </w:r>
          </w:p>
        </w:tc>
        <w:tc>
          <w:tcPr>
            <w:tcW w:w="119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17</w:t>
            </w:r>
          </w:p>
        </w:tc>
        <w:tc>
          <w:tcPr>
            <w:tcW w:w="818"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on lease liabilities</w:t>
            </w:r>
          </w:p>
        </w:tc>
        <w:tc>
          <w:tcPr>
            <w:tcW w:w="6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incurred net of amounts capitalized (including amortization of debt issuance costs, premiums and discounts)</w:t>
            </w:r>
          </w:p>
        </w:tc>
        <w:tc>
          <w:tcPr>
            <w:tcW w:w="11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81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6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lease cost</w:t>
            </w:r>
          </w:p>
        </w:tc>
        <w:tc>
          <w:tcPr>
            <w:tcW w:w="6135" w:type="dxa"/>
            <w:tcBorders/>
            <w:shd w:fill="CEFFE7" w:val="clear"/>
            <w:vAlign w:val="center"/>
          </w:tcPr>
          <w:p>
            <w:pPr>
              <w:pStyle w:val="TableContents"/>
              <w:spacing w:before="0" w:after="0"/>
              <w:ind w:left="0" w:right="0" w:firstLine="30"/>
              <w:rPr/>
            </w:pPr>
            <w:r>
              <w:rPr/>
              <w:t> </w:t>
            </w:r>
          </w:p>
        </w:tc>
        <w:tc>
          <w:tcPr>
            <w:tcW w:w="32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331</w:t>
            </w:r>
          </w:p>
        </w:tc>
        <w:tc>
          <w:tcPr>
            <w:tcW w:w="818"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Supplemental balance sheet information related to leases was as follows (in thousands):</w:t>
      </w:r>
    </w:p>
    <w:tbl>
      <w:tblPr>
        <w:tblW w:w="7348" w:type="dxa"/>
        <w:jc w:val="center"/>
        <w:tblInd w:w="0" w:type="dxa"/>
        <w:tblCellMar>
          <w:top w:w="0" w:type="dxa"/>
          <w:left w:w="0" w:type="dxa"/>
          <w:bottom w:w="0" w:type="dxa"/>
          <w:right w:w="0" w:type="dxa"/>
        </w:tblCellMar>
      </w:tblPr>
      <w:tblGrid>
        <w:gridCol w:w="1985"/>
        <w:gridCol w:w="3560"/>
        <w:gridCol w:w="243"/>
        <w:gridCol w:w="946"/>
        <w:gridCol w:w="614"/>
      </w:tblGrid>
      <w:tr>
        <w:trPr/>
        <w:tc>
          <w:tcPr>
            <w:tcW w:w="7348" w:type="dxa"/>
            <w:gridSpan w:val="5"/>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85" w:type="dxa"/>
            <w:tcBorders/>
            <w:shd w:fill="auto" w:val="clear"/>
            <w:vAlign w:val="center"/>
          </w:tcPr>
          <w:p>
            <w:pPr>
              <w:pStyle w:val="TableContents"/>
              <w:spacing w:before="0" w:after="0"/>
              <w:ind w:left="0" w:right="0" w:firstLine="30"/>
              <w:rPr/>
            </w:pPr>
            <w:r>
              <w:rPr/>
              <w:t> </w:t>
            </w:r>
          </w:p>
        </w:tc>
        <w:tc>
          <w:tcPr>
            <w:tcW w:w="356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Balance Sheet Location</w:t>
            </w:r>
          </w:p>
        </w:tc>
        <w:tc>
          <w:tcPr>
            <w:tcW w:w="18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As of March 31, 2019</w:t>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3560" w:type="dxa"/>
            <w:tcBorders/>
            <w:shd w:fill="CEFFE7" w:val="clear"/>
            <w:vAlign w:val="center"/>
          </w:tcPr>
          <w:p>
            <w:pPr>
              <w:pStyle w:val="TableContents"/>
              <w:spacing w:before="0" w:after="0"/>
              <w:ind w:left="0" w:right="0" w:firstLine="30"/>
              <w:rPr/>
            </w:pPr>
            <w:r>
              <w:rPr/>
              <w:t> </w:t>
            </w:r>
          </w:p>
        </w:tc>
        <w:tc>
          <w:tcPr>
            <w:tcW w:w="1803" w:type="dxa"/>
            <w:gridSpan w:val="3"/>
            <w:tcBorders/>
            <w:shd w:fill="CEFFE7" w:val="clear"/>
            <w:vAlign w:val="center"/>
          </w:tcPr>
          <w:p>
            <w:pPr>
              <w:pStyle w:val="TableContents"/>
              <w:spacing w:before="0" w:after="0"/>
              <w:ind w:left="0" w:right="0" w:firstLine="300"/>
              <w:rPr/>
            </w:pPr>
            <w:r>
              <w:rPr/>
              <w:t> </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assets</w:t>
            </w:r>
          </w:p>
        </w:tc>
        <w:tc>
          <w:tcPr>
            <w:tcW w:w="35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non-current</w:t>
            </w:r>
          </w:p>
        </w:tc>
        <w:tc>
          <w:tcPr>
            <w:tcW w:w="2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shd w:fill="auto" w:val="clear"/>
            <w:vAlign w:val="center"/>
          </w:tcPr>
          <w:p>
            <w:pPr>
              <w:pStyle w:val="TableContents"/>
              <w:spacing w:before="0" w:after="0"/>
              <w:jc w:val="right"/>
              <w:rPr>
                <w:rFonts w:ascii="inherit" w:hAnsi="inherit"/>
                <w:sz w:val="17"/>
              </w:rPr>
            </w:pPr>
            <w:r>
              <w:rPr>
                <w:rFonts w:ascii="inherit" w:hAnsi="inherit"/>
                <w:sz w:val="17"/>
              </w:rPr>
              <w:t>5,331</w:t>
            </w:r>
          </w:p>
        </w:tc>
        <w:tc>
          <w:tcPr>
            <w:tcW w:w="61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 assets</w:t>
            </w:r>
          </w:p>
        </w:tc>
        <w:tc>
          <w:tcPr>
            <w:tcW w:w="35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non-current</w:t>
            </w:r>
          </w:p>
        </w:tc>
        <w:tc>
          <w:tcPr>
            <w:tcW w:w="118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481</w:t>
            </w:r>
          </w:p>
        </w:tc>
        <w:tc>
          <w:tcPr>
            <w:tcW w:w="61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lease assets</w:t>
            </w:r>
          </w:p>
        </w:tc>
        <w:tc>
          <w:tcPr>
            <w:tcW w:w="3560" w:type="dxa"/>
            <w:tcBorders/>
            <w:shd w:fill="auto" w:val="clear"/>
            <w:vAlign w:val="center"/>
          </w:tcPr>
          <w:p>
            <w:pPr>
              <w:pStyle w:val="TableContents"/>
              <w:spacing w:before="0" w:after="0"/>
              <w:ind w:left="0" w:right="0" w:firstLine="30"/>
              <w:rPr/>
            </w:pPr>
            <w:r>
              <w:rPr/>
              <w:t> </w:t>
            </w:r>
          </w:p>
        </w:tc>
        <w:tc>
          <w:tcPr>
            <w:tcW w:w="2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5,812</w:t>
            </w:r>
          </w:p>
        </w:tc>
        <w:tc>
          <w:tcPr>
            <w:tcW w:w="61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5" w:type="dxa"/>
            <w:tcBorders/>
            <w:shd w:fill="CEFFE7" w:val="clear"/>
            <w:vAlign w:val="center"/>
          </w:tcPr>
          <w:p>
            <w:pPr>
              <w:pStyle w:val="TableContents"/>
              <w:spacing w:before="0" w:after="0"/>
              <w:ind w:left="0" w:right="0" w:firstLine="30"/>
              <w:rPr/>
            </w:pPr>
            <w:r>
              <w:rPr/>
              <w:t> </w:t>
            </w:r>
          </w:p>
        </w:tc>
        <w:tc>
          <w:tcPr>
            <w:tcW w:w="3560" w:type="dxa"/>
            <w:tcBorders/>
            <w:shd w:fill="CEFFE7" w:val="clear"/>
            <w:vAlign w:val="center"/>
          </w:tcPr>
          <w:p>
            <w:pPr>
              <w:pStyle w:val="TableContents"/>
              <w:spacing w:before="0" w:after="0"/>
              <w:ind w:left="0" w:right="0" w:firstLine="30"/>
              <w:rPr/>
            </w:pPr>
            <w:r>
              <w:rPr/>
              <w:t> </w:t>
            </w:r>
          </w:p>
        </w:tc>
        <w:tc>
          <w:tcPr>
            <w:tcW w:w="1803" w:type="dxa"/>
            <w:gridSpan w:val="3"/>
            <w:tcBorders/>
            <w:shd w:fill="CEFFE7" w:val="clear"/>
            <w:vAlign w:val="center"/>
          </w:tcPr>
          <w:p>
            <w:pPr>
              <w:pStyle w:val="TableContents"/>
              <w:spacing w:before="0" w:after="0"/>
              <w:ind w:left="0" w:right="0" w:firstLine="30"/>
              <w:rPr/>
            </w:pPr>
            <w:r>
              <w:rPr/>
              <w:t> </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Liabilities:</w:t>
            </w:r>
          </w:p>
        </w:tc>
        <w:tc>
          <w:tcPr>
            <w:tcW w:w="3560" w:type="dxa"/>
            <w:tcBorders/>
            <w:shd w:fill="auto" w:val="clear"/>
            <w:vAlign w:val="center"/>
          </w:tcPr>
          <w:p>
            <w:pPr>
              <w:pStyle w:val="TableContents"/>
              <w:spacing w:before="0" w:after="0"/>
              <w:ind w:left="0" w:right="0" w:firstLine="30"/>
              <w:rPr/>
            </w:pPr>
            <w:r>
              <w:rPr/>
              <w:t> </w:t>
            </w:r>
          </w:p>
        </w:tc>
        <w:tc>
          <w:tcPr>
            <w:tcW w:w="1803" w:type="dxa"/>
            <w:gridSpan w:val="3"/>
            <w:tcBorders/>
            <w:shd w:fill="auto" w:val="clear"/>
            <w:vAlign w:val="center"/>
          </w:tcPr>
          <w:p>
            <w:pPr>
              <w:pStyle w:val="TableContents"/>
              <w:spacing w:before="0" w:after="0"/>
              <w:ind w:left="0" w:right="0" w:firstLine="180"/>
              <w:rPr/>
            </w:pPr>
            <w:r>
              <w:rPr/>
              <w:t> </w:t>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3560" w:type="dxa"/>
            <w:tcBorders/>
            <w:shd w:fill="CEFFE7" w:val="clear"/>
            <w:vAlign w:val="center"/>
          </w:tcPr>
          <w:p>
            <w:pPr>
              <w:pStyle w:val="TableContents"/>
              <w:spacing w:before="0" w:after="0"/>
              <w:ind w:left="0" w:right="0" w:firstLine="30"/>
              <w:rPr/>
            </w:pPr>
            <w:r>
              <w:rPr/>
              <w:t> </w:t>
            </w:r>
          </w:p>
        </w:tc>
        <w:tc>
          <w:tcPr>
            <w:tcW w:w="1803" w:type="dxa"/>
            <w:gridSpan w:val="3"/>
            <w:tcBorders/>
            <w:shd w:fill="CEFFE7" w:val="clear"/>
            <w:vAlign w:val="center"/>
          </w:tcPr>
          <w:p>
            <w:pPr>
              <w:pStyle w:val="TableContents"/>
              <w:spacing w:before="0" w:after="0"/>
              <w:ind w:left="0" w:right="0" w:firstLine="300"/>
              <w:rPr/>
            </w:pPr>
            <w:r>
              <w:rPr/>
              <w:t> </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35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2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shd w:fill="auto" w:val="clear"/>
            <w:vAlign w:val="center"/>
          </w:tcPr>
          <w:p>
            <w:pPr>
              <w:pStyle w:val="TableContents"/>
              <w:spacing w:before="0" w:after="0"/>
              <w:jc w:val="right"/>
              <w:rPr>
                <w:rFonts w:ascii="inherit" w:hAnsi="inherit"/>
                <w:sz w:val="17"/>
              </w:rPr>
            </w:pPr>
            <w:r>
              <w:rPr>
                <w:rFonts w:ascii="inherit" w:hAnsi="inherit"/>
                <w:sz w:val="17"/>
              </w:rPr>
              <w:t>974</w:t>
            </w:r>
          </w:p>
        </w:tc>
        <w:tc>
          <w:tcPr>
            <w:tcW w:w="61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35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18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92</w:t>
            </w:r>
          </w:p>
        </w:tc>
        <w:tc>
          <w:tcPr>
            <w:tcW w:w="61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5" w:type="dxa"/>
            <w:tcBorders/>
            <w:shd w:fill="auto" w:val="clear"/>
            <w:vAlign w:val="center"/>
          </w:tcPr>
          <w:p>
            <w:pPr>
              <w:pStyle w:val="TableContents"/>
              <w:spacing w:before="0" w:after="0"/>
              <w:ind w:left="0" w:right="0" w:firstLine="30"/>
              <w:rPr/>
            </w:pPr>
            <w:r>
              <w:rPr/>
              <w:t> </w:t>
            </w:r>
          </w:p>
        </w:tc>
        <w:tc>
          <w:tcPr>
            <w:tcW w:w="3560" w:type="dxa"/>
            <w:tcBorders/>
            <w:shd w:fill="auto" w:val="clear"/>
            <w:vAlign w:val="center"/>
          </w:tcPr>
          <w:p>
            <w:pPr>
              <w:pStyle w:val="TableContents"/>
              <w:spacing w:before="0" w:after="0"/>
              <w:ind w:left="0" w:right="0" w:firstLine="30"/>
              <w:rPr/>
            </w:pPr>
            <w:r>
              <w:rPr/>
              <w:t> </w:t>
            </w:r>
          </w:p>
        </w:tc>
        <w:tc>
          <w:tcPr>
            <w:tcW w:w="1803" w:type="dxa"/>
            <w:gridSpan w:val="3"/>
            <w:tcBorders/>
            <w:shd w:fill="auto" w:val="clear"/>
            <w:vAlign w:val="center"/>
          </w:tcPr>
          <w:p>
            <w:pPr>
              <w:pStyle w:val="TableContents"/>
              <w:spacing w:before="0" w:after="0"/>
              <w:ind w:left="0" w:right="0" w:firstLine="180"/>
              <w:rPr/>
            </w:pPr>
            <w:r>
              <w:rPr/>
              <w:t> </w:t>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Noncurrent:</w:t>
            </w:r>
          </w:p>
        </w:tc>
        <w:tc>
          <w:tcPr>
            <w:tcW w:w="3560" w:type="dxa"/>
            <w:tcBorders/>
            <w:shd w:fill="CEFFE7" w:val="clear"/>
            <w:vAlign w:val="center"/>
          </w:tcPr>
          <w:p>
            <w:pPr>
              <w:pStyle w:val="TableContents"/>
              <w:spacing w:before="0" w:after="0"/>
              <w:ind w:left="0" w:right="0" w:firstLine="30"/>
              <w:rPr/>
            </w:pPr>
            <w:r>
              <w:rPr/>
              <w:t> </w:t>
            </w:r>
          </w:p>
        </w:tc>
        <w:tc>
          <w:tcPr>
            <w:tcW w:w="1803" w:type="dxa"/>
            <w:gridSpan w:val="3"/>
            <w:tcBorders/>
            <w:shd w:fill="CEFFE7" w:val="clear"/>
            <w:vAlign w:val="center"/>
          </w:tcPr>
          <w:p>
            <w:pPr>
              <w:pStyle w:val="TableContents"/>
              <w:spacing w:before="0" w:after="0"/>
              <w:ind w:left="0" w:right="0" w:firstLine="300"/>
              <w:rPr/>
            </w:pPr>
            <w:r>
              <w:rPr/>
              <w:t> </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35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deferred credits and other liabilities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4,563</w:t>
            </w:r>
          </w:p>
        </w:tc>
        <w:tc>
          <w:tcPr>
            <w:tcW w:w="61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98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35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deferred credits and other liabilities</w:t>
            </w:r>
          </w:p>
        </w:tc>
        <w:tc>
          <w:tcPr>
            <w:tcW w:w="118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391</w:t>
            </w:r>
          </w:p>
        </w:tc>
        <w:tc>
          <w:tcPr>
            <w:tcW w:w="61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lease liabilities</w:t>
            </w:r>
          </w:p>
        </w:tc>
        <w:tc>
          <w:tcPr>
            <w:tcW w:w="3560" w:type="dxa"/>
            <w:tcBorders/>
            <w:shd w:fill="auto" w:val="clear"/>
            <w:vAlign w:val="center"/>
          </w:tcPr>
          <w:p>
            <w:pPr>
              <w:pStyle w:val="TableContents"/>
              <w:spacing w:before="0" w:after="0"/>
              <w:ind w:left="0" w:right="0" w:firstLine="30"/>
              <w:rPr/>
            </w:pPr>
            <w:r>
              <w:rPr/>
              <w:t> </w:t>
            </w:r>
          </w:p>
        </w:tc>
        <w:tc>
          <w:tcPr>
            <w:tcW w:w="2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6,020</w:t>
            </w:r>
          </w:p>
        </w:tc>
        <w:tc>
          <w:tcPr>
            <w:tcW w:w="61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Supplemental cash flow information related to leases was as follows (in thousands):</w:t>
      </w:r>
    </w:p>
    <w:tbl>
      <w:tblPr>
        <w:tblW w:w="8408" w:type="dxa"/>
        <w:jc w:val="center"/>
        <w:tblInd w:w="0" w:type="dxa"/>
        <w:tblCellMar>
          <w:top w:w="0" w:type="dxa"/>
          <w:left w:w="0" w:type="dxa"/>
          <w:bottom w:w="0" w:type="dxa"/>
          <w:right w:w="0" w:type="dxa"/>
        </w:tblCellMar>
      </w:tblPr>
      <w:tblGrid>
        <w:gridCol w:w="5315"/>
        <w:gridCol w:w="418"/>
        <w:gridCol w:w="1622"/>
        <w:gridCol w:w="1053"/>
      </w:tblGrid>
      <w:tr>
        <w:trPr/>
        <w:tc>
          <w:tcPr>
            <w:tcW w:w="8408" w:type="dxa"/>
            <w:gridSpan w:val="4"/>
            <w:tcBorders/>
            <w:shd w:fill="auto" w:val="clear"/>
            <w:vAlign w:val="center"/>
          </w:tcPr>
          <w:p>
            <w:pPr>
              <w:pStyle w:val="TableContents"/>
              <w:spacing w:before="0" w:after="283"/>
              <w:rPr>
                <w:sz w:val="4"/>
                <w:szCs w:val="4"/>
              </w:rPr>
            </w:pPr>
            <w:r>
              <w:rPr>
                <w:sz w:val="4"/>
                <w:szCs w:val="4"/>
              </w:rPr>
            </w:r>
          </w:p>
        </w:tc>
      </w:tr>
      <w:tr>
        <w:trPr/>
        <w:tc>
          <w:tcPr>
            <w:tcW w:w="53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5" w:type="dxa"/>
            <w:tcBorders/>
            <w:shd w:fill="auto" w:val="clear"/>
            <w:vAlign w:val="center"/>
          </w:tcPr>
          <w:p>
            <w:pPr>
              <w:pStyle w:val="TableContents"/>
              <w:spacing w:before="0" w:after="0"/>
              <w:ind w:left="0" w:right="0" w:firstLine="30"/>
              <w:rPr/>
            </w:pPr>
            <w:r>
              <w:rPr/>
              <w:t> </w:t>
            </w:r>
          </w:p>
        </w:tc>
        <w:tc>
          <w:tcPr>
            <w:tcW w:w="30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 2019</w:t>
            </w:r>
          </w:p>
        </w:tc>
      </w:tr>
      <w:tr>
        <w:trPr/>
        <w:tc>
          <w:tcPr>
            <w:tcW w:w="5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Cash paid included in the measurement of lease liabilities:</w:t>
            </w:r>
          </w:p>
        </w:tc>
        <w:tc>
          <w:tcPr>
            <w:tcW w:w="3093" w:type="dxa"/>
            <w:gridSpan w:val="3"/>
            <w:tcBorders/>
            <w:shd w:fill="CEFFE7" w:val="clear"/>
            <w:vAlign w:val="center"/>
          </w:tcPr>
          <w:p>
            <w:pPr>
              <w:pStyle w:val="TableContents"/>
              <w:spacing w:before="0" w:after="0"/>
              <w:ind w:left="0" w:right="0" w:firstLine="300"/>
              <w:rPr/>
            </w:pPr>
            <w:r>
              <w:rPr/>
              <w:t> </w:t>
            </w:r>
          </w:p>
        </w:tc>
      </w:tr>
      <w:tr>
        <w:trPr/>
        <w:tc>
          <w:tcPr>
            <w:tcW w:w="5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cash flows from operating leases</w:t>
            </w:r>
          </w:p>
        </w:tc>
        <w:tc>
          <w:tcPr>
            <w:tcW w:w="4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622" w:type="dxa"/>
            <w:tcBorders/>
            <w:shd w:fill="auto" w:val="clear"/>
            <w:vAlign w:val="center"/>
          </w:tcPr>
          <w:p>
            <w:pPr>
              <w:pStyle w:val="TableContents"/>
              <w:spacing w:before="0" w:after="0"/>
              <w:jc w:val="right"/>
              <w:rPr>
                <w:rFonts w:ascii="inherit" w:hAnsi="inherit"/>
                <w:sz w:val="17"/>
              </w:rPr>
            </w:pPr>
            <w:r>
              <w:rPr>
                <w:rFonts w:ascii="inherit" w:hAnsi="inherit"/>
                <w:sz w:val="17"/>
              </w:rPr>
              <w:t>246</w:t>
            </w:r>
          </w:p>
        </w:tc>
        <w:tc>
          <w:tcPr>
            <w:tcW w:w="105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Operating cash flows from finance lease</w:t>
            </w:r>
          </w:p>
        </w:tc>
        <w:tc>
          <w:tcPr>
            <w:tcW w:w="418"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622" w:type="dxa"/>
            <w:tcBorders/>
            <w:shd w:fill="CEFFE7" w:val="clear"/>
            <w:vAlign w:val="center"/>
          </w:tcPr>
          <w:p>
            <w:pPr>
              <w:pStyle w:val="TableContents"/>
              <w:spacing w:before="0" w:after="0"/>
              <w:jc w:val="right"/>
              <w:rPr>
                <w:rFonts w:ascii="inherit" w:hAnsi="inherit"/>
                <w:sz w:val="17"/>
              </w:rPr>
            </w:pPr>
            <w:r>
              <w:rPr>
                <w:rFonts w:ascii="inherit" w:hAnsi="inherit"/>
                <w:sz w:val="17"/>
              </w:rPr>
              <w:t>3</w:t>
            </w:r>
          </w:p>
        </w:tc>
        <w:tc>
          <w:tcPr>
            <w:tcW w:w="1053"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cash flows from finance lease</w:t>
            </w:r>
          </w:p>
        </w:tc>
        <w:tc>
          <w:tcPr>
            <w:tcW w:w="4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622"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0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Right-of-use assets obtained in exchange for lease obligations:</w:t>
            </w:r>
          </w:p>
        </w:tc>
        <w:tc>
          <w:tcPr>
            <w:tcW w:w="3093" w:type="dxa"/>
            <w:gridSpan w:val="3"/>
            <w:tcBorders/>
            <w:shd w:fill="CEFFE7" w:val="clear"/>
            <w:vAlign w:val="center"/>
          </w:tcPr>
          <w:p>
            <w:pPr>
              <w:pStyle w:val="TableContents"/>
              <w:spacing w:before="0" w:after="0"/>
              <w:ind w:left="0" w:right="0" w:firstLine="300"/>
              <w:rPr/>
            </w:pPr>
            <w:r>
              <w:rPr/>
              <w:t> </w:t>
            </w:r>
          </w:p>
        </w:tc>
      </w:tr>
      <w:tr>
        <w:trPr/>
        <w:tc>
          <w:tcPr>
            <w:tcW w:w="5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4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622" w:type="dxa"/>
            <w:tcBorders/>
            <w:shd w:fill="auto" w:val="clear"/>
            <w:vAlign w:val="center"/>
          </w:tcPr>
          <w:p>
            <w:pPr>
              <w:pStyle w:val="TableContents"/>
              <w:spacing w:before="0" w:after="0"/>
              <w:jc w:val="right"/>
              <w:rPr>
                <w:rFonts w:ascii="inherit" w:hAnsi="inherit"/>
                <w:sz w:val="17"/>
              </w:rPr>
            </w:pPr>
            <w:r>
              <w:rPr>
                <w:rFonts w:ascii="inherit" w:hAnsi="inherit"/>
                <w:sz w:val="17"/>
              </w:rPr>
              <w:t>2,328</w:t>
            </w:r>
          </w:p>
        </w:tc>
        <w:tc>
          <w:tcPr>
            <w:tcW w:w="105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418"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622" w:type="dxa"/>
            <w:tcBorders/>
            <w:shd w:fill="CEFFE7" w:val="clear"/>
            <w:vAlign w:val="center"/>
          </w:tcPr>
          <w:p>
            <w:pPr>
              <w:pStyle w:val="TableContents"/>
              <w:spacing w:before="0" w:after="0"/>
              <w:jc w:val="right"/>
              <w:rPr/>
            </w:pPr>
            <w:r>
              <w:rPr/>
              <w:t>—</w:t>
            </w:r>
          </w:p>
        </w:tc>
        <w:tc>
          <w:tcPr>
            <w:tcW w:w="1053" w:type="dxa"/>
            <w:tcBorders/>
            <w:shd w:fill="CEFFE7"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tbl>
      <w:tblPr>
        <w:tblW w:w="5964" w:type="dxa"/>
        <w:jc w:val="center"/>
        <w:tblInd w:w="0" w:type="dxa"/>
        <w:tblCellMar>
          <w:top w:w="0" w:type="dxa"/>
          <w:left w:w="0" w:type="dxa"/>
          <w:bottom w:w="0" w:type="dxa"/>
          <w:right w:w="0" w:type="dxa"/>
        </w:tblCellMar>
      </w:tblPr>
      <w:tblGrid>
        <w:gridCol w:w="4160"/>
        <w:gridCol w:w="1155"/>
        <w:gridCol w:w="649"/>
      </w:tblGrid>
      <w:tr>
        <w:trPr/>
        <w:tc>
          <w:tcPr>
            <w:tcW w:w="5964" w:type="dxa"/>
            <w:gridSpan w:val="3"/>
            <w:tcBorders/>
            <w:shd w:fill="auto" w:val="clear"/>
            <w:vAlign w:val="center"/>
          </w:tcPr>
          <w:p>
            <w:pPr>
              <w:pStyle w:val="TableContents"/>
              <w:spacing w:before="0" w:after="283"/>
              <w:rPr>
                <w:sz w:val="4"/>
                <w:szCs w:val="4"/>
              </w:rPr>
            </w:pPr>
            <w:r>
              <w:rPr>
                <w:sz w:val="4"/>
                <w:szCs w:val="4"/>
              </w:rPr>
            </w:r>
          </w:p>
        </w:tc>
      </w:tr>
      <w:tr>
        <w:trPr/>
        <w:tc>
          <w:tcPr>
            <w:tcW w:w="416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60" w:type="dxa"/>
            <w:tcBorders/>
            <w:shd w:fill="auto" w:val="clear"/>
            <w:vAlign w:val="center"/>
          </w:tcPr>
          <w:p>
            <w:pPr>
              <w:pStyle w:val="TableContents"/>
              <w:spacing w:before="0" w:after="0"/>
              <w:ind w:left="0" w:right="0" w:firstLine="30"/>
              <w:rPr/>
            </w:pPr>
            <w:r>
              <w:rPr/>
              <w:t> </w:t>
            </w:r>
          </w:p>
        </w:tc>
        <w:tc>
          <w:tcPr>
            <w:tcW w:w="180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As of March 31, 2019</w:t>
            </w:r>
          </w:p>
        </w:tc>
      </w:tr>
      <w:tr>
        <w:trPr/>
        <w:tc>
          <w:tcPr>
            <w:tcW w:w="41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remaining lease term (years):</w:t>
            </w:r>
          </w:p>
        </w:tc>
        <w:tc>
          <w:tcPr>
            <w:tcW w:w="1804" w:type="dxa"/>
            <w:gridSpan w:val="2"/>
            <w:tcBorders/>
            <w:shd w:fill="CEFFE7" w:val="clear"/>
            <w:vAlign w:val="center"/>
          </w:tcPr>
          <w:p>
            <w:pPr>
              <w:pStyle w:val="TableContents"/>
              <w:spacing w:before="0" w:after="0"/>
              <w:ind w:left="0" w:right="0" w:firstLine="180"/>
              <w:rPr/>
            </w:pPr>
            <w:r>
              <w:rPr/>
              <w:t> </w:t>
            </w:r>
          </w:p>
        </w:tc>
      </w:tr>
      <w:tr>
        <w:trPr/>
        <w:tc>
          <w:tcPr>
            <w:tcW w:w="4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8 years</w:t>
            </w:r>
          </w:p>
        </w:tc>
        <w:tc>
          <w:tcPr>
            <w:tcW w:w="6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1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1155" w:type="dxa"/>
            <w:tcBorders/>
            <w:shd w:fill="CEFFE7" w:val="clear"/>
            <w:vAlign w:val="center"/>
          </w:tcPr>
          <w:p>
            <w:pPr>
              <w:pStyle w:val="TableContents"/>
              <w:spacing w:before="0" w:after="0"/>
              <w:jc w:val="right"/>
              <w:rPr>
                <w:rFonts w:ascii="inherit" w:hAnsi="inherit"/>
                <w:sz w:val="17"/>
              </w:rPr>
            </w:pPr>
            <w:r>
              <w:rPr>
                <w:rFonts w:ascii="inherit" w:hAnsi="inherit"/>
                <w:sz w:val="17"/>
              </w:rPr>
              <w:t>5 years</w:t>
            </w:r>
          </w:p>
        </w:tc>
        <w:tc>
          <w:tcPr>
            <w:tcW w:w="6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60" w:type="dxa"/>
            <w:tcBorders/>
            <w:shd w:fill="auto" w:val="clear"/>
            <w:vAlign w:val="center"/>
          </w:tcPr>
          <w:p>
            <w:pPr>
              <w:pStyle w:val="TableContents"/>
              <w:spacing w:before="0" w:after="0"/>
              <w:ind w:left="0" w:right="0" w:firstLine="30"/>
              <w:rPr/>
            </w:pPr>
            <w:r>
              <w:rPr/>
              <w:t> </w:t>
            </w:r>
          </w:p>
        </w:tc>
        <w:tc>
          <w:tcPr>
            <w:tcW w:w="1804" w:type="dxa"/>
            <w:gridSpan w:val="2"/>
            <w:tcBorders/>
            <w:shd w:fill="auto" w:val="clear"/>
            <w:vAlign w:val="center"/>
          </w:tcPr>
          <w:p>
            <w:pPr>
              <w:pStyle w:val="TableContents"/>
              <w:spacing w:before="0" w:after="0"/>
              <w:ind w:left="0" w:right="0" w:firstLine="30"/>
              <w:rPr/>
            </w:pPr>
            <w:r>
              <w:rPr/>
              <w:t> </w:t>
            </w:r>
          </w:p>
        </w:tc>
      </w:tr>
      <w:tr>
        <w:trPr/>
        <w:tc>
          <w:tcPr>
            <w:tcW w:w="41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discount rate:</w:t>
            </w:r>
          </w:p>
        </w:tc>
        <w:tc>
          <w:tcPr>
            <w:tcW w:w="1804" w:type="dxa"/>
            <w:gridSpan w:val="2"/>
            <w:tcBorders/>
            <w:shd w:fill="CEFFE7" w:val="clear"/>
            <w:vAlign w:val="center"/>
          </w:tcPr>
          <w:p>
            <w:pPr>
              <w:pStyle w:val="TableContents"/>
              <w:spacing w:before="0" w:after="0"/>
              <w:ind w:left="0" w:right="0" w:firstLine="180"/>
              <w:rPr/>
            </w:pPr>
            <w:r>
              <w:rPr/>
              <w:t> </w:t>
            </w:r>
          </w:p>
        </w:tc>
      </w:tr>
      <w:tr>
        <w:trPr/>
        <w:tc>
          <w:tcPr>
            <w:tcW w:w="4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4.23</w:t>
            </w:r>
          </w:p>
        </w:tc>
        <w:tc>
          <w:tcPr>
            <w:tcW w:w="64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1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1155" w:type="dxa"/>
            <w:tcBorders/>
            <w:shd w:fill="CEFFE7" w:val="clear"/>
            <w:vAlign w:val="center"/>
          </w:tcPr>
          <w:p>
            <w:pPr>
              <w:pStyle w:val="TableContents"/>
              <w:spacing w:before="0" w:after="0"/>
              <w:jc w:val="right"/>
              <w:rPr>
                <w:rFonts w:ascii="inherit" w:hAnsi="inherit"/>
                <w:sz w:val="17"/>
              </w:rPr>
            </w:pPr>
            <w:r>
              <w:rPr>
                <w:rFonts w:ascii="inherit" w:hAnsi="inherit"/>
                <w:sz w:val="17"/>
              </w:rPr>
              <w:t>4.21</w:t>
            </w:r>
          </w:p>
        </w:tc>
        <w:tc>
          <w:tcPr>
            <w:tcW w:w="649"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As of March 31, 2019, scheduled maturities of lease liabilities for future years were as follows (in thousands):</w:t>
      </w:r>
    </w:p>
    <w:tbl>
      <w:tblPr>
        <w:tblW w:w="6202" w:type="dxa"/>
        <w:jc w:val="center"/>
        <w:tblInd w:w="0" w:type="dxa"/>
        <w:tblCellMar>
          <w:top w:w="0" w:type="dxa"/>
          <w:left w:w="0" w:type="dxa"/>
          <w:bottom w:w="0" w:type="dxa"/>
          <w:right w:w="0" w:type="dxa"/>
        </w:tblCellMar>
      </w:tblPr>
      <w:tblGrid>
        <w:gridCol w:w="2705"/>
        <w:gridCol w:w="295"/>
        <w:gridCol w:w="1151"/>
        <w:gridCol w:w="73"/>
        <w:gridCol w:w="337"/>
        <w:gridCol w:w="905"/>
        <w:gridCol w:w="81"/>
        <w:gridCol w:w="125"/>
        <w:gridCol w:w="485"/>
        <w:gridCol w:w="45"/>
      </w:tblGrid>
      <w:tr>
        <w:trPr/>
        <w:tc>
          <w:tcPr>
            <w:tcW w:w="6202" w:type="dxa"/>
            <w:gridSpan w:val="10"/>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05"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Operating Leases</w:t>
            </w:r>
          </w:p>
        </w:tc>
        <w:tc>
          <w:tcPr>
            <w:tcW w:w="13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Finance Leases</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Total</w:t>
            </w:r>
          </w:p>
        </w:tc>
      </w:tr>
      <w:tr>
        <w:trPr/>
        <w:tc>
          <w:tcPr>
            <w:tcW w:w="270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2019 </w:t>
            </w:r>
            <w:r>
              <w:rPr>
                <w:rFonts w:ascii="inherit" w:hAnsi="inherit"/>
                <w:sz w:val="12"/>
              </w:rPr>
              <w:t>(a)</w:t>
            </w:r>
          </w:p>
        </w:tc>
        <w:tc>
          <w:tcPr>
            <w:tcW w:w="29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952</w:t>
            </w:r>
          </w:p>
        </w:tc>
        <w:tc>
          <w:tcPr>
            <w:tcW w:w="7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3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83</w:t>
            </w:r>
          </w:p>
        </w:tc>
        <w:tc>
          <w:tcPr>
            <w:tcW w:w="8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1,035</w:t>
            </w:r>
          </w:p>
        </w:tc>
        <w:tc>
          <w:tcPr>
            <w:tcW w:w="4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14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936</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144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820</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111</w:t>
            </w:r>
          </w:p>
        </w:tc>
        <w:tc>
          <w:tcPr>
            <w:tcW w:w="8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931</w:t>
            </w:r>
          </w:p>
        </w:tc>
        <w:tc>
          <w:tcPr>
            <w:tcW w:w="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14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698</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1446"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699</w:t>
            </w:r>
          </w:p>
        </w:tc>
        <w:tc>
          <w:tcPr>
            <w:tcW w:w="7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110</w:t>
            </w:r>
          </w:p>
        </w:tc>
        <w:tc>
          <w:tcPr>
            <w:tcW w:w="8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809</w:t>
            </w:r>
          </w:p>
        </w:tc>
        <w:tc>
          <w:tcPr>
            <w:tcW w:w="4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Thereafter</w:t>
            </w:r>
          </w:p>
        </w:tc>
        <w:tc>
          <w:tcPr>
            <w:tcW w:w="14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CEFFE7" w:val="clear"/>
            <w:vAlign w:val="center"/>
          </w:tcPr>
          <w:p>
            <w:pPr>
              <w:pStyle w:val="TableContents"/>
              <w:spacing w:lineRule="auto" w:line="288" w:before="0" w:after="0"/>
              <w:ind w:left="0" w:right="0" w:firstLine="30"/>
              <w:rPr>
                <w:sz w:val="17"/>
              </w:rPr>
            </w:pPr>
            <w:r>
              <w:rPr>
                <w:rFonts w:ascii="inherit" w:hAnsi="inherit"/>
                <w:sz w:val="17"/>
              </w:rPr>
              <w:t>Total lease payments</w:t>
            </w:r>
            <w:r>
              <w:rPr>
                <w:sz w:val="17"/>
              </w:rPr>
              <w:t> </w:t>
            </w:r>
            <w:r>
              <w:rPr>
                <w:rFonts w:ascii="inherit" w:hAnsi="inherit"/>
                <w:sz w:val="12"/>
              </w:rPr>
              <w:t>(b)</w:t>
            </w:r>
          </w:p>
        </w:tc>
        <w:tc>
          <w:tcPr>
            <w:tcW w:w="29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6,758</w:t>
            </w:r>
          </w:p>
        </w:tc>
        <w:tc>
          <w:tcPr>
            <w:tcW w:w="7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3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535</w:t>
            </w:r>
          </w:p>
        </w:tc>
        <w:tc>
          <w:tcPr>
            <w:tcW w:w="8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7,293</w:t>
            </w:r>
          </w:p>
        </w:tc>
        <w:tc>
          <w:tcPr>
            <w:tcW w:w="4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imputed interest</w:t>
            </w:r>
          </w:p>
        </w:tc>
        <w:tc>
          <w:tcPr>
            <w:tcW w:w="14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Present value of lease liabilities</w:t>
            </w:r>
          </w:p>
        </w:tc>
        <w:tc>
          <w:tcPr>
            <w:tcW w:w="2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5,537</w:t>
            </w:r>
          </w:p>
        </w:tc>
        <w:tc>
          <w:tcPr>
            <w:tcW w:w="7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3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483</w:t>
            </w:r>
          </w:p>
        </w:tc>
        <w:tc>
          <w:tcPr>
            <w:tcW w:w="8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6,020</w:t>
            </w:r>
          </w:p>
        </w:tc>
        <w:tc>
          <w:tcPr>
            <w:tcW w:w="4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5"/>
        </w:rPr>
      </w:pPr>
      <w:r>
        <w:rPr>
          <w:rFonts w:ascii="inherit" w:hAnsi="inherit"/>
          <w:sz w:val="15"/>
        </w:rPr>
      </w:r>
    </w:p>
    <w:tbl>
      <w:tblPr>
        <w:tblW w:w="4975" w:type="dxa"/>
        <w:jc w:val="left"/>
        <w:tblInd w:w="0" w:type="dxa"/>
        <w:tblCellMar>
          <w:top w:w="0" w:type="dxa"/>
          <w:left w:w="0" w:type="dxa"/>
          <w:bottom w:w="0" w:type="dxa"/>
          <w:right w:w="0" w:type="dxa"/>
        </w:tblCellMar>
      </w:tblPr>
      <w:tblGrid>
        <w:gridCol w:w="245"/>
        <w:gridCol w:w="4730"/>
      </w:tblGrid>
      <w:tr>
        <w:trPr/>
        <w:tc>
          <w:tcPr>
            <w:tcW w:w="245" w:type="dxa"/>
            <w:tcBorders/>
            <w:shd w:fill="auto" w:val="clear"/>
            <w:vAlign w:val="center"/>
          </w:tcPr>
          <w:p>
            <w:pPr>
              <w:pStyle w:val="TableContents"/>
              <w:spacing w:before="0" w:after="283"/>
              <w:rPr>
                <w:sz w:val="4"/>
                <w:szCs w:val="4"/>
              </w:rPr>
            </w:pPr>
            <w:r>
              <w:rPr>
                <w:sz w:val="4"/>
                <w:szCs w:val="4"/>
              </w:rPr>
            </w:r>
          </w:p>
        </w:tc>
        <w:tc>
          <w:tcPr>
            <w:tcW w:w="473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4730" w:type="dxa"/>
            <w:tcBorders/>
            <w:shd w:fill="auto" w:val="clear"/>
            <w:vAlign w:val="center"/>
          </w:tcPr>
          <w:p>
            <w:pPr>
              <w:pStyle w:val="TableContents"/>
              <w:spacing w:lineRule="auto" w:line="288" w:before="0" w:after="0"/>
              <w:jc w:val="left"/>
              <w:rPr>
                <w:sz w:val="15"/>
              </w:rPr>
            </w:pPr>
            <w:r>
              <w:rPr>
                <w:rFonts w:ascii="inherit" w:hAnsi="inherit"/>
                <w:sz w:val="15"/>
              </w:rPr>
              <w:t>Includes lease liabilities for the remaining nine</w:t>
            </w:r>
            <w:r>
              <w:rPr>
                <w:sz w:val="15"/>
              </w:rPr>
              <w:t xml:space="preserve"> </w:t>
            </w:r>
            <w:r>
              <w:rPr>
                <w:rFonts w:ascii="inherit" w:hAnsi="inherit"/>
                <w:sz w:val="15"/>
              </w:rPr>
              <w:t>months of 2019.</w:t>
            </w:r>
          </w:p>
        </w:tc>
      </w:tr>
    </w:tbl>
    <w:tbl>
      <w:tblPr>
        <w:tblW w:w="8665" w:type="dxa"/>
        <w:jc w:val="left"/>
        <w:tblInd w:w="0" w:type="dxa"/>
        <w:tblCellMar>
          <w:top w:w="0" w:type="dxa"/>
          <w:left w:w="0" w:type="dxa"/>
          <w:bottom w:w="0" w:type="dxa"/>
          <w:right w:w="0" w:type="dxa"/>
        </w:tblCellMar>
      </w:tblPr>
      <w:tblGrid>
        <w:gridCol w:w="245"/>
        <w:gridCol w:w="8420"/>
      </w:tblGrid>
      <w:tr>
        <w:trPr/>
        <w:tc>
          <w:tcPr>
            <w:tcW w:w="245" w:type="dxa"/>
            <w:tcBorders/>
            <w:shd w:fill="auto" w:val="clear"/>
            <w:vAlign w:val="center"/>
          </w:tcPr>
          <w:p>
            <w:pPr>
              <w:pStyle w:val="TableContents"/>
              <w:spacing w:before="0" w:after="283"/>
              <w:rPr>
                <w:sz w:val="4"/>
                <w:szCs w:val="4"/>
              </w:rPr>
            </w:pPr>
            <w:r>
              <w:rPr>
                <w:sz w:val="4"/>
                <w:szCs w:val="4"/>
              </w:rPr>
            </w:r>
          </w:p>
        </w:tc>
        <w:tc>
          <w:tcPr>
            <w:tcW w:w="842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842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 xml:space="preserve">Lease payments exclude payments to landlords for common area maintenance, real estate taxes, and insurance.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As previously disclosed in Note 14 of the Notes to the Consolidated Financial Statements in our 2018</w:t>
      </w:r>
      <w:r>
        <w:rPr>
          <w:sz w:val="17"/>
        </w:rPr>
        <w:t xml:space="preserve"> </w:t>
      </w:r>
      <w:r>
        <w:rPr>
          <w:rFonts w:ascii="inherit" w:hAnsi="inherit"/>
          <w:sz w:val="17"/>
        </w:rPr>
        <w:t>Annual Report on Form 10-K, prior to the adoption of ASU 2016-02,</w:t>
      </w:r>
      <w:r>
        <w:rPr>
          <w:sz w:val="17"/>
        </w:rPr>
        <w:t xml:space="preserve"> </w:t>
      </w:r>
      <w:r>
        <w:rPr>
          <w:rFonts w:ascii="inherit" w:hAnsi="inherit"/>
          <w:i/>
          <w:sz w:val="17"/>
        </w:rPr>
        <w:t xml:space="preserve">Leases (Topic 842), </w:t>
      </w:r>
      <w:r>
        <w:rPr>
          <w:rFonts w:ascii="inherit" w:hAnsi="inherit"/>
          <w:sz w:val="17"/>
        </w:rPr>
        <w:t>the future minimum payments required under operating lease agreements as of December 31, 2018</w:t>
      </w:r>
      <w:r>
        <w:rPr>
          <w:sz w:val="17"/>
        </w:rPr>
        <w:t xml:space="preserve"> </w:t>
      </w:r>
      <w:r>
        <w:rPr>
          <w:rFonts w:ascii="inherit" w:hAnsi="inherit"/>
          <w:sz w:val="17"/>
        </w:rPr>
        <w:t>were as follows (in thousands):</w:t>
      </w:r>
    </w:p>
    <w:tbl>
      <w:tblPr>
        <w:tblW w:w="3443" w:type="dxa"/>
        <w:jc w:val="center"/>
        <w:tblInd w:w="0" w:type="dxa"/>
        <w:tblCellMar>
          <w:top w:w="0" w:type="dxa"/>
          <w:left w:w="0" w:type="dxa"/>
          <w:bottom w:w="0" w:type="dxa"/>
          <w:right w:w="0" w:type="dxa"/>
        </w:tblCellMar>
      </w:tblPr>
      <w:tblGrid>
        <w:gridCol w:w="1910"/>
        <w:gridCol w:w="291"/>
        <w:gridCol w:w="1136"/>
        <w:gridCol w:w="106"/>
      </w:tblGrid>
      <w:tr>
        <w:trPr/>
        <w:tc>
          <w:tcPr>
            <w:tcW w:w="3443" w:type="dxa"/>
            <w:gridSpan w:val="4"/>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10" w:type="dxa"/>
            <w:tcBorders/>
            <w:shd w:fill="auto" w:val="clear"/>
            <w:vAlign w:val="center"/>
          </w:tcPr>
          <w:p>
            <w:pPr>
              <w:pStyle w:val="TableContents"/>
              <w:spacing w:before="0" w:after="0"/>
              <w:ind w:left="0" w:right="0" w:firstLine="30"/>
              <w:rPr/>
            </w:pPr>
            <w:r>
              <w:rPr/>
              <w:t> </w:t>
            </w:r>
          </w:p>
        </w:tc>
        <w:tc>
          <w:tcPr>
            <w:tcW w:w="15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Operating Leases</w:t>
            </w:r>
          </w:p>
        </w:tc>
      </w:tr>
      <w:tr>
        <w:trPr/>
        <w:tc>
          <w:tcPr>
            <w:tcW w:w="19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29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1,052</w:t>
            </w:r>
          </w:p>
        </w:tc>
        <w:tc>
          <w:tcPr>
            <w:tcW w:w="106"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14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464</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142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344</w:t>
            </w:r>
          </w:p>
        </w:tc>
        <w:tc>
          <w:tcPr>
            <w:tcW w:w="10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14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142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216</w:t>
            </w:r>
          </w:p>
        </w:tc>
        <w:tc>
          <w:tcPr>
            <w:tcW w:w="10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Thereafter</w:t>
            </w:r>
          </w:p>
        </w:tc>
        <w:tc>
          <w:tcPr>
            <w:tcW w:w="14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1,776</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0" w:type="dxa"/>
            <w:tcBorders/>
            <w:shd w:fill="CEFFE7" w:val="clear"/>
            <w:vAlign w:val="center"/>
          </w:tcPr>
          <w:p>
            <w:pPr>
              <w:pStyle w:val="TableContents"/>
              <w:spacing w:lineRule="auto" w:line="288" w:before="0" w:after="0"/>
              <w:ind w:left="0" w:right="0" w:firstLine="30"/>
              <w:rPr>
                <w:sz w:val="17"/>
              </w:rPr>
            </w:pPr>
            <w:r>
              <w:rPr>
                <w:rFonts w:ascii="inherit" w:hAnsi="inherit"/>
                <w:sz w:val="17"/>
              </w:rPr>
              <w:t>Total lease payments</w:t>
            </w:r>
            <w:r>
              <w:rPr>
                <w:sz w:val="17"/>
              </w:rPr>
              <w:t> </w:t>
            </w:r>
          </w:p>
        </w:tc>
        <w:tc>
          <w:tcPr>
            <w:tcW w:w="29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4,076</w:t>
            </w:r>
          </w:p>
        </w:tc>
        <w:tc>
          <w:tcPr>
            <w:tcW w:w="10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b/>
          <w:sz w:val="17"/>
          <w:u w:val="single"/>
        </w:rPr>
      </w:pPr>
      <w:r>
        <w:rPr>
          <w:rFonts w:ascii="inherit" w:hAnsi="inherit"/>
          <w:b/>
          <w:sz w:val="17"/>
          <w:u w:val="single"/>
        </w:rPr>
        <w:t>Lessor</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We lease to third parties certain generating station ground leases, communication tower sites, and natural gas pipeline. These leases have remaining terms ranging from less than one year</w:t>
      </w:r>
      <w:r>
        <w:rPr>
          <w:sz w:val="17"/>
        </w:rPr>
        <w:t xml:space="preserve"> </w:t>
      </w:r>
      <w:r>
        <w:rPr>
          <w:rFonts w:ascii="inherit" w:hAnsi="inherit"/>
          <w:sz w:val="17"/>
        </w:rPr>
        <w:t xml:space="preserve">to 35 years.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components of lease revenue were as follows (in thousands):</w:t>
      </w:r>
    </w:p>
    <w:tbl>
      <w:tblPr>
        <w:tblW w:w="7484" w:type="dxa"/>
        <w:jc w:val="center"/>
        <w:tblInd w:w="0" w:type="dxa"/>
        <w:tblCellMar>
          <w:top w:w="0" w:type="dxa"/>
          <w:left w:w="0" w:type="dxa"/>
          <w:bottom w:w="0" w:type="dxa"/>
          <w:right w:w="0" w:type="dxa"/>
        </w:tblCellMar>
      </w:tblPr>
      <w:tblGrid>
        <w:gridCol w:w="2060"/>
        <w:gridCol w:w="2330"/>
        <w:gridCol w:w="763"/>
        <w:gridCol w:w="2052"/>
        <w:gridCol w:w="279"/>
      </w:tblGrid>
      <w:tr>
        <w:trPr/>
        <w:tc>
          <w:tcPr>
            <w:tcW w:w="7484" w:type="dxa"/>
            <w:gridSpan w:val="5"/>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rPr>
                <w:sz w:val="4"/>
                <w:szCs w:val="4"/>
              </w:rPr>
            </w:pPr>
            <w:r>
              <w:rPr>
                <w:sz w:val="4"/>
                <w:szCs w:val="4"/>
              </w:rPr>
            </w:r>
          </w:p>
        </w:tc>
        <w:tc>
          <w:tcPr>
            <w:tcW w:w="2330"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60" w:type="dxa"/>
            <w:tcBorders/>
            <w:shd w:fill="auto" w:val="clear"/>
            <w:vAlign w:val="center"/>
          </w:tcPr>
          <w:p>
            <w:pPr>
              <w:pStyle w:val="TableContents"/>
              <w:spacing w:before="0" w:after="0"/>
              <w:ind w:left="0" w:right="0" w:firstLine="30"/>
              <w:rPr/>
            </w:pPr>
            <w:r>
              <w:rPr/>
              <w:t> </w:t>
            </w:r>
          </w:p>
        </w:tc>
        <w:tc>
          <w:tcPr>
            <w:tcW w:w="233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Income Statement Location</w:t>
            </w:r>
          </w:p>
        </w:tc>
        <w:tc>
          <w:tcPr>
            <w:tcW w:w="30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 2019</w:t>
            </w:r>
          </w:p>
        </w:tc>
      </w:tr>
      <w:tr>
        <w:trPr/>
        <w:tc>
          <w:tcPr>
            <w:tcW w:w="20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income</w:t>
            </w:r>
          </w:p>
        </w:tc>
        <w:tc>
          <w:tcPr>
            <w:tcW w:w="233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763"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052"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638</w:t>
            </w:r>
          </w:p>
        </w:tc>
        <w:tc>
          <w:tcPr>
            <w:tcW w:w="279" w:type="dxa"/>
            <w:tcBorders>
              <w:top w:val="single" w:sz="2" w:space="0" w:color="000000"/>
            </w:tcBorders>
            <w:shd w:fill="CEFFE7"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As of March 31, 2019, scheduled maturities of lease receivables for future years were as follows (in thousands):</w:t>
      </w:r>
    </w:p>
    <w:tbl>
      <w:tblPr>
        <w:tblW w:w="3534" w:type="dxa"/>
        <w:jc w:val="center"/>
        <w:tblInd w:w="0" w:type="dxa"/>
        <w:tblCellMar>
          <w:top w:w="0" w:type="dxa"/>
          <w:left w:w="0" w:type="dxa"/>
          <w:bottom w:w="0" w:type="dxa"/>
          <w:right w:w="0" w:type="dxa"/>
        </w:tblCellMar>
      </w:tblPr>
      <w:tblGrid>
        <w:gridCol w:w="2000"/>
        <w:gridCol w:w="251"/>
        <w:gridCol w:w="1190"/>
        <w:gridCol w:w="93"/>
      </w:tblGrid>
      <w:tr>
        <w:trPr/>
        <w:tc>
          <w:tcPr>
            <w:tcW w:w="3534" w:type="dxa"/>
            <w:gridSpan w:val="4"/>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00" w:type="dxa"/>
            <w:tcBorders/>
            <w:shd w:fill="auto" w:val="clear"/>
            <w:vAlign w:val="center"/>
          </w:tcPr>
          <w:p>
            <w:pPr>
              <w:pStyle w:val="TableContents"/>
              <w:spacing w:before="0" w:after="0"/>
              <w:ind w:left="0" w:right="0" w:firstLine="30"/>
              <w:rPr/>
            </w:pPr>
            <w:r>
              <w:rPr/>
              <w:t> </w:t>
            </w:r>
          </w:p>
        </w:tc>
        <w:tc>
          <w:tcPr>
            <w:tcW w:w="15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Operating Leases</w:t>
            </w:r>
          </w:p>
        </w:tc>
      </w:tr>
      <w:tr>
        <w:trPr/>
        <w:tc>
          <w:tcPr>
            <w:tcW w:w="2000"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2019 </w:t>
            </w:r>
            <w:r>
              <w:rPr>
                <w:rFonts w:ascii="inherit" w:hAnsi="inherit"/>
                <w:sz w:val="12"/>
              </w:rPr>
              <w:t>(a)</w:t>
            </w:r>
          </w:p>
        </w:tc>
        <w:tc>
          <w:tcPr>
            <w:tcW w:w="25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1,652</w:t>
            </w:r>
          </w:p>
        </w:tc>
        <w:tc>
          <w:tcPr>
            <w:tcW w:w="93"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14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144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1,843</w:t>
            </w:r>
          </w:p>
        </w:tc>
        <w:tc>
          <w:tcPr>
            <w:tcW w:w="9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14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1,793</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144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1,799</w:t>
            </w:r>
          </w:p>
        </w:tc>
        <w:tc>
          <w:tcPr>
            <w:tcW w:w="9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Thereafter</w:t>
            </w:r>
          </w:p>
        </w:tc>
        <w:tc>
          <w:tcPr>
            <w:tcW w:w="14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55,481</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00" w:type="dxa"/>
            <w:tcBorders/>
            <w:shd w:fill="CEFFE7" w:val="clear"/>
            <w:vAlign w:val="center"/>
          </w:tcPr>
          <w:p>
            <w:pPr>
              <w:pStyle w:val="TableContents"/>
              <w:spacing w:before="0" w:after="0"/>
              <w:ind w:left="0" w:right="0" w:firstLine="30"/>
              <w:jc w:val="right"/>
              <w:rPr>
                <w:rFonts w:ascii="inherit" w:hAnsi="inherit"/>
                <w:sz w:val="17"/>
              </w:rPr>
            </w:pPr>
            <w:r>
              <w:rPr>
                <w:rFonts w:ascii="inherit" w:hAnsi="inherit"/>
                <w:sz w:val="17"/>
              </w:rPr>
              <w:t>Total lease receivables</w:t>
            </w:r>
          </w:p>
        </w:tc>
        <w:tc>
          <w:tcPr>
            <w:tcW w:w="25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64,578</w:t>
            </w:r>
          </w:p>
        </w:tc>
        <w:tc>
          <w:tcPr>
            <w:tcW w:w="9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5140" w:type="dxa"/>
        <w:jc w:val="left"/>
        <w:tblInd w:w="0" w:type="dxa"/>
        <w:tblCellMar>
          <w:top w:w="0" w:type="dxa"/>
          <w:left w:w="0" w:type="dxa"/>
          <w:bottom w:w="0" w:type="dxa"/>
          <w:right w:w="0" w:type="dxa"/>
        </w:tblCellMar>
      </w:tblPr>
      <w:tblGrid>
        <w:gridCol w:w="245"/>
        <w:gridCol w:w="4895"/>
      </w:tblGrid>
      <w:tr>
        <w:trPr/>
        <w:tc>
          <w:tcPr>
            <w:tcW w:w="24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4895" w:type="dxa"/>
            <w:tcBorders/>
            <w:shd w:fill="auto" w:val="clear"/>
            <w:vAlign w:val="center"/>
          </w:tcPr>
          <w:p>
            <w:pPr>
              <w:pStyle w:val="TableContents"/>
              <w:spacing w:lineRule="auto" w:line="288" w:before="0" w:after="0"/>
              <w:jc w:val="left"/>
              <w:rPr>
                <w:sz w:val="15"/>
              </w:rPr>
            </w:pPr>
            <w:r>
              <w:rPr>
                <w:rFonts w:ascii="inherit" w:hAnsi="inherit"/>
                <w:sz w:val="15"/>
              </w:rPr>
              <w:t>Includes lease receivables for the remaining nine</w:t>
            </w:r>
            <w:r>
              <w:rPr>
                <w:sz w:val="15"/>
              </w:rPr>
              <w:t xml:space="preserve"> </w:t>
            </w:r>
            <w:r>
              <w:rPr>
                <w:rFonts w:ascii="inherit" w:hAnsi="inherit"/>
                <w:sz w:val="15"/>
              </w:rPr>
              <w:t>months of 2019.</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jc w:val="right"/>
        <w:rPr>
          <w:rFonts w:ascii="inherit" w:hAnsi="inherit"/>
          <w:sz w:val="17"/>
        </w:rPr>
      </w:pPr>
      <w:r>
        <w:rPr>
          <w:rFonts w:ascii="inherit" w:hAnsi="inherit"/>
          <w:sz w:val="17"/>
        </w:rPr>
      </w:r>
      <w:bookmarkStart w:id="58" w:name="sE9EB7457B6315DC3B20540B32BDC8EFF"/>
      <w:bookmarkStart w:id="59" w:name="sE9EB7457B6315DC3B20540B32BDC8EFF"/>
      <w:bookmarkEnd w:id="59"/>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32"/>
        <w:gridCol w:w="9473"/>
      </w:tblGrid>
      <w:tr>
        <w:trPr/>
        <w:tc>
          <w:tcPr>
            <w:tcW w:w="732" w:type="dxa"/>
            <w:tcBorders/>
            <w:shd w:fill="auto" w:val="clear"/>
            <w:vAlign w:val="center"/>
          </w:tcPr>
          <w:p>
            <w:pPr>
              <w:pStyle w:val="TableContents"/>
              <w:spacing w:before="0" w:after="283"/>
              <w:rPr>
                <w:sz w:val="4"/>
                <w:szCs w:val="4"/>
              </w:rPr>
            </w:pPr>
            <w:r>
              <w:rPr>
                <w:sz w:val="4"/>
                <w:szCs w:val="4"/>
              </w:rPr>
            </w:r>
          </w:p>
        </w:tc>
        <w:tc>
          <w:tcPr>
            <w:tcW w:w="9473" w:type="dxa"/>
            <w:tcBorders/>
            <w:shd w:fill="auto" w:val="clear"/>
            <w:vAlign w:val="center"/>
          </w:tcPr>
          <w:p>
            <w:pPr>
              <w:pStyle w:val="TableContents"/>
              <w:spacing w:before="0" w:after="283"/>
              <w:rPr>
                <w:sz w:val="4"/>
                <w:szCs w:val="4"/>
              </w:rPr>
            </w:pPr>
            <w:r>
              <w:rPr>
                <w:sz w:val="4"/>
                <w:szCs w:val="4"/>
              </w:rPr>
            </w:r>
          </w:p>
        </w:tc>
      </w:tr>
      <w:tr>
        <w:trPr/>
        <w:tc>
          <w:tcPr>
            <w:tcW w:w="732" w:type="dxa"/>
            <w:tcBorders/>
            <w:shd w:fill="auto" w:val="clear"/>
            <w:vAlign w:val="center"/>
          </w:tcPr>
          <w:p>
            <w:pPr>
              <w:pStyle w:val="TableContents"/>
              <w:spacing w:lineRule="auto" w:line="288" w:before="0" w:after="0"/>
              <w:ind w:left="0" w:right="0" w:hanging="0"/>
              <w:rPr>
                <w:rFonts w:ascii="inherit" w:hAnsi="inherit"/>
                <w:b/>
                <w:sz w:val="17"/>
              </w:rPr>
            </w:pPr>
            <w:r>
              <w:rPr>
                <w:rFonts w:ascii="inherit" w:hAnsi="inherit"/>
                <w:b/>
                <w:sz w:val="17"/>
              </w:rPr>
              <w:t>ITEM 2.</w:t>
            </w:r>
          </w:p>
        </w:tc>
        <w:tc>
          <w:tcPr>
            <w:tcW w:w="9473" w:type="dxa"/>
            <w:tcBorders/>
            <w:shd w:fill="auto" w:val="clear"/>
            <w:vAlign w:val="center"/>
          </w:tcPr>
          <w:p>
            <w:pPr>
              <w:pStyle w:val="TableContents"/>
              <w:spacing w:lineRule="auto" w:line="288" w:before="0" w:after="0"/>
              <w:jc w:val="left"/>
              <w:rPr>
                <w:rFonts w:ascii="inherit" w:hAnsi="inherit"/>
                <w:b/>
                <w:sz w:val="17"/>
              </w:rPr>
            </w:pPr>
            <w:r>
              <w:rPr>
                <w:rFonts w:ascii="inherit" w:hAnsi="inherit"/>
                <w:b/>
                <w:sz w:val="17"/>
              </w:rPr>
              <w:t>MANAGEMENT’S DISCUSSION AND ANALYSIS OF FINANCIAL CONDITION AND RESULTS OF OPERATIONS.</w:t>
            </w:r>
          </w:p>
        </w:tc>
      </w:tr>
    </w:tbl>
    <w:p>
      <w:pPr>
        <w:pStyle w:val="TextBody"/>
        <w:spacing w:lineRule="auto" w:line="288" w:before="0" w:after="0"/>
        <w:ind w:left="0" w:right="0" w:hanging="108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are a customer-focused, growth-oriented utility company operating in the United States. We report our operations and results in the following financial segments: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Electric Utilities</w:t>
      </w:r>
      <w:r>
        <w:rPr>
          <w:rFonts w:ascii="inherit" w:hAnsi="inherit"/>
          <w:sz w:val="17"/>
        </w:rPr>
        <w:t>: Our Electric Utilities segment generates, transmits and distributes electricity to approximately 212,000</w:t>
      </w:r>
      <w:r>
        <w:rPr>
          <w:sz w:val="17"/>
        </w:rPr>
        <w:t xml:space="preserve"> </w:t>
      </w:r>
      <w:r>
        <w:rPr>
          <w:rFonts w:ascii="inherit" w:hAnsi="inherit"/>
          <w:sz w:val="17"/>
        </w:rPr>
        <w:t>customers in Colorado, Montana, South Dakota and Wyoming. Our electric generating facilities and power purchase agreements provide for the supply of electricity principally to our own distribution systems. Additionally, we sell excess power to other utilities and marketing companies, including our affiliates.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Gas Utilities</w:t>
      </w:r>
      <w:r>
        <w:rPr>
          <w:rFonts w:ascii="inherit" w:hAnsi="inherit"/>
          <w:sz w:val="17"/>
        </w:rPr>
        <w:t>: Our Gas Utilities conduct natural gas utility operations through our Arkansas, Colorado, Iowa, Kansas, Nebraska and Wyoming subsidiaries. Our Gas Utilities distribute and transport natural gas through our pipeline network to approximately 1,054,000</w:t>
      </w:r>
      <w:r>
        <w:rPr>
          <w:sz w:val="17"/>
        </w:rPr>
        <w:t xml:space="preserve"> </w:t>
      </w:r>
      <w:r>
        <w:rPr>
          <w:rFonts w:ascii="inherit" w:hAnsi="inherit"/>
          <w:sz w:val="17"/>
        </w:rPr>
        <w:t>natural gas customers. Additionally, we sell contractual pipeline capacity and gas commodities to other utilities and marketing companies, including our affiliates, on an as-available basis.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Our Gas Utilities also provide non-regulated services through Black Hills Energy Services. Black Hills Energy Services provides approximately 47,000</w:t>
      </w:r>
      <w:r>
        <w:rPr>
          <w:sz w:val="17"/>
        </w:rPr>
        <w:t xml:space="preserve"> </w:t>
      </w:r>
      <w:r>
        <w:rPr>
          <w:rFonts w:ascii="inherit" w:hAnsi="inherit"/>
          <w:sz w:val="17"/>
        </w:rPr>
        <w:t>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62,000</w:t>
      </w:r>
      <w:r>
        <w:rPr>
          <w:sz w:val="17"/>
        </w:rPr>
        <w:t xml:space="preserve"> </w:t>
      </w:r>
      <w:r>
        <w:rPr>
          <w:rFonts w:ascii="inherit" w:hAnsi="inherit"/>
          <w:sz w:val="17"/>
        </w:rPr>
        <w:t>and 28,000</w:t>
      </w:r>
      <w:r>
        <w:rPr>
          <w:sz w:val="17"/>
        </w:rPr>
        <w:t xml:space="preserve"> </w:t>
      </w:r>
      <w:r>
        <w:rPr>
          <w:rFonts w:ascii="inherit" w:hAnsi="inherit"/>
          <w:sz w:val="17"/>
        </w:rPr>
        <w:t>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Power Generation</w:t>
      </w:r>
      <w:r>
        <w:rPr>
          <w:rFonts w:ascii="inherit" w:hAnsi="inherit"/>
          <w:sz w:val="17"/>
        </w:rPr>
        <w:t>: Our Power Generation segment produces electric power from its generating plants and sells the electric capacity and energy principally to our utilities under long-term contracts.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Mining</w:t>
      </w:r>
      <w:r>
        <w:rPr>
          <w:rFonts w:ascii="inherit" w:hAnsi="inherit"/>
          <w:sz w:val="17"/>
        </w:rPr>
        <w:t>: Our Mining segment produces coal at our coal mine near Gillette, Wyoming and sells the coal primarily to on-site, mine-mouth power generation facilities.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Accounting standards for presentation of segments requires an approach based on the way we organize the segments for making operating decisions and how the chief operating decision maker (CODM) assesses performance.  We have changed our segment performance metrics and concluded that adjusted operating income, instead of net income available for common stock that was used previously, is the most relevant metric for measuring segment performance.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CODM assesses the performance of our segments by using adjusted operating income, which considers the power sales arrangement between Colorado IPP and Colorado Electric be treated as an executory contract. Adjusted operating income adjusts this power sales arrangement from being accounted for as a capital lease to being accounted for as an executory contract on an accrual basis. This adjustment impacts Electric Utilities and Power Generation segments and Corporate and Other. There were no adjustments to Gas Utilities and Mining segments and this adjustment had no effect on our consolidated operating income.</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The change to our segment performance measure resulted in a revision of the Company’s segment disclosures for all periods to report adjusted operating income as the measure of segment profit and adjust operating income for the power sales agreement as an executory contract and not a capital lease.</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sz w:val="17"/>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w:t>
      </w:r>
      <w:r>
        <w:rPr>
          <w:sz w:val="17"/>
        </w:rPr>
        <w:t xml:space="preserve"> </w:t>
      </w:r>
      <w:r>
        <w:rPr>
          <w:rFonts w:ascii="inherit" w:hAnsi="inherit"/>
          <w:sz w:val="17"/>
        </w:rPr>
        <w:t>months ended March 31,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2018</w:t>
      </w:r>
      <w:r>
        <w:rPr>
          <w:rFonts w:ascii="inherit" w:hAnsi="inherit"/>
          <w:sz w:val="17"/>
        </w:rPr>
        <w:t>, and our financial condition as of March 31, 2019, December 31, 2018</w:t>
      </w:r>
      <w:r>
        <w:rPr>
          <w:sz w:val="17"/>
        </w:rPr>
        <w:t xml:space="preserve"> </w:t>
      </w:r>
      <w:r>
        <w:rPr>
          <w:rFonts w:ascii="inherit" w:hAnsi="inherit"/>
          <w:sz w:val="17"/>
        </w:rPr>
        <w:t>and March 31, 2018, are not necessarily indicative of the results of operations and financial condition to be expected as of or for any other period or for the entire year.</w:t>
      </w:r>
    </w:p>
    <w:p>
      <w:pPr>
        <w:pStyle w:val="TextBody"/>
        <w:spacing w:lineRule="auto" w:line="288" w:before="0" w:after="0"/>
        <w:jc w:val="left"/>
        <w:rPr>
          <w:rFonts w:ascii="inherit" w:hAnsi="inherit"/>
          <w:sz w:val="17"/>
        </w:rPr>
      </w:pPr>
      <w:r>
        <w:rPr>
          <w:rFonts w:ascii="inherit" w:hAnsi="inherit"/>
          <w:sz w:val="17"/>
        </w:rPr>
      </w:r>
    </w:p>
    <w:tbl>
      <w:tblPr>
        <w:tblW w:w="9710" w:type="dxa"/>
        <w:jc w:val="left"/>
        <w:tblInd w:w="0" w:type="dxa"/>
        <w:tblCellMar>
          <w:top w:w="0" w:type="dxa"/>
          <w:left w:w="0" w:type="dxa"/>
          <w:bottom w:w="0" w:type="dxa"/>
          <w:right w:w="0" w:type="dxa"/>
        </w:tblCellMar>
      </w:tblPr>
      <w:tblGrid>
        <w:gridCol w:w="9710"/>
      </w:tblGrid>
      <w:tr>
        <w:trPr/>
        <w:tc>
          <w:tcPr>
            <w:tcW w:w="9710" w:type="dxa"/>
            <w:tcBorders/>
            <w:shd w:fill="auto" w:val="clear"/>
            <w:vAlign w:val="center"/>
          </w:tcPr>
          <w:p>
            <w:pPr>
              <w:pStyle w:val="TableContents"/>
              <w:spacing w:before="0" w:after="283"/>
              <w:rPr>
                <w:sz w:val="4"/>
                <w:szCs w:val="4"/>
              </w:rPr>
            </w:pPr>
            <w:r>
              <w:rPr>
                <w:sz w:val="4"/>
                <w:szCs w:val="4"/>
              </w:rPr>
            </w:r>
          </w:p>
        </w:tc>
      </w:tr>
      <w:tr>
        <w:trPr/>
        <w:tc>
          <w:tcPr>
            <w:tcW w:w="9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710" w:type="dxa"/>
            <w:tcBorders/>
            <w:shd w:fill="auto" w:val="clear"/>
            <w:vAlign w:val="center"/>
          </w:tcPr>
          <w:p>
            <w:pPr>
              <w:pStyle w:val="TableContents"/>
              <w:spacing w:before="0" w:after="0"/>
              <w:jc w:val="left"/>
              <w:rPr/>
            </w:pPr>
            <w:r>
              <w:rPr>
                <w:rFonts w:ascii="inherit" w:hAnsi="inherit"/>
                <w:sz w:val="17"/>
              </w:rPr>
              <w:t xml:space="preserve">See Forward-Looking Information in the Liquidity and Capital Resources section of this Item 2, beginning on Page </w:t>
            </w:r>
            <w:hyperlink w:anchor="s61D9AC23A5375DBF86DA6341759027BA">
              <w:r>
                <w:rPr>
                  <w:rStyle w:val="InternetLink"/>
                  <w:rFonts w:ascii="inherit" w:hAnsi="inherit"/>
                  <w:strike w:val="false"/>
                  <w:dstrike w:val="false"/>
                  <w:sz w:val="17"/>
                  <w:u w:val="none"/>
                  <w:effect w:val="none"/>
                </w:rPr>
                <w:t>53</w:t>
              </w:r>
            </w:hyperlink>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7"/>
        </w:rPr>
      </w:pPr>
      <w:r>
        <w:rPr>
          <w:rFonts w:ascii="inherit" w:hAnsi="inherit"/>
          <w:i/>
          <w:sz w:val="17"/>
        </w:rPr>
        <w:t>The segment information does not include inter-company eliminations. Minor differences in amounts may result due to rounding. All amounts are presented on a pre-tax basis unless otherwise indicated.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60" w:name="s1DD7ECC5751F5809A75C50352E0BFD94"/>
      <w:bookmarkEnd w:id="60"/>
      <w:r>
        <w:rPr>
          <w:rFonts w:ascii="inherit" w:hAnsi="inherit"/>
          <w:b/>
          <w:sz w:val="17"/>
        </w:rPr>
        <w:t>Results of Operations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Executive Summary, Significant Events and Overview</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Three</w:t>
      </w:r>
      <w:r>
        <w:rPr>
          <w:sz w:val="17"/>
        </w:rPr>
        <w:t xml:space="preserve"> </w:t>
      </w:r>
      <w:r>
        <w:rPr>
          <w:rFonts w:ascii="inherit" w:hAnsi="inherit"/>
          <w:b/>
          <w:sz w:val="17"/>
        </w:rPr>
        <w:t>Months Ended March 31, 2019</w:t>
      </w:r>
      <w:r>
        <w:rPr>
          <w:sz w:val="17"/>
        </w:rPr>
        <w:t xml:space="preserve"> </w:t>
      </w:r>
      <w:r>
        <w:rPr>
          <w:rFonts w:ascii="inherit" w:hAnsi="inherit"/>
          <w:b/>
          <w:sz w:val="17"/>
        </w:rPr>
        <w:t>Compared to Three</w:t>
      </w:r>
      <w:r>
        <w:rPr>
          <w:sz w:val="17"/>
        </w:rPr>
        <w:t xml:space="preserve"> </w:t>
      </w:r>
      <w:r>
        <w:rPr>
          <w:rFonts w:ascii="inherit" w:hAnsi="inherit"/>
          <w:b/>
          <w:sz w:val="17"/>
        </w:rPr>
        <w:t>Months Ended March 31, 2018.</w:t>
      </w:r>
      <w:r>
        <w:rPr>
          <w:sz w:val="17"/>
        </w:rPr>
        <w:t xml:space="preserve"> </w:t>
      </w:r>
      <w:r>
        <w:rPr>
          <w:rFonts w:ascii="inherit" w:hAnsi="inherit"/>
          <w:sz w:val="17"/>
        </w:rPr>
        <w:t>Net income from continuing operations available for common stock for the three months ended March 31, 2019</w:t>
      </w:r>
      <w:r>
        <w:rPr>
          <w:sz w:val="17"/>
        </w:rPr>
        <w:t xml:space="preserve"> </w:t>
      </w:r>
      <w:r>
        <w:rPr>
          <w:rFonts w:ascii="inherit" w:hAnsi="inherit"/>
          <w:sz w:val="17"/>
        </w:rPr>
        <w:t>was $104 million, or $1.73</w:t>
      </w:r>
      <w:r>
        <w:rPr>
          <w:sz w:val="17"/>
        </w:rPr>
        <w:t xml:space="preserve"> </w:t>
      </w:r>
      <w:r>
        <w:rPr>
          <w:rFonts w:ascii="inherit" w:hAnsi="inherit"/>
          <w:sz w:val="17"/>
        </w:rPr>
        <w:t>per diluted share, compared to $135 million, or $2.50</w:t>
      </w:r>
      <w:r>
        <w:rPr>
          <w:sz w:val="17"/>
        </w:rPr>
        <w:t xml:space="preserve"> </w:t>
      </w:r>
      <w:r>
        <w:rPr>
          <w:rFonts w:ascii="inherit" w:hAnsi="inherit"/>
          <w:sz w:val="17"/>
        </w:rPr>
        <w:t>per diluted share, reported for the same period in 2018. The variance to the prior year included the following:</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Electric Utilities’ adjusted operating income increased $2.5 million</w:t>
            </w:r>
            <w:r>
              <w:rPr>
                <w:sz w:val="17"/>
              </w:rPr>
              <w:t xml:space="preserve"> </w:t>
            </w:r>
            <w:r>
              <w:rPr>
                <w:rFonts w:ascii="inherit" w:hAnsi="inherit"/>
                <w:sz w:val="17"/>
              </w:rPr>
              <w:t xml:space="preserve">primarily due to favorable winter weather compared to prior year partially offset by higher operating expenses driven by outside services and employee costs;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Gas Utilities’ operating income increased $7.9 million</w:t>
            </w:r>
            <w:r>
              <w:rPr>
                <w:sz w:val="17"/>
              </w:rPr>
              <w:t xml:space="preserve"> </w:t>
            </w:r>
            <w:r>
              <w:rPr>
                <w:rFonts w:ascii="inherit" w:hAnsi="inherit"/>
                <w:sz w:val="17"/>
              </w:rPr>
              <w:t>primarily due to new rates and favorable winter weather compared to prior year partially offset by higher operating expenses driven by outside services and employee costs; and</w:t>
            </w:r>
          </w:p>
        </w:tc>
      </w:tr>
    </w:tbl>
    <w:tbl>
      <w:tblPr>
        <w:tblW w:w="8350" w:type="dxa"/>
        <w:jc w:val="left"/>
        <w:tblInd w:w="0" w:type="dxa"/>
        <w:tblCellMar>
          <w:top w:w="0" w:type="dxa"/>
          <w:left w:w="0" w:type="dxa"/>
          <w:bottom w:w="0" w:type="dxa"/>
          <w:right w:w="0" w:type="dxa"/>
        </w:tblCellMar>
      </w:tblPr>
      <w:tblGrid>
        <w:gridCol w:w="485"/>
        <w:gridCol w:w="7865"/>
      </w:tblGrid>
      <w:tr>
        <w:trPr/>
        <w:tc>
          <w:tcPr>
            <w:tcW w:w="485" w:type="dxa"/>
            <w:tcBorders/>
            <w:shd w:fill="auto" w:val="clear"/>
            <w:vAlign w:val="center"/>
          </w:tcPr>
          <w:p>
            <w:pPr>
              <w:pStyle w:val="TableContents"/>
              <w:spacing w:before="0" w:after="283"/>
              <w:rPr>
                <w:sz w:val="4"/>
                <w:szCs w:val="4"/>
              </w:rPr>
            </w:pPr>
            <w:r>
              <w:rPr>
                <w:sz w:val="4"/>
                <w:szCs w:val="4"/>
              </w:rPr>
            </w:r>
          </w:p>
        </w:tc>
        <w:tc>
          <w:tcPr>
            <w:tcW w:w="78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865" w:type="dxa"/>
            <w:tcBorders/>
            <w:shd w:fill="auto" w:val="clear"/>
            <w:vAlign w:val="center"/>
          </w:tcPr>
          <w:p>
            <w:pPr>
              <w:pStyle w:val="TableContents"/>
              <w:spacing w:lineRule="auto" w:line="288" w:before="0" w:after="0"/>
              <w:jc w:val="left"/>
              <w:rPr>
                <w:sz w:val="17"/>
              </w:rPr>
            </w:pPr>
            <w:r>
              <w:rPr>
                <w:rFonts w:ascii="inherit" w:hAnsi="inherit"/>
                <w:sz w:val="17"/>
              </w:rPr>
              <w:t>A prior year $49 million tax benefit resulting from</w:t>
            </w:r>
            <w:r>
              <w:rPr>
                <w:color w:val="1F497D"/>
                <w:sz w:val="17"/>
              </w:rPr>
              <w:t xml:space="preserve"> </w:t>
            </w:r>
            <w:r>
              <w:rPr>
                <w:rFonts w:ascii="inherit" w:hAnsi="inherit"/>
                <w:sz w:val="17"/>
              </w:rPr>
              <w:t>legal entity restructuring partially offset by:</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prior year $2.3 million income tax expense associated with changes in the prior estimated impact of tax reform on deferred income taxes; and</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current year $3.4 million increase in income tax benefit from forecasted federal production tax credits and state investment tax credits as well as $1.8 million of income tax benefit for deferred tax amortization related to tax reform (which is offset by reduced revenue at our utilities).</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Net income available for common stock for the three months ended March 31, 2019</w:t>
      </w:r>
      <w:r>
        <w:rPr>
          <w:sz w:val="17"/>
        </w:rPr>
        <w:t xml:space="preserve"> </w:t>
      </w:r>
      <w:r>
        <w:rPr>
          <w:rFonts w:ascii="inherit" w:hAnsi="inherit"/>
          <w:sz w:val="17"/>
        </w:rPr>
        <w:t>was $104 million, or $1.73</w:t>
      </w:r>
      <w:r>
        <w:rPr>
          <w:sz w:val="17"/>
        </w:rPr>
        <w:t xml:space="preserve"> </w:t>
      </w:r>
      <w:r>
        <w:rPr>
          <w:rFonts w:ascii="inherit" w:hAnsi="inherit"/>
          <w:sz w:val="17"/>
        </w:rPr>
        <w:t>per diluted share, compared to $133 million, or $2.46</w:t>
      </w:r>
      <w:r>
        <w:rPr>
          <w:sz w:val="17"/>
        </w:rPr>
        <w:t xml:space="preserve"> </w:t>
      </w:r>
      <w:r>
        <w:rPr>
          <w:rFonts w:ascii="inherit" w:hAnsi="inherit"/>
          <w:sz w:val="17"/>
        </w:rPr>
        <w:t>per diluted share reported for the same period in 2018. (Loss) from discontinued operations for the three months ended March 31, 2018 was $(2.3) million</w:t>
      </w:r>
      <w:r>
        <w:rPr>
          <w:sz w:val="17"/>
        </w:rPr>
        <w:t xml:space="preserve"> </w:t>
      </w:r>
      <w:r>
        <w:rPr>
          <w:rFonts w:ascii="inherit" w:hAnsi="inherit"/>
          <w:sz w:val="17"/>
        </w:rPr>
        <w:t>or $(0.04). There was no (Loss) from discontinued operations for the three months ended March 31, 2019.</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summarizes select financial results by operating segment and details significant items (in thousands):</w:t>
      </w:r>
    </w:p>
    <w:tbl>
      <w:tblPr>
        <w:tblW w:w="8585" w:type="dxa"/>
        <w:jc w:val="left"/>
        <w:tblInd w:w="0" w:type="dxa"/>
        <w:tblCellMar>
          <w:top w:w="0" w:type="dxa"/>
          <w:left w:w="0" w:type="dxa"/>
          <w:bottom w:w="0" w:type="dxa"/>
          <w:right w:w="0" w:type="dxa"/>
        </w:tblCellMar>
      </w:tblPr>
      <w:tblGrid>
        <w:gridCol w:w="5675"/>
        <w:gridCol w:w="125"/>
        <w:gridCol w:w="695"/>
        <w:gridCol w:w="110"/>
        <w:gridCol w:w="125"/>
        <w:gridCol w:w="695"/>
        <w:gridCol w:w="110"/>
        <w:gridCol w:w="125"/>
        <w:gridCol w:w="650"/>
        <w:gridCol w:w="275"/>
      </w:tblGrid>
      <w:tr>
        <w:trPr/>
        <w:tc>
          <w:tcPr>
            <w:tcW w:w="8585" w:type="dxa"/>
            <w:gridSpan w:val="10"/>
            <w:tcBorders/>
            <w:shd w:fill="auto" w:val="clear"/>
            <w:vAlign w:val="center"/>
          </w:tcPr>
          <w:p>
            <w:pPr>
              <w:pStyle w:val="TableContents"/>
              <w:spacing w:before="0" w:after="283"/>
              <w:rPr>
                <w:sz w:val="4"/>
                <w:szCs w:val="4"/>
              </w:rPr>
            </w:pPr>
            <w:r>
              <w:rPr>
                <w:sz w:val="4"/>
                <w:szCs w:val="4"/>
              </w:rPr>
            </w:r>
          </w:p>
        </w:tc>
      </w:tr>
      <w:tr>
        <w:trPr/>
        <w:tc>
          <w:tcPr>
            <w:tcW w:w="56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75" w:type="dxa"/>
            <w:tcBorders/>
            <w:shd w:fill="auto" w:val="clear"/>
            <w:vAlign w:val="center"/>
          </w:tcPr>
          <w:p>
            <w:pPr>
              <w:pStyle w:val="TableContents"/>
              <w:spacing w:before="0" w:after="0"/>
              <w:ind w:left="0" w:right="0" w:firstLine="30"/>
              <w:rPr/>
            </w:pPr>
            <w:r>
              <w:rPr/>
              <w:t> </w:t>
            </w:r>
          </w:p>
        </w:tc>
        <w:tc>
          <w:tcPr>
            <w:tcW w:w="2910"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5675"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10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567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Revenue</w:t>
            </w:r>
          </w:p>
        </w:tc>
        <w:tc>
          <w:tcPr>
            <w:tcW w:w="930" w:type="dxa"/>
            <w:gridSpan w:val="3"/>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050" w:type="dxa"/>
            <w:gridSpan w:val="3"/>
            <w:tcBorders/>
            <w:shd w:fill="auto" w:val="clear"/>
            <w:vAlign w:val="center"/>
          </w:tcPr>
          <w:p>
            <w:pPr>
              <w:pStyle w:val="TableContents"/>
              <w:spacing w:before="0" w:after="0"/>
              <w:ind w:left="0" w:right="0" w:firstLine="30"/>
              <w:rPr/>
            </w:pPr>
            <w:r>
              <w:rPr/>
              <w:t> </w:t>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635,681</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611,966</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CEFFE7" w:val="clear"/>
            <w:vAlign w:val="center"/>
          </w:tcPr>
          <w:p>
            <w:pPr>
              <w:pStyle w:val="TableContents"/>
              <w:spacing w:before="0" w:after="0"/>
              <w:jc w:val="right"/>
              <w:rPr>
                <w:rFonts w:ascii="inherit" w:hAnsi="inherit"/>
                <w:sz w:val="17"/>
              </w:rPr>
            </w:pPr>
            <w:r>
              <w:rPr>
                <w:rFonts w:ascii="inherit" w:hAnsi="inherit"/>
                <w:sz w:val="17"/>
              </w:rPr>
              <w:t>23,715</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Inter-company eliminations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(37,871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(36,577</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(1,294</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CEFFE7"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597,810</w:t>
            </w:r>
          </w:p>
        </w:tc>
        <w:tc>
          <w:tcPr>
            <w:tcW w:w="11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575,389</w:t>
            </w:r>
          </w:p>
        </w:tc>
        <w:tc>
          <w:tcPr>
            <w:tcW w:w="11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22,421</w:t>
            </w:r>
          </w:p>
        </w:tc>
        <w:tc>
          <w:tcPr>
            <w:tcW w:w="27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lineRule="auto" w:line="288" w:before="0" w:after="0"/>
              <w:ind w:left="0" w:right="0" w:firstLine="30"/>
              <w:rPr>
                <w:sz w:val="17"/>
              </w:rPr>
            </w:pPr>
            <w:r>
              <w:rPr>
                <w:rFonts w:ascii="inherit" w:hAnsi="inherit"/>
                <w:sz w:val="17"/>
                <w:u w:val="single"/>
              </w:rPr>
              <w:t>Adjusted operating income</w:t>
            </w:r>
            <w:r>
              <w:rPr>
                <w:sz w:val="17"/>
              </w:rPr>
              <w:t> </w:t>
            </w:r>
            <w:r>
              <w:rPr>
                <w:rFonts w:ascii="inherit" w:hAnsi="inherit"/>
                <w:sz w:val="12"/>
              </w:rPr>
              <w:t>(a)</w:t>
            </w:r>
          </w:p>
        </w:tc>
        <w:tc>
          <w:tcPr>
            <w:tcW w:w="930" w:type="dxa"/>
            <w:gridSpan w:val="3"/>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050" w:type="dxa"/>
            <w:gridSpan w:val="3"/>
            <w:tcBorders/>
            <w:shd w:fill="auto" w:val="clear"/>
            <w:vAlign w:val="center"/>
          </w:tcPr>
          <w:p>
            <w:pPr>
              <w:pStyle w:val="TableContents"/>
              <w:spacing w:before="0" w:after="0"/>
              <w:ind w:left="0" w:right="0" w:firstLine="180"/>
              <w:rPr/>
            </w:pPr>
            <w:r>
              <w:rPr/>
              <w:t> </w:t>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Electric Utilities</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41,020</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38,480</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CEFFE7" w:val="clear"/>
            <w:vAlign w:val="center"/>
          </w:tcPr>
          <w:p>
            <w:pPr>
              <w:pStyle w:val="TableContents"/>
              <w:spacing w:before="0" w:after="0"/>
              <w:jc w:val="right"/>
              <w:rPr>
                <w:rFonts w:ascii="inherit" w:hAnsi="inherit"/>
                <w:sz w:val="17"/>
              </w:rPr>
            </w:pPr>
            <w:r>
              <w:rPr>
                <w:rFonts w:ascii="inherit" w:hAnsi="inherit"/>
                <w:sz w:val="17"/>
              </w:rPr>
              <w:t>2,540</w:t>
            </w:r>
          </w:p>
        </w:tc>
        <w:tc>
          <w:tcPr>
            <w:tcW w:w="275"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Gas Utilities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103,314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95,443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7,871</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Power Generation</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11,967</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11,776</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191</w:t>
            </w:r>
          </w:p>
        </w:tc>
        <w:tc>
          <w:tcPr>
            <w:tcW w:w="275"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Corporate and Other</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(507</w:t>
            </w:r>
          </w:p>
        </w:tc>
        <w:tc>
          <w:tcPr>
            <w:tcW w:w="110"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(1,696</w:t>
            </w:r>
          </w:p>
        </w:tc>
        <w:tc>
          <w:tcPr>
            <w:tcW w:w="110"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1,189</w:t>
            </w:r>
          </w:p>
        </w:tc>
        <w:tc>
          <w:tcPr>
            <w:tcW w:w="27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160,131</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148,274</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11,857</w:t>
            </w:r>
          </w:p>
        </w:tc>
        <w:tc>
          <w:tcPr>
            <w:tcW w:w="27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rPr/>
            </w:pPr>
            <w:r>
              <w:rPr/>
              <w:t> </w:t>
            </w:r>
          </w:p>
        </w:tc>
        <w:tc>
          <w:tcPr>
            <w:tcW w:w="930" w:type="dxa"/>
            <w:gridSpan w:val="3"/>
            <w:tcBorders/>
            <w:shd w:fill="CEFFE7" w:val="clear"/>
            <w:vAlign w:val="center"/>
          </w:tcPr>
          <w:p>
            <w:pPr>
              <w:pStyle w:val="TableContents"/>
              <w:spacing w:before="0" w:after="0"/>
              <w:ind w:left="0" w:right="0" w:firstLine="30"/>
              <w:rPr/>
            </w:pPr>
            <w:r>
              <w:rPr/>
              <w:t> </w:t>
            </w:r>
          </w:p>
        </w:tc>
        <w:tc>
          <w:tcPr>
            <w:tcW w:w="930" w:type="dxa"/>
            <w:gridSpan w:val="3"/>
            <w:tcBorders/>
            <w:shd w:fill="CEFFE7" w:val="clear"/>
            <w:vAlign w:val="center"/>
          </w:tcPr>
          <w:p>
            <w:pPr>
              <w:pStyle w:val="TableContents"/>
              <w:spacing w:before="0" w:after="0"/>
              <w:ind w:left="0" w:right="0" w:firstLine="30"/>
              <w:rPr/>
            </w:pPr>
            <w:r>
              <w:rPr/>
              <w:t> </w:t>
            </w:r>
          </w:p>
        </w:tc>
        <w:tc>
          <w:tcPr>
            <w:tcW w:w="1050" w:type="dxa"/>
            <w:gridSpan w:val="3"/>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(34,717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278</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 net</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(789</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(104</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(685</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Income tax benefit (expense) </w:t>
            </w:r>
            <w:r>
              <w:rPr>
                <w:rFonts w:ascii="inherit" w:hAnsi="inherit"/>
                <w:sz w:val="12"/>
              </w:rPr>
              <w:t>(b) (c)</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(17,263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(43,065</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w:t>
            </w:r>
          </w:p>
        </w:tc>
        <w:tc>
          <w:tcPr>
            <w:tcW w:w="820"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107,362</w:t>
            </w:r>
          </w:p>
        </w:tc>
        <w:tc>
          <w:tcPr>
            <w:tcW w:w="11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138,977</w:t>
            </w:r>
          </w:p>
        </w:tc>
        <w:tc>
          <w:tcPr>
            <w:tcW w:w="11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(31,615</w:t>
            </w:r>
          </w:p>
        </w:tc>
        <w:tc>
          <w:tcPr>
            <w:tcW w:w="275"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from discontinued operations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(2,343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2,343</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107,362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136,634</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(29,272</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income available for common stock</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103,808</w:t>
            </w:r>
          </w:p>
        </w:tc>
        <w:tc>
          <w:tcPr>
            <w:tcW w:w="11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133,004</w:t>
            </w:r>
          </w:p>
        </w:tc>
        <w:tc>
          <w:tcPr>
            <w:tcW w:w="11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(29,196</w:t>
            </w:r>
          </w:p>
        </w:tc>
        <w:tc>
          <w:tcPr>
            <w:tcW w:w="27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675"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050" w:type="dxa"/>
            <w:gridSpan w:val="3"/>
            <w:tcBorders/>
            <w:shd w:fill="auto" w:val="clear"/>
            <w:vAlign w:val="center"/>
          </w:tcPr>
          <w:p>
            <w:pPr>
              <w:pStyle w:val="TableContents"/>
              <w:spacing w:before="0" w:after="0"/>
              <w:ind w:left="0" w:right="0" w:firstLine="30"/>
              <w:rPr/>
            </w:pPr>
            <w:r>
              <w:rPr/>
              <w:t> </w:t>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Amounts attributable to common shareholders:</w:t>
            </w:r>
          </w:p>
        </w:tc>
        <w:tc>
          <w:tcPr>
            <w:tcW w:w="930" w:type="dxa"/>
            <w:gridSpan w:val="3"/>
            <w:tcBorders/>
            <w:shd w:fill="CEFFE7" w:val="clear"/>
            <w:vAlign w:val="center"/>
          </w:tcPr>
          <w:p>
            <w:pPr>
              <w:pStyle w:val="TableContents"/>
              <w:spacing w:before="0" w:after="0"/>
              <w:ind w:left="0" w:right="0" w:firstLine="30"/>
              <w:rPr/>
            </w:pPr>
            <w:r>
              <w:rPr/>
              <w:t> </w:t>
            </w:r>
          </w:p>
        </w:tc>
        <w:tc>
          <w:tcPr>
            <w:tcW w:w="930" w:type="dxa"/>
            <w:gridSpan w:val="3"/>
            <w:tcBorders/>
            <w:shd w:fill="CEFFE7" w:val="clear"/>
            <w:vAlign w:val="center"/>
          </w:tcPr>
          <w:p>
            <w:pPr>
              <w:pStyle w:val="TableContents"/>
              <w:spacing w:before="0" w:after="0"/>
              <w:ind w:left="0" w:right="0" w:firstLine="30"/>
              <w:rPr/>
            </w:pPr>
            <w:r>
              <w:rPr/>
              <w:t> </w:t>
            </w:r>
          </w:p>
        </w:tc>
        <w:tc>
          <w:tcPr>
            <w:tcW w:w="1050" w:type="dxa"/>
            <w:gridSpan w:val="3"/>
            <w:tcBorders/>
            <w:shd w:fill="CEFFE7" w:val="clear"/>
            <w:vAlign w:val="center"/>
          </w:tcPr>
          <w:p>
            <w:pPr>
              <w:pStyle w:val="TableContents"/>
              <w:spacing w:before="0" w:after="0"/>
              <w:ind w:left="0" w:right="0" w:firstLine="180"/>
              <w:rPr/>
            </w:pPr>
            <w:r>
              <w:rPr/>
              <w:t> </w:t>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available for common stock</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103,808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135,347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auto" w:val="clear"/>
            <w:vAlign w:val="center"/>
          </w:tcPr>
          <w:p>
            <w:pPr>
              <w:pStyle w:val="TableContents"/>
              <w:spacing w:before="0" w:after="0"/>
              <w:jc w:val="right"/>
              <w:rPr>
                <w:rFonts w:ascii="inherit" w:hAnsi="inherit"/>
                <w:sz w:val="17"/>
              </w:rPr>
            </w:pPr>
            <w:r>
              <w:rPr>
                <w:rFonts w:ascii="inherit" w:hAnsi="inherit"/>
                <w:sz w:val="17"/>
              </w:rPr>
              <w:t>(31,539</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(loss) from discontinued operations</w:t>
            </w:r>
          </w:p>
        </w:tc>
        <w:tc>
          <w:tcPr>
            <w:tcW w:w="820" w:type="dxa"/>
            <w:gridSpan w:val="2"/>
            <w:tcBorders/>
            <w:shd w:fill="CEFFE7" w:val="clear"/>
            <w:vAlign w:val="center"/>
          </w:tcPr>
          <w:p>
            <w:pPr>
              <w:pStyle w:val="TableContents"/>
              <w:spacing w:before="0" w:after="0"/>
              <w:jc w:val="right"/>
              <w:rPr/>
            </w:pPr>
            <w:r>
              <w:rPr/>
              <w:t>—</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(2,343</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7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2,343</w:t>
            </w:r>
          </w:p>
        </w:tc>
        <w:tc>
          <w:tcPr>
            <w:tcW w:w="2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available for common stock</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103,808</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133,004</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(29,196</w:t>
            </w:r>
          </w:p>
        </w:tc>
        <w:tc>
          <w:tcPr>
            <w:tcW w:w="2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5"/>
        </w:rPr>
      </w:pPr>
      <w:r>
        <w:rPr>
          <w:rFonts w:ascii="inherit" w:hAnsi="inherit"/>
          <w:sz w:val="15"/>
        </w:rPr>
        <w:t>__________</w:t>
      </w:r>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sz w:val="4"/>
                <w:szCs w:val="4"/>
              </w:rPr>
            </w:pPr>
            <w:r>
              <w:rPr>
                <w:sz w:val="4"/>
                <w:szCs w:val="4"/>
              </w:rPr>
            </w:r>
          </w:p>
        </w:tc>
        <w:tc>
          <w:tcPr>
            <w:tcW w:w="9999"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99"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Adjusted operating income was recast for the three months ended March 31, 2018 for Electric Utilities and Power Generation segments and Corporate and Other. These changes had no impact on our consolidated financial results. See segment discussions in the sections below for more information.</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sz w:val="4"/>
                <w:szCs w:val="4"/>
              </w:rPr>
            </w:pPr>
            <w:r>
              <w:rPr>
                <w:sz w:val="4"/>
                <w:szCs w:val="4"/>
              </w:rPr>
            </w:r>
          </w:p>
        </w:tc>
        <w:tc>
          <w:tcPr>
            <w:tcW w:w="9999"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99"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Income tax benefit (expense) for the three months ended March 31, 2019 included a $3.4 million increase in income tax benefit from forecasted federal production tax credits and state investment tax credits as well as $1.8 million of income tax benefit for deferred tax amortization related to tax reform (which is offset by reduced revenue at our utilities).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sz w:val="4"/>
                <w:szCs w:val="4"/>
              </w:rPr>
            </w:pPr>
            <w:r>
              <w:rPr>
                <w:sz w:val="4"/>
                <w:szCs w:val="4"/>
              </w:rPr>
            </w:r>
          </w:p>
        </w:tc>
        <w:tc>
          <w:tcPr>
            <w:tcW w:w="10008" w:type="dxa"/>
            <w:tcBorders/>
            <w:shd w:fill="auto" w:val="clear"/>
            <w:vAlign w:val="center"/>
          </w:tcPr>
          <w:p>
            <w:pPr>
              <w:pStyle w:val="TableContents"/>
              <w:spacing w:before="0" w:after="283"/>
              <w:rPr>
                <w:sz w:val="4"/>
                <w:szCs w:val="4"/>
              </w:rPr>
            </w:pPr>
            <w:r>
              <w:rPr>
                <w:sz w:val="4"/>
                <w:szCs w:val="4"/>
              </w:rPr>
            </w:r>
          </w:p>
        </w:tc>
      </w:tr>
      <w:tr>
        <w:trPr/>
        <w:tc>
          <w:tcPr>
            <w:tcW w:w="19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10008" w:type="dxa"/>
            <w:tcBorders/>
            <w:shd w:fill="auto" w:val="clear"/>
            <w:vAlign w:val="center"/>
          </w:tcPr>
          <w:p>
            <w:pPr>
              <w:pStyle w:val="TableContents"/>
              <w:spacing w:lineRule="auto" w:line="288" w:before="0" w:after="0"/>
              <w:jc w:val="left"/>
              <w:rPr>
                <w:sz w:val="15"/>
              </w:rPr>
            </w:pPr>
            <w:r>
              <w:rPr>
                <w:rFonts w:ascii="inherit" w:hAnsi="inherit"/>
                <w:sz w:val="15"/>
              </w:rPr>
              <w:t>Income tax benefit (expense) for the three months ended March 31, 2018 included a $49 million tax benefit resulting from</w:t>
            </w:r>
            <w:r>
              <w:rPr>
                <w:color w:val="1F497D"/>
                <w:sz w:val="15"/>
              </w:rPr>
              <w:t xml:space="preserve"> </w:t>
            </w:r>
            <w:r>
              <w:rPr>
                <w:rFonts w:ascii="inherit" w:hAnsi="inherit"/>
                <w:sz w:val="15"/>
              </w:rPr>
              <w:t>legal entity restructuring and $2.3 million of income tax expense associated with changes in the prior estimated impact of tax reform on deferred income taxes.</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ind w:left="0" w:right="0" w:hanging="360"/>
        <w:jc w:val="left"/>
        <w:rPr/>
      </w:pPr>
      <w:r>
        <w:rPr/>
        <w:t> </w:t>
      </w:r>
    </w:p>
    <w:p>
      <w:pPr>
        <w:pStyle w:val="TextBody"/>
        <w:spacing w:lineRule="auto" w:line="288" w:before="0" w:after="0"/>
        <w:jc w:val="left"/>
        <w:rPr>
          <w:rFonts w:ascii="inherit" w:hAnsi="inherit"/>
          <w:b/>
          <w:sz w:val="17"/>
        </w:rPr>
      </w:pPr>
      <w:r>
        <w:rPr>
          <w:rFonts w:ascii="inherit" w:hAnsi="inherit"/>
          <w:b/>
          <w:sz w:val="17"/>
        </w:rPr>
        <w:t>Overview of Business Segments and Corporate Activity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Electric Utilities Segment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Electric Utilities experienced colder winter weather during the three months ended March 31, 2019</w:t>
            </w:r>
            <w:r>
              <w:rPr>
                <w:sz w:val="17"/>
              </w:rPr>
              <w:t xml:space="preserve"> </w:t>
            </w:r>
            <w:r>
              <w:rPr>
                <w:rFonts w:ascii="inherit" w:hAnsi="inherit"/>
                <w:sz w:val="17"/>
              </w:rPr>
              <w:t>compared to the same period in 2018. Heating degree days for the three</w:t>
            </w:r>
            <w:r>
              <w:rPr>
                <w:sz w:val="17"/>
              </w:rPr>
              <w:t xml:space="preserve"> </w:t>
            </w:r>
            <w:r>
              <w:rPr>
                <w:rFonts w:ascii="inherit" w:hAnsi="inherit"/>
                <w:sz w:val="17"/>
              </w:rPr>
              <w:t>months ended March 31, 2019</w:t>
            </w:r>
            <w:r>
              <w:rPr>
                <w:sz w:val="17"/>
              </w:rPr>
              <w:t xml:space="preserve"> </w:t>
            </w:r>
            <w:r>
              <w:rPr>
                <w:rFonts w:ascii="inherit" w:hAnsi="inherit"/>
                <w:sz w:val="17"/>
              </w:rPr>
              <w:t>were 7%</w:t>
            </w:r>
            <w:r>
              <w:rPr>
                <w:sz w:val="17"/>
              </w:rPr>
              <w:t xml:space="preserve"> </w:t>
            </w:r>
            <w:r>
              <w:rPr>
                <w:rFonts w:ascii="inherit" w:hAnsi="inherit"/>
                <w:sz w:val="17"/>
              </w:rPr>
              <w:t>higher than normal, compared to 1%</w:t>
            </w:r>
            <w:r>
              <w:rPr>
                <w:sz w:val="17"/>
              </w:rPr>
              <w:t xml:space="preserve"> </w:t>
            </w:r>
            <w:r>
              <w:rPr>
                <w:rFonts w:ascii="inherit" w:hAnsi="inherit"/>
                <w:sz w:val="17"/>
              </w:rPr>
              <w:t xml:space="preserve">higher than normal for the same period in 2018.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u w:val="single"/>
        </w:rPr>
      </w:pPr>
      <w:r>
        <w:rPr>
          <w:rFonts w:ascii="inherit" w:hAnsi="inherit"/>
          <w:sz w:val="17"/>
          <w:u w:val="single"/>
        </w:rPr>
        <w:t>Gas Utilities Segment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Gas Utilities experienced colder winter weather during the three months ended March 31, 2019</w:t>
            </w:r>
            <w:r>
              <w:rPr>
                <w:sz w:val="17"/>
              </w:rPr>
              <w:t xml:space="preserve"> </w:t>
            </w:r>
            <w:r>
              <w:rPr>
                <w:rFonts w:ascii="inherit" w:hAnsi="inherit"/>
                <w:sz w:val="17"/>
              </w:rPr>
              <w:t>compared to the same period in 2018. Heating degree days for the three</w:t>
            </w:r>
            <w:r>
              <w:rPr>
                <w:sz w:val="17"/>
              </w:rPr>
              <w:t xml:space="preserve"> </w:t>
            </w:r>
            <w:r>
              <w:rPr>
                <w:rFonts w:ascii="inherit" w:hAnsi="inherit"/>
                <w:sz w:val="17"/>
              </w:rPr>
              <w:t>months ended March 31, 2019</w:t>
            </w:r>
            <w:r>
              <w:rPr>
                <w:sz w:val="17"/>
              </w:rPr>
              <w:t xml:space="preserve"> </w:t>
            </w:r>
            <w:r>
              <w:rPr>
                <w:rFonts w:ascii="inherit" w:hAnsi="inherit"/>
                <w:sz w:val="17"/>
              </w:rPr>
              <w:t>were 11%</w:t>
            </w:r>
            <w:r>
              <w:rPr>
                <w:sz w:val="17"/>
              </w:rPr>
              <w:t xml:space="preserve"> </w:t>
            </w:r>
            <w:r>
              <w:rPr>
                <w:rFonts w:ascii="inherit" w:hAnsi="inherit"/>
                <w:sz w:val="17"/>
              </w:rPr>
              <w:t>higher than normal, compared to 2%</w:t>
            </w:r>
            <w:r>
              <w:rPr>
                <w:sz w:val="17"/>
              </w:rPr>
              <w:t xml:space="preserve"> </w:t>
            </w:r>
            <w:r>
              <w:rPr>
                <w:rFonts w:ascii="inherit" w:hAnsi="inherit"/>
                <w:sz w:val="17"/>
              </w:rPr>
              <w:t xml:space="preserve">higher than normal for the same period in 2018. </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2170" w:type="dxa"/>
        <w:jc w:val="left"/>
        <w:tblInd w:w="0" w:type="dxa"/>
        <w:tblCellMar>
          <w:top w:w="0" w:type="dxa"/>
          <w:left w:w="0" w:type="dxa"/>
          <w:bottom w:w="0" w:type="dxa"/>
          <w:right w:w="0" w:type="dxa"/>
        </w:tblCellMar>
      </w:tblPr>
      <w:tblGrid>
        <w:gridCol w:w="485"/>
        <w:gridCol w:w="1685"/>
      </w:tblGrid>
      <w:tr>
        <w:trPr/>
        <w:tc>
          <w:tcPr>
            <w:tcW w:w="48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6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Regulatory activity:</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On March 29, 2019, Nebraska Gas filed an application with the NPSC to consolidate its two gas distribution utilities into a new public utility entity. The filing also requests to consolidate the terms and conditions of the existing tariffs of the two utilities into a single tariff. </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March 6, 2019, Wyoming Gas filed an application with the WPSC to consolidate its four gas distribution utilities into a new public utility entity. The filing also requests the new entity adopt the terms and conditions of the existing tariffs.</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February 1, 2019, Colorado Gas filed a rate review with the CPUC requesting approval to consolidate the base rate areas, tariffs, terms and conditions and adjustment clauses of its two legacy utilities. The rate review also requests $2.5 million in new revenue to recover costs and investments in safety, reliability and system integrity.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Power Generation Segment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March 11, 2019, Black Hills Electric Generation commenced construction on the $71 million, 60-megawatt Busch Ranch II Wind Farm. The wind farm is expected to be completed and in service in 2019.</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Corporate and Other</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6595" w:type="dxa"/>
        <w:jc w:val="left"/>
        <w:tblInd w:w="0" w:type="dxa"/>
        <w:tblCellMar>
          <w:top w:w="0" w:type="dxa"/>
          <w:left w:w="0" w:type="dxa"/>
          <w:bottom w:w="0" w:type="dxa"/>
          <w:right w:w="0" w:type="dxa"/>
        </w:tblCellMar>
      </w:tblPr>
      <w:tblGrid>
        <w:gridCol w:w="485"/>
        <w:gridCol w:w="6110"/>
      </w:tblGrid>
      <w:tr>
        <w:trPr/>
        <w:tc>
          <w:tcPr>
            <w:tcW w:w="485" w:type="dxa"/>
            <w:tcBorders/>
            <w:shd w:fill="auto" w:val="clear"/>
            <w:vAlign w:val="center"/>
          </w:tcPr>
          <w:p>
            <w:pPr>
              <w:pStyle w:val="TableContents"/>
              <w:spacing w:before="0" w:after="283"/>
              <w:rPr>
                <w:sz w:val="4"/>
                <w:szCs w:val="4"/>
              </w:rPr>
            </w:pPr>
            <w:r>
              <w:rPr>
                <w:sz w:val="4"/>
                <w:szCs w:val="4"/>
              </w:rPr>
            </w:r>
          </w:p>
        </w:tc>
        <w:tc>
          <w:tcPr>
            <w:tcW w:w="61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1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April 30, 2019, S&amp;P affirmed South Dakota Electric’s credit rating at A.</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During the three months ended March 31, 2019, we issued a total of 280,497 shares of common stock for net proceeds of approximately $20 million through our ATM equity offering program.</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7720" w:type="dxa"/>
        <w:jc w:val="left"/>
        <w:tblInd w:w="0" w:type="dxa"/>
        <w:tblCellMar>
          <w:top w:w="0" w:type="dxa"/>
          <w:left w:w="0" w:type="dxa"/>
          <w:bottom w:w="0" w:type="dxa"/>
          <w:right w:w="0" w:type="dxa"/>
        </w:tblCellMar>
      </w:tblPr>
      <w:tblGrid>
        <w:gridCol w:w="485"/>
        <w:gridCol w:w="7235"/>
      </w:tblGrid>
      <w:tr>
        <w:trPr/>
        <w:tc>
          <w:tcPr>
            <w:tcW w:w="485" w:type="dxa"/>
            <w:tcBorders/>
            <w:shd w:fill="auto" w:val="clear"/>
            <w:vAlign w:val="center"/>
          </w:tcPr>
          <w:p>
            <w:pPr>
              <w:pStyle w:val="TableContents"/>
              <w:spacing w:before="0" w:after="283"/>
              <w:rPr>
                <w:sz w:val="4"/>
                <w:szCs w:val="4"/>
              </w:rPr>
            </w:pPr>
            <w:r>
              <w:rPr>
                <w:sz w:val="4"/>
                <w:szCs w:val="4"/>
              </w:rPr>
            </w:r>
          </w:p>
        </w:tc>
        <w:tc>
          <w:tcPr>
            <w:tcW w:w="72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2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February 28, 2019, S&amp;P affirmed our BBB+ rating and maintained a Stable outlook.</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Operating Results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Note 2 of the Notes to Condensed Consolidated Financial Statements for more information.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bookmarkStart w:id="61" w:name="sF9A9E10971F3593CBED4E296DBEF1C6D"/>
      <w:bookmarkEnd w:id="61"/>
      <w:r>
        <w:rPr>
          <w:rFonts w:ascii="inherit" w:hAnsi="inherit"/>
          <w:b/>
          <w:i/>
          <w:sz w:val="17"/>
        </w:rPr>
        <w:t>Non-GAAP Financial Measure</w:t>
      </w:r>
    </w:p>
    <w:p>
      <w:pPr>
        <w:pStyle w:val="TextBody"/>
        <w:spacing w:lineRule="auto" w:line="288" w:before="0" w:after="0"/>
        <w:jc w:val="left"/>
        <w:rPr>
          <w:rFonts w:ascii="inherit" w:hAnsi="inherit"/>
          <w:sz w:val="17"/>
        </w:rPr>
      </w:pPr>
      <w:r>
        <w:rPr>
          <w:rFonts w:ascii="inherit" w:hAnsi="inherit"/>
          <w:sz w:val="17"/>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Our gross margin measure may not be comparable to other companies’ gross margin measure. Furthermore, this measure is not intended to replace operating income, as determined in accordance with GAAP, as an indicator of operating performance.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7"/>
          <w:u w:val="single"/>
        </w:rPr>
      </w:pPr>
      <w:bookmarkStart w:id="62" w:name="s4DCB7CFCFBBF5BE1BDF2594533DDF075"/>
      <w:bookmarkEnd w:id="62"/>
      <w:r>
        <w:rPr>
          <w:rFonts w:ascii="inherit" w:hAnsi="inherit"/>
          <w:i/>
          <w:sz w:val="17"/>
          <w:u w:val="single"/>
        </w:rPr>
        <w:t>Electric Utilities</w:t>
      </w:r>
    </w:p>
    <w:p>
      <w:pPr>
        <w:pStyle w:val="TextBody"/>
        <w:spacing w:lineRule="auto" w:line="288" w:before="0" w:after="0"/>
        <w:jc w:val="left"/>
        <w:rPr>
          <w:rFonts w:ascii="inherit" w:hAnsi="inherit"/>
          <w:sz w:val="17"/>
        </w:rPr>
      </w:pPr>
      <w:r>
        <w:rPr>
          <w:rFonts w:ascii="inherit" w:hAnsi="inherit"/>
          <w:sz w:val="17"/>
        </w:rPr>
      </w:r>
    </w:p>
    <w:tbl>
      <w:tblPr>
        <w:tblW w:w="5332" w:type="dxa"/>
        <w:jc w:val="center"/>
        <w:tblInd w:w="0" w:type="dxa"/>
        <w:tblCellMar>
          <w:top w:w="0" w:type="dxa"/>
          <w:left w:w="0" w:type="dxa"/>
          <w:bottom w:w="0" w:type="dxa"/>
          <w:right w:w="0" w:type="dxa"/>
        </w:tblCellMar>
      </w:tblPr>
      <w:tblGrid>
        <w:gridCol w:w="2705"/>
        <w:gridCol w:w="125"/>
        <w:gridCol w:w="696"/>
        <w:gridCol w:w="30"/>
        <w:gridCol w:w="125"/>
        <w:gridCol w:w="696"/>
        <w:gridCol w:w="30"/>
        <w:gridCol w:w="125"/>
        <w:gridCol w:w="485"/>
        <w:gridCol w:w="315"/>
      </w:tblGrid>
      <w:tr>
        <w:trPr/>
        <w:tc>
          <w:tcPr>
            <w:tcW w:w="5332" w:type="dxa"/>
            <w:gridSpan w:val="10"/>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05" w:type="dxa"/>
            <w:tcBorders/>
            <w:shd w:fill="auto" w:val="clear"/>
            <w:vAlign w:val="center"/>
          </w:tcPr>
          <w:p>
            <w:pPr>
              <w:pStyle w:val="TableContents"/>
              <w:spacing w:before="0" w:after="0"/>
              <w:ind w:left="0" w:right="0" w:firstLine="30"/>
              <w:rPr/>
            </w:pPr>
            <w:r>
              <w:rPr/>
              <w:t> </w:t>
            </w:r>
          </w:p>
        </w:tc>
        <w:tc>
          <w:tcPr>
            <w:tcW w:w="2627"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705" w:type="dxa"/>
            <w:tcBorders/>
            <w:shd w:fill="auto" w:val="clear"/>
            <w:vAlign w:val="center"/>
          </w:tcPr>
          <w:p>
            <w:pPr>
              <w:pStyle w:val="TableContents"/>
              <w:spacing w:before="0" w:after="0"/>
              <w:ind w:left="0" w:right="0" w:firstLine="30"/>
              <w:rPr/>
            </w:pPr>
            <w:r>
              <w:rPr/>
              <w:t> </w:t>
            </w:r>
          </w:p>
        </w:tc>
        <w:tc>
          <w:tcPr>
            <w:tcW w:w="8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8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9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2705" w:type="dxa"/>
            <w:tcBorders/>
            <w:shd w:fill="auto" w:val="clear"/>
            <w:vAlign w:val="center"/>
          </w:tcPr>
          <w:p>
            <w:pPr>
              <w:pStyle w:val="TableContents"/>
              <w:spacing w:before="0" w:after="0"/>
              <w:ind w:left="0" w:right="0" w:firstLine="30"/>
              <w:rPr/>
            </w:pPr>
            <w:r>
              <w:rPr/>
              <w:t> </w:t>
            </w:r>
          </w:p>
        </w:tc>
        <w:tc>
          <w:tcPr>
            <w:tcW w:w="2627"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182,927</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173,555</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9,372</w:t>
            </w:r>
          </w:p>
        </w:tc>
        <w:tc>
          <w:tcPr>
            <w:tcW w:w="31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fuel and purchased power</w:t>
            </w:r>
          </w:p>
        </w:tc>
        <w:tc>
          <w:tcPr>
            <w:tcW w:w="82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73,283</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68,738</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4,545</w:t>
            </w:r>
          </w:p>
        </w:tc>
        <w:tc>
          <w:tcPr>
            <w:tcW w:w="31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Gross margin (non-GAAP)</w:t>
            </w:r>
          </w:p>
        </w:tc>
        <w:tc>
          <w:tcPr>
            <w:tcW w:w="821"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109,644</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1"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104,817</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4,827</w:t>
            </w:r>
          </w:p>
        </w:tc>
        <w:tc>
          <w:tcPr>
            <w:tcW w:w="31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82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47,144</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1"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45,093</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2,051</w:t>
            </w:r>
          </w:p>
        </w:tc>
        <w:tc>
          <w:tcPr>
            <w:tcW w:w="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21,480</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21,244</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236</w:t>
            </w:r>
          </w:p>
        </w:tc>
        <w:tc>
          <w:tcPr>
            <w:tcW w:w="315"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7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821"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68,624</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1"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66,337</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2,287</w:t>
            </w:r>
          </w:p>
        </w:tc>
        <w:tc>
          <w:tcPr>
            <w:tcW w:w="31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05" w:type="dxa"/>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851" w:type="dxa"/>
            <w:gridSpan w:val="3"/>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r>
      <w:tr>
        <w:trPr/>
        <w:tc>
          <w:tcPr>
            <w:tcW w:w="270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Adjusted operating income </w:t>
            </w:r>
            <w:r>
              <w:rPr>
                <w:rFonts w:ascii="inherit" w:hAnsi="inherit"/>
                <w:sz w:val="12"/>
              </w:rPr>
              <w:t>(a)</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41,020</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38,480</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2,540</w:t>
            </w:r>
          </w:p>
        </w:tc>
        <w:tc>
          <w:tcPr>
            <w:tcW w:w="31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rPr>
                <w:sz w:val="4"/>
                <w:szCs w:val="4"/>
              </w:rPr>
            </w:pPr>
            <w:r>
              <w:rPr>
                <w:sz w:val="4"/>
                <w:szCs w:val="4"/>
              </w:rPr>
            </w:r>
          </w:p>
        </w:tc>
        <w:tc>
          <w:tcPr>
            <w:tcW w:w="9998"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98"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Adjusted operating income was recast for the three months ended 2018, which resulted in a change of $1.7 million. The impact to Adjusted operating income for the three months ended March 31, 2019 was ($5.4) million. There was no impact on our consolidated Operating income.</w:t>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Results of Operations for the Electric Utilities for the Three Months Ended March 31, 2019</w:t>
      </w:r>
      <w:r>
        <w:rPr>
          <w:sz w:val="17"/>
        </w:rPr>
        <w:t xml:space="preserve"> </w:t>
      </w:r>
      <w:r>
        <w:rPr>
          <w:rFonts w:ascii="inherit" w:hAnsi="inherit"/>
          <w:b/>
          <w:sz w:val="17"/>
        </w:rPr>
        <w:t>Compared to the Three Months Ended March 31, 2018:</w:t>
      </w:r>
      <w:r>
        <w:rPr>
          <w:sz w:val="17"/>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Gross margin</w:t>
      </w:r>
      <w:r>
        <w:rPr>
          <w:sz w:val="17"/>
        </w:rPr>
        <w:t xml:space="preserve"> </w:t>
      </w:r>
      <w:r>
        <w:rPr>
          <w:rFonts w:ascii="inherit" w:hAnsi="inherit"/>
          <w:sz w:val="17"/>
        </w:rPr>
        <w:t>for the three months ended March 31, 2019</w:t>
      </w:r>
      <w:r>
        <w:rPr>
          <w:sz w:val="17"/>
        </w:rPr>
        <w:t xml:space="preserve"> </w:t>
      </w:r>
      <w:r>
        <w:rPr>
          <w:rFonts w:ascii="inherit" w:hAnsi="inherit"/>
          <w:sz w:val="17"/>
        </w:rPr>
        <w:t>increased</w:t>
      </w:r>
      <w:r>
        <w:rPr>
          <w:sz w:val="17"/>
        </w:rPr>
        <w:t xml:space="preserve"> </w:t>
      </w:r>
      <w:r>
        <w:rPr>
          <w:rFonts w:ascii="inherit" w:hAnsi="inherit"/>
          <w:sz w:val="17"/>
        </w:rPr>
        <w:t>as a result of the following:</w:t>
      </w:r>
    </w:p>
    <w:tbl>
      <w:tblPr>
        <w:tblW w:w="5094" w:type="dxa"/>
        <w:jc w:val="center"/>
        <w:tblInd w:w="0" w:type="dxa"/>
        <w:tblCellMar>
          <w:top w:w="0" w:type="dxa"/>
          <w:left w:w="0" w:type="dxa"/>
          <w:bottom w:w="0" w:type="dxa"/>
          <w:right w:w="0" w:type="dxa"/>
        </w:tblCellMar>
      </w:tblPr>
      <w:tblGrid>
        <w:gridCol w:w="4070"/>
        <w:gridCol w:w="287"/>
        <w:gridCol w:w="632"/>
        <w:gridCol w:w="105"/>
      </w:tblGrid>
      <w:tr>
        <w:trPr/>
        <w:tc>
          <w:tcPr>
            <w:tcW w:w="5094" w:type="dxa"/>
            <w:gridSpan w:val="4"/>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 millions)</w:t>
            </w:r>
          </w:p>
        </w:tc>
      </w:tr>
      <w:tr>
        <w:trPr/>
        <w:tc>
          <w:tcPr>
            <w:tcW w:w="40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Reduction in purchased power capacity charges</w:t>
            </w:r>
          </w:p>
        </w:tc>
        <w:tc>
          <w:tcPr>
            <w:tcW w:w="28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32" w:type="dxa"/>
            <w:tcBorders/>
            <w:shd w:fill="CEFFE7" w:val="clear"/>
            <w:vAlign w:val="center"/>
          </w:tcPr>
          <w:p>
            <w:pPr>
              <w:pStyle w:val="TableContents"/>
              <w:spacing w:before="0" w:after="0"/>
              <w:jc w:val="right"/>
              <w:rPr>
                <w:rFonts w:ascii="inherit" w:hAnsi="inherit"/>
                <w:sz w:val="17"/>
              </w:rPr>
            </w:pPr>
            <w:r>
              <w:rPr>
                <w:rFonts w:ascii="inherit" w:hAnsi="inherit"/>
                <w:sz w:val="17"/>
              </w:rPr>
              <w:t>1.6</w:t>
            </w:r>
          </w:p>
        </w:tc>
        <w:tc>
          <w:tcPr>
            <w:tcW w:w="1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Off-system power marketing</w:t>
            </w:r>
          </w:p>
        </w:tc>
        <w:tc>
          <w:tcPr>
            <w:tcW w:w="9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Weather</w:t>
            </w:r>
          </w:p>
        </w:tc>
        <w:tc>
          <w:tcPr>
            <w:tcW w:w="91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0.6</w:t>
            </w:r>
          </w:p>
        </w:tc>
        <w:tc>
          <w:tcPr>
            <w:tcW w:w="1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Rider recovery</w:t>
            </w:r>
          </w:p>
        </w:tc>
        <w:tc>
          <w:tcPr>
            <w:tcW w:w="9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Residential customer growth</w:t>
            </w:r>
          </w:p>
        </w:tc>
        <w:tc>
          <w:tcPr>
            <w:tcW w:w="91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0.3</w:t>
            </w:r>
          </w:p>
        </w:tc>
        <w:tc>
          <w:tcPr>
            <w:tcW w:w="1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0.6</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increase in Gross margin (non-GAAP)</w:t>
            </w:r>
          </w:p>
        </w:tc>
        <w:tc>
          <w:tcPr>
            <w:tcW w:w="28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w:t>
            </w:r>
          </w:p>
        </w:tc>
        <w:tc>
          <w:tcPr>
            <w:tcW w:w="10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Operations and maintenance</w:t>
      </w:r>
      <w:r>
        <w:rPr>
          <w:sz w:val="17"/>
        </w:rPr>
        <w:t xml:space="preserve"> </w:t>
      </w:r>
      <w:r>
        <w:rPr>
          <w:rFonts w:ascii="inherit" w:hAnsi="inherit"/>
          <w:sz w:val="17"/>
        </w:rPr>
        <w:t>increased</w:t>
      </w:r>
      <w:r>
        <w:rPr>
          <w:sz w:val="17"/>
        </w:rPr>
        <w:t xml:space="preserve"> </w:t>
      </w:r>
      <w:r>
        <w:rPr>
          <w:rFonts w:ascii="inherit" w:hAnsi="inherit"/>
          <w:sz w:val="17"/>
        </w:rPr>
        <w:t xml:space="preserve">primarily due to higher outside services expenses and higher employee costs driven by labor and benefits.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u w:val="single"/>
        </w:rPr>
        <w:t>Depreciation and amortization</w:t>
      </w:r>
      <w:r>
        <w:rPr>
          <w:sz w:val="17"/>
        </w:rPr>
        <w:t xml:space="preserve"> </w:t>
      </w:r>
      <w:r>
        <w:rPr>
          <w:rFonts w:ascii="inherit" w:hAnsi="inherit"/>
          <w:sz w:val="17"/>
        </w:rPr>
        <w:t>was comparable to the same period in the prior year.</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40" w:before="0" w:after="0"/>
        <w:jc w:val="left"/>
        <w:rPr>
          <w:rFonts w:ascii="inherit" w:hAnsi="inherit"/>
          <w:i/>
          <w:sz w:val="17"/>
        </w:rPr>
      </w:pPr>
      <w:r>
        <w:rPr>
          <w:rFonts w:ascii="inherit" w:hAnsi="inherit"/>
          <w:i/>
          <w:sz w:val="17"/>
        </w:rPr>
        <w:t>Operating Statistics</w:t>
      </w:r>
    </w:p>
    <w:tbl>
      <w:tblPr>
        <w:tblW w:w="7442" w:type="dxa"/>
        <w:jc w:val="center"/>
        <w:tblInd w:w="0" w:type="dxa"/>
        <w:tblCellMar>
          <w:top w:w="0" w:type="dxa"/>
          <w:left w:w="0" w:type="dxa"/>
          <w:bottom w:w="0" w:type="dxa"/>
          <w:right w:w="0" w:type="dxa"/>
        </w:tblCellMar>
      </w:tblPr>
      <w:tblGrid>
        <w:gridCol w:w="3065"/>
        <w:gridCol w:w="90"/>
        <w:gridCol w:w="175"/>
        <w:gridCol w:w="964"/>
        <w:gridCol w:w="47"/>
        <w:gridCol w:w="175"/>
        <w:gridCol w:w="964"/>
        <w:gridCol w:w="47"/>
        <w:gridCol w:w="90"/>
        <w:gridCol w:w="740"/>
        <w:gridCol w:w="30"/>
        <w:gridCol w:w="740"/>
        <w:gridCol w:w="315"/>
      </w:tblGrid>
      <w:tr>
        <w:trPr/>
        <w:tc>
          <w:tcPr>
            <w:tcW w:w="7442" w:type="dxa"/>
            <w:gridSpan w:val="13"/>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65"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72"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Electric Revenue (in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25"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Quantities sold (MWh)</w:t>
            </w:r>
          </w:p>
        </w:tc>
      </w:tr>
      <w:tr>
        <w:trPr/>
        <w:tc>
          <w:tcPr>
            <w:tcW w:w="306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72" w:type="dxa"/>
            <w:gridSpan w:val="6"/>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825" w:type="dxa"/>
            <w:gridSpan w:val="4"/>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r>
      <w:tr>
        <w:trPr/>
        <w:tc>
          <w:tcPr>
            <w:tcW w:w="306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1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05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Residential</w:t>
            </w:r>
          </w:p>
        </w:tc>
        <w:tc>
          <w:tcPr>
            <w:tcW w:w="90" w:type="dxa"/>
            <w:tcBorders/>
            <w:shd w:fill="CEFFE7" w:val="clear"/>
            <w:vAlign w:val="center"/>
          </w:tcPr>
          <w:p>
            <w:pPr>
              <w:pStyle w:val="TableContents"/>
              <w:spacing w:before="0" w:after="0"/>
              <w:ind w:left="0" w:right="0" w:firstLine="30"/>
              <w:rPr/>
            </w:pPr>
            <w:r>
              <w:rPr/>
              <w:t> </w:t>
            </w:r>
          </w:p>
        </w:tc>
        <w:tc>
          <w:tcPr>
            <w:tcW w:w="17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64" w:type="dxa"/>
            <w:tcBorders/>
            <w:shd w:fill="CEFFE7" w:val="clear"/>
            <w:vAlign w:val="center"/>
          </w:tcPr>
          <w:p>
            <w:pPr>
              <w:pStyle w:val="TableContents"/>
              <w:spacing w:before="0" w:after="0"/>
              <w:jc w:val="right"/>
              <w:rPr>
                <w:rFonts w:ascii="inherit" w:hAnsi="inherit"/>
                <w:sz w:val="15"/>
              </w:rPr>
            </w:pPr>
            <w:r>
              <w:rPr>
                <w:rFonts w:ascii="inherit" w:hAnsi="inherit"/>
                <w:sz w:val="15"/>
              </w:rPr>
              <w:t>57,638</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964" w:type="dxa"/>
            <w:tcBorders/>
            <w:shd w:fill="CEFFE7" w:val="clear"/>
            <w:vAlign w:val="center"/>
          </w:tcPr>
          <w:p>
            <w:pPr>
              <w:pStyle w:val="TableContents"/>
              <w:spacing w:before="0" w:after="0"/>
              <w:jc w:val="right"/>
              <w:rPr>
                <w:rFonts w:ascii="inherit" w:hAnsi="inherit"/>
                <w:sz w:val="15"/>
              </w:rPr>
            </w:pPr>
            <w:r>
              <w:rPr>
                <w:rFonts w:ascii="inherit" w:hAnsi="inherit"/>
                <w:sz w:val="15"/>
              </w:rPr>
              <w:t>55,741</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389,178</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383,270</w:t>
            </w:r>
          </w:p>
        </w:tc>
        <w:tc>
          <w:tcPr>
            <w:tcW w:w="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Commercial</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60,963</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61,984</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505,573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500,136</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Industrial</w:t>
            </w:r>
          </w:p>
        </w:tc>
        <w:tc>
          <w:tcPr>
            <w:tcW w:w="90" w:type="dxa"/>
            <w:tcBorders/>
            <w:shd w:fill="CEFFE7" w:val="clear"/>
            <w:vAlign w:val="center"/>
          </w:tcPr>
          <w:p>
            <w:pPr>
              <w:pStyle w:val="TableContents"/>
              <w:spacing w:before="0" w:after="0"/>
              <w:ind w:left="0" w:right="0" w:firstLine="30"/>
              <w:rPr/>
            </w:pPr>
            <w:r>
              <w:rPr/>
              <w:t> </w:t>
            </w:r>
          </w:p>
        </w:tc>
        <w:tc>
          <w:tcPr>
            <w:tcW w:w="113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32,440</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30,800</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426,614</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400,709</w:t>
            </w:r>
          </w:p>
        </w:tc>
        <w:tc>
          <w:tcPr>
            <w:tcW w:w="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Municipal</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4,139</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4,141</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36,636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36,324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Subtotal Retail Revenue - Electric</w:t>
            </w:r>
          </w:p>
        </w:tc>
        <w:tc>
          <w:tcPr>
            <w:tcW w:w="90" w:type="dxa"/>
            <w:tcBorders/>
            <w:shd w:fill="CEFFE7" w:val="clear"/>
            <w:vAlign w:val="center"/>
          </w:tcPr>
          <w:p>
            <w:pPr>
              <w:pStyle w:val="TableContents"/>
              <w:spacing w:before="0" w:after="0"/>
              <w:ind w:left="0" w:right="0" w:firstLine="30"/>
              <w:rPr/>
            </w:pPr>
            <w:r>
              <w:rPr/>
              <w:t> </w:t>
            </w:r>
          </w:p>
        </w:tc>
        <w:tc>
          <w:tcPr>
            <w:tcW w:w="1139"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155,180</w:t>
            </w:r>
          </w:p>
        </w:tc>
        <w:tc>
          <w:tcPr>
            <w:tcW w:w="4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152,666</w:t>
            </w:r>
          </w:p>
        </w:tc>
        <w:tc>
          <w:tcPr>
            <w:tcW w:w="4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1,358,001</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1,320,439</w:t>
            </w:r>
          </w:p>
        </w:tc>
        <w:tc>
          <w:tcPr>
            <w:tcW w:w="31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Contract Wholesale</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8,343</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9,050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223,020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237,704</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Off-system/Power Marketing Wholesale</w:t>
            </w:r>
          </w:p>
        </w:tc>
        <w:tc>
          <w:tcPr>
            <w:tcW w:w="90" w:type="dxa"/>
            <w:tcBorders/>
            <w:shd w:fill="CEFFE7" w:val="clear"/>
            <w:vAlign w:val="center"/>
          </w:tcPr>
          <w:p>
            <w:pPr>
              <w:pStyle w:val="TableContents"/>
              <w:spacing w:before="0" w:after="0"/>
              <w:ind w:left="0" w:right="0" w:firstLine="30"/>
              <w:rPr/>
            </w:pPr>
            <w:r>
              <w:rPr/>
              <w:t> </w:t>
            </w:r>
          </w:p>
        </w:tc>
        <w:tc>
          <w:tcPr>
            <w:tcW w:w="113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6,692</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4,144</w:t>
            </w:r>
          </w:p>
        </w:tc>
        <w:tc>
          <w:tcPr>
            <w:tcW w:w="4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140,850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129,041</w:t>
            </w:r>
          </w:p>
        </w:tc>
        <w:tc>
          <w:tcPr>
            <w:tcW w:w="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12,712</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7,695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Revenue and Energy Sold</w:t>
            </w:r>
          </w:p>
        </w:tc>
        <w:tc>
          <w:tcPr>
            <w:tcW w:w="90" w:type="dxa"/>
            <w:tcBorders/>
            <w:shd w:fill="CEFFE7"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182,927</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173,555</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1,721,871</w:t>
            </w:r>
          </w:p>
        </w:tc>
        <w:tc>
          <w:tcPr>
            <w:tcW w:w="3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1,687,184</w:t>
            </w:r>
          </w:p>
        </w:tc>
        <w:tc>
          <w:tcPr>
            <w:tcW w:w="31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Uses, Losses or Generation, net</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shd w:fill="auto" w:val="clear"/>
            <w:vAlign w:val="center"/>
          </w:tcPr>
          <w:p>
            <w:pPr>
              <w:pStyle w:val="TableContents"/>
              <w:spacing w:before="0" w:after="0"/>
              <w:jc w:val="right"/>
              <w:rPr/>
            </w:pPr>
            <w:r>
              <w:rPr/>
              <w:t>—</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97,000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90,855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6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Revenue and Energy</w:t>
            </w:r>
          </w:p>
        </w:tc>
        <w:tc>
          <w:tcPr>
            <w:tcW w:w="90" w:type="dxa"/>
            <w:tcBorders/>
            <w:shd w:fill="CEFFE7"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182,927</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173,555</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4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1,818,871</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1,778,039</w:t>
            </w:r>
          </w:p>
        </w:tc>
        <w:tc>
          <w:tcPr>
            <w:tcW w:w="31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65" w:type="dxa"/>
            <w:tcBorders/>
            <w:shd w:fill="auto" w:val="clear"/>
            <w:vAlign w:val="center"/>
          </w:tcPr>
          <w:p>
            <w:pPr>
              <w:pStyle w:val="TableContents"/>
              <w:spacing w:lineRule="auto" w:line="288" w:before="0" w:after="0"/>
              <w:ind w:left="0" w:right="0" w:firstLine="30"/>
              <w:rPr>
                <w:sz w:val="15"/>
              </w:rPr>
            </w:pPr>
            <w:r>
              <w:rPr>
                <w:rFonts w:ascii="inherit" w:hAnsi="inherit"/>
                <w:sz w:val="15"/>
              </w:rPr>
              <w:t xml:space="preserve">Less cost of fuel and purchased power </w:t>
            </w:r>
            <w:r>
              <w:rPr>
                <w:rFonts w:ascii="inherit" w:hAnsi="inherit"/>
                <w:sz w:val="10"/>
              </w:rPr>
              <w:t>(a)</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73,283</w:t>
            </w:r>
          </w:p>
        </w:tc>
        <w:tc>
          <w:tcPr>
            <w:tcW w:w="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68,738</w:t>
            </w:r>
          </w:p>
        </w:tc>
        <w:tc>
          <w:tcPr>
            <w:tcW w:w="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ind w:left="0" w:right="0" w:firstLine="300"/>
              <w:rPr/>
            </w:pPr>
            <w:r>
              <w:rPr/>
              <w:t> </w:t>
            </w:r>
          </w:p>
        </w:tc>
      </w:tr>
      <w:tr>
        <w:trPr/>
        <w:tc>
          <w:tcPr>
            <w:tcW w:w="3065" w:type="dxa"/>
            <w:tcBorders/>
            <w:shd w:fill="CEFFE7" w:val="clear"/>
            <w:vAlign w:val="center"/>
          </w:tcPr>
          <w:p>
            <w:pPr>
              <w:pStyle w:val="TableContents"/>
              <w:spacing w:lineRule="auto" w:line="288" w:before="0" w:after="0"/>
              <w:ind w:left="0" w:right="0" w:firstLine="30"/>
              <w:jc w:val="left"/>
              <w:rPr>
                <w:sz w:val="15"/>
              </w:rPr>
            </w:pPr>
            <w:r>
              <w:rPr>
                <w:rFonts w:ascii="inherit" w:hAnsi="inherit"/>
                <w:sz w:val="15"/>
              </w:rPr>
              <w:t xml:space="preserve">Gross Margin (non-GAAP) </w:t>
            </w:r>
            <w:r>
              <w:rPr>
                <w:rFonts w:ascii="inherit" w:hAnsi="inherit"/>
                <w:sz w:val="10"/>
              </w:rPr>
              <w:t>(a)</w:t>
            </w:r>
          </w:p>
        </w:tc>
        <w:tc>
          <w:tcPr>
            <w:tcW w:w="90" w:type="dxa"/>
            <w:tcBorders/>
            <w:shd w:fill="CEFFE7"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6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109,644</w:t>
            </w:r>
          </w:p>
        </w:tc>
        <w:tc>
          <w:tcPr>
            <w:tcW w:w="4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6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104,817</w:t>
            </w:r>
          </w:p>
        </w:tc>
        <w:tc>
          <w:tcPr>
            <w:tcW w:w="4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70" w:type="dxa"/>
            <w:gridSpan w:val="2"/>
            <w:tcBorders/>
            <w:shd w:fill="CEFFE7" w:val="clear"/>
            <w:vAlign w:val="center"/>
          </w:tcPr>
          <w:p>
            <w:pPr>
              <w:pStyle w:val="TableContents"/>
              <w:spacing w:before="0" w:after="0"/>
              <w:ind w:left="0" w:right="0" w:firstLine="30"/>
              <w:rPr/>
            </w:pPr>
            <w:r>
              <w:rPr/>
              <w:t> </w:t>
            </w:r>
          </w:p>
        </w:tc>
        <w:tc>
          <w:tcPr>
            <w:tcW w:w="1055" w:type="dxa"/>
            <w:gridSpan w:val="2"/>
            <w:tcBorders/>
            <w:shd w:fill="CEFFE7"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t>________________</w:t>
      </w:r>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sz w:val="4"/>
                <w:szCs w:val="4"/>
              </w:rPr>
            </w:pPr>
            <w:r>
              <w:rPr>
                <w:sz w:val="4"/>
                <w:szCs w:val="4"/>
              </w:rPr>
            </w:r>
          </w:p>
        </w:tc>
        <w:tc>
          <w:tcPr>
            <w:tcW w:w="9999"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99"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Fuel and purchased power was recast for the three months ended March 31, 2018, which resulted in a change of $1.6 million. The impact to Fuel and purchased power for the three months ended March 31, 2019 was $8.7 million. There were corresponding changes to Gross margin for each period.</w:t>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center"/>
        <w:tblInd w:w="0" w:type="dxa"/>
        <w:tblCellMar>
          <w:top w:w="0" w:type="dxa"/>
          <w:left w:w="0" w:type="dxa"/>
          <w:bottom w:w="0" w:type="dxa"/>
          <w:right w:w="0" w:type="dxa"/>
        </w:tblCellMar>
      </w:tblPr>
      <w:tblGrid>
        <w:gridCol w:w="3576"/>
        <w:gridCol w:w="90"/>
        <w:gridCol w:w="150"/>
        <w:gridCol w:w="826"/>
        <w:gridCol w:w="40"/>
        <w:gridCol w:w="150"/>
        <w:gridCol w:w="826"/>
        <w:gridCol w:w="40"/>
        <w:gridCol w:w="90"/>
        <w:gridCol w:w="180"/>
        <w:gridCol w:w="991"/>
        <w:gridCol w:w="49"/>
        <w:gridCol w:w="180"/>
        <w:gridCol w:w="991"/>
        <w:gridCol w:w="49"/>
        <w:gridCol w:w="90"/>
        <w:gridCol w:w="764"/>
        <w:gridCol w:w="30"/>
        <w:gridCol w:w="764"/>
        <w:gridCol w:w="329"/>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5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7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4" w:type="dxa"/>
            <w:gridSpan w:val="2"/>
            <w:tcBorders/>
            <w:shd w:fill="auto" w:val="clear"/>
            <w:vAlign w:val="center"/>
          </w:tcPr>
          <w:p>
            <w:pPr>
              <w:pStyle w:val="TableContents"/>
              <w:spacing w:before="0" w:after="0"/>
              <w:ind w:left="0" w:right="0" w:firstLine="30"/>
              <w:rPr/>
            </w:pPr>
            <w:r>
              <w:rPr/>
              <w:t> </w:t>
            </w:r>
          </w:p>
        </w:tc>
        <w:tc>
          <w:tcPr>
            <w:tcW w:w="1093" w:type="dxa"/>
            <w:gridSpan w:val="2"/>
            <w:tcBorders/>
            <w:shd w:fill="auto" w:val="clear"/>
            <w:vAlign w:val="center"/>
          </w:tcPr>
          <w:p>
            <w:pPr>
              <w:pStyle w:val="TableContents"/>
              <w:spacing w:before="0" w:after="0"/>
              <w:ind w:left="0" w:right="0" w:firstLine="30"/>
              <w:rPr/>
            </w:pPr>
            <w:r>
              <w:rPr/>
              <w:t> </w:t>
            </w:r>
          </w:p>
        </w:tc>
      </w:tr>
      <w:tr>
        <w:trPr/>
        <w:tc>
          <w:tcPr>
            <w:tcW w:w="3576"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32"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Electric Revenue (in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4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Gross Margin (non-GAAP) (in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87" w:type="dxa"/>
            <w:gridSpan w:val="4"/>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sz w:val="15"/>
              </w:rPr>
              <w:t xml:space="preserve">Quantities Sold (MWh) </w:t>
            </w:r>
            <w:r>
              <w:rPr>
                <w:rFonts w:ascii="inherit" w:hAnsi="inherit"/>
                <w:sz w:val="10"/>
              </w:rPr>
              <w:t>(a)</w:t>
            </w:r>
          </w:p>
        </w:tc>
      </w:tr>
      <w:tr>
        <w:trPr/>
        <w:tc>
          <w:tcPr>
            <w:tcW w:w="357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0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2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9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09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3576" w:type="dxa"/>
            <w:tcBorders>
              <w:top w:val="single" w:sz="2" w:space="0" w:color="000000"/>
            </w:tcBorders>
            <w:shd w:fill="auto" w:val="clear"/>
            <w:tcMar>
              <w:top w:w="30" w:type="dxa"/>
            </w:tcMar>
            <w:vAlign w:val="center"/>
          </w:tcPr>
          <w:p>
            <w:pPr>
              <w:pStyle w:val="TableContents"/>
              <w:spacing w:lineRule="auto" w:line="288" w:before="0" w:after="0"/>
              <w:ind w:left="0" w:right="0" w:firstLine="30"/>
              <w:jc w:val="left"/>
              <w:rPr>
                <w:sz w:val="15"/>
              </w:rPr>
            </w:pPr>
            <w:r>
              <w:rPr>
                <w:rFonts w:ascii="inherit" w:hAnsi="inherit"/>
                <w:sz w:val="15"/>
              </w:rPr>
              <w:t xml:space="preserve">Colorado Electric </w:t>
            </w:r>
            <w:r>
              <w:rPr>
                <w:rFonts w:ascii="inherit" w:hAnsi="inherit"/>
                <w:sz w:val="10"/>
              </w:rPr>
              <w:t>(b)</w:t>
            </w:r>
          </w:p>
        </w:tc>
        <w:tc>
          <w:tcPr>
            <w:tcW w:w="90" w:type="dxa"/>
            <w:tcBorders/>
            <w:shd w:fill="auto" w:val="clear"/>
            <w:vAlign w:val="center"/>
          </w:tcPr>
          <w:p>
            <w:pPr>
              <w:pStyle w:val="TableContents"/>
              <w:spacing w:before="0" w:after="0"/>
              <w:ind w:left="0" w:right="0" w:firstLine="30"/>
              <w:rPr/>
            </w:pPr>
            <w:r>
              <w:rPr/>
              <w:t> </w:t>
            </w:r>
          </w:p>
        </w:tc>
        <w:tc>
          <w:tcPr>
            <w:tcW w:w="15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82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59,847</w:t>
            </w:r>
          </w:p>
        </w:tc>
        <w:tc>
          <w:tcPr>
            <w:tcW w:w="4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82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58,353</w:t>
            </w:r>
          </w:p>
        </w:tc>
        <w:tc>
          <w:tcPr>
            <w:tcW w:w="4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9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31,444</w:t>
            </w:r>
          </w:p>
        </w:tc>
        <w:tc>
          <w:tcPr>
            <w:tcW w:w="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9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31,746</w:t>
            </w:r>
          </w:p>
        </w:tc>
        <w:tc>
          <w:tcPr>
            <w:tcW w:w="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4"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491,682</w:t>
            </w:r>
          </w:p>
        </w:tc>
        <w:tc>
          <w:tcPr>
            <w:tcW w:w="3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4"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487,000</w:t>
            </w:r>
          </w:p>
        </w:tc>
        <w:tc>
          <w:tcPr>
            <w:tcW w:w="32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South Dakota Electric</w:t>
            </w:r>
          </w:p>
        </w:tc>
        <w:tc>
          <w:tcPr>
            <w:tcW w:w="90" w:type="dxa"/>
            <w:tcBorders/>
            <w:shd w:fill="CEFFE7" w:val="clear"/>
            <w:vAlign w:val="center"/>
          </w:tcPr>
          <w:p>
            <w:pPr>
              <w:pStyle w:val="TableContents"/>
              <w:spacing w:before="0" w:after="0"/>
              <w:ind w:left="0" w:right="0" w:firstLine="30"/>
              <w:rPr/>
            </w:pPr>
            <w:r>
              <w:rPr/>
              <w:t> </w:t>
            </w:r>
          </w:p>
        </w:tc>
        <w:tc>
          <w:tcPr>
            <w:tcW w:w="97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79,041</w:t>
            </w:r>
          </w:p>
        </w:tc>
        <w:tc>
          <w:tcPr>
            <w:tcW w:w="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73,815</w:t>
            </w:r>
          </w:p>
        </w:tc>
        <w:tc>
          <w:tcPr>
            <w:tcW w:w="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17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56,308</w:t>
            </w:r>
          </w:p>
        </w:tc>
        <w:tc>
          <w:tcPr>
            <w:tcW w:w="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51,376</w:t>
            </w:r>
          </w:p>
        </w:tc>
        <w:tc>
          <w:tcPr>
            <w:tcW w:w="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764" w:type="dxa"/>
            <w:tcBorders/>
            <w:shd w:fill="CEFFE7" w:val="clear"/>
            <w:vAlign w:val="center"/>
          </w:tcPr>
          <w:p>
            <w:pPr>
              <w:pStyle w:val="TableContents"/>
              <w:spacing w:before="0" w:after="0"/>
              <w:jc w:val="right"/>
              <w:rPr>
                <w:rFonts w:ascii="inherit" w:hAnsi="inherit"/>
                <w:sz w:val="15"/>
              </w:rPr>
            </w:pPr>
            <w:r>
              <w:rPr>
                <w:rFonts w:ascii="inherit" w:hAnsi="inherit"/>
                <w:sz w:val="15"/>
              </w:rPr>
              <w:t>845,001</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4" w:type="dxa"/>
            <w:tcBorders/>
            <w:shd w:fill="CEFFE7" w:val="clear"/>
            <w:vAlign w:val="center"/>
          </w:tcPr>
          <w:p>
            <w:pPr>
              <w:pStyle w:val="TableContents"/>
              <w:spacing w:before="0" w:after="0"/>
              <w:jc w:val="right"/>
              <w:rPr>
                <w:rFonts w:ascii="inherit" w:hAnsi="inherit"/>
                <w:sz w:val="15"/>
              </w:rPr>
            </w:pPr>
            <w:r>
              <w:rPr>
                <w:rFonts w:ascii="inherit" w:hAnsi="inherit"/>
                <w:sz w:val="15"/>
              </w:rPr>
              <w:t>828,177</w:t>
            </w:r>
          </w:p>
        </w:tc>
        <w:tc>
          <w:tcPr>
            <w:tcW w:w="32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Wyoming Electric</w:t>
            </w:r>
          </w:p>
        </w:tc>
        <w:tc>
          <w:tcPr>
            <w:tcW w:w="90" w:type="dxa"/>
            <w:tcBorders/>
            <w:shd w:fill="auto" w:val="clear"/>
            <w:vAlign w:val="center"/>
          </w:tcPr>
          <w:p>
            <w:pPr>
              <w:pStyle w:val="TableContents"/>
              <w:spacing w:before="0" w:after="0"/>
              <w:ind w:left="0" w:right="0" w:firstLine="30"/>
              <w:rPr/>
            </w:pPr>
            <w:r>
              <w:rPr/>
              <w:t> </w:t>
            </w:r>
          </w:p>
        </w:tc>
        <w:tc>
          <w:tcPr>
            <w:tcW w:w="97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44,039</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41,387</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21,892</w:t>
            </w:r>
          </w:p>
        </w:tc>
        <w:tc>
          <w:tcPr>
            <w:tcW w:w="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21,695</w:t>
            </w:r>
          </w:p>
        </w:tc>
        <w:tc>
          <w:tcPr>
            <w:tcW w:w="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4" w:type="dxa"/>
            <w:tcBorders/>
            <w:shd w:fill="auto" w:val="clear"/>
            <w:vAlign w:val="center"/>
          </w:tcPr>
          <w:p>
            <w:pPr>
              <w:pStyle w:val="TableContents"/>
              <w:spacing w:before="0" w:after="0"/>
              <w:jc w:val="right"/>
              <w:rPr>
                <w:rFonts w:ascii="inherit" w:hAnsi="inherit"/>
                <w:sz w:val="15"/>
              </w:rPr>
            </w:pPr>
            <w:r>
              <w:rPr>
                <w:rFonts w:ascii="inherit" w:hAnsi="inherit"/>
                <w:sz w:val="15"/>
              </w:rPr>
              <w:t>482,188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4" w:type="dxa"/>
            <w:tcBorders/>
            <w:shd w:fill="auto" w:val="clear"/>
            <w:vAlign w:val="center"/>
          </w:tcPr>
          <w:p>
            <w:pPr>
              <w:pStyle w:val="TableContents"/>
              <w:spacing w:before="0" w:after="0"/>
              <w:jc w:val="right"/>
              <w:rPr>
                <w:rFonts w:ascii="inherit" w:hAnsi="inherit"/>
                <w:sz w:val="15"/>
              </w:rPr>
            </w:pPr>
            <w:r>
              <w:rPr>
                <w:rFonts w:ascii="inherit" w:hAnsi="inherit"/>
                <w:sz w:val="15"/>
              </w:rPr>
              <w:t>462,862</w:t>
            </w:r>
          </w:p>
        </w:tc>
        <w:tc>
          <w:tcPr>
            <w:tcW w:w="32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Electric Revenue, Gross Margin (non-GAAP), and Quantities Sold</w:t>
            </w:r>
          </w:p>
        </w:tc>
        <w:tc>
          <w:tcPr>
            <w:tcW w:w="90" w:type="dxa"/>
            <w:tcBorders/>
            <w:shd w:fill="CEFFE7"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182,927</w:t>
            </w:r>
          </w:p>
        </w:tc>
        <w:tc>
          <w:tcPr>
            <w:tcW w:w="4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2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173,555</w:t>
            </w:r>
          </w:p>
        </w:tc>
        <w:tc>
          <w:tcPr>
            <w:tcW w:w="4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109,644</w:t>
            </w:r>
          </w:p>
        </w:tc>
        <w:tc>
          <w:tcPr>
            <w:tcW w:w="4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9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104,817</w:t>
            </w:r>
          </w:p>
        </w:tc>
        <w:tc>
          <w:tcPr>
            <w:tcW w:w="4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ind w:left="0" w:right="0" w:firstLine="30"/>
              <w:rPr/>
            </w:pPr>
            <w:r>
              <w:rPr/>
              <w:t> </w:t>
            </w:r>
          </w:p>
        </w:tc>
        <w:tc>
          <w:tcPr>
            <w:tcW w:w="76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1,818,871</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6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1,778,039</w:t>
            </w:r>
          </w:p>
        </w:tc>
        <w:tc>
          <w:tcPr>
            <w:tcW w:w="32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sz w:val="4"/>
                <w:szCs w:val="4"/>
              </w:rPr>
            </w:pPr>
            <w:r>
              <w:rPr>
                <w:sz w:val="4"/>
                <w:szCs w:val="4"/>
              </w:rPr>
            </w:r>
          </w:p>
        </w:tc>
        <w:tc>
          <w:tcPr>
            <w:tcW w:w="9980" w:type="dxa"/>
            <w:tcBorders/>
            <w:shd w:fill="auto" w:val="clear"/>
            <w:vAlign w:val="center"/>
          </w:tcPr>
          <w:p>
            <w:pPr>
              <w:pStyle w:val="TableContents"/>
              <w:spacing w:before="0" w:after="283"/>
              <w:rPr>
                <w:sz w:val="4"/>
                <w:szCs w:val="4"/>
              </w:rPr>
            </w:pPr>
            <w:r>
              <w:rPr>
                <w:sz w:val="4"/>
                <w:szCs w:val="4"/>
              </w:rPr>
            </w:r>
          </w:p>
        </w:tc>
      </w:tr>
      <w:tr>
        <w:trPr/>
        <w:tc>
          <w:tcPr>
            <w:tcW w:w="22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0" w:type="dxa"/>
            <w:tcBorders/>
            <w:shd w:fill="auto" w:val="clear"/>
            <w:vAlign w:val="center"/>
          </w:tcPr>
          <w:p>
            <w:pPr>
              <w:pStyle w:val="TableContents"/>
              <w:spacing w:lineRule="auto" w:line="288" w:before="0" w:after="0"/>
              <w:jc w:val="left"/>
              <w:rPr>
                <w:sz w:val="15"/>
              </w:rPr>
            </w:pPr>
            <w:r>
              <w:rPr>
                <w:rFonts w:ascii="inherit" w:hAnsi="inherit"/>
                <w:sz w:val="15"/>
              </w:rPr>
              <w:t>Total MWh for 2019</w:t>
            </w:r>
            <w:r>
              <w:rPr>
                <w:sz w:val="15"/>
              </w:rPr>
              <w:t xml:space="preserve"> </w:t>
            </w:r>
            <w:r>
              <w:rPr>
                <w:rFonts w:ascii="inherit" w:hAnsi="inherit"/>
                <w:sz w:val="15"/>
              </w:rPr>
              <w:t>includes Other Uses, Losses or Generation, net, which are approximately 5%, 5%, and 6%</w:t>
            </w:r>
            <w:r>
              <w:rPr>
                <w:sz w:val="15"/>
              </w:rPr>
              <w:t xml:space="preserve"> </w:t>
            </w:r>
            <w:r>
              <w:rPr>
                <w:rFonts w:ascii="inherit" w:hAnsi="inherit"/>
                <w:sz w:val="15"/>
              </w:rPr>
              <w:t>for Colorado Electric, South Dakota Electric, and Wyoming Electric, respectively.</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sz w:val="4"/>
                <w:szCs w:val="4"/>
              </w:rPr>
            </w:pPr>
            <w:r>
              <w:rPr>
                <w:sz w:val="4"/>
                <w:szCs w:val="4"/>
              </w:rPr>
            </w:r>
          </w:p>
        </w:tc>
        <w:tc>
          <w:tcPr>
            <w:tcW w:w="9991" w:type="dxa"/>
            <w:tcBorders/>
            <w:shd w:fill="auto" w:val="clear"/>
            <w:vAlign w:val="center"/>
          </w:tcPr>
          <w:p>
            <w:pPr>
              <w:pStyle w:val="TableContents"/>
              <w:spacing w:before="0" w:after="283"/>
              <w:rPr>
                <w:sz w:val="4"/>
                <w:szCs w:val="4"/>
              </w:rPr>
            </w:pPr>
            <w:r>
              <w:rPr>
                <w:sz w:val="4"/>
                <w:szCs w:val="4"/>
              </w:rPr>
            </w:r>
          </w:p>
        </w:tc>
      </w:tr>
      <w:tr>
        <w:trPr/>
        <w:tc>
          <w:tcPr>
            <w:tcW w:w="21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91"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Gross margin was recast for the three months ended March 31, 2018, which resulted in a change of ($1.6) million. The impact to Gross margin for the three months ended March 31, 2019 was ($8.7) million.</w:t>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5130" w:type="dxa"/>
        <w:jc w:val="center"/>
        <w:tblInd w:w="0" w:type="dxa"/>
        <w:tblCellMar>
          <w:top w:w="0" w:type="dxa"/>
          <w:left w:w="0" w:type="dxa"/>
          <w:bottom w:w="0" w:type="dxa"/>
          <w:right w:w="0" w:type="dxa"/>
        </w:tblCellMar>
      </w:tblPr>
      <w:tblGrid>
        <w:gridCol w:w="3305"/>
        <w:gridCol w:w="740"/>
        <w:gridCol w:w="30"/>
        <w:gridCol w:w="740"/>
        <w:gridCol w:w="315"/>
      </w:tblGrid>
      <w:tr>
        <w:trPr/>
        <w:tc>
          <w:tcPr>
            <w:tcW w:w="5130" w:type="dxa"/>
            <w:gridSpan w:val="5"/>
            <w:tcBorders/>
            <w:shd w:fill="auto" w:val="clear"/>
            <w:vAlign w:val="center"/>
          </w:tcPr>
          <w:p>
            <w:pPr>
              <w:pStyle w:val="TableContents"/>
              <w:spacing w:before="0" w:after="283"/>
              <w:rPr>
                <w:sz w:val="4"/>
                <w:szCs w:val="4"/>
              </w:rPr>
            </w:pPr>
            <w:r>
              <w:rPr>
                <w:sz w:val="4"/>
                <w:szCs w:val="4"/>
              </w:rPr>
            </w:r>
          </w:p>
        </w:tc>
      </w:tr>
      <w:tr>
        <w:trPr/>
        <w:tc>
          <w:tcPr>
            <w:tcW w:w="330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5" w:type="dxa"/>
            <w:tcBorders/>
            <w:shd w:fill="auto" w:val="clear"/>
            <w:vAlign w:val="center"/>
          </w:tcPr>
          <w:p>
            <w:pPr>
              <w:pStyle w:val="TableContents"/>
              <w:spacing w:before="0" w:after="0"/>
              <w:ind w:left="0" w:right="0" w:firstLine="30"/>
              <w:rPr/>
            </w:pPr>
            <w:r>
              <w:rPr/>
              <w:t> </w:t>
            </w:r>
          </w:p>
        </w:tc>
        <w:tc>
          <w:tcPr>
            <w:tcW w:w="1825" w:type="dxa"/>
            <w:gridSpan w:val="4"/>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r>
      <w:tr>
        <w:trPr/>
        <w:tc>
          <w:tcPr>
            <w:tcW w:w="33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Quantities Generated and Purchased (MWh)</w:t>
            </w:r>
          </w:p>
        </w:tc>
        <w:tc>
          <w:tcPr>
            <w:tcW w:w="77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05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3305"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ind w:left="0" w:right="0" w:firstLine="30"/>
              <w:rPr/>
            </w:pPr>
            <w:r>
              <w:rPr/>
              <w:t> </w:t>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Coal-fired</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585,295</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595,600</w:t>
            </w:r>
          </w:p>
        </w:tc>
        <w:tc>
          <w:tcPr>
            <w:tcW w:w="31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Natural Gas and Oil</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124,657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41,323</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Wind</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55,419</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73,981</w:t>
            </w:r>
          </w:p>
        </w:tc>
        <w:tc>
          <w:tcPr>
            <w:tcW w:w="315"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Generated</w:t>
            </w:r>
          </w:p>
        </w:tc>
        <w:tc>
          <w:tcPr>
            <w:tcW w:w="74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765,371</w:t>
            </w:r>
          </w:p>
        </w:tc>
        <w:tc>
          <w:tcPr>
            <w:tcW w:w="3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710,904</w:t>
            </w:r>
          </w:p>
        </w:tc>
        <w:tc>
          <w:tcPr>
            <w:tcW w:w="3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Purchased</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1,053,500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1,067,135</w:t>
            </w:r>
          </w:p>
        </w:tc>
        <w:tc>
          <w:tcPr>
            <w:tcW w:w="315"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Generated and Purchased</w:t>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1,818,871</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1,778,039</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5370" w:type="dxa"/>
        <w:jc w:val="center"/>
        <w:tblInd w:w="0" w:type="dxa"/>
        <w:tblCellMar>
          <w:top w:w="0" w:type="dxa"/>
          <w:left w:w="0" w:type="dxa"/>
          <w:bottom w:w="0" w:type="dxa"/>
          <w:right w:w="0" w:type="dxa"/>
        </w:tblCellMar>
      </w:tblPr>
      <w:tblGrid>
        <w:gridCol w:w="3305"/>
        <w:gridCol w:w="740"/>
        <w:gridCol w:w="30"/>
        <w:gridCol w:w="740"/>
        <w:gridCol w:w="555"/>
      </w:tblGrid>
      <w:tr>
        <w:trPr/>
        <w:tc>
          <w:tcPr>
            <w:tcW w:w="5370" w:type="dxa"/>
            <w:gridSpan w:val="5"/>
            <w:tcBorders/>
            <w:shd w:fill="auto" w:val="clear"/>
            <w:vAlign w:val="center"/>
          </w:tcPr>
          <w:p>
            <w:pPr>
              <w:pStyle w:val="TableContents"/>
              <w:spacing w:before="0" w:after="283"/>
              <w:rPr>
                <w:sz w:val="4"/>
                <w:szCs w:val="4"/>
              </w:rPr>
            </w:pPr>
            <w:r>
              <w:rPr>
                <w:sz w:val="4"/>
                <w:szCs w:val="4"/>
              </w:rPr>
            </w:r>
          </w:p>
        </w:tc>
      </w:tr>
      <w:tr>
        <w:trPr/>
        <w:tc>
          <w:tcPr>
            <w:tcW w:w="330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5" w:type="dxa"/>
            <w:tcBorders/>
            <w:shd w:fill="auto" w:val="clear"/>
            <w:vAlign w:val="center"/>
          </w:tcPr>
          <w:p>
            <w:pPr>
              <w:pStyle w:val="TableContents"/>
              <w:spacing w:before="0" w:after="0"/>
              <w:ind w:left="0" w:right="0" w:firstLine="30"/>
              <w:rPr/>
            </w:pPr>
            <w:r>
              <w:rPr/>
              <w:t> </w:t>
            </w:r>
          </w:p>
        </w:tc>
        <w:tc>
          <w:tcPr>
            <w:tcW w:w="2065" w:type="dxa"/>
            <w:gridSpan w:val="4"/>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r>
      <w:tr>
        <w:trPr/>
        <w:tc>
          <w:tcPr>
            <w:tcW w:w="33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Quantities Generated and Purchased (MWh)</w:t>
            </w:r>
          </w:p>
        </w:tc>
        <w:tc>
          <w:tcPr>
            <w:tcW w:w="77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29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Generated:</w:t>
            </w:r>
          </w:p>
        </w:tc>
        <w:tc>
          <w:tcPr>
            <w:tcW w:w="770" w:type="dxa"/>
            <w:gridSpan w:val="2"/>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ind w:left="0" w:right="0" w:firstLine="300"/>
              <w:rPr/>
            </w:pPr>
            <w:r>
              <w:rPr/>
              <w:t> </w:t>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Colorado Electric</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100,530</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92,048</w:t>
            </w:r>
          </w:p>
        </w:tc>
        <w:tc>
          <w:tcPr>
            <w:tcW w:w="555"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South Dakota Electric</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457,369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412,194</w:t>
            </w:r>
          </w:p>
        </w:tc>
        <w:tc>
          <w:tcPr>
            <w:tcW w:w="55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Wyoming Electric</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207,472</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206,662</w:t>
            </w:r>
          </w:p>
        </w:tc>
        <w:tc>
          <w:tcPr>
            <w:tcW w:w="555" w:type="dxa"/>
            <w:tcBorders/>
            <w:shd w:fill="CEFFE7"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Generated</w:t>
            </w:r>
          </w:p>
        </w:tc>
        <w:tc>
          <w:tcPr>
            <w:tcW w:w="7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765,371</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710,904</w:t>
            </w:r>
          </w:p>
        </w:tc>
        <w:tc>
          <w:tcPr>
            <w:tcW w:w="5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Purchased:</w:t>
            </w:r>
          </w:p>
        </w:tc>
        <w:tc>
          <w:tcPr>
            <w:tcW w:w="770" w:type="dxa"/>
            <w:gridSpan w:val="2"/>
            <w:tcBorders/>
            <w:shd w:fill="CEFFE7" w:val="clear"/>
            <w:vAlign w:val="center"/>
          </w:tcPr>
          <w:p>
            <w:pPr>
              <w:pStyle w:val="TableContents"/>
              <w:spacing w:before="0" w:after="0"/>
              <w:ind w:left="0" w:right="0" w:firstLine="30"/>
              <w:rPr/>
            </w:pPr>
            <w:r>
              <w:rPr/>
              <w:t> </w:t>
            </w:r>
          </w:p>
        </w:tc>
        <w:tc>
          <w:tcPr>
            <w:tcW w:w="1295" w:type="dxa"/>
            <w:gridSpan w:val="2"/>
            <w:tcBorders/>
            <w:shd w:fill="CEFFE7" w:val="clear"/>
            <w:vAlign w:val="center"/>
          </w:tcPr>
          <w:p>
            <w:pPr>
              <w:pStyle w:val="TableContents"/>
              <w:spacing w:before="0" w:after="0"/>
              <w:ind w:left="0" w:right="0" w:firstLine="300"/>
              <w:rPr/>
            </w:pPr>
            <w:r>
              <w:rPr/>
              <w:t> </w:t>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Colorado Electric</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391,152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394,952</w:t>
            </w:r>
          </w:p>
        </w:tc>
        <w:tc>
          <w:tcPr>
            <w:tcW w:w="55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South Dakota Electric</w:t>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387,632</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CEFFE7" w:val="clear"/>
            <w:vAlign w:val="center"/>
          </w:tcPr>
          <w:p>
            <w:pPr>
              <w:pStyle w:val="TableContents"/>
              <w:spacing w:before="0" w:after="0"/>
              <w:jc w:val="right"/>
              <w:rPr>
                <w:rFonts w:ascii="inherit" w:hAnsi="inherit"/>
                <w:sz w:val="15"/>
              </w:rPr>
            </w:pPr>
            <w:r>
              <w:rPr>
                <w:rFonts w:ascii="inherit" w:hAnsi="inherit"/>
                <w:sz w:val="15"/>
              </w:rPr>
              <w:t>415,983</w:t>
            </w:r>
          </w:p>
        </w:tc>
        <w:tc>
          <w:tcPr>
            <w:tcW w:w="555" w:type="dxa"/>
            <w:tcBorders/>
            <w:shd w:fill="CEFFE7"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Wyoming Electric</w:t>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274,716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shd w:fill="auto" w:val="clear"/>
            <w:vAlign w:val="center"/>
          </w:tcPr>
          <w:p>
            <w:pPr>
              <w:pStyle w:val="TableContents"/>
              <w:spacing w:before="0" w:after="0"/>
              <w:jc w:val="right"/>
              <w:rPr>
                <w:rFonts w:ascii="inherit" w:hAnsi="inherit"/>
                <w:sz w:val="15"/>
              </w:rPr>
            </w:pPr>
            <w:r>
              <w:rPr>
                <w:rFonts w:ascii="inherit" w:hAnsi="inherit"/>
                <w:sz w:val="15"/>
              </w:rPr>
              <w:t>256,200</w:t>
            </w:r>
          </w:p>
        </w:tc>
        <w:tc>
          <w:tcPr>
            <w:tcW w:w="55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Purchased</w:t>
            </w:r>
          </w:p>
        </w:tc>
        <w:tc>
          <w:tcPr>
            <w:tcW w:w="74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1,053,500</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1,067,135</w:t>
            </w:r>
          </w:p>
        </w:tc>
        <w:tc>
          <w:tcPr>
            <w:tcW w:w="55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ind w:left="0" w:right="0" w:firstLine="300"/>
              <w:rPr/>
            </w:pPr>
            <w:r>
              <w:rPr/>
              <w:t> </w:t>
            </w:r>
          </w:p>
        </w:tc>
      </w:tr>
      <w:tr>
        <w:trPr/>
        <w:tc>
          <w:tcPr>
            <w:tcW w:w="330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Generated and Purchased</w:t>
            </w:r>
          </w:p>
        </w:tc>
        <w:tc>
          <w:tcPr>
            <w:tcW w:w="740"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1,818,871</w:t>
            </w:r>
          </w:p>
        </w:tc>
        <w:tc>
          <w:tcPr>
            <w:tcW w:w="30" w:type="dxa"/>
            <w:tcBorders>
              <w:bottom w:val="double" w:sz="6"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0"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5"/>
              </w:rPr>
            </w:pPr>
            <w:r>
              <w:rPr>
                <w:rFonts w:ascii="inherit" w:hAnsi="inherit"/>
                <w:sz w:val="15"/>
              </w:rPr>
              <w:t>1,778,039</w:t>
            </w:r>
          </w:p>
        </w:tc>
        <w:tc>
          <w:tcPr>
            <w:tcW w:w="555" w:type="dxa"/>
            <w:tcBorders>
              <w:bottom w:val="double" w:sz="6" w:space="0" w:color="000000"/>
            </w:tcBorders>
            <w:shd w:fill="CEFFE7"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2"/>
        </w:rPr>
      </w:pPr>
      <w:r>
        <w:rPr>
          <w:rFonts w:ascii="inherit" w:hAnsi="inherit"/>
          <w:sz w:val="12"/>
        </w:rPr>
      </w:r>
    </w:p>
    <w:tbl>
      <w:tblPr>
        <w:tblW w:w="900" w:type="dxa"/>
        <w:jc w:val="left"/>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7453" w:type="dxa"/>
        <w:jc w:val="center"/>
        <w:tblInd w:w="0" w:type="dxa"/>
        <w:tblCellMar>
          <w:top w:w="0" w:type="dxa"/>
          <w:left w:w="0" w:type="dxa"/>
          <w:bottom w:w="0" w:type="dxa"/>
          <w:right w:w="0" w:type="dxa"/>
        </w:tblCellMar>
      </w:tblPr>
      <w:tblGrid>
        <w:gridCol w:w="1655"/>
        <w:gridCol w:w="481"/>
        <w:gridCol w:w="34"/>
        <w:gridCol w:w="90"/>
        <w:gridCol w:w="556"/>
        <w:gridCol w:w="558"/>
        <w:gridCol w:w="90"/>
        <w:gridCol w:w="2165"/>
        <w:gridCol w:w="90"/>
        <w:gridCol w:w="481"/>
        <w:gridCol w:w="34"/>
        <w:gridCol w:w="90"/>
        <w:gridCol w:w="229"/>
        <w:gridCol w:w="900"/>
      </w:tblGrid>
      <w:tr>
        <w:trPr/>
        <w:tc>
          <w:tcPr>
            <w:tcW w:w="7453" w:type="dxa"/>
            <w:gridSpan w:val="14"/>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55" w:type="dxa"/>
            <w:tcBorders/>
            <w:shd w:fill="auto" w:val="clear"/>
            <w:vAlign w:val="center"/>
          </w:tcPr>
          <w:p>
            <w:pPr>
              <w:pStyle w:val="TableContents"/>
              <w:spacing w:before="0" w:after="0"/>
              <w:ind w:left="0" w:right="0" w:firstLine="30"/>
              <w:rPr/>
            </w:pPr>
            <w:r>
              <w:rPr/>
              <w:t> </w:t>
            </w:r>
          </w:p>
        </w:tc>
        <w:tc>
          <w:tcPr>
            <w:tcW w:w="5798" w:type="dxa"/>
            <w:gridSpan w:val="13"/>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 March 31,</w:t>
            </w:r>
          </w:p>
        </w:tc>
      </w:tr>
      <w:tr>
        <w:trPr/>
        <w:tc>
          <w:tcPr>
            <w:tcW w:w="1655" w:type="dxa"/>
            <w:tcBorders/>
            <w:shd w:fill="auto" w:val="clear"/>
            <w:vAlign w:val="center"/>
          </w:tcPr>
          <w:p>
            <w:pPr>
              <w:pStyle w:val="TableContents"/>
              <w:spacing w:before="0" w:after="0"/>
              <w:ind w:left="0" w:right="0" w:firstLine="30"/>
              <w:rPr/>
            </w:pPr>
            <w:r>
              <w:rPr/>
              <w:t> </w:t>
            </w:r>
          </w:p>
        </w:tc>
        <w:tc>
          <w:tcPr>
            <w:tcW w:w="1719"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16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34"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16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Heating Degree Days</w:t>
            </w:r>
          </w:p>
        </w:tc>
        <w:tc>
          <w:tcPr>
            <w:tcW w:w="51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Actual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1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Variance from </w:t>
            </w:r>
          </w:p>
          <w:p>
            <w:pPr>
              <w:pStyle w:val="TableContents"/>
              <w:spacing w:before="0" w:after="0"/>
              <w:ind w:left="0" w:right="0" w:firstLine="30"/>
              <w:jc w:val="center"/>
              <w:rPr>
                <w:rFonts w:ascii="inherit" w:hAnsi="inherit"/>
                <w:sz w:val="15"/>
              </w:rPr>
            </w:pPr>
            <w:r>
              <w:rPr>
                <w:rFonts w:ascii="inherit" w:hAnsi="inherit"/>
                <w:sz w:val="15"/>
              </w:rPr>
              <w:t>Normal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1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Actual Variance to Prior Year</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1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Actual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29"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 xml:space="preserve">Variance from </w:t>
            </w:r>
          </w:p>
          <w:p>
            <w:pPr>
              <w:pStyle w:val="TableContents"/>
              <w:spacing w:before="0" w:after="0"/>
              <w:ind w:left="0" w:right="0" w:firstLine="30"/>
              <w:jc w:val="center"/>
              <w:rPr>
                <w:rFonts w:ascii="inherit" w:hAnsi="inherit"/>
                <w:sz w:val="15"/>
              </w:rPr>
            </w:pPr>
            <w:r>
              <w:rPr>
                <w:rFonts w:ascii="inherit" w:hAnsi="inherit"/>
                <w:sz w:val="15"/>
              </w:rPr>
              <w:t>Normal</w:t>
            </w:r>
          </w:p>
        </w:tc>
      </w:tr>
      <w:tr>
        <w:trPr/>
        <w:tc>
          <w:tcPr>
            <w:tcW w:w="1655"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4"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6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29" w:type="dxa"/>
            <w:gridSpan w:val="2"/>
            <w:tcBorders/>
            <w:shd w:fill="auto" w:val="clear"/>
            <w:vAlign w:val="center"/>
          </w:tcPr>
          <w:p>
            <w:pPr>
              <w:pStyle w:val="TableContents"/>
              <w:spacing w:before="0" w:after="0"/>
              <w:ind w:left="0" w:right="0" w:firstLine="330"/>
              <w:rPr/>
            </w:pPr>
            <w:r>
              <w:rPr/>
              <w:t> </w:t>
            </w:r>
          </w:p>
        </w:tc>
      </w:tr>
      <w:tr>
        <w:trPr/>
        <w:tc>
          <w:tcPr>
            <w:tcW w:w="165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Colorado Electric</w:t>
            </w:r>
          </w:p>
        </w:tc>
        <w:tc>
          <w:tcPr>
            <w:tcW w:w="481" w:type="dxa"/>
            <w:tcBorders/>
            <w:shd w:fill="CEFFE7" w:val="clear"/>
            <w:vAlign w:val="center"/>
          </w:tcPr>
          <w:p>
            <w:pPr>
              <w:pStyle w:val="TableContents"/>
              <w:spacing w:before="0" w:after="0"/>
              <w:jc w:val="right"/>
              <w:rPr>
                <w:rFonts w:ascii="inherit" w:hAnsi="inherit"/>
                <w:sz w:val="15"/>
              </w:rPr>
            </w:pPr>
            <w:r>
              <w:rPr>
                <w:rFonts w:ascii="inherit" w:hAnsi="inherit"/>
                <w:sz w:val="15"/>
              </w:rPr>
              <w:t>2,549</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556" w:type="dxa"/>
            <w:tcBorders/>
            <w:shd w:fill="CEFFE7" w:val="clear"/>
            <w:vAlign w:val="center"/>
          </w:tcPr>
          <w:p>
            <w:pPr>
              <w:pStyle w:val="TableContents"/>
              <w:spacing w:before="0" w:after="0"/>
              <w:jc w:val="right"/>
              <w:rPr>
                <w:rFonts w:ascii="inherit" w:hAnsi="inherit"/>
                <w:sz w:val="15"/>
              </w:rPr>
            </w:pPr>
            <w:r>
              <w:rPr>
                <w:rFonts w:ascii="inherit" w:hAnsi="inherit"/>
                <w:sz w:val="15"/>
              </w:rPr>
              <w:t>(4</w:t>
            </w:r>
          </w:p>
        </w:tc>
        <w:tc>
          <w:tcPr>
            <w:tcW w:w="558"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EFFE7" w:val="clear"/>
            <w:vAlign w:val="center"/>
          </w:tcPr>
          <w:p>
            <w:pPr>
              <w:pStyle w:val="TableContents"/>
              <w:spacing w:before="0" w:after="0"/>
              <w:ind w:left="0" w:right="0" w:firstLine="30"/>
              <w:rPr/>
            </w:pPr>
            <w:r>
              <w:rPr/>
              <w:t> </w:t>
            </w:r>
          </w:p>
        </w:tc>
        <w:tc>
          <w:tcPr>
            <w:tcW w:w="2165"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6%</w:t>
            </w:r>
          </w:p>
        </w:tc>
        <w:tc>
          <w:tcPr>
            <w:tcW w:w="90" w:type="dxa"/>
            <w:tcBorders/>
            <w:shd w:fill="CEFFE7" w:val="clear"/>
            <w:vAlign w:val="center"/>
          </w:tcPr>
          <w:p>
            <w:pPr>
              <w:pStyle w:val="TableContents"/>
              <w:spacing w:before="0" w:after="0"/>
              <w:ind w:left="0" w:right="0" w:firstLine="30"/>
              <w:rPr/>
            </w:pPr>
            <w:r>
              <w:rPr/>
              <w:t> </w:t>
            </w:r>
          </w:p>
        </w:tc>
        <w:tc>
          <w:tcPr>
            <w:tcW w:w="481" w:type="dxa"/>
            <w:tcBorders/>
            <w:shd w:fill="CEFFE7" w:val="clear"/>
            <w:vAlign w:val="center"/>
          </w:tcPr>
          <w:p>
            <w:pPr>
              <w:pStyle w:val="TableContents"/>
              <w:spacing w:before="0" w:after="0"/>
              <w:jc w:val="right"/>
              <w:rPr>
                <w:rFonts w:ascii="inherit" w:hAnsi="inherit"/>
                <w:sz w:val="15"/>
              </w:rPr>
            </w:pPr>
            <w:r>
              <w:rPr>
                <w:rFonts w:ascii="inherit" w:hAnsi="inherit"/>
                <w:sz w:val="15"/>
              </w:rPr>
              <w:t>2,406</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29" w:type="dxa"/>
            <w:tcBorders/>
            <w:shd w:fill="CEFFE7" w:val="clear"/>
            <w:vAlign w:val="center"/>
          </w:tcPr>
          <w:p>
            <w:pPr>
              <w:pStyle w:val="TableContents"/>
              <w:spacing w:before="0" w:after="0"/>
              <w:jc w:val="right"/>
              <w:rPr>
                <w:rFonts w:ascii="inherit" w:hAnsi="inherit"/>
                <w:sz w:val="15"/>
              </w:rPr>
            </w:pPr>
            <w:r>
              <w:rPr>
                <w:rFonts w:ascii="inherit" w:hAnsi="inherit"/>
                <w:sz w:val="15"/>
              </w:rPr>
              <w:t>(9</w:t>
            </w:r>
          </w:p>
        </w:tc>
        <w:tc>
          <w:tcPr>
            <w:tcW w:w="900" w:type="dxa"/>
            <w:tcBorders/>
            <w:shd w:fill="CEFFE7" w:val="clear"/>
            <w:vAlign w:val="center"/>
          </w:tcPr>
          <w:p>
            <w:pPr>
              <w:pStyle w:val="TableContents"/>
              <w:spacing w:before="0" w:after="0"/>
              <w:ind w:left="0" w:right="0" w:firstLine="330"/>
              <w:jc w:val="left"/>
              <w:rPr>
                <w:rFonts w:ascii="inherit" w:hAnsi="inherit"/>
                <w:sz w:val="15"/>
              </w:rPr>
            </w:pPr>
            <w:r>
              <w:rPr>
                <w:rFonts w:ascii="inherit" w:hAnsi="inherit"/>
                <w:sz w:val="15"/>
              </w:rPr>
              <w:t>)%</w:t>
            </w:r>
          </w:p>
        </w:tc>
      </w:tr>
      <w:tr>
        <w:trPr/>
        <w:tc>
          <w:tcPr>
            <w:tcW w:w="165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South Dakota Electric</w:t>
            </w:r>
          </w:p>
        </w:tc>
        <w:tc>
          <w:tcPr>
            <w:tcW w:w="481" w:type="dxa"/>
            <w:tcBorders/>
            <w:shd w:fill="auto" w:val="clear"/>
            <w:vAlign w:val="center"/>
          </w:tcPr>
          <w:p>
            <w:pPr>
              <w:pStyle w:val="TableContents"/>
              <w:spacing w:before="0" w:after="0"/>
              <w:jc w:val="right"/>
              <w:rPr>
                <w:rFonts w:ascii="inherit" w:hAnsi="inherit"/>
                <w:sz w:val="15"/>
              </w:rPr>
            </w:pPr>
            <w:r>
              <w:rPr>
                <w:rFonts w:ascii="inherit" w:hAnsi="inherit"/>
                <w:sz w:val="15"/>
              </w:rPr>
              <w:t>3,916</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6" w:type="dxa"/>
            <w:tcBorders/>
            <w:shd w:fill="auto" w:val="clear"/>
            <w:vAlign w:val="center"/>
          </w:tcPr>
          <w:p>
            <w:pPr>
              <w:pStyle w:val="TableContents"/>
              <w:spacing w:before="0" w:after="0"/>
              <w:jc w:val="right"/>
              <w:rPr>
                <w:rFonts w:ascii="inherit" w:hAnsi="inherit"/>
                <w:sz w:val="15"/>
              </w:rPr>
            </w:pPr>
            <w:r>
              <w:rPr>
                <w:rFonts w:ascii="inherit" w:hAnsi="inherit"/>
                <w:sz w:val="15"/>
              </w:rPr>
              <w:t>22</w:t>
            </w:r>
          </w:p>
        </w:tc>
        <w:tc>
          <w:tcPr>
            <w:tcW w:w="558" w:type="dxa"/>
            <w:tcBorders/>
            <w:shd w:fill="auto" w:val="clear"/>
            <w:vAlign w:val="center"/>
          </w:tcPr>
          <w:p>
            <w:pPr>
              <w:pStyle w:val="TableContents"/>
              <w:spacing w:before="0" w:after="0"/>
              <w:ind w:left="0" w:right="0" w:firstLine="30"/>
              <w:jc w:val="left"/>
              <w:rPr/>
            </w:pPr>
            <w:r>
              <w:rPr/>
              <w:t> </w:t>
            </w: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216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6%</w:t>
            </w:r>
          </w:p>
        </w:tc>
        <w:tc>
          <w:tcPr>
            <w:tcW w:w="90" w:type="dxa"/>
            <w:tcBorders/>
            <w:shd w:fill="auto" w:val="clear"/>
            <w:vAlign w:val="center"/>
          </w:tcPr>
          <w:p>
            <w:pPr>
              <w:pStyle w:val="TableContents"/>
              <w:spacing w:before="0" w:after="0"/>
              <w:ind w:left="0" w:right="0" w:firstLine="30"/>
              <w:rPr/>
            </w:pPr>
            <w:r>
              <w:rPr/>
              <w:t> </w:t>
            </w:r>
          </w:p>
        </w:tc>
        <w:tc>
          <w:tcPr>
            <w:tcW w:w="481" w:type="dxa"/>
            <w:tcBorders/>
            <w:shd w:fill="auto" w:val="clear"/>
            <w:vAlign w:val="center"/>
          </w:tcPr>
          <w:p>
            <w:pPr>
              <w:pStyle w:val="TableContents"/>
              <w:spacing w:before="0" w:after="0"/>
              <w:jc w:val="right"/>
              <w:rPr>
                <w:rFonts w:ascii="inherit" w:hAnsi="inherit"/>
                <w:sz w:val="15"/>
              </w:rPr>
            </w:pPr>
            <w:r>
              <w:rPr>
                <w:rFonts w:ascii="inherit" w:hAnsi="inherit"/>
                <w:sz w:val="15"/>
              </w:rPr>
              <w:t>3,699</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9" w:type="dxa"/>
            <w:tcBorders/>
            <w:shd w:fill="auto" w:val="clear"/>
            <w:vAlign w:val="center"/>
          </w:tcPr>
          <w:p>
            <w:pPr>
              <w:pStyle w:val="TableContents"/>
              <w:spacing w:before="0" w:after="0"/>
              <w:jc w:val="right"/>
              <w:rPr>
                <w:rFonts w:ascii="inherit" w:hAnsi="inherit"/>
                <w:sz w:val="15"/>
              </w:rPr>
            </w:pPr>
            <w:r>
              <w:rPr>
                <w:rFonts w:ascii="inherit" w:hAnsi="inherit"/>
                <w:sz w:val="15"/>
              </w:rPr>
              <w:t>15</w:t>
            </w:r>
          </w:p>
        </w:tc>
        <w:tc>
          <w:tcPr>
            <w:tcW w:w="900" w:type="dxa"/>
            <w:tcBorders/>
            <w:shd w:fill="auto" w:val="clear"/>
            <w:vAlign w:val="center"/>
          </w:tcPr>
          <w:p>
            <w:pPr>
              <w:pStyle w:val="TableContents"/>
              <w:spacing w:before="0" w:after="0"/>
              <w:ind w:left="0" w:right="0" w:firstLine="330"/>
              <w:jc w:val="left"/>
              <w:rPr/>
            </w:pPr>
            <w:r>
              <w:rPr/>
              <w:t> </w:t>
            </w:r>
            <w:r>
              <w:rPr>
                <w:rFonts w:ascii="inherit" w:hAnsi="inherit"/>
                <w:sz w:val="15"/>
              </w:rPr>
              <w:t>%</w:t>
            </w:r>
          </w:p>
        </w:tc>
      </w:tr>
      <w:tr>
        <w:trPr/>
        <w:tc>
          <w:tcPr>
            <w:tcW w:w="1655"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Wyoming Electric</w:t>
            </w:r>
          </w:p>
        </w:tc>
        <w:tc>
          <w:tcPr>
            <w:tcW w:w="481" w:type="dxa"/>
            <w:tcBorders/>
            <w:shd w:fill="CEFFE7" w:val="clear"/>
            <w:vAlign w:val="center"/>
          </w:tcPr>
          <w:p>
            <w:pPr>
              <w:pStyle w:val="TableContents"/>
              <w:spacing w:before="0" w:after="0"/>
              <w:jc w:val="right"/>
              <w:rPr>
                <w:rFonts w:ascii="inherit" w:hAnsi="inherit"/>
                <w:sz w:val="15"/>
              </w:rPr>
            </w:pPr>
            <w:r>
              <w:rPr>
                <w:rFonts w:ascii="inherit" w:hAnsi="inherit"/>
                <w:sz w:val="15"/>
              </w:rPr>
              <w:t>3,198</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556" w:type="dxa"/>
            <w:tcBorders/>
            <w:shd w:fill="CEFFE7" w:val="clear"/>
            <w:vAlign w:val="center"/>
          </w:tcPr>
          <w:p>
            <w:pPr>
              <w:pStyle w:val="TableContents"/>
              <w:spacing w:before="0" w:after="0"/>
              <w:jc w:val="right"/>
              <w:rPr/>
            </w:pPr>
            <w:r>
              <w:rPr/>
              <w:t>—</w:t>
            </w:r>
          </w:p>
        </w:tc>
        <w:tc>
          <w:tcPr>
            <w:tcW w:w="558" w:type="dxa"/>
            <w:tcBorders/>
            <w:shd w:fill="CEFFE7" w:val="clear"/>
            <w:vAlign w:val="center"/>
          </w:tcPr>
          <w:p>
            <w:pPr>
              <w:pStyle w:val="TableContents"/>
              <w:spacing w:before="0" w:after="0"/>
              <w:ind w:left="0" w:right="0" w:firstLine="30"/>
              <w:jc w:val="left"/>
              <w:rPr/>
            </w:pPr>
            <w:r>
              <w:rPr/>
              <w:t> </w:t>
            </w:r>
            <w:r>
              <w:rPr>
                <w:rFonts w:ascii="inherit" w:hAnsi="inherit"/>
                <w:sz w:val="15"/>
              </w:rPr>
              <w:t>%</w:t>
            </w:r>
          </w:p>
        </w:tc>
        <w:tc>
          <w:tcPr>
            <w:tcW w:w="90" w:type="dxa"/>
            <w:tcBorders/>
            <w:shd w:fill="CEFFE7" w:val="clear"/>
            <w:vAlign w:val="center"/>
          </w:tcPr>
          <w:p>
            <w:pPr>
              <w:pStyle w:val="TableContents"/>
              <w:spacing w:before="0" w:after="0"/>
              <w:ind w:left="0" w:right="0" w:firstLine="30"/>
              <w:rPr/>
            </w:pPr>
            <w:r>
              <w:rPr/>
              <w:t> </w:t>
            </w:r>
          </w:p>
        </w:tc>
        <w:tc>
          <w:tcPr>
            <w:tcW w:w="2165" w:type="dxa"/>
            <w:tcBorders/>
            <w:shd w:fill="CEFFE7" w:val="clear"/>
            <w:vAlign w:val="center"/>
          </w:tcPr>
          <w:p>
            <w:pPr>
              <w:pStyle w:val="TableContents"/>
              <w:spacing w:before="0" w:after="0"/>
              <w:ind w:left="0" w:right="0" w:firstLine="30"/>
              <w:jc w:val="center"/>
              <w:rPr>
                <w:rFonts w:ascii="inherit" w:hAnsi="inherit"/>
                <w:sz w:val="15"/>
              </w:rPr>
            </w:pPr>
            <w:r>
              <w:rPr>
                <w:rFonts w:ascii="inherit" w:hAnsi="inherit"/>
                <w:sz w:val="15"/>
              </w:rPr>
              <w:t>7%</w:t>
            </w:r>
          </w:p>
        </w:tc>
        <w:tc>
          <w:tcPr>
            <w:tcW w:w="90" w:type="dxa"/>
            <w:tcBorders/>
            <w:shd w:fill="CEFFE7" w:val="clear"/>
            <w:vAlign w:val="center"/>
          </w:tcPr>
          <w:p>
            <w:pPr>
              <w:pStyle w:val="TableContents"/>
              <w:spacing w:before="0" w:after="0"/>
              <w:ind w:left="0" w:right="0" w:firstLine="30"/>
              <w:rPr/>
            </w:pPr>
            <w:r>
              <w:rPr/>
              <w:t> </w:t>
            </w:r>
          </w:p>
        </w:tc>
        <w:tc>
          <w:tcPr>
            <w:tcW w:w="481" w:type="dxa"/>
            <w:tcBorders/>
            <w:shd w:fill="CEFFE7" w:val="clear"/>
            <w:vAlign w:val="center"/>
          </w:tcPr>
          <w:p>
            <w:pPr>
              <w:pStyle w:val="TableContents"/>
              <w:spacing w:before="0" w:after="0"/>
              <w:jc w:val="right"/>
              <w:rPr>
                <w:rFonts w:ascii="inherit" w:hAnsi="inherit"/>
                <w:sz w:val="15"/>
              </w:rPr>
            </w:pPr>
            <w:r>
              <w:rPr>
                <w:rFonts w:ascii="inherit" w:hAnsi="inherit"/>
                <w:sz w:val="15"/>
              </w:rPr>
              <w:t>2,984</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29" w:type="dxa"/>
            <w:tcBorders/>
            <w:shd w:fill="CEFFE7" w:val="clear"/>
            <w:vAlign w:val="center"/>
          </w:tcPr>
          <w:p>
            <w:pPr>
              <w:pStyle w:val="TableContents"/>
              <w:spacing w:before="0" w:after="0"/>
              <w:jc w:val="right"/>
              <w:rPr>
                <w:rFonts w:ascii="inherit" w:hAnsi="inherit"/>
                <w:sz w:val="15"/>
              </w:rPr>
            </w:pPr>
            <w:r>
              <w:rPr>
                <w:rFonts w:ascii="inherit" w:hAnsi="inherit"/>
                <w:sz w:val="15"/>
              </w:rPr>
              <w:t>(7</w:t>
            </w:r>
          </w:p>
        </w:tc>
        <w:tc>
          <w:tcPr>
            <w:tcW w:w="900" w:type="dxa"/>
            <w:tcBorders/>
            <w:shd w:fill="CEFFE7"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1655" w:type="dxa"/>
            <w:tcBorders/>
            <w:shd w:fill="auto" w:val="clear"/>
            <w:vAlign w:val="center"/>
          </w:tcPr>
          <w:p>
            <w:pPr>
              <w:pStyle w:val="TableContents"/>
              <w:spacing w:lineRule="auto" w:line="288" w:before="0" w:after="0"/>
              <w:ind w:left="0" w:right="0" w:firstLine="30"/>
              <w:jc w:val="left"/>
              <w:rPr>
                <w:sz w:val="15"/>
              </w:rPr>
            </w:pPr>
            <w:r>
              <w:rPr>
                <w:rFonts w:ascii="inherit" w:hAnsi="inherit"/>
                <w:sz w:val="15"/>
              </w:rPr>
              <w:t>Combined</w:t>
            </w:r>
            <w:r>
              <w:rPr>
                <w:sz w:val="15"/>
              </w:rPr>
              <w:t> </w:t>
            </w:r>
            <w:r>
              <w:rPr>
                <w:rFonts w:ascii="inherit" w:hAnsi="inherit"/>
                <w:sz w:val="10"/>
              </w:rPr>
              <w:t>(a)</w:t>
            </w:r>
          </w:p>
        </w:tc>
        <w:tc>
          <w:tcPr>
            <w:tcW w:w="481" w:type="dxa"/>
            <w:tcBorders/>
            <w:shd w:fill="auto" w:val="clear"/>
            <w:vAlign w:val="center"/>
          </w:tcPr>
          <w:p>
            <w:pPr>
              <w:pStyle w:val="TableContents"/>
              <w:spacing w:before="0" w:after="0"/>
              <w:jc w:val="right"/>
              <w:rPr>
                <w:rFonts w:ascii="inherit" w:hAnsi="inherit"/>
                <w:sz w:val="15"/>
              </w:rPr>
            </w:pPr>
            <w:r>
              <w:rPr>
                <w:rFonts w:ascii="inherit" w:hAnsi="inherit"/>
                <w:sz w:val="15"/>
              </w:rPr>
              <w:t>3,147</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6" w:type="dxa"/>
            <w:tcBorders/>
            <w:shd w:fill="auto" w:val="clear"/>
            <w:vAlign w:val="center"/>
          </w:tcPr>
          <w:p>
            <w:pPr>
              <w:pStyle w:val="TableContents"/>
              <w:spacing w:before="0" w:after="0"/>
              <w:jc w:val="right"/>
              <w:rPr>
                <w:rFonts w:ascii="inherit" w:hAnsi="inherit"/>
                <w:sz w:val="15"/>
              </w:rPr>
            </w:pPr>
            <w:r>
              <w:rPr>
                <w:rFonts w:ascii="inherit" w:hAnsi="inherit"/>
                <w:sz w:val="15"/>
              </w:rPr>
              <w:t>7</w:t>
            </w:r>
          </w:p>
        </w:tc>
        <w:tc>
          <w:tcPr>
            <w:tcW w:w="558" w:type="dxa"/>
            <w:tcBorders/>
            <w:shd w:fill="auto" w:val="clear"/>
            <w:vAlign w:val="center"/>
          </w:tcPr>
          <w:p>
            <w:pPr>
              <w:pStyle w:val="TableContents"/>
              <w:spacing w:before="0" w:after="0"/>
              <w:ind w:left="0" w:right="0" w:firstLine="30"/>
              <w:jc w:val="left"/>
              <w:rPr/>
            </w:pPr>
            <w:r>
              <w:rPr/>
              <w:t> </w:t>
            </w: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216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6%</w:t>
            </w:r>
          </w:p>
        </w:tc>
        <w:tc>
          <w:tcPr>
            <w:tcW w:w="90" w:type="dxa"/>
            <w:tcBorders/>
            <w:shd w:fill="auto" w:val="clear"/>
            <w:vAlign w:val="center"/>
          </w:tcPr>
          <w:p>
            <w:pPr>
              <w:pStyle w:val="TableContents"/>
              <w:spacing w:before="0" w:after="0"/>
              <w:ind w:left="0" w:right="0" w:firstLine="30"/>
              <w:rPr/>
            </w:pPr>
            <w:r>
              <w:rPr/>
              <w:t> </w:t>
            </w:r>
          </w:p>
        </w:tc>
        <w:tc>
          <w:tcPr>
            <w:tcW w:w="481" w:type="dxa"/>
            <w:tcBorders/>
            <w:shd w:fill="auto" w:val="clear"/>
            <w:vAlign w:val="center"/>
          </w:tcPr>
          <w:p>
            <w:pPr>
              <w:pStyle w:val="TableContents"/>
              <w:spacing w:before="0" w:after="0"/>
              <w:jc w:val="right"/>
              <w:rPr>
                <w:rFonts w:ascii="inherit" w:hAnsi="inherit"/>
                <w:sz w:val="15"/>
              </w:rPr>
            </w:pPr>
            <w:r>
              <w:rPr>
                <w:rFonts w:ascii="inherit" w:hAnsi="inherit"/>
                <w:sz w:val="15"/>
              </w:rPr>
              <w:t>2,964</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9" w:type="dxa"/>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900" w:type="dxa"/>
            <w:tcBorders/>
            <w:shd w:fill="auto" w:val="clear"/>
            <w:vAlign w:val="center"/>
          </w:tcPr>
          <w:p>
            <w:pPr>
              <w:pStyle w:val="TableContents"/>
              <w:spacing w:before="0" w:after="0"/>
              <w:jc w:val="left"/>
              <w:rPr/>
            </w:pPr>
            <w:r>
              <w:rPr/>
              <w:t> </w:t>
            </w:r>
            <w:r>
              <w:rPr>
                <w:rFonts w:ascii="inherit" w:hAnsi="inherit"/>
                <w:sz w:val="15"/>
              </w:rPr>
              <w:t>%</w:t>
            </w:r>
          </w:p>
        </w:tc>
      </w:tr>
    </w:tbl>
    <w:p>
      <w:pPr>
        <w:pStyle w:val="TextBody"/>
        <w:spacing w:lineRule="auto" w:line="288" w:before="0" w:after="0"/>
        <w:jc w:val="left"/>
        <w:rPr>
          <w:rFonts w:ascii="inherit" w:hAnsi="inherit"/>
          <w:sz w:val="15"/>
        </w:rPr>
      </w:pPr>
      <w:r>
        <w:rPr>
          <w:rFonts w:ascii="inherit" w:hAnsi="inherit"/>
          <w:sz w:val="15"/>
        </w:rPr>
        <w:t>__________</w:t>
      </w:r>
    </w:p>
    <w:tbl>
      <w:tblPr>
        <w:tblW w:w="7735" w:type="dxa"/>
        <w:jc w:val="left"/>
        <w:tblInd w:w="0" w:type="dxa"/>
        <w:tblCellMar>
          <w:top w:w="0" w:type="dxa"/>
          <w:left w:w="0" w:type="dxa"/>
          <w:bottom w:w="0" w:type="dxa"/>
          <w:right w:w="0" w:type="dxa"/>
        </w:tblCellMar>
      </w:tblPr>
      <w:tblGrid>
        <w:gridCol w:w="245"/>
        <w:gridCol w:w="7490"/>
      </w:tblGrid>
      <w:tr>
        <w:trPr/>
        <w:tc>
          <w:tcPr>
            <w:tcW w:w="245" w:type="dxa"/>
            <w:tcBorders/>
            <w:shd w:fill="auto" w:val="clear"/>
            <w:vAlign w:val="center"/>
          </w:tcPr>
          <w:p>
            <w:pPr>
              <w:pStyle w:val="TableContents"/>
              <w:spacing w:before="0" w:after="283"/>
              <w:rPr>
                <w:sz w:val="4"/>
                <w:szCs w:val="4"/>
              </w:rPr>
            </w:pPr>
            <w:r>
              <w:rPr>
                <w:sz w:val="4"/>
                <w:szCs w:val="4"/>
              </w:rPr>
            </w:r>
          </w:p>
        </w:tc>
        <w:tc>
          <w:tcPr>
            <w:tcW w:w="749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749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Combined actuals are calculated based on the weighted average number of total customers by state.</w:t>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5438" w:type="dxa"/>
        <w:jc w:val="left"/>
        <w:tblInd w:w="0" w:type="dxa"/>
        <w:tblCellMar>
          <w:top w:w="0" w:type="dxa"/>
          <w:left w:w="0" w:type="dxa"/>
          <w:bottom w:w="0" w:type="dxa"/>
          <w:right w:w="0" w:type="dxa"/>
        </w:tblCellMar>
      </w:tblPr>
      <w:tblGrid>
        <w:gridCol w:w="3110"/>
        <w:gridCol w:w="719"/>
        <w:gridCol w:w="429"/>
        <w:gridCol w:w="719"/>
        <w:gridCol w:w="461"/>
      </w:tblGrid>
      <w:tr>
        <w:trPr/>
        <w:tc>
          <w:tcPr>
            <w:tcW w:w="5438" w:type="dxa"/>
            <w:gridSpan w:val="5"/>
            <w:tcBorders/>
            <w:shd w:fill="auto" w:val="clear"/>
            <w:vAlign w:val="center"/>
          </w:tcPr>
          <w:p>
            <w:pPr>
              <w:pStyle w:val="TableContents"/>
              <w:spacing w:before="0" w:after="283"/>
              <w:rPr>
                <w:sz w:val="4"/>
                <w:szCs w:val="4"/>
              </w:rPr>
            </w:pPr>
            <w:r>
              <w:rPr>
                <w:sz w:val="4"/>
                <w:szCs w:val="4"/>
              </w:rPr>
            </w:r>
          </w:p>
        </w:tc>
      </w:tr>
      <w:tr>
        <w:trPr/>
        <w:tc>
          <w:tcPr>
            <w:tcW w:w="311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Electric Utilities Power Plant Availability</w:t>
            </w:r>
          </w:p>
        </w:tc>
        <w:tc>
          <w:tcPr>
            <w:tcW w:w="2328"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Three Months Ended March 31,</w:t>
            </w:r>
          </w:p>
        </w:tc>
      </w:tr>
      <w:tr>
        <w:trPr/>
        <w:tc>
          <w:tcPr>
            <w:tcW w:w="3110" w:type="dxa"/>
            <w:tcBorders/>
            <w:shd w:fill="auto" w:val="clear"/>
            <w:vAlign w:val="center"/>
          </w:tcPr>
          <w:p>
            <w:pPr>
              <w:pStyle w:val="TableContents"/>
              <w:spacing w:before="0" w:after="0"/>
              <w:ind w:left="0" w:right="0" w:firstLine="30"/>
              <w:rPr/>
            </w:pPr>
            <w:r>
              <w:rPr/>
              <w:t> </w:t>
            </w:r>
          </w:p>
        </w:tc>
        <w:tc>
          <w:tcPr>
            <w:tcW w:w="114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18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311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Coal-fired plants</w:t>
            </w:r>
          </w:p>
        </w:tc>
        <w:tc>
          <w:tcPr>
            <w:tcW w:w="71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96.2</w:t>
            </w:r>
          </w:p>
        </w:tc>
        <w:tc>
          <w:tcPr>
            <w:tcW w:w="429"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9"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5"/>
              </w:rPr>
            </w:pPr>
            <w:r>
              <w:rPr>
                <w:rFonts w:ascii="inherit" w:hAnsi="inherit"/>
                <w:sz w:val="15"/>
              </w:rPr>
              <w:t>95.0</w:t>
            </w:r>
          </w:p>
        </w:tc>
        <w:tc>
          <w:tcPr>
            <w:tcW w:w="461"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Natural gas-fired plants and Other plants </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90.7</w:t>
            </w:r>
          </w:p>
        </w:tc>
        <w:tc>
          <w:tcPr>
            <w:tcW w:w="4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96.5</w:t>
            </w:r>
          </w:p>
        </w:tc>
        <w:tc>
          <w:tcPr>
            <w:tcW w:w="46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110"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Wind</w:t>
            </w:r>
          </w:p>
        </w:tc>
        <w:tc>
          <w:tcPr>
            <w:tcW w:w="719" w:type="dxa"/>
            <w:tcBorders/>
            <w:shd w:fill="CEFFE7" w:val="clear"/>
            <w:vAlign w:val="center"/>
          </w:tcPr>
          <w:p>
            <w:pPr>
              <w:pStyle w:val="TableContents"/>
              <w:spacing w:before="0" w:after="0"/>
              <w:jc w:val="right"/>
              <w:rPr>
                <w:rFonts w:ascii="inherit" w:hAnsi="inherit"/>
                <w:sz w:val="15"/>
              </w:rPr>
            </w:pPr>
            <w:r>
              <w:rPr>
                <w:rFonts w:ascii="inherit" w:hAnsi="inherit"/>
                <w:sz w:val="15"/>
              </w:rPr>
              <w:t>96.8</w:t>
            </w:r>
          </w:p>
        </w:tc>
        <w:tc>
          <w:tcPr>
            <w:tcW w:w="429"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9" w:type="dxa"/>
            <w:tcBorders/>
            <w:shd w:fill="CEFFE7" w:val="clear"/>
            <w:vAlign w:val="center"/>
          </w:tcPr>
          <w:p>
            <w:pPr>
              <w:pStyle w:val="TableContents"/>
              <w:spacing w:before="0" w:after="0"/>
              <w:jc w:val="right"/>
              <w:rPr>
                <w:rFonts w:ascii="inherit" w:hAnsi="inherit"/>
                <w:sz w:val="15"/>
              </w:rPr>
            </w:pPr>
            <w:r>
              <w:rPr>
                <w:rFonts w:ascii="inherit" w:hAnsi="inherit"/>
                <w:sz w:val="15"/>
              </w:rPr>
              <w:t>97.1</w:t>
            </w:r>
          </w:p>
        </w:tc>
        <w:tc>
          <w:tcPr>
            <w:tcW w:w="461"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availability</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92.9</w:t>
            </w:r>
          </w:p>
        </w:tc>
        <w:tc>
          <w:tcPr>
            <w:tcW w:w="4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96.1</w:t>
            </w:r>
          </w:p>
        </w:tc>
        <w:tc>
          <w:tcPr>
            <w:tcW w:w="46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110" w:type="dxa"/>
            <w:tcBorders/>
            <w:shd w:fill="CEFFE7" w:val="clear"/>
            <w:vAlign w:val="center"/>
          </w:tcPr>
          <w:p>
            <w:pPr>
              <w:pStyle w:val="TableContents"/>
              <w:spacing w:before="0" w:after="0"/>
              <w:ind w:left="0" w:right="0" w:firstLine="30"/>
              <w:rPr/>
            </w:pPr>
            <w:r>
              <w:rPr/>
              <w:t> </w:t>
            </w:r>
          </w:p>
        </w:tc>
        <w:tc>
          <w:tcPr>
            <w:tcW w:w="1148" w:type="dxa"/>
            <w:gridSpan w:val="2"/>
            <w:tcBorders/>
            <w:shd w:fill="CEFFE7" w:val="clear"/>
            <w:vAlign w:val="center"/>
          </w:tcPr>
          <w:p>
            <w:pPr>
              <w:pStyle w:val="TableContents"/>
              <w:spacing w:before="0" w:after="0"/>
              <w:ind w:left="0" w:right="0" w:firstLine="30"/>
              <w:rPr/>
            </w:pPr>
            <w:r>
              <w:rPr/>
              <w:t> </w:t>
            </w:r>
          </w:p>
        </w:tc>
        <w:tc>
          <w:tcPr>
            <w:tcW w:w="1180" w:type="dxa"/>
            <w:gridSpan w:val="2"/>
            <w:tcBorders/>
            <w:shd w:fill="CEFFE7" w:val="clear"/>
            <w:vAlign w:val="center"/>
          </w:tcPr>
          <w:p>
            <w:pPr>
              <w:pStyle w:val="TableContents"/>
              <w:spacing w:before="0" w:after="0"/>
              <w:ind w:left="0" w:right="0" w:firstLine="30"/>
              <w:rPr/>
            </w:pPr>
            <w:r>
              <w:rPr/>
              <w:t> </w:t>
            </w:r>
          </w:p>
        </w:tc>
      </w:tr>
      <w:tr>
        <w:trPr/>
        <w:tc>
          <w:tcPr>
            <w:tcW w:w="3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Wind capacity factor</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42.6</w:t>
            </w:r>
          </w:p>
        </w:tc>
        <w:tc>
          <w:tcPr>
            <w:tcW w:w="4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9" w:type="dxa"/>
            <w:tcBorders/>
            <w:shd w:fill="auto" w:val="clear"/>
            <w:vAlign w:val="center"/>
          </w:tcPr>
          <w:p>
            <w:pPr>
              <w:pStyle w:val="TableContents"/>
              <w:spacing w:before="0" w:after="0"/>
              <w:jc w:val="right"/>
              <w:rPr>
                <w:rFonts w:ascii="inherit" w:hAnsi="inherit"/>
                <w:sz w:val="15"/>
              </w:rPr>
            </w:pPr>
            <w:r>
              <w:rPr>
                <w:rFonts w:ascii="inherit" w:hAnsi="inherit"/>
                <w:sz w:val="15"/>
              </w:rPr>
              <w:t>50.4</w:t>
            </w:r>
          </w:p>
        </w:tc>
        <w:tc>
          <w:tcPr>
            <w:tcW w:w="46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b/>
          <w:sz w:val="17"/>
          <w:u w:val="single"/>
        </w:rPr>
      </w:pPr>
      <w:r>
        <w:rPr>
          <w:rFonts w:ascii="inherit" w:hAnsi="inherit"/>
          <w:b/>
          <w:sz w:val="17"/>
          <w:u w:val="single"/>
        </w:rPr>
        <w:t>Regulatory Matters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2018</w:t>
      </w:r>
      <w:r>
        <w:rPr>
          <w:sz w:val="17"/>
        </w:rPr>
        <w:t xml:space="preserve"> </w:t>
      </w:r>
      <w:r>
        <w:rPr>
          <w:rFonts w:ascii="inherit" w:hAnsi="inherit"/>
          <w:sz w:val="17"/>
        </w:rPr>
        <w:t>Annual Report on Form 10-K filed with the SEC.</w:t>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jc w:val="right"/>
        <w:rPr>
          <w:rFonts w:ascii="inherit" w:hAnsi="inherit"/>
          <w:sz w:val="17"/>
        </w:rPr>
      </w:pPr>
      <w:r>
        <w:rPr>
          <w:rFonts w:ascii="inherit" w:hAnsi="inherit"/>
          <w:sz w:val="17"/>
        </w:rPr>
      </w:r>
      <w:bookmarkStart w:id="63" w:name="sDEA9FBA98CCB5F12AED2CB7823E1EBC4"/>
      <w:bookmarkStart w:id="64" w:name="sDEA9FBA98CCB5F12AED2CB7823E1EBC4"/>
      <w:bookmarkEnd w:id="64"/>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7"/>
          <w:u w:val="single"/>
        </w:rPr>
      </w:pPr>
      <w:r>
        <w:rPr>
          <w:rFonts w:ascii="inherit" w:hAnsi="inherit"/>
          <w:i/>
          <w:sz w:val="17"/>
          <w:u w:val="single"/>
        </w:rPr>
        <w:t>Gas Utilities</w:t>
      </w:r>
    </w:p>
    <w:tbl>
      <w:tblPr>
        <w:tblW w:w="5720" w:type="dxa"/>
        <w:jc w:val="center"/>
        <w:tblInd w:w="0" w:type="dxa"/>
        <w:tblCellMar>
          <w:top w:w="0" w:type="dxa"/>
          <w:left w:w="0" w:type="dxa"/>
          <w:bottom w:w="0" w:type="dxa"/>
          <w:right w:w="0" w:type="dxa"/>
        </w:tblCellMar>
      </w:tblPr>
      <w:tblGrid>
        <w:gridCol w:w="2630"/>
        <w:gridCol w:w="125"/>
        <w:gridCol w:w="695"/>
        <w:gridCol w:w="30"/>
        <w:gridCol w:w="125"/>
        <w:gridCol w:w="695"/>
        <w:gridCol w:w="30"/>
        <w:gridCol w:w="125"/>
        <w:gridCol w:w="590"/>
        <w:gridCol w:w="675"/>
      </w:tblGrid>
      <w:tr>
        <w:trPr/>
        <w:tc>
          <w:tcPr>
            <w:tcW w:w="5720" w:type="dxa"/>
            <w:gridSpan w:val="10"/>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30" w:type="dxa"/>
            <w:tcBorders/>
            <w:shd w:fill="auto" w:val="clear"/>
            <w:vAlign w:val="center"/>
          </w:tcPr>
          <w:p>
            <w:pPr>
              <w:pStyle w:val="TableContents"/>
              <w:spacing w:before="0" w:after="0"/>
              <w:ind w:left="0" w:right="0" w:firstLine="30"/>
              <w:rPr/>
            </w:pPr>
            <w:r>
              <w:rPr/>
              <w:t> </w:t>
            </w:r>
          </w:p>
        </w:tc>
        <w:tc>
          <w:tcPr>
            <w:tcW w:w="3090"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63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13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Variance</w:t>
            </w:r>
          </w:p>
        </w:tc>
      </w:tr>
      <w:tr>
        <w:trPr/>
        <w:tc>
          <w:tcPr>
            <w:tcW w:w="2630" w:type="dxa"/>
            <w:tcBorders/>
            <w:shd w:fill="auto" w:val="clear"/>
            <w:vAlign w:val="center"/>
          </w:tcPr>
          <w:p>
            <w:pPr>
              <w:pStyle w:val="TableContents"/>
              <w:spacing w:before="0" w:after="0"/>
              <w:ind w:left="0" w:right="0" w:firstLine="30"/>
              <w:rPr/>
            </w:pPr>
            <w:r>
              <w:rPr/>
              <w:t> </w:t>
            </w:r>
          </w:p>
        </w:tc>
        <w:tc>
          <w:tcPr>
            <w:tcW w:w="3090"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850" w:type="dxa"/>
            <w:gridSpan w:val="3"/>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1390" w:type="dxa"/>
            <w:gridSpan w:val="3"/>
            <w:tcBorders/>
            <w:shd w:fill="auto" w:val="clear"/>
            <w:vAlign w:val="center"/>
          </w:tcPr>
          <w:p>
            <w:pPr>
              <w:pStyle w:val="TableContents"/>
              <w:spacing w:before="0" w:after="0"/>
              <w:ind w:left="0" w:right="0" w:firstLine="180"/>
              <w:rPr/>
            </w:pPr>
            <w:r>
              <w:rPr/>
              <w:t> </w:t>
            </w:r>
          </w:p>
        </w:tc>
      </w:tr>
      <w:tr>
        <w:trPr/>
        <w:tc>
          <w:tcPr>
            <w:tcW w:w="26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Natural gas - regulated</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383,875</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370,268</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EFFE7" w:val="clear"/>
            <w:vAlign w:val="center"/>
          </w:tcPr>
          <w:p>
            <w:pPr>
              <w:pStyle w:val="TableContents"/>
              <w:spacing w:before="0" w:after="0"/>
              <w:jc w:val="right"/>
              <w:rPr>
                <w:rFonts w:ascii="inherit" w:hAnsi="inherit"/>
                <w:sz w:val="17"/>
              </w:rPr>
            </w:pPr>
            <w:r>
              <w:rPr>
                <w:rFonts w:ascii="inherit" w:hAnsi="inherit"/>
                <w:sz w:val="17"/>
              </w:rPr>
              <w:t>13,607</w:t>
            </w:r>
          </w:p>
        </w:tc>
        <w:tc>
          <w:tcPr>
            <w:tcW w:w="675" w:type="dxa"/>
            <w:tcBorders/>
            <w:shd w:fill="CEFFE7"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 non-regulated services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27,205</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27,076</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w:t>
            </w:r>
          </w:p>
        </w:tc>
        <w:tc>
          <w:tcPr>
            <w:tcW w:w="675"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26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revenue</w:t>
            </w:r>
          </w:p>
        </w:tc>
        <w:tc>
          <w:tcPr>
            <w:tcW w:w="82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411,080</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397,344</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13,736</w:t>
            </w:r>
          </w:p>
        </w:tc>
        <w:tc>
          <w:tcPr>
            <w:tcW w:w="67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1390" w:type="dxa"/>
            <w:gridSpan w:val="3"/>
            <w:tcBorders/>
            <w:shd w:fill="auto" w:val="clear"/>
            <w:vAlign w:val="center"/>
          </w:tcPr>
          <w:p>
            <w:pPr>
              <w:pStyle w:val="TableContents"/>
              <w:spacing w:before="0" w:after="0"/>
              <w:ind w:left="0" w:right="0" w:firstLine="30"/>
              <w:rPr/>
            </w:pPr>
            <w:r>
              <w:rPr/>
              <w:t> </w:t>
            </w:r>
          </w:p>
        </w:tc>
      </w:tr>
      <w:tr>
        <w:trPr/>
        <w:tc>
          <w:tcPr>
            <w:tcW w:w="26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850" w:type="dxa"/>
            <w:gridSpan w:val="3"/>
            <w:tcBorders/>
            <w:shd w:fill="CEFFE7" w:val="clear"/>
            <w:vAlign w:val="center"/>
          </w:tcPr>
          <w:p>
            <w:pPr>
              <w:pStyle w:val="TableContents"/>
              <w:spacing w:before="0" w:after="0"/>
              <w:ind w:left="0" w:right="0" w:firstLine="30"/>
              <w:rPr/>
            </w:pPr>
            <w:r>
              <w:rPr/>
              <w:t> </w:t>
            </w:r>
          </w:p>
        </w:tc>
        <w:tc>
          <w:tcPr>
            <w:tcW w:w="850" w:type="dxa"/>
            <w:gridSpan w:val="3"/>
            <w:tcBorders/>
            <w:shd w:fill="CEFFE7" w:val="clear"/>
            <w:vAlign w:val="center"/>
          </w:tcPr>
          <w:p>
            <w:pPr>
              <w:pStyle w:val="TableContents"/>
              <w:spacing w:before="0" w:after="0"/>
              <w:ind w:left="0" w:right="0" w:firstLine="30"/>
              <w:rPr/>
            </w:pPr>
            <w:r>
              <w:rPr/>
              <w:t> </w:t>
            </w:r>
          </w:p>
        </w:tc>
        <w:tc>
          <w:tcPr>
            <w:tcW w:w="1390" w:type="dxa"/>
            <w:gridSpan w:val="3"/>
            <w:tcBorders/>
            <w:shd w:fill="CEFFE7" w:val="clear"/>
            <w:vAlign w:val="center"/>
          </w:tcPr>
          <w:p>
            <w:pPr>
              <w:pStyle w:val="TableContents"/>
              <w:spacing w:before="0" w:after="0"/>
              <w:ind w:left="0" w:right="0" w:firstLine="180"/>
              <w:rPr/>
            </w:pPr>
            <w:r>
              <w:rPr/>
              <w:t> </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Natural gas - regulated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201,050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205,084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(4,034</w:t>
            </w:r>
          </w:p>
        </w:tc>
        <w:tc>
          <w:tcPr>
            <w:tcW w:w="6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26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 - non-regulated services</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6,229</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4,601</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1,628</w:t>
            </w:r>
          </w:p>
        </w:tc>
        <w:tc>
          <w:tcPr>
            <w:tcW w:w="675" w:type="dxa"/>
            <w:tcBorders>
              <w:bottom w:val="single" w:sz="2" w:space="0" w:color="000000"/>
            </w:tcBorders>
            <w:shd w:fill="CEFFE7"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cost of sales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207,279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209,685</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(2,406</w:t>
            </w:r>
          </w:p>
        </w:tc>
        <w:tc>
          <w:tcPr>
            <w:tcW w:w="6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30" w:type="dxa"/>
            <w:tcBorders/>
            <w:shd w:fill="CEFFE7"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850" w:type="dxa"/>
            <w:gridSpan w:val="3"/>
            <w:tcBorders/>
            <w:shd w:fill="CEFFE7" w:val="clear"/>
            <w:vAlign w:val="center"/>
          </w:tcPr>
          <w:p>
            <w:pPr>
              <w:pStyle w:val="TableContents"/>
              <w:spacing w:before="0" w:after="0"/>
              <w:ind w:left="0" w:right="0" w:firstLine="30"/>
              <w:rPr/>
            </w:pPr>
            <w:r>
              <w:rPr/>
              <w:t> </w:t>
            </w:r>
          </w:p>
        </w:tc>
        <w:tc>
          <w:tcPr>
            <w:tcW w:w="1390" w:type="dxa"/>
            <w:gridSpan w:val="3"/>
            <w:tcBorders/>
            <w:shd w:fill="CEFFE7" w:val="clear"/>
            <w:vAlign w:val="center"/>
          </w:tcPr>
          <w:p>
            <w:pPr>
              <w:pStyle w:val="TableContents"/>
              <w:spacing w:before="0" w:after="0"/>
              <w:ind w:left="0" w:right="0" w:firstLine="30"/>
              <w:rPr/>
            </w:pPr>
            <w:r>
              <w:rPr/>
              <w:t> </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(non-GAAP)</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203,801</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187,659</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16,142</w:t>
            </w:r>
          </w:p>
        </w:tc>
        <w:tc>
          <w:tcPr>
            <w:tcW w:w="67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CEFFE7" w:val="clear"/>
            <w:vAlign w:val="center"/>
          </w:tcPr>
          <w:p>
            <w:pPr>
              <w:pStyle w:val="TableContents"/>
              <w:spacing w:before="0" w:after="0"/>
              <w:ind w:left="0" w:right="0" w:firstLine="30"/>
              <w:rPr/>
            </w:pPr>
            <w:r>
              <w:rPr/>
              <w:t> </w:t>
            </w:r>
          </w:p>
        </w:tc>
        <w:tc>
          <w:tcPr>
            <w:tcW w:w="850" w:type="dxa"/>
            <w:gridSpan w:val="3"/>
            <w:tcBorders/>
            <w:shd w:fill="CEFFE7" w:val="clear"/>
            <w:vAlign w:val="center"/>
          </w:tcPr>
          <w:p>
            <w:pPr>
              <w:pStyle w:val="TableContents"/>
              <w:spacing w:before="0" w:after="0"/>
              <w:ind w:left="0" w:right="0" w:firstLine="30"/>
              <w:rPr/>
            </w:pPr>
            <w:r>
              <w:rPr/>
              <w:t> </w:t>
            </w:r>
          </w:p>
        </w:tc>
        <w:tc>
          <w:tcPr>
            <w:tcW w:w="850" w:type="dxa"/>
            <w:gridSpan w:val="3"/>
            <w:tcBorders/>
            <w:shd w:fill="CEFFE7" w:val="clear"/>
            <w:vAlign w:val="center"/>
          </w:tcPr>
          <w:p>
            <w:pPr>
              <w:pStyle w:val="TableContents"/>
              <w:spacing w:before="0" w:after="0"/>
              <w:ind w:left="0" w:right="0" w:firstLine="30"/>
              <w:rPr/>
            </w:pPr>
            <w:r>
              <w:rPr/>
              <w:t> </w:t>
            </w:r>
          </w:p>
        </w:tc>
        <w:tc>
          <w:tcPr>
            <w:tcW w:w="1390" w:type="dxa"/>
            <w:gridSpan w:val="3"/>
            <w:tcBorders/>
            <w:shd w:fill="CEFFE7" w:val="clear"/>
            <w:vAlign w:val="center"/>
          </w:tcPr>
          <w:p>
            <w:pPr>
              <w:pStyle w:val="TableContents"/>
              <w:spacing w:before="0" w:after="0"/>
              <w:ind w:left="0" w:right="0" w:firstLine="30"/>
              <w:rPr/>
            </w:pPr>
            <w:r>
              <w:rPr/>
              <w:t> </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77,938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70,906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7,032</w:t>
            </w:r>
          </w:p>
        </w:tc>
        <w:tc>
          <w:tcPr>
            <w:tcW w:w="6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22,549</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21,310</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1,239</w:t>
            </w:r>
          </w:p>
        </w:tc>
        <w:tc>
          <w:tcPr>
            <w:tcW w:w="675" w:type="dxa"/>
            <w:tcBorders>
              <w:bottom w:val="single" w:sz="2" w:space="0" w:color="000000"/>
            </w:tcBorders>
            <w:shd w:fill="CEFFE7"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100,487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92,216</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8,271</w:t>
            </w:r>
          </w:p>
        </w:tc>
        <w:tc>
          <w:tcPr>
            <w:tcW w:w="6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CEFFE7"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850"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1390"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Adjusted operating income</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103,314</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95,443</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7,871</w:t>
            </w:r>
          </w:p>
        </w:tc>
        <w:tc>
          <w:tcPr>
            <w:tcW w:w="6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3"/>
        </w:rPr>
      </w:pPr>
      <w:r>
        <w:rPr>
          <w:rFonts w:ascii="inherit" w:hAnsi="inherit"/>
          <w:sz w:val="13"/>
        </w:rPr>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Results of Operations for the Gas Utilities for the Three Months Ended March 31, 2019</w:t>
      </w:r>
      <w:r>
        <w:rPr>
          <w:sz w:val="17"/>
        </w:rPr>
        <w:t xml:space="preserve"> </w:t>
      </w:r>
      <w:r>
        <w:rPr>
          <w:rFonts w:ascii="inherit" w:hAnsi="inherit"/>
          <w:b/>
          <w:sz w:val="17"/>
        </w:rPr>
        <w:t>Compared to the Three Months Ended March 31, 2018:</w:t>
      </w:r>
      <w:r>
        <w:rPr>
          <w:sz w:val="17"/>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Gross margin</w:t>
      </w:r>
      <w:r>
        <w:rPr>
          <w:sz w:val="17"/>
        </w:rPr>
        <w:t xml:space="preserve"> </w:t>
      </w:r>
      <w:r>
        <w:rPr>
          <w:rFonts w:ascii="inherit" w:hAnsi="inherit"/>
          <w:sz w:val="17"/>
        </w:rPr>
        <w:t>for the three months ended March 31, 2019</w:t>
      </w:r>
      <w:r>
        <w:rPr>
          <w:sz w:val="17"/>
        </w:rPr>
        <w:t xml:space="preserve"> </w:t>
      </w:r>
      <w:r>
        <w:rPr>
          <w:rFonts w:ascii="inherit" w:hAnsi="inherit"/>
          <w:sz w:val="17"/>
        </w:rPr>
        <w:t>increased</w:t>
      </w:r>
      <w:r>
        <w:rPr>
          <w:sz w:val="17"/>
        </w:rPr>
        <w:t xml:space="preserve"> </w:t>
      </w:r>
      <w:r>
        <w:rPr>
          <w:rFonts w:ascii="inherit" w:hAnsi="inherit"/>
          <w:sz w:val="17"/>
        </w:rPr>
        <w:t>as a result of:</w:t>
      </w:r>
    </w:p>
    <w:tbl>
      <w:tblPr>
        <w:tblW w:w="4884" w:type="dxa"/>
        <w:jc w:val="center"/>
        <w:tblInd w:w="0" w:type="dxa"/>
        <w:tblCellMar>
          <w:top w:w="0" w:type="dxa"/>
          <w:left w:w="0" w:type="dxa"/>
          <w:bottom w:w="0" w:type="dxa"/>
          <w:right w:w="0" w:type="dxa"/>
        </w:tblCellMar>
      </w:tblPr>
      <w:tblGrid>
        <w:gridCol w:w="3860"/>
        <w:gridCol w:w="202"/>
        <w:gridCol w:w="617"/>
        <w:gridCol w:w="205"/>
      </w:tblGrid>
      <w:tr>
        <w:trPr/>
        <w:tc>
          <w:tcPr>
            <w:tcW w:w="4884" w:type="dxa"/>
            <w:gridSpan w:val="4"/>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(in millions)</w:t>
            </w:r>
          </w:p>
        </w:tc>
      </w:tr>
      <w:tr>
        <w:trPr/>
        <w:tc>
          <w:tcPr>
            <w:tcW w:w="3860"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New rates</w:t>
            </w:r>
          </w:p>
        </w:tc>
        <w:tc>
          <w:tcPr>
            <w:tcW w:w="20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17"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8.9</w:t>
            </w:r>
          </w:p>
        </w:tc>
        <w:tc>
          <w:tcPr>
            <w:tcW w:w="20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Weather </w:t>
            </w:r>
            <w:r>
              <w:rPr>
                <w:rFonts w:ascii="inherit" w:hAnsi="inherit"/>
                <w:sz w:val="12"/>
              </w:rPr>
              <w:t>(a)</w:t>
            </w:r>
          </w:p>
        </w:tc>
        <w:tc>
          <w:tcPr>
            <w:tcW w:w="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w:t>
            </w:r>
          </w:p>
        </w:tc>
        <w:tc>
          <w:tcPr>
            <w:tcW w:w="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Customer growth - distribution</w:t>
            </w:r>
          </w:p>
        </w:tc>
        <w:tc>
          <w:tcPr>
            <w:tcW w:w="81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1.8</w:t>
            </w:r>
          </w:p>
        </w:tc>
        <w:tc>
          <w:tcPr>
            <w:tcW w:w="2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Transport and transmission</w:t>
            </w:r>
          </w:p>
        </w:tc>
        <w:tc>
          <w:tcPr>
            <w:tcW w:w="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81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0.9</w:t>
            </w:r>
          </w:p>
        </w:tc>
        <w:tc>
          <w:tcPr>
            <w:tcW w:w="20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deferred taxes returned to customers</w:t>
            </w:r>
          </w:p>
        </w:tc>
        <w:tc>
          <w:tcPr>
            <w:tcW w:w="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increase in Gross margin (non-GAAP)</w:t>
            </w:r>
          </w:p>
        </w:tc>
        <w:tc>
          <w:tcPr>
            <w:tcW w:w="20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16.1</w:t>
            </w:r>
          </w:p>
        </w:tc>
        <w:tc>
          <w:tcPr>
            <w:tcW w:w="20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5"/>
        </w:rPr>
      </w:pPr>
      <w:r>
        <w:rPr>
          <w:rFonts w:ascii="inherit" w:hAnsi="inherit"/>
          <w:sz w:val="15"/>
        </w:rPr>
        <w:t>(a) Heating degree days at the Gas Utilities for the three months ended March 31, 2019 were 11% higher than normal compared to 2% higher than normal in the same period in the prior year.</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Operations and maintenance</w:t>
      </w:r>
      <w:r>
        <w:rPr>
          <w:sz w:val="17"/>
        </w:rPr>
        <w:t xml:space="preserve"> </w:t>
      </w:r>
      <w:r>
        <w:rPr>
          <w:rFonts w:ascii="inherit" w:hAnsi="inherit"/>
          <w:sz w:val="17"/>
        </w:rPr>
        <w:t>increased</w:t>
      </w:r>
      <w:r>
        <w:rPr>
          <w:sz w:val="17"/>
        </w:rPr>
        <w:t xml:space="preserve"> </w:t>
      </w:r>
      <w:r>
        <w:rPr>
          <w:rFonts w:ascii="inherit" w:hAnsi="inherit"/>
          <w:sz w:val="17"/>
        </w:rPr>
        <w:t xml:space="preserve">primarily due to $3.3 million of higher outside services expenses and $2.3 million of higher employee costs driven by labor, benefits and additional headcount. Various other expenses comprise the remainder of the increase compared to the same period in the prior year.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u w:val="single"/>
        </w:rPr>
        <w:t>Depreciation and amortization</w:t>
      </w:r>
      <w:r>
        <w:rPr>
          <w:sz w:val="17"/>
        </w:rPr>
        <w:t xml:space="preserve"> </w:t>
      </w:r>
      <w:r>
        <w:rPr>
          <w:rFonts w:ascii="inherit" w:hAnsi="inherit"/>
          <w:sz w:val="17"/>
        </w:rPr>
        <w:t>increased</w:t>
      </w:r>
      <w:r>
        <w:rPr>
          <w:sz w:val="17"/>
        </w:rPr>
        <w:t xml:space="preserve"> </w:t>
      </w:r>
      <w:r>
        <w:rPr>
          <w:rFonts w:ascii="inherit" w:hAnsi="inherit"/>
          <w:sz w:val="17"/>
        </w:rPr>
        <w:t xml:space="preserve">primarily due to a higher asset base driven by previous year capital expenditures.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i/>
          <w:sz w:val="17"/>
        </w:rPr>
      </w:pPr>
      <w:r>
        <w:rPr>
          <w:rFonts w:ascii="inherit" w:hAnsi="inherit"/>
          <w:i/>
          <w:sz w:val="17"/>
        </w:rPr>
        <w:t>Operating Statistics</w:t>
      </w:r>
    </w:p>
    <w:tbl>
      <w:tblPr>
        <w:tblW w:w="10205" w:type="dxa"/>
        <w:jc w:val="center"/>
        <w:tblInd w:w="0" w:type="dxa"/>
        <w:tblCellMar>
          <w:top w:w="0" w:type="dxa"/>
          <w:left w:w="0" w:type="dxa"/>
          <w:bottom w:w="0" w:type="dxa"/>
          <w:right w:w="0" w:type="dxa"/>
        </w:tblCellMar>
      </w:tblPr>
      <w:tblGrid>
        <w:gridCol w:w="1274"/>
        <w:gridCol w:w="90"/>
        <w:gridCol w:w="111"/>
        <w:gridCol w:w="614"/>
        <w:gridCol w:w="111"/>
        <w:gridCol w:w="111"/>
        <w:gridCol w:w="614"/>
        <w:gridCol w:w="111"/>
        <w:gridCol w:w="90"/>
        <w:gridCol w:w="325"/>
        <w:gridCol w:w="1792"/>
        <w:gridCol w:w="325"/>
        <w:gridCol w:w="325"/>
        <w:gridCol w:w="1792"/>
        <w:gridCol w:w="327"/>
        <w:gridCol w:w="90"/>
        <w:gridCol w:w="866"/>
        <w:gridCol w:w="31"/>
        <w:gridCol w:w="866"/>
        <w:gridCol w:w="340"/>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127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72"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Gas Revenue (in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886" w:type="dxa"/>
            <w:gridSpan w:val="6"/>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sz w:val="15"/>
              </w:rPr>
              <w:t>Gross Margin</w:t>
            </w:r>
            <w:r>
              <w:rPr>
                <w:sz w:val="15"/>
              </w:rPr>
              <w:t> </w:t>
            </w:r>
            <w:r>
              <w:rPr>
                <w:rFonts w:ascii="inherit" w:hAnsi="inherit"/>
                <w:sz w:val="15"/>
              </w:rPr>
              <w:t>(non-GAAP)</w:t>
            </w:r>
            <w:r>
              <w:rPr>
                <w:sz w:val="15"/>
              </w:rPr>
              <w:t>                                                                      </w:t>
            </w:r>
            <w:r>
              <w:rPr>
                <w:rFonts w:ascii="inherit" w:hAnsi="inherit"/>
                <w:sz w:val="15"/>
              </w:rPr>
              <w:t>(in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103"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Gas Utilities Quantities Sold &amp; Transported (Dth)</w:t>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72" w:type="dxa"/>
            <w:gridSpan w:val="6"/>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4886" w:type="dxa"/>
            <w:gridSpan w:val="6"/>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2103" w:type="dxa"/>
            <w:gridSpan w:val="4"/>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r>
      <w:tr>
        <w:trPr/>
        <w:tc>
          <w:tcPr>
            <w:tcW w:w="127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8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24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9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20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42" w:type="dxa"/>
            <w:gridSpan w:val="3"/>
            <w:tcBorders/>
            <w:shd w:fill="auto" w:val="clear"/>
            <w:vAlign w:val="center"/>
          </w:tcPr>
          <w:p>
            <w:pPr>
              <w:pStyle w:val="TableContents"/>
              <w:spacing w:before="0" w:after="0"/>
              <w:ind w:left="0" w:right="0" w:firstLine="30"/>
              <w:rPr/>
            </w:pPr>
            <w:r>
              <w:rPr/>
              <w:t> </w:t>
            </w:r>
          </w:p>
        </w:tc>
        <w:tc>
          <w:tcPr>
            <w:tcW w:w="24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7" w:type="dxa"/>
            <w:gridSpan w:val="2"/>
            <w:tcBorders/>
            <w:shd w:fill="auto" w:val="clear"/>
            <w:vAlign w:val="center"/>
          </w:tcPr>
          <w:p>
            <w:pPr>
              <w:pStyle w:val="TableContents"/>
              <w:spacing w:before="0" w:after="0"/>
              <w:ind w:left="0" w:right="0" w:firstLine="30"/>
              <w:rPr/>
            </w:pPr>
            <w:r>
              <w:rPr/>
              <w:t> </w:t>
            </w:r>
          </w:p>
        </w:tc>
        <w:tc>
          <w:tcPr>
            <w:tcW w:w="1206" w:type="dxa"/>
            <w:gridSpan w:val="2"/>
            <w:tcBorders/>
            <w:shd w:fill="auto" w:val="clear"/>
            <w:vAlign w:val="center"/>
          </w:tcPr>
          <w:p>
            <w:pPr>
              <w:pStyle w:val="TableContents"/>
              <w:spacing w:before="0" w:after="0"/>
              <w:ind w:left="0" w:right="0" w:firstLine="30"/>
              <w:rPr/>
            </w:pPr>
            <w:r>
              <w:rPr/>
              <w:t> </w:t>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Residential</w:t>
            </w:r>
          </w:p>
        </w:tc>
        <w:tc>
          <w:tcPr>
            <w:tcW w:w="90" w:type="dxa"/>
            <w:tcBorders/>
            <w:shd w:fill="CEFFE7" w:val="clear"/>
            <w:vAlign w:val="center"/>
          </w:tcPr>
          <w:p>
            <w:pPr>
              <w:pStyle w:val="TableContents"/>
              <w:spacing w:before="0" w:after="0"/>
              <w:ind w:left="0" w:right="0" w:firstLine="30"/>
              <w:rPr/>
            </w:pPr>
            <w:r>
              <w:rPr/>
              <w:t> </w:t>
            </w:r>
          </w:p>
        </w:tc>
        <w:tc>
          <w:tcPr>
            <w:tcW w:w="111"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14" w:type="dxa"/>
            <w:tcBorders/>
            <w:shd w:fill="CEFFE7" w:val="clear"/>
            <w:vAlign w:val="center"/>
          </w:tcPr>
          <w:p>
            <w:pPr>
              <w:pStyle w:val="TableContents"/>
              <w:spacing w:before="0" w:after="0"/>
              <w:jc w:val="right"/>
              <w:rPr>
                <w:rFonts w:ascii="inherit" w:hAnsi="inherit"/>
                <w:sz w:val="15"/>
              </w:rPr>
            </w:pPr>
            <w:r>
              <w:rPr>
                <w:rFonts w:ascii="inherit" w:hAnsi="inherit"/>
                <w:sz w:val="15"/>
              </w:rPr>
              <w:t>241,129</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14" w:type="dxa"/>
            <w:tcBorders/>
            <w:shd w:fill="CEFFE7" w:val="clear"/>
            <w:vAlign w:val="center"/>
          </w:tcPr>
          <w:p>
            <w:pPr>
              <w:pStyle w:val="TableContents"/>
              <w:spacing w:before="0" w:after="0"/>
              <w:jc w:val="right"/>
              <w:rPr>
                <w:rFonts w:ascii="inherit" w:hAnsi="inherit"/>
                <w:sz w:val="15"/>
              </w:rPr>
            </w:pPr>
            <w:r>
              <w:rPr>
                <w:rFonts w:ascii="inherit" w:hAnsi="inherit"/>
                <w:sz w:val="15"/>
              </w:rPr>
              <w:t>234,751</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32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792" w:type="dxa"/>
            <w:tcBorders/>
            <w:shd w:fill="CEFFE7" w:val="clear"/>
            <w:vAlign w:val="center"/>
          </w:tcPr>
          <w:p>
            <w:pPr>
              <w:pStyle w:val="TableContents"/>
              <w:spacing w:before="0" w:after="0"/>
              <w:jc w:val="right"/>
              <w:rPr>
                <w:rFonts w:ascii="inherit" w:hAnsi="inherit"/>
                <w:sz w:val="15"/>
              </w:rPr>
            </w:pPr>
            <w:r>
              <w:rPr>
                <w:rFonts w:ascii="inherit" w:hAnsi="inherit"/>
                <w:sz w:val="15"/>
              </w:rPr>
              <w:t>105,057</w:t>
            </w:r>
          </w:p>
        </w:tc>
        <w:tc>
          <w:tcPr>
            <w:tcW w:w="3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25"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792" w:type="dxa"/>
            <w:tcBorders/>
            <w:shd w:fill="CEFFE7" w:val="clear"/>
            <w:vAlign w:val="center"/>
          </w:tcPr>
          <w:p>
            <w:pPr>
              <w:pStyle w:val="TableContents"/>
              <w:spacing w:before="0" w:after="0"/>
              <w:jc w:val="right"/>
              <w:rPr>
                <w:rFonts w:ascii="inherit" w:hAnsi="inherit"/>
                <w:sz w:val="15"/>
              </w:rPr>
            </w:pPr>
            <w:r>
              <w:rPr>
                <w:rFonts w:ascii="inherit" w:hAnsi="inherit"/>
                <w:sz w:val="15"/>
              </w:rPr>
              <w:t>96,777</w:t>
            </w:r>
          </w:p>
        </w:tc>
        <w:tc>
          <w:tcPr>
            <w:tcW w:w="3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32,838,018</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30,096,237</w:t>
            </w:r>
          </w:p>
        </w:tc>
        <w:tc>
          <w:tcPr>
            <w:tcW w:w="3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Commercial</w:t>
            </w:r>
          </w:p>
        </w:tc>
        <w:tc>
          <w:tcPr>
            <w:tcW w:w="90" w:type="dxa"/>
            <w:tcBorders/>
            <w:shd w:fill="auto" w:val="clear"/>
            <w:vAlign w:val="center"/>
          </w:tcPr>
          <w:p>
            <w:pPr>
              <w:pStyle w:val="TableContents"/>
              <w:spacing w:before="0" w:after="0"/>
              <w:ind w:left="0" w:right="0" w:firstLine="30"/>
              <w:rPr/>
            </w:pPr>
            <w:r>
              <w:rPr/>
              <w:t> </w:t>
            </w:r>
          </w:p>
        </w:tc>
        <w:tc>
          <w:tcPr>
            <w:tcW w:w="7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96,139</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95,005</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35,158</w:t>
            </w:r>
          </w:p>
        </w:tc>
        <w:tc>
          <w:tcPr>
            <w:tcW w:w="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32,203</w:t>
            </w:r>
          </w:p>
        </w:tc>
        <w:tc>
          <w:tcPr>
            <w:tcW w:w="3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66" w:type="dxa"/>
            <w:tcBorders/>
            <w:shd w:fill="auto" w:val="clear"/>
            <w:vAlign w:val="center"/>
          </w:tcPr>
          <w:p>
            <w:pPr>
              <w:pStyle w:val="TableContents"/>
              <w:spacing w:before="0" w:after="0"/>
              <w:jc w:val="right"/>
              <w:rPr>
                <w:rFonts w:ascii="inherit" w:hAnsi="inherit"/>
                <w:sz w:val="15"/>
              </w:rPr>
            </w:pPr>
            <w:r>
              <w:rPr>
                <w:rFonts w:ascii="inherit" w:hAnsi="inherit"/>
                <w:sz w:val="15"/>
              </w:rPr>
              <w:t>14,990,848</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shd w:fill="auto" w:val="clear"/>
            <w:vAlign w:val="center"/>
          </w:tcPr>
          <w:p>
            <w:pPr>
              <w:pStyle w:val="TableContents"/>
              <w:spacing w:before="0" w:after="0"/>
              <w:jc w:val="right"/>
              <w:rPr>
                <w:rFonts w:ascii="inherit" w:hAnsi="inherit"/>
                <w:sz w:val="15"/>
              </w:rPr>
            </w:pPr>
            <w:r>
              <w:rPr>
                <w:rFonts w:ascii="inherit" w:hAnsi="inherit"/>
                <w:sz w:val="15"/>
              </w:rPr>
              <w:t>13,949,121</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Industrial</w:t>
            </w:r>
          </w:p>
        </w:tc>
        <w:tc>
          <w:tcPr>
            <w:tcW w:w="90" w:type="dxa"/>
            <w:tcBorders/>
            <w:shd w:fill="CEFFE7" w:val="clear"/>
            <w:vAlign w:val="center"/>
          </w:tcPr>
          <w:p>
            <w:pPr>
              <w:pStyle w:val="TableContents"/>
              <w:spacing w:before="0" w:after="0"/>
              <w:ind w:left="0" w:right="0" w:firstLine="30"/>
              <w:rPr/>
            </w:pPr>
            <w:r>
              <w:rPr/>
              <w:t> </w:t>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6,014</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5,982</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2,017</w:t>
            </w:r>
          </w:p>
        </w:tc>
        <w:tc>
          <w:tcPr>
            <w:tcW w:w="3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1,674</w:t>
            </w:r>
          </w:p>
        </w:tc>
        <w:tc>
          <w:tcPr>
            <w:tcW w:w="3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1,182,527</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1,183,617</w:t>
            </w:r>
          </w:p>
        </w:tc>
        <w:tc>
          <w:tcPr>
            <w:tcW w:w="3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auto" w:val="clear"/>
            <w:vAlign w:val="center"/>
          </w:tcPr>
          <w:p>
            <w:pPr>
              <w:pStyle w:val="TableContents"/>
              <w:spacing w:lineRule="auto" w:line="288" w:before="0" w:after="0"/>
              <w:ind w:left="0" w:right="0" w:firstLine="30"/>
              <w:rPr>
                <w:sz w:val="15"/>
              </w:rPr>
            </w:pPr>
            <w:r>
              <w:rPr>
                <w:rFonts w:ascii="inherit" w:hAnsi="inherit"/>
                <w:sz w:val="15"/>
              </w:rPr>
              <w:t xml:space="preserve">Other </w:t>
            </w:r>
            <w:r>
              <w:rPr>
                <w:rFonts w:ascii="inherit" w:hAnsi="inherit"/>
                <w:sz w:val="10"/>
              </w:rPr>
              <w:t>(a)</w:t>
            </w:r>
          </w:p>
        </w:tc>
        <w:tc>
          <w:tcPr>
            <w:tcW w:w="90" w:type="dxa"/>
            <w:tcBorders/>
            <w:shd w:fill="auto" w:val="clear"/>
            <w:vAlign w:val="center"/>
          </w:tcPr>
          <w:p>
            <w:pPr>
              <w:pStyle w:val="TableContents"/>
              <w:spacing w:before="0" w:after="0"/>
              <w:ind w:left="0" w:right="0" w:firstLine="30"/>
              <w:rPr/>
            </w:pPr>
            <w:r>
              <w:rPr/>
              <w:t> </w:t>
            </w:r>
          </w:p>
        </w:tc>
        <w:tc>
          <w:tcPr>
            <w:tcW w:w="7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(4,354</w:t>
            </w:r>
          </w:p>
        </w:tc>
        <w:tc>
          <w:tcPr>
            <w:tcW w:w="1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(7,531</w:t>
            </w:r>
          </w:p>
        </w:tc>
        <w:tc>
          <w:tcPr>
            <w:tcW w:w="1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21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(4,354</w:t>
            </w:r>
          </w:p>
        </w:tc>
        <w:tc>
          <w:tcPr>
            <w:tcW w:w="32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1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(7,531</w:t>
            </w:r>
          </w:p>
        </w:tc>
        <w:tc>
          <w:tcPr>
            <w:tcW w:w="32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866" w:type="dxa"/>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shd w:fill="auto" w:val="clear"/>
            <w:vAlign w:val="center"/>
          </w:tcPr>
          <w:p>
            <w:pPr>
              <w:pStyle w:val="TableContents"/>
              <w:spacing w:before="0" w:after="0"/>
              <w:jc w:val="right"/>
              <w:rPr/>
            </w:pPr>
            <w:r>
              <w:rPr/>
              <w:t>—</w:t>
            </w:r>
          </w:p>
        </w:tc>
        <w:tc>
          <w:tcPr>
            <w:tcW w:w="34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Distribution</w:t>
            </w:r>
          </w:p>
        </w:tc>
        <w:tc>
          <w:tcPr>
            <w:tcW w:w="90" w:type="dxa"/>
            <w:tcBorders/>
            <w:shd w:fill="CEFFE7" w:val="clear"/>
            <w:vAlign w:val="center"/>
          </w:tcPr>
          <w:p>
            <w:pPr>
              <w:pStyle w:val="TableContents"/>
              <w:spacing w:before="0" w:after="0"/>
              <w:ind w:left="0" w:right="0" w:firstLine="30"/>
              <w:rPr/>
            </w:pPr>
            <w:r>
              <w:rPr/>
              <w:t> </w:t>
            </w:r>
          </w:p>
        </w:tc>
        <w:tc>
          <w:tcPr>
            <w:tcW w:w="72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338,928</w:t>
            </w:r>
          </w:p>
        </w:tc>
        <w:tc>
          <w:tcPr>
            <w:tcW w:w="111"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328,207</w:t>
            </w:r>
          </w:p>
        </w:tc>
        <w:tc>
          <w:tcPr>
            <w:tcW w:w="111"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117"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137,878</w:t>
            </w:r>
          </w:p>
        </w:tc>
        <w:tc>
          <w:tcPr>
            <w:tcW w:w="32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123,123</w:t>
            </w:r>
          </w:p>
        </w:tc>
        <w:tc>
          <w:tcPr>
            <w:tcW w:w="32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66"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49,011,393</w:t>
            </w:r>
          </w:p>
        </w:tc>
        <w:tc>
          <w:tcPr>
            <w:tcW w:w="31"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45,228,975</w:t>
            </w:r>
          </w:p>
        </w:tc>
        <w:tc>
          <w:tcPr>
            <w:tcW w:w="34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42" w:type="dxa"/>
            <w:gridSpan w:val="3"/>
            <w:tcBorders/>
            <w:shd w:fill="auto" w:val="clear"/>
            <w:vAlign w:val="center"/>
          </w:tcPr>
          <w:p>
            <w:pPr>
              <w:pStyle w:val="TableContents"/>
              <w:spacing w:before="0" w:after="0"/>
              <w:ind w:left="0" w:right="0" w:firstLine="30"/>
              <w:rPr/>
            </w:pPr>
            <w:r>
              <w:rPr/>
              <w:t> </w:t>
            </w:r>
          </w:p>
        </w:tc>
        <w:tc>
          <w:tcPr>
            <w:tcW w:w="24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7" w:type="dxa"/>
            <w:gridSpan w:val="2"/>
            <w:tcBorders/>
            <w:shd w:fill="auto" w:val="clear"/>
            <w:vAlign w:val="center"/>
          </w:tcPr>
          <w:p>
            <w:pPr>
              <w:pStyle w:val="TableContents"/>
              <w:spacing w:before="0" w:after="0"/>
              <w:ind w:left="0" w:right="0" w:firstLine="30"/>
              <w:rPr/>
            </w:pPr>
            <w:r>
              <w:rPr/>
              <w:t> </w:t>
            </w:r>
          </w:p>
        </w:tc>
        <w:tc>
          <w:tcPr>
            <w:tcW w:w="1206" w:type="dxa"/>
            <w:gridSpan w:val="2"/>
            <w:tcBorders/>
            <w:shd w:fill="auto" w:val="clear"/>
            <w:vAlign w:val="center"/>
          </w:tcPr>
          <w:p>
            <w:pPr>
              <w:pStyle w:val="TableContents"/>
              <w:spacing w:before="0" w:after="0"/>
              <w:ind w:left="0" w:right="0" w:firstLine="30"/>
              <w:rPr/>
            </w:pPr>
            <w:r>
              <w:rPr/>
              <w:t> </w:t>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Transportation and Transmission</w:t>
            </w:r>
          </w:p>
        </w:tc>
        <w:tc>
          <w:tcPr>
            <w:tcW w:w="90" w:type="dxa"/>
            <w:tcBorders/>
            <w:shd w:fill="CEFFE7" w:val="clear"/>
            <w:vAlign w:val="center"/>
          </w:tcPr>
          <w:p>
            <w:pPr>
              <w:pStyle w:val="TableContents"/>
              <w:spacing w:before="0" w:after="0"/>
              <w:ind w:left="0" w:right="0" w:firstLine="30"/>
              <w:rPr/>
            </w:pPr>
            <w:r>
              <w:rPr/>
              <w:t> </w:t>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44,947</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42,061</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44,947</w:t>
            </w:r>
          </w:p>
        </w:tc>
        <w:tc>
          <w:tcPr>
            <w:tcW w:w="3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42,061</w:t>
            </w:r>
          </w:p>
        </w:tc>
        <w:tc>
          <w:tcPr>
            <w:tcW w:w="3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46,316,160</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shd w:fill="CEFFE7" w:val="clear"/>
            <w:vAlign w:val="center"/>
          </w:tcPr>
          <w:p>
            <w:pPr>
              <w:pStyle w:val="TableContents"/>
              <w:spacing w:before="0" w:after="0"/>
              <w:jc w:val="right"/>
              <w:rPr>
                <w:rFonts w:ascii="inherit" w:hAnsi="inherit"/>
                <w:sz w:val="15"/>
              </w:rPr>
            </w:pPr>
            <w:r>
              <w:rPr>
                <w:rFonts w:ascii="inherit" w:hAnsi="inherit"/>
                <w:sz w:val="15"/>
              </w:rPr>
              <w:t>44,733,475</w:t>
            </w:r>
          </w:p>
        </w:tc>
        <w:tc>
          <w:tcPr>
            <w:tcW w:w="34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42" w:type="dxa"/>
            <w:gridSpan w:val="3"/>
            <w:tcBorders/>
            <w:shd w:fill="auto" w:val="clear"/>
            <w:vAlign w:val="center"/>
          </w:tcPr>
          <w:p>
            <w:pPr>
              <w:pStyle w:val="TableContents"/>
              <w:spacing w:before="0" w:after="0"/>
              <w:ind w:left="0" w:right="0" w:firstLine="30"/>
              <w:rPr/>
            </w:pPr>
            <w:r>
              <w:rPr/>
              <w:t> </w:t>
            </w:r>
          </w:p>
        </w:tc>
        <w:tc>
          <w:tcPr>
            <w:tcW w:w="24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7" w:type="dxa"/>
            <w:gridSpan w:val="2"/>
            <w:tcBorders/>
            <w:shd w:fill="auto" w:val="clear"/>
            <w:vAlign w:val="center"/>
          </w:tcPr>
          <w:p>
            <w:pPr>
              <w:pStyle w:val="TableContents"/>
              <w:spacing w:before="0" w:after="0"/>
              <w:ind w:left="0" w:right="0" w:firstLine="30"/>
              <w:rPr/>
            </w:pPr>
            <w:r>
              <w:rPr/>
              <w:t> </w:t>
            </w:r>
          </w:p>
        </w:tc>
        <w:tc>
          <w:tcPr>
            <w:tcW w:w="1206" w:type="dxa"/>
            <w:gridSpan w:val="2"/>
            <w:tcBorders/>
            <w:shd w:fill="auto" w:val="clear"/>
            <w:vAlign w:val="center"/>
          </w:tcPr>
          <w:p>
            <w:pPr>
              <w:pStyle w:val="TableContents"/>
              <w:spacing w:before="0" w:after="0"/>
              <w:ind w:left="0" w:right="0" w:firstLine="300"/>
              <w:rPr/>
            </w:pPr>
            <w:r>
              <w:rPr/>
              <w:t> </w:t>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Regulated</w:t>
            </w:r>
          </w:p>
        </w:tc>
        <w:tc>
          <w:tcPr>
            <w:tcW w:w="90" w:type="dxa"/>
            <w:tcBorders/>
            <w:shd w:fill="CEFFE7" w:val="clear"/>
            <w:vAlign w:val="center"/>
          </w:tcPr>
          <w:p>
            <w:pPr>
              <w:pStyle w:val="TableContents"/>
              <w:spacing w:before="0" w:after="0"/>
              <w:ind w:left="0" w:right="0" w:firstLine="30"/>
              <w:rPr/>
            </w:pPr>
            <w:r>
              <w:rPr/>
              <w:t> </w:t>
            </w:r>
          </w:p>
        </w:tc>
        <w:tc>
          <w:tcPr>
            <w:tcW w:w="72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383,875</w:t>
            </w:r>
          </w:p>
        </w:tc>
        <w:tc>
          <w:tcPr>
            <w:tcW w:w="111"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370,268</w:t>
            </w:r>
          </w:p>
        </w:tc>
        <w:tc>
          <w:tcPr>
            <w:tcW w:w="111"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117"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182,825</w:t>
            </w:r>
          </w:p>
        </w:tc>
        <w:tc>
          <w:tcPr>
            <w:tcW w:w="32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165,184</w:t>
            </w:r>
          </w:p>
        </w:tc>
        <w:tc>
          <w:tcPr>
            <w:tcW w:w="327"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6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95,327,553</w:t>
            </w:r>
          </w:p>
        </w:tc>
        <w:tc>
          <w:tcPr>
            <w:tcW w:w="3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89,962,450</w:t>
            </w:r>
          </w:p>
        </w:tc>
        <w:tc>
          <w:tcPr>
            <w:tcW w:w="34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42" w:type="dxa"/>
            <w:gridSpan w:val="3"/>
            <w:tcBorders/>
            <w:shd w:fill="auto" w:val="clear"/>
            <w:vAlign w:val="center"/>
          </w:tcPr>
          <w:p>
            <w:pPr>
              <w:pStyle w:val="TableContents"/>
              <w:spacing w:before="0" w:after="0"/>
              <w:ind w:left="0" w:right="0" w:firstLine="30"/>
              <w:rPr/>
            </w:pPr>
            <w:r>
              <w:rPr/>
              <w:t> </w:t>
            </w:r>
          </w:p>
        </w:tc>
        <w:tc>
          <w:tcPr>
            <w:tcW w:w="24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7" w:type="dxa"/>
            <w:gridSpan w:val="2"/>
            <w:tcBorders/>
            <w:shd w:fill="auto" w:val="clear"/>
            <w:vAlign w:val="center"/>
          </w:tcPr>
          <w:p>
            <w:pPr>
              <w:pStyle w:val="TableContents"/>
              <w:spacing w:before="0" w:after="0"/>
              <w:ind w:left="0" w:right="0" w:firstLine="30"/>
              <w:rPr/>
            </w:pPr>
            <w:r>
              <w:rPr/>
              <w:t> </w:t>
            </w:r>
          </w:p>
        </w:tc>
        <w:tc>
          <w:tcPr>
            <w:tcW w:w="1206" w:type="dxa"/>
            <w:gridSpan w:val="2"/>
            <w:tcBorders/>
            <w:shd w:fill="auto" w:val="clear"/>
            <w:vAlign w:val="center"/>
          </w:tcPr>
          <w:p>
            <w:pPr>
              <w:pStyle w:val="TableContents"/>
              <w:spacing w:before="0" w:after="0"/>
              <w:ind w:left="0" w:right="0" w:firstLine="30"/>
              <w:rPr/>
            </w:pPr>
            <w:r>
              <w:rPr/>
              <w:t> </w:t>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Non-regulated Services</w:t>
            </w:r>
          </w:p>
        </w:tc>
        <w:tc>
          <w:tcPr>
            <w:tcW w:w="90" w:type="dxa"/>
            <w:tcBorders/>
            <w:shd w:fill="CEFFE7" w:val="clear"/>
            <w:vAlign w:val="center"/>
          </w:tcPr>
          <w:p>
            <w:pPr>
              <w:pStyle w:val="TableContents"/>
              <w:spacing w:before="0" w:after="0"/>
              <w:ind w:left="0" w:right="0" w:firstLine="30"/>
              <w:rPr/>
            </w:pPr>
            <w:r>
              <w:rPr/>
              <w:t> </w:t>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27,205</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25"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27,076</w:t>
            </w:r>
          </w:p>
        </w:tc>
        <w:tc>
          <w:tcPr>
            <w:tcW w:w="11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20,976</w:t>
            </w:r>
          </w:p>
        </w:tc>
        <w:tc>
          <w:tcPr>
            <w:tcW w:w="3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17"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22,475</w:t>
            </w:r>
          </w:p>
        </w:tc>
        <w:tc>
          <w:tcPr>
            <w:tcW w:w="32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97" w:type="dxa"/>
            <w:gridSpan w:val="2"/>
            <w:tcBorders/>
            <w:shd w:fill="CEFFE7" w:val="clear"/>
            <w:vAlign w:val="center"/>
          </w:tcPr>
          <w:p>
            <w:pPr>
              <w:pStyle w:val="TableContents"/>
              <w:spacing w:before="0" w:after="0"/>
              <w:ind w:left="0" w:right="0" w:firstLine="30"/>
              <w:rPr/>
            </w:pPr>
            <w:r>
              <w:rPr/>
              <w:t> </w:t>
            </w:r>
          </w:p>
        </w:tc>
        <w:tc>
          <w:tcPr>
            <w:tcW w:w="1206" w:type="dxa"/>
            <w:gridSpan w:val="2"/>
            <w:tcBorders/>
            <w:shd w:fill="CEFFE7" w:val="clear"/>
            <w:vAlign w:val="center"/>
          </w:tcPr>
          <w:p>
            <w:pPr>
              <w:pStyle w:val="TableContents"/>
              <w:spacing w:before="0" w:after="0"/>
              <w:ind w:left="0" w:right="0" w:firstLine="30"/>
              <w:rPr/>
            </w:pPr>
            <w:r>
              <w:rPr/>
              <w:t> </w:t>
            </w:r>
          </w:p>
        </w:tc>
      </w:tr>
      <w:tr>
        <w:trPr/>
        <w:tc>
          <w:tcPr>
            <w:tcW w:w="127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83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42" w:type="dxa"/>
            <w:gridSpan w:val="3"/>
            <w:tcBorders/>
            <w:shd w:fill="auto" w:val="clear"/>
            <w:vAlign w:val="center"/>
          </w:tcPr>
          <w:p>
            <w:pPr>
              <w:pStyle w:val="TableContents"/>
              <w:spacing w:before="0" w:after="0"/>
              <w:ind w:left="0" w:right="0" w:firstLine="30"/>
              <w:rPr/>
            </w:pPr>
            <w:r>
              <w:rPr/>
              <w:t> </w:t>
            </w:r>
          </w:p>
        </w:tc>
        <w:tc>
          <w:tcPr>
            <w:tcW w:w="24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7" w:type="dxa"/>
            <w:gridSpan w:val="2"/>
            <w:tcBorders/>
            <w:shd w:fill="auto" w:val="clear"/>
            <w:vAlign w:val="center"/>
          </w:tcPr>
          <w:p>
            <w:pPr>
              <w:pStyle w:val="TableContents"/>
              <w:spacing w:before="0" w:after="0"/>
              <w:ind w:left="0" w:right="0" w:firstLine="30"/>
              <w:rPr/>
            </w:pPr>
            <w:r>
              <w:rPr/>
              <w:t> </w:t>
            </w:r>
          </w:p>
        </w:tc>
        <w:tc>
          <w:tcPr>
            <w:tcW w:w="1206" w:type="dxa"/>
            <w:gridSpan w:val="2"/>
            <w:tcBorders/>
            <w:shd w:fill="auto" w:val="clear"/>
            <w:vAlign w:val="center"/>
          </w:tcPr>
          <w:p>
            <w:pPr>
              <w:pStyle w:val="TableContents"/>
              <w:spacing w:before="0" w:after="0"/>
              <w:ind w:left="0" w:right="0" w:firstLine="300"/>
              <w:rPr/>
            </w:pPr>
            <w:r>
              <w:rPr/>
              <w:t> </w:t>
            </w:r>
          </w:p>
        </w:tc>
      </w:tr>
      <w:tr>
        <w:trPr/>
        <w:tc>
          <w:tcPr>
            <w:tcW w:w="1274"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Gas Revenue &amp; Gross Margin (non-GAAP)</w:t>
            </w:r>
          </w:p>
        </w:tc>
        <w:tc>
          <w:tcPr>
            <w:tcW w:w="90" w:type="dxa"/>
            <w:tcBorders/>
            <w:shd w:fill="CEFFE7" w:val="clear"/>
            <w:vAlign w:val="center"/>
          </w:tcPr>
          <w:p>
            <w:pPr>
              <w:pStyle w:val="TableContents"/>
              <w:spacing w:before="0" w:after="0"/>
              <w:ind w:left="0" w:right="0" w:firstLine="30"/>
              <w:rPr/>
            </w:pPr>
            <w:r>
              <w:rPr/>
              <w:t> </w:t>
            </w:r>
          </w:p>
        </w:tc>
        <w:tc>
          <w:tcPr>
            <w:tcW w:w="11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411,080</w:t>
            </w:r>
          </w:p>
        </w:tc>
        <w:tc>
          <w:tcPr>
            <w:tcW w:w="11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397,344</w:t>
            </w:r>
          </w:p>
        </w:tc>
        <w:tc>
          <w:tcPr>
            <w:tcW w:w="11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3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7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203,801</w:t>
            </w:r>
          </w:p>
        </w:tc>
        <w:tc>
          <w:tcPr>
            <w:tcW w:w="32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79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187,659</w:t>
            </w:r>
          </w:p>
        </w:tc>
        <w:tc>
          <w:tcPr>
            <w:tcW w:w="32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897" w:type="dxa"/>
            <w:gridSpan w:val="2"/>
            <w:tcBorders/>
            <w:shd w:fill="CEFFE7" w:val="clear"/>
            <w:vAlign w:val="center"/>
          </w:tcPr>
          <w:p>
            <w:pPr>
              <w:pStyle w:val="TableContents"/>
              <w:spacing w:before="0" w:after="0"/>
              <w:ind w:left="0" w:right="0" w:firstLine="30"/>
              <w:rPr/>
            </w:pPr>
            <w:r>
              <w:rPr/>
              <w:t> </w:t>
            </w:r>
          </w:p>
        </w:tc>
        <w:tc>
          <w:tcPr>
            <w:tcW w:w="1206" w:type="dxa"/>
            <w:gridSpan w:val="2"/>
            <w:tcBorders/>
            <w:shd w:fill="CEFFE7" w:val="clear"/>
            <w:vAlign w:val="center"/>
          </w:tcPr>
          <w:p>
            <w:pPr>
              <w:pStyle w:val="TableContents"/>
              <w:spacing w:before="0" w:after="0"/>
              <w:rPr/>
            </w:pPr>
            <w:r>
              <w:rPr/>
              <w:t> </w:t>
            </w:r>
          </w:p>
        </w:tc>
      </w:tr>
    </w:tbl>
    <w:p>
      <w:pPr>
        <w:pStyle w:val="TextBody"/>
        <w:spacing w:lineRule="auto" w:line="288" w:before="0" w:after="0"/>
        <w:ind w:left="0" w:right="0" w:hanging="360"/>
        <w:jc w:val="left"/>
        <w:rPr>
          <w:rFonts w:ascii="inherit" w:hAnsi="inherit"/>
          <w:sz w:val="13"/>
        </w:rPr>
      </w:pPr>
      <w:r>
        <w:rPr>
          <w:rFonts w:ascii="inherit" w:hAnsi="inherit"/>
          <w:sz w:val="13"/>
        </w:rPr>
      </w:r>
    </w:p>
    <w:tbl>
      <w:tblPr>
        <w:tblW w:w="9895" w:type="dxa"/>
        <w:jc w:val="left"/>
        <w:tblInd w:w="0" w:type="dxa"/>
        <w:tblCellMar>
          <w:top w:w="0" w:type="dxa"/>
          <w:left w:w="0" w:type="dxa"/>
          <w:bottom w:w="0" w:type="dxa"/>
          <w:right w:w="0" w:type="dxa"/>
        </w:tblCellMar>
      </w:tblPr>
      <w:tblGrid>
        <w:gridCol w:w="290"/>
        <w:gridCol w:w="9605"/>
      </w:tblGrid>
      <w:tr>
        <w:trPr/>
        <w:tc>
          <w:tcPr>
            <w:tcW w:w="290" w:type="dxa"/>
            <w:tcBorders/>
            <w:shd w:fill="auto" w:val="clear"/>
            <w:vAlign w:val="center"/>
          </w:tcPr>
          <w:p>
            <w:pPr>
              <w:pStyle w:val="TableContents"/>
              <w:spacing w:before="0" w:after="283"/>
              <w:rPr>
                <w:sz w:val="4"/>
                <w:szCs w:val="4"/>
              </w:rPr>
            </w:pPr>
            <w:r>
              <w:rPr>
                <w:sz w:val="4"/>
                <w:szCs w:val="4"/>
              </w:rPr>
            </w:r>
          </w:p>
        </w:tc>
        <w:tc>
          <w:tcPr>
            <w:tcW w:w="9605" w:type="dxa"/>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 xml:space="preserve">(a) </w:t>
            </w:r>
          </w:p>
        </w:tc>
        <w:tc>
          <w:tcPr>
            <w:tcW w:w="9605" w:type="dxa"/>
            <w:tcBorders/>
            <w:shd w:fill="auto" w:val="clear"/>
            <w:vAlign w:val="center"/>
          </w:tcPr>
          <w:p>
            <w:pPr>
              <w:pStyle w:val="TableContents"/>
              <w:spacing w:lineRule="auto" w:line="288" w:before="0" w:after="0"/>
              <w:jc w:val="left"/>
              <w:rPr>
                <w:sz w:val="15"/>
              </w:rPr>
            </w:pPr>
            <w:r>
              <w:rPr>
                <w:rFonts w:ascii="inherit" w:hAnsi="inherit"/>
                <w:sz w:val="13"/>
              </w:rPr>
              <w:t xml:space="preserve">Includes </w:t>
            </w:r>
            <w:r>
              <w:rPr>
                <w:rFonts w:ascii="inherit" w:hAnsi="inherit"/>
                <w:sz w:val="15"/>
              </w:rPr>
              <w:t>reserve to revenue to reflect the reduction of the lower federal income tax rate from the TCJA on our existing rate tariffs.</w:t>
            </w:r>
          </w:p>
        </w:tc>
      </w:tr>
    </w:tbl>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center"/>
        <w:tblInd w:w="0" w:type="dxa"/>
        <w:tblCellMar>
          <w:top w:w="0" w:type="dxa"/>
          <w:left w:w="0" w:type="dxa"/>
          <w:bottom w:w="0" w:type="dxa"/>
          <w:right w:w="0" w:type="dxa"/>
        </w:tblCellMar>
      </w:tblPr>
      <w:tblGrid>
        <w:gridCol w:w="1376"/>
        <w:gridCol w:w="90"/>
        <w:gridCol w:w="114"/>
        <w:gridCol w:w="627"/>
        <w:gridCol w:w="31"/>
        <w:gridCol w:w="114"/>
        <w:gridCol w:w="627"/>
        <w:gridCol w:w="31"/>
        <w:gridCol w:w="90"/>
        <w:gridCol w:w="346"/>
        <w:gridCol w:w="1910"/>
        <w:gridCol w:w="93"/>
        <w:gridCol w:w="346"/>
        <w:gridCol w:w="1910"/>
        <w:gridCol w:w="97"/>
        <w:gridCol w:w="90"/>
        <w:gridCol w:w="955"/>
        <w:gridCol w:w="34"/>
        <w:gridCol w:w="955"/>
        <w:gridCol w:w="369"/>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13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7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44"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Revenue (in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702" w:type="dxa"/>
            <w:gridSpan w:val="6"/>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sz w:val="15"/>
              </w:rPr>
              <w:t>Gross Margin (non-GAAP)</w:t>
            </w:r>
            <w:r>
              <w:rPr>
                <w:sz w:val="15"/>
              </w:rPr>
              <w:t>                                                                        </w:t>
            </w:r>
            <w:r>
              <w:rPr>
                <w:rFonts w:ascii="inherit" w:hAnsi="inherit"/>
                <w:sz w:val="15"/>
              </w:rPr>
              <w:t>(in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13" w:type="dxa"/>
            <w:gridSpan w:val="4"/>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Gas Utilities Quantities Sold &amp; Transported (Dth)</w:t>
            </w:r>
          </w:p>
          <w:p>
            <w:pPr>
              <w:pStyle w:val="TableContents"/>
              <w:spacing w:before="0" w:after="0"/>
              <w:ind w:left="0" w:right="0" w:firstLine="30"/>
              <w:jc w:val="center"/>
              <w:rPr>
                <w:rFonts w:ascii="inherit" w:hAnsi="inherit"/>
                <w:sz w:val="15"/>
              </w:rPr>
            </w:pPr>
            <w:r>
              <w:rPr>
                <w:rFonts w:ascii="inherit" w:hAnsi="inherit"/>
                <w:sz w:val="15"/>
              </w:rPr>
            </w:r>
          </w:p>
        </w:tc>
      </w:tr>
      <w:tr>
        <w:trPr/>
        <w:tc>
          <w:tcPr>
            <w:tcW w:w="137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44" w:type="dxa"/>
            <w:gridSpan w:val="6"/>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4702" w:type="dxa"/>
            <w:gridSpan w:val="6"/>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313" w:type="dxa"/>
            <w:gridSpan w:val="4"/>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Three Months Ended</w:t>
              <w:br/>
              <w:t>March 31,</w:t>
            </w:r>
          </w:p>
        </w:tc>
      </w:tr>
      <w:tr>
        <w:trPr/>
        <w:tc>
          <w:tcPr>
            <w:tcW w:w="137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7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2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8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2019</w:t>
            </w:r>
          </w:p>
        </w:tc>
        <w:tc>
          <w:tcPr>
            <w:tcW w:w="132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2018</w:t>
            </w:r>
          </w:p>
        </w:tc>
      </w:tr>
      <w:tr>
        <w:trPr/>
        <w:tc>
          <w:tcPr>
            <w:tcW w:w="137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72" w:type="dxa"/>
            <w:gridSpan w:val="3"/>
            <w:tcBorders/>
            <w:shd w:fill="auto" w:val="clear"/>
            <w:vAlign w:val="center"/>
          </w:tcPr>
          <w:p>
            <w:pPr>
              <w:pStyle w:val="TableContents"/>
              <w:spacing w:before="0" w:after="0"/>
              <w:ind w:left="0" w:right="0" w:firstLine="30"/>
              <w:rPr/>
            </w:pPr>
            <w:r>
              <w:rPr/>
              <w:t> </w:t>
            </w:r>
          </w:p>
        </w:tc>
        <w:tc>
          <w:tcPr>
            <w:tcW w:w="77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49" w:type="dxa"/>
            <w:gridSpan w:val="3"/>
            <w:tcBorders/>
            <w:shd w:fill="auto" w:val="clear"/>
            <w:vAlign w:val="center"/>
          </w:tcPr>
          <w:p>
            <w:pPr>
              <w:pStyle w:val="TableContents"/>
              <w:spacing w:before="0" w:after="0"/>
              <w:ind w:left="0" w:right="0" w:firstLine="30"/>
              <w:rPr/>
            </w:pPr>
            <w:r>
              <w:rPr/>
              <w:t> </w:t>
            </w:r>
          </w:p>
        </w:tc>
        <w:tc>
          <w:tcPr>
            <w:tcW w:w="235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89" w:type="dxa"/>
            <w:gridSpan w:val="2"/>
            <w:tcBorders/>
            <w:shd w:fill="auto" w:val="clear"/>
            <w:vAlign w:val="center"/>
          </w:tcPr>
          <w:p>
            <w:pPr>
              <w:pStyle w:val="TableContents"/>
              <w:spacing w:before="0" w:after="0"/>
              <w:ind w:left="0" w:right="0" w:firstLine="30"/>
              <w:rPr/>
            </w:pPr>
            <w:r>
              <w:rPr/>
              <w:t> </w:t>
            </w:r>
          </w:p>
        </w:tc>
        <w:tc>
          <w:tcPr>
            <w:tcW w:w="1324" w:type="dxa"/>
            <w:gridSpan w:val="2"/>
            <w:tcBorders/>
            <w:shd w:fill="auto" w:val="clear"/>
            <w:vAlign w:val="center"/>
          </w:tcPr>
          <w:p>
            <w:pPr>
              <w:pStyle w:val="TableContents"/>
              <w:spacing w:before="0" w:after="0"/>
              <w:ind w:left="0" w:right="0" w:firstLine="30"/>
              <w:rPr/>
            </w:pPr>
            <w:r>
              <w:rPr/>
              <w:t> </w:t>
            </w:r>
          </w:p>
        </w:tc>
      </w:tr>
      <w:tr>
        <w:trPr/>
        <w:tc>
          <w:tcPr>
            <w:tcW w:w="13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Arkansas</w:t>
            </w:r>
          </w:p>
        </w:tc>
        <w:tc>
          <w:tcPr>
            <w:tcW w:w="90" w:type="dxa"/>
            <w:tcBorders/>
            <w:shd w:fill="CEFFE7" w:val="clear"/>
            <w:vAlign w:val="center"/>
          </w:tcPr>
          <w:p>
            <w:pPr>
              <w:pStyle w:val="TableContents"/>
              <w:spacing w:before="0" w:after="0"/>
              <w:ind w:left="0" w:right="0" w:firstLine="30"/>
              <w:rPr/>
            </w:pPr>
            <w:r>
              <w:rPr/>
              <w:t> </w:t>
            </w:r>
          </w:p>
        </w:tc>
        <w:tc>
          <w:tcPr>
            <w:tcW w:w="114"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CEFFE7" w:val="clear"/>
            <w:vAlign w:val="center"/>
          </w:tcPr>
          <w:p>
            <w:pPr>
              <w:pStyle w:val="TableContents"/>
              <w:spacing w:before="0" w:after="0"/>
              <w:jc w:val="right"/>
              <w:rPr>
                <w:rFonts w:ascii="inherit" w:hAnsi="inherit"/>
                <w:sz w:val="15"/>
              </w:rPr>
            </w:pPr>
            <w:r>
              <w:rPr>
                <w:rFonts w:ascii="inherit" w:hAnsi="inherit"/>
                <w:sz w:val="15"/>
              </w:rPr>
              <w:t>79,391</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CEFFE7" w:val="clear"/>
            <w:vAlign w:val="center"/>
          </w:tcPr>
          <w:p>
            <w:pPr>
              <w:pStyle w:val="TableContents"/>
              <w:spacing w:before="0" w:after="0"/>
              <w:jc w:val="right"/>
              <w:rPr>
                <w:rFonts w:ascii="inherit" w:hAnsi="inherit"/>
                <w:sz w:val="15"/>
              </w:rPr>
            </w:pPr>
            <w:r>
              <w:rPr>
                <w:rFonts w:ascii="inherit" w:hAnsi="inherit"/>
                <w:sz w:val="15"/>
              </w:rPr>
              <w:t>70,388</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346"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910" w:type="dxa"/>
            <w:tcBorders/>
            <w:shd w:fill="CEFFE7" w:val="clear"/>
            <w:vAlign w:val="center"/>
          </w:tcPr>
          <w:p>
            <w:pPr>
              <w:pStyle w:val="TableContents"/>
              <w:spacing w:before="0" w:after="0"/>
              <w:jc w:val="right"/>
              <w:rPr>
                <w:rFonts w:ascii="inherit" w:hAnsi="inherit"/>
                <w:sz w:val="15"/>
              </w:rPr>
            </w:pPr>
            <w:r>
              <w:rPr>
                <w:rFonts w:ascii="inherit" w:hAnsi="inherit"/>
                <w:sz w:val="15"/>
              </w:rPr>
              <w:t>44,282</w:t>
            </w:r>
          </w:p>
        </w:tc>
        <w:tc>
          <w:tcPr>
            <w:tcW w:w="9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46" w:type="dxa"/>
            <w:tcBorders/>
            <w:shd w:fill="CEFFE7" w:val="clear"/>
            <w:vAlign w:val="center"/>
          </w:tcPr>
          <w:p>
            <w:pPr>
              <w:pStyle w:val="TableContents"/>
              <w:spacing w:before="0" w:after="0"/>
              <w:jc w:val="left"/>
              <w:rPr>
                <w:rFonts w:ascii="inherit" w:hAnsi="inherit"/>
                <w:sz w:val="15"/>
              </w:rPr>
            </w:pPr>
            <w:r>
              <w:rPr>
                <w:rFonts w:ascii="inherit" w:hAnsi="inherit"/>
                <w:sz w:val="15"/>
              </w:rPr>
              <w:t>$</w:t>
            </w:r>
          </w:p>
        </w:tc>
        <w:tc>
          <w:tcPr>
            <w:tcW w:w="1910" w:type="dxa"/>
            <w:tcBorders/>
            <w:shd w:fill="CEFFE7" w:val="clear"/>
            <w:vAlign w:val="center"/>
          </w:tcPr>
          <w:p>
            <w:pPr>
              <w:pStyle w:val="TableContents"/>
              <w:spacing w:before="0" w:after="0"/>
              <w:jc w:val="right"/>
              <w:rPr>
                <w:rFonts w:ascii="inherit" w:hAnsi="inherit"/>
                <w:sz w:val="15"/>
              </w:rPr>
            </w:pPr>
            <w:r>
              <w:rPr>
                <w:rFonts w:ascii="inherit" w:hAnsi="inherit"/>
                <w:sz w:val="15"/>
              </w:rPr>
              <w:t>35,917</w:t>
            </w:r>
          </w:p>
        </w:tc>
        <w:tc>
          <w:tcPr>
            <w:tcW w:w="9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12,424,196</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11,878,626</w:t>
            </w:r>
          </w:p>
        </w:tc>
        <w:tc>
          <w:tcPr>
            <w:tcW w:w="36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7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Colorado</w:t>
            </w:r>
          </w:p>
        </w:tc>
        <w:tc>
          <w:tcPr>
            <w:tcW w:w="90" w:type="dxa"/>
            <w:tcBorders/>
            <w:shd w:fill="auto" w:val="clear"/>
            <w:vAlign w:val="center"/>
          </w:tcPr>
          <w:p>
            <w:pPr>
              <w:pStyle w:val="TableContents"/>
              <w:spacing w:before="0" w:after="0"/>
              <w:ind w:left="0" w:right="0" w:firstLine="30"/>
              <w:rPr/>
            </w:pPr>
            <w:r>
              <w:rPr/>
              <w:t> </w:t>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76,471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71,398</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37,600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33,145</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13,176,925</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11,703,351</w:t>
            </w:r>
          </w:p>
        </w:tc>
        <w:tc>
          <w:tcPr>
            <w:tcW w:w="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Iowa</w:t>
            </w:r>
          </w:p>
        </w:tc>
        <w:tc>
          <w:tcPr>
            <w:tcW w:w="90" w:type="dxa"/>
            <w:tcBorders/>
            <w:shd w:fill="CEFFE7" w:val="clear"/>
            <w:vAlign w:val="center"/>
          </w:tcPr>
          <w:p>
            <w:pPr>
              <w:pStyle w:val="TableContents"/>
              <w:spacing w:before="0" w:after="0"/>
              <w:ind w:left="0" w:right="0" w:firstLine="30"/>
              <w:rPr/>
            </w:pPr>
            <w:r>
              <w:rPr/>
              <w:t> </w:t>
            </w:r>
          </w:p>
        </w:tc>
        <w:tc>
          <w:tcPr>
            <w:tcW w:w="74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65,641</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67,884</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25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23,050</w:t>
            </w:r>
          </w:p>
        </w:tc>
        <w:tc>
          <w:tcPr>
            <w:tcW w:w="9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22,426</w:t>
            </w:r>
          </w:p>
        </w:tc>
        <w:tc>
          <w:tcPr>
            <w:tcW w:w="9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15,663,687</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15,502,989</w:t>
            </w:r>
          </w:p>
        </w:tc>
        <w:tc>
          <w:tcPr>
            <w:tcW w:w="36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7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Kansas</w:t>
            </w:r>
          </w:p>
        </w:tc>
        <w:tc>
          <w:tcPr>
            <w:tcW w:w="90" w:type="dxa"/>
            <w:tcBorders/>
            <w:shd w:fill="auto" w:val="clear"/>
            <w:vAlign w:val="center"/>
          </w:tcPr>
          <w:p>
            <w:pPr>
              <w:pStyle w:val="TableContents"/>
              <w:spacing w:before="0" w:after="0"/>
              <w:ind w:left="0" w:right="0" w:firstLine="30"/>
              <w:rPr/>
            </w:pPr>
            <w:r>
              <w:rPr/>
              <w:t> </w:t>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41,217</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42,381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18,119</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17,897</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10,443,270</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10,297,328</w:t>
            </w:r>
          </w:p>
        </w:tc>
        <w:tc>
          <w:tcPr>
            <w:tcW w:w="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Nebraska</w:t>
            </w:r>
          </w:p>
        </w:tc>
        <w:tc>
          <w:tcPr>
            <w:tcW w:w="90" w:type="dxa"/>
            <w:tcBorders/>
            <w:shd w:fill="CEFFE7" w:val="clear"/>
            <w:vAlign w:val="center"/>
          </w:tcPr>
          <w:p>
            <w:pPr>
              <w:pStyle w:val="TableContents"/>
              <w:spacing w:before="0" w:after="0"/>
              <w:ind w:left="0" w:right="0" w:firstLine="30"/>
              <w:rPr/>
            </w:pPr>
            <w:r>
              <w:rPr/>
              <w:t> </w:t>
            </w:r>
          </w:p>
        </w:tc>
        <w:tc>
          <w:tcPr>
            <w:tcW w:w="74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108,797</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1"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106,761</w:t>
            </w:r>
          </w:p>
        </w:tc>
        <w:tc>
          <w:tcPr>
            <w:tcW w:w="31"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225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56,073</w:t>
            </w:r>
          </w:p>
        </w:tc>
        <w:tc>
          <w:tcPr>
            <w:tcW w:w="9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6" w:type="dxa"/>
            <w:gridSpan w:val="2"/>
            <w:tcBorders/>
            <w:shd w:fill="CEFFE7" w:val="clear"/>
            <w:vAlign w:val="center"/>
          </w:tcPr>
          <w:p>
            <w:pPr>
              <w:pStyle w:val="TableContents"/>
              <w:spacing w:before="0" w:after="0"/>
              <w:jc w:val="right"/>
              <w:rPr>
                <w:rFonts w:ascii="inherit" w:hAnsi="inherit"/>
                <w:sz w:val="15"/>
              </w:rPr>
            </w:pPr>
            <w:r>
              <w:rPr>
                <w:rFonts w:ascii="inherit" w:hAnsi="inherit"/>
                <w:sz w:val="15"/>
              </w:rPr>
              <w:t>53,860</w:t>
            </w:r>
          </w:p>
        </w:tc>
        <w:tc>
          <w:tcPr>
            <w:tcW w:w="9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28,999,018</w:t>
            </w:r>
          </w:p>
        </w:tc>
        <w:tc>
          <w:tcPr>
            <w:tcW w:w="34"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CEFFE7" w:val="clear"/>
            <w:vAlign w:val="center"/>
          </w:tcPr>
          <w:p>
            <w:pPr>
              <w:pStyle w:val="TableContents"/>
              <w:spacing w:before="0" w:after="0"/>
              <w:jc w:val="right"/>
              <w:rPr>
                <w:rFonts w:ascii="inherit" w:hAnsi="inherit"/>
                <w:sz w:val="15"/>
              </w:rPr>
            </w:pPr>
            <w:r>
              <w:rPr>
                <w:rFonts w:ascii="inherit" w:hAnsi="inherit"/>
                <w:sz w:val="15"/>
              </w:rPr>
              <w:t>27,987,224</w:t>
            </w:r>
          </w:p>
        </w:tc>
        <w:tc>
          <w:tcPr>
            <w:tcW w:w="36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7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Wyoming</w:t>
            </w:r>
          </w:p>
        </w:tc>
        <w:tc>
          <w:tcPr>
            <w:tcW w:w="90" w:type="dxa"/>
            <w:tcBorders/>
            <w:shd w:fill="auto" w:val="clear"/>
            <w:vAlign w:val="center"/>
          </w:tcPr>
          <w:p>
            <w:pPr>
              <w:pStyle w:val="TableContents"/>
              <w:spacing w:before="0" w:after="0"/>
              <w:ind w:left="0" w:right="0" w:firstLine="30"/>
              <w:rPr/>
            </w:pPr>
            <w:r>
              <w:rPr/>
              <w:t> </w:t>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39,563</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38,532</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24,677</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24,414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14,620,457</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shd w:fill="auto" w:val="clear"/>
            <w:vAlign w:val="center"/>
          </w:tcPr>
          <w:p>
            <w:pPr>
              <w:pStyle w:val="TableContents"/>
              <w:spacing w:before="0" w:after="0"/>
              <w:jc w:val="right"/>
              <w:rPr>
                <w:rFonts w:ascii="inherit" w:hAnsi="inherit"/>
                <w:sz w:val="15"/>
              </w:rPr>
            </w:pPr>
            <w:r>
              <w:rPr>
                <w:rFonts w:ascii="inherit" w:hAnsi="inherit"/>
                <w:sz w:val="15"/>
              </w:rPr>
              <w:t>12,592,932</w:t>
            </w:r>
          </w:p>
        </w:tc>
        <w:tc>
          <w:tcPr>
            <w:tcW w:w="36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376" w:type="dxa"/>
            <w:tcBorders/>
            <w:shd w:fill="CEFFE7" w:val="clear"/>
            <w:vAlign w:val="center"/>
          </w:tcPr>
          <w:p>
            <w:pPr>
              <w:pStyle w:val="TableContents"/>
              <w:spacing w:before="0" w:after="0"/>
              <w:ind w:left="0" w:right="0" w:firstLine="30"/>
              <w:jc w:val="left"/>
              <w:rPr>
                <w:rFonts w:ascii="inherit" w:hAnsi="inherit"/>
                <w:sz w:val="15"/>
              </w:rPr>
            </w:pPr>
            <w:r>
              <w:rPr>
                <w:rFonts w:ascii="inherit" w:hAnsi="inherit"/>
                <w:sz w:val="15"/>
              </w:rPr>
              <w:t>Total Gas Revenue &amp; Gross Margin (non-GAAP)</w:t>
            </w:r>
          </w:p>
        </w:tc>
        <w:tc>
          <w:tcPr>
            <w:tcW w:w="90" w:type="dxa"/>
            <w:tcBorders/>
            <w:shd w:fill="CEFFE7" w:val="clear"/>
            <w:vAlign w:val="center"/>
          </w:tcPr>
          <w:p>
            <w:pPr>
              <w:pStyle w:val="TableContents"/>
              <w:spacing w:before="0" w:after="0"/>
              <w:ind w:left="0" w:right="0" w:firstLine="30"/>
              <w:rPr/>
            </w:pPr>
            <w:r>
              <w:rPr/>
              <w:t> </w:t>
            </w:r>
          </w:p>
        </w:tc>
        <w:tc>
          <w:tcPr>
            <w:tcW w:w="11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411,080</w:t>
            </w:r>
          </w:p>
        </w:tc>
        <w:tc>
          <w:tcPr>
            <w:tcW w:w="3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397,344</w:t>
            </w:r>
          </w:p>
        </w:tc>
        <w:tc>
          <w:tcPr>
            <w:tcW w:w="31"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34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9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203,801</w:t>
            </w:r>
          </w:p>
        </w:tc>
        <w:tc>
          <w:tcPr>
            <w:tcW w:w="9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46"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91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187,659</w:t>
            </w:r>
          </w:p>
        </w:tc>
        <w:tc>
          <w:tcPr>
            <w:tcW w:w="9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5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95,327,553</w:t>
            </w:r>
          </w:p>
        </w:tc>
        <w:tc>
          <w:tcPr>
            <w:tcW w:w="34"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89,962,450</w:t>
            </w:r>
          </w:p>
        </w:tc>
        <w:tc>
          <w:tcPr>
            <w:tcW w:w="369"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3"/>
        </w:rPr>
      </w:pPr>
      <w:r>
        <w:rPr>
          <w:rFonts w:ascii="inherit" w:hAnsi="inherit"/>
          <w:sz w:val="13"/>
        </w:rPr>
      </w:r>
    </w:p>
    <w:tbl>
      <w:tblPr>
        <w:tblW w:w="90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tbl>
      <w:tblPr>
        <w:tblW w:w="8205" w:type="dxa"/>
        <w:jc w:val="center"/>
        <w:tblInd w:w="0" w:type="dxa"/>
        <w:tblCellMar>
          <w:top w:w="0" w:type="dxa"/>
          <w:left w:w="0" w:type="dxa"/>
          <w:bottom w:w="0" w:type="dxa"/>
          <w:right w:w="0" w:type="dxa"/>
        </w:tblCellMar>
      </w:tblPr>
      <w:tblGrid>
        <w:gridCol w:w="1835"/>
        <w:gridCol w:w="575"/>
        <w:gridCol w:w="90"/>
        <w:gridCol w:w="1115"/>
        <w:gridCol w:w="90"/>
        <w:gridCol w:w="2465"/>
        <w:gridCol w:w="90"/>
        <w:gridCol w:w="575"/>
        <w:gridCol w:w="90"/>
        <w:gridCol w:w="1280"/>
      </w:tblGrid>
      <w:tr>
        <w:trPr/>
        <w:tc>
          <w:tcPr>
            <w:tcW w:w="8205" w:type="dxa"/>
            <w:gridSpan w:val="10"/>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35" w:type="dxa"/>
            <w:tcBorders/>
            <w:shd w:fill="auto" w:val="clear"/>
            <w:vAlign w:val="center"/>
          </w:tcPr>
          <w:p>
            <w:pPr>
              <w:pStyle w:val="TableContents"/>
              <w:spacing w:before="0" w:after="0"/>
              <w:ind w:left="0" w:right="0" w:firstLine="30"/>
              <w:rPr/>
            </w:pPr>
            <w:r>
              <w:rPr/>
              <w:t> </w:t>
            </w:r>
          </w:p>
        </w:tc>
        <w:tc>
          <w:tcPr>
            <w:tcW w:w="6370"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1835" w:type="dxa"/>
            <w:tcBorders/>
            <w:shd w:fill="auto" w:val="clear"/>
            <w:vAlign w:val="center"/>
          </w:tcPr>
          <w:p>
            <w:pPr>
              <w:pStyle w:val="TableContents"/>
              <w:spacing w:before="0" w:after="0"/>
              <w:ind w:left="0" w:right="0" w:firstLine="30"/>
              <w:rPr/>
            </w:pPr>
            <w:r>
              <w:rPr/>
              <w:t> </w:t>
            </w:r>
          </w:p>
        </w:tc>
        <w:tc>
          <w:tcPr>
            <w:tcW w:w="17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6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9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18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Heating Degree Days</w:t>
            </w:r>
          </w:p>
        </w:tc>
        <w:tc>
          <w:tcPr>
            <w:tcW w:w="5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Actual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1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Variance</w:t>
            </w:r>
          </w:p>
          <w:p>
            <w:pPr>
              <w:pStyle w:val="TableContents"/>
              <w:spacing w:before="0" w:after="0"/>
              <w:ind w:left="0" w:right="0" w:firstLine="30"/>
              <w:jc w:val="center"/>
              <w:rPr>
                <w:rFonts w:ascii="inherit" w:hAnsi="inherit"/>
                <w:sz w:val="17"/>
              </w:rPr>
            </w:pPr>
            <w:r>
              <w:rPr>
                <w:rFonts w:ascii="inherit" w:hAnsi="inherit"/>
                <w:sz w:val="17"/>
              </w:rPr>
              <w:t>from Normal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Actual Variance to Prior Year</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Actual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Variance</w:t>
            </w:r>
          </w:p>
          <w:p>
            <w:pPr>
              <w:pStyle w:val="TableContents"/>
              <w:spacing w:before="0" w:after="0"/>
              <w:ind w:left="0" w:right="0" w:firstLine="180"/>
              <w:jc w:val="center"/>
              <w:rPr>
                <w:rFonts w:ascii="inherit" w:hAnsi="inherit"/>
                <w:sz w:val="17"/>
              </w:rPr>
            </w:pPr>
            <w:r>
              <w:rPr>
                <w:rFonts w:ascii="inherit" w:hAnsi="inherit"/>
                <w:sz w:val="17"/>
              </w:rPr>
              <w:t>from Normal</w:t>
            </w:r>
          </w:p>
        </w:tc>
      </w:tr>
      <w:tr>
        <w:trPr/>
        <w:tc>
          <w:tcPr>
            <w:tcW w:w="183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Arkansas </w:t>
            </w:r>
            <w:r>
              <w:rPr>
                <w:rFonts w:ascii="inherit" w:hAnsi="inherit"/>
                <w:sz w:val="12"/>
              </w:rPr>
              <w:t>(a)</w:t>
            </w:r>
          </w:p>
        </w:tc>
        <w:tc>
          <w:tcPr>
            <w:tcW w:w="575" w:type="dxa"/>
            <w:tcBorders>
              <w:top w:val="single" w:sz="2" w:space="0" w:color="000000"/>
            </w:tcBorders>
            <w:shd w:fill="CEFFE7"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2,101</w:t>
            </w:r>
          </w:p>
        </w:tc>
        <w:tc>
          <w:tcPr>
            <w:tcW w:w="90" w:type="dxa"/>
            <w:tcBorders/>
            <w:shd w:fill="CEFFE7" w:val="clear"/>
            <w:vAlign w:val="center"/>
          </w:tcPr>
          <w:p>
            <w:pPr>
              <w:pStyle w:val="TableContents"/>
              <w:spacing w:before="0" w:after="0"/>
              <w:ind w:left="0" w:right="0" w:firstLine="30"/>
              <w:rPr/>
            </w:pPr>
            <w:r>
              <w:rPr/>
              <w:t> </w:t>
            </w:r>
          </w:p>
        </w:tc>
        <w:tc>
          <w:tcPr>
            <w:tcW w:w="1115" w:type="dxa"/>
            <w:tcBorders>
              <w:top w:val="single" w:sz="2" w:space="0" w:color="000000"/>
            </w:tcBorders>
            <w:shd w:fill="CEFFE7" w:val="clear"/>
            <w:tcMar>
              <w:top w:w="30" w:type="dxa"/>
            </w:tcMar>
            <w:vAlign w:val="center"/>
          </w:tcPr>
          <w:p>
            <w:pPr>
              <w:pStyle w:val="TableContents"/>
              <w:spacing w:before="0" w:after="0"/>
              <w:ind w:left="0" w:right="0" w:firstLine="30"/>
              <w:jc w:val="center"/>
              <w:rPr/>
            </w:pPr>
            <w:r>
              <w:rPr/>
              <w:t>—</w:t>
            </w: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246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c>
          <w:tcPr>
            <w:tcW w:w="90" w:type="dxa"/>
            <w:tcBorders/>
            <w:shd w:fill="CEFFE7" w:val="clear"/>
            <w:vAlign w:val="center"/>
          </w:tcPr>
          <w:p>
            <w:pPr>
              <w:pStyle w:val="TableContents"/>
              <w:spacing w:before="0" w:after="0"/>
              <w:ind w:left="0" w:right="0" w:firstLine="30"/>
              <w:rPr/>
            </w:pPr>
            <w:r>
              <w:rPr/>
              <w:t> </w:t>
            </w:r>
          </w:p>
        </w:tc>
        <w:tc>
          <w:tcPr>
            <w:tcW w:w="575" w:type="dxa"/>
            <w:tcBorders>
              <w:top w:val="single" w:sz="2" w:space="0" w:color="000000"/>
            </w:tcBorders>
            <w:shd w:fill="CEFFE7"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2,048</w:t>
            </w:r>
          </w:p>
        </w:tc>
        <w:tc>
          <w:tcPr>
            <w:tcW w:w="90" w:type="dxa"/>
            <w:tcBorders/>
            <w:shd w:fill="CEFFE7" w:val="clear"/>
            <w:vAlign w:val="center"/>
          </w:tcPr>
          <w:p>
            <w:pPr>
              <w:pStyle w:val="TableContents"/>
              <w:spacing w:before="0" w:after="0"/>
              <w:ind w:left="0" w:right="0" w:firstLine="30"/>
              <w:rPr/>
            </w:pPr>
            <w:r>
              <w:rPr/>
              <w:t> </w:t>
            </w:r>
          </w:p>
        </w:tc>
        <w:tc>
          <w:tcPr>
            <w:tcW w:w="1280" w:type="dxa"/>
            <w:tcBorders>
              <w:top w:val="single" w:sz="2" w:space="0" w:color="000000"/>
            </w:tcBorders>
            <w:shd w:fill="CEFFE7" w:val="clear"/>
            <w:tcMar>
              <w:top w:w="30" w:type="dxa"/>
            </w:tcMar>
            <w:vAlign w:val="center"/>
          </w:tcPr>
          <w:p>
            <w:pPr>
              <w:pStyle w:val="TableContents"/>
              <w:spacing w:before="0" w:after="0"/>
              <w:ind w:left="0" w:right="0" w:firstLine="180"/>
              <w:jc w:val="center"/>
              <w:rPr>
                <w:rFonts w:ascii="inherit" w:hAnsi="inherit"/>
                <w:sz w:val="17"/>
              </w:rPr>
            </w:pPr>
            <w:r>
              <w:rPr>
                <w:rFonts w:ascii="inherit" w:hAnsi="inherit"/>
                <w:sz w:val="17"/>
              </w:rPr>
              <w:t>(3)%</w:t>
            </w:r>
          </w:p>
        </w:tc>
      </w:tr>
      <w:tr>
        <w:trPr/>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Colorado</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3,030</w:t>
            </w:r>
          </w:p>
        </w:tc>
        <w:tc>
          <w:tcPr>
            <w:tcW w:w="90"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c>
          <w:tcPr>
            <w:tcW w:w="90" w:type="dxa"/>
            <w:tcBorders/>
            <w:shd w:fill="auto" w:val="clear"/>
            <w:vAlign w:val="center"/>
          </w:tcPr>
          <w:p>
            <w:pPr>
              <w:pStyle w:val="TableContents"/>
              <w:spacing w:before="0" w:after="0"/>
              <w:ind w:left="0" w:right="0" w:firstLine="30"/>
              <w:rPr/>
            </w:pPr>
            <w:r>
              <w:rPr/>
              <w:t> </w:t>
            </w:r>
          </w:p>
        </w:tc>
        <w:tc>
          <w:tcPr>
            <w:tcW w:w="24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c>
          <w:tcPr>
            <w:tcW w:w="90" w:type="dxa"/>
            <w:tcBorders/>
            <w:shd w:fill="auto" w:val="clear"/>
            <w:vAlign w:val="center"/>
          </w:tcPr>
          <w:p>
            <w:pPr>
              <w:pStyle w:val="TableContents"/>
              <w:spacing w:before="0" w:after="0"/>
              <w:ind w:left="0" w:right="0" w:firstLine="30"/>
              <w:rPr/>
            </w:pPr>
            <w:r>
              <w:rPr/>
              <w:t> </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2,704</w:t>
            </w:r>
          </w:p>
        </w:tc>
        <w:tc>
          <w:tcPr>
            <w:tcW w:w="90" w:type="dxa"/>
            <w:tcBorders/>
            <w:shd w:fill="auto" w:val="clear"/>
            <w:vAlign w:val="center"/>
          </w:tcPr>
          <w:p>
            <w:pPr>
              <w:pStyle w:val="TableContents"/>
              <w:spacing w:before="0" w:after="0"/>
              <w:ind w:left="0" w:right="0" w:firstLine="30"/>
              <w:rPr/>
            </w:pPr>
            <w:r>
              <w:rPr/>
              <w:t> </w:t>
            </w:r>
          </w:p>
        </w:tc>
        <w:tc>
          <w:tcPr>
            <w:tcW w:w="128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(8)%</w:t>
            </w:r>
          </w:p>
        </w:tc>
      </w:tr>
      <w:tr>
        <w:trPr/>
        <w:tc>
          <w:tcPr>
            <w:tcW w:w="183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Iowa</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3,830</w:t>
            </w:r>
          </w:p>
        </w:tc>
        <w:tc>
          <w:tcPr>
            <w:tcW w:w="90" w:type="dxa"/>
            <w:tcBorders/>
            <w:shd w:fill="CEFFE7" w:val="clear"/>
            <w:vAlign w:val="center"/>
          </w:tcPr>
          <w:p>
            <w:pPr>
              <w:pStyle w:val="TableContents"/>
              <w:spacing w:before="0" w:after="0"/>
              <w:ind w:left="0" w:right="0" w:firstLine="30"/>
              <w:rPr/>
            </w:pPr>
            <w:r>
              <w:rPr/>
              <w:t> </w:t>
            </w:r>
          </w:p>
        </w:tc>
        <w:tc>
          <w:tcPr>
            <w:tcW w:w="111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14%</w:t>
            </w:r>
          </w:p>
        </w:tc>
        <w:tc>
          <w:tcPr>
            <w:tcW w:w="90" w:type="dxa"/>
            <w:tcBorders/>
            <w:shd w:fill="CEFFE7" w:val="clear"/>
            <w:vAlign w:val="center"/>
          </w:tcPr>
          <w:p>
            <w:pPr>
              <w:pStyle w:val="TableContents"/>
              <w:spacing w:before="0" w:after="0"/>
              <w:ind w:left="0" w:right="0" w:firstLine="30"/>
              <w:rPr/>
            </w:pPr>
            <w:r>
              <w:rPr/>
              <w:t> </w:t>
            </w:r>
          </w:p>
        </w:tc>
        <w:tc>
          <w:tcPr>
            <w:tcW w:w="246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8%</w:t>
            </w:r>
          </w:p>
        </w:tc>
        <w:tc>
          <w:tcPr>
            <w:tcW w:w="90" w:type="dxa"/>
            <w:tcBorders/>
            <w:shd w:fill="CEFFE7" w:val="clear"/>
            <w:vAlign w:val="center"/>
          </w:tcPr>
          <w:p>
            <w:pPr>
              <w:pStyle w:val="TableContents"/>
              <w:spacing w:before="0" w:after="0"/>
              <w:ind w:left="0" w:right="0" w:firstLine="30"/>
              <w:rPr/>
            </w:pPr>
            <w:r>
              <w:rPr/>
              <w:t> </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3,531</w:t>
            </w:r>
          </w:p>
        </w:tc>
        <w:tc>
          <w:tcPr>
            <w:tcW w:w="90" w:type="dxa"/>
            <w:tcBorders/>
            <w:shd w:fill="CEFFE7" w:val="clear"/>
            <w:vAlign w:val="center"/>
          </w:tcPr>
          <w:p>
            <w:pPr>
              <w:pStyle w:val="TableContents"/>
              <w:spacing w:before="0" w:after="0"/>
              <w:ind w:left="0" w:right="0" w:firstLine="30"/>
              <w:rPr/>
            </w:pPr>
            <w:r>
              <w:rPr/>
              <w:t> </w:t>
            </w:r>
          </w:p>
        </w:tc>
        <w:tc>
          <w:tcPr>
            <w:tcW w:w="1280" w:type="dxa"/>
            <w:tcBorders/>
            <w:shd w:fill="CEFFE7" w:val="clear"/>
            <w:vAlign w:val="center"/>
          </w:tcPr>
          <w:p>
            <w:pPr>
              <w:pStyle w:val="TableContents"/>
              <w:spacing w:before="0" w:after="0"/>
              <w:ind w:left="0" w:right="0" w:firstLine="180"/>
              <w:jc w:val="center"/>
              <w:rPr>
                <w:rFonts w:ascii="inherit" w:hAnsi="inherit"/>
                <w:sz w:val="17"/>
              </w:rPr>
            </w:pPr>
            <w:r>
              <w:rPr>
                <w:rFonts w:ascii="inherit" w:hAnsi="inherit"/>
                <w:sz w:val="17"/>
              </w:rPr>
              <w:t>5%</w:t>
            </w:r>
          </w:p>
        </w:tc>
      </w:tr>
      <w:tr>
        <w:trPr/>
        <w:tc>
          <w:tcPr>
            <w:tcW w:w="183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Kansas </w:t>
            </w:r>
            <w:r>
              <w:rPr>
                <w:rFonts w:ascii="inherit" w:hAnsi="inherit"/>
                <w:sz w:val="12"/>
              </w:rPr>
              <w:t>(a)</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2,779</w:t>
            </w:r>
          </w:p>
        </w:tc>
        <w:tc>
          <w:tcPr>
            <w:tcW w:w="90"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13%</w:t>
            </w:r>
          </w:p>
        </w:tc>
        <w:tc>
          <w:tcPr>
            <w:tcW w:w="90" w:type="dxa"/>
            <w:tcBorders/>
            <w:shd w:fill="auto" w:val="clear"/>
            <w:vAlign w:val="center"/>
          </w:tcPr>
          <w:p>
            <w:pPr>
              <w:pStyle w:val="TableContents"/>
              <w:spacing w:before="0" w:after="0"/>
              <w:ind w:left="0" w:right="0" w:firstLine="30"/>
              <w:rPr/>
            </w:pPr>
            <w:r>
              <w:rPr/>
              <w:t> </w:t>
            </w:r>
          </w:p>
        </w:tc>
        <w:tc>
          <w:tcPr>
            <w:tcW w:w="24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13%</w:t>
            </w:r>
          </w:p>
        </w:tc>
        <w:tc>
          <w:tcPr>
            <w:tcW w:w="90" w:type="dxa"/>
            <w:tcBorders/>
            <w:shd w:fill="auto" w:val="clear"/>
            <w:vAlign w:val="center"/>
          </w:tcPr>
          <w:p>
            <w:pPr>
              <w:pStyle w:val="TableContents"/>
              <w:spacing w:before="0" w:after="0"/>
              <w:ind w:left="0" w:right="0" w:firstLine="30"/>
              <w:rPr/>
            </w:pPr>
            <w:r>
              <w:rPr/>
              <w:t> </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2,470</w:t>
            </w:r>
          </w:p>
        </w:tc>
        <w:tc>
          <w:tcPr>
            <w:tcW w:w="90" w:type="dxa"/>
            <w:tcBorders/>
            <w:shd w:fill="auto" w:val="clear"/>
            <w:vAlign w:val="center"/>
          </w:tcPr>
          <w:p>
            <w:pPr>
              <w:pStyle w:val="TableContents"/>
              <w:spacing w:before="0" w:after="0"/>
              <w:ind w:left="0" w:right="0" w:firstLine="30"/>
              <w:rPr/>
            </w:pPr>
            <w:r>
              <w:rPr/>
              <w:t> </w:t>
            </w:r>
          </w:p>
        </w:tc>
        <w:tc>
          <w:tcPr>
            <w:tcW w:w="1280" w:type="dxa"/>
            <w:tcBorders/>
            <w:shd w:fill="auto" w:val="clear"/>
            <w:vAlign w:val="center"/>
          </w:tcPr>
          <w:p>
            <w:pPr>
              <w:pStyle w:val="TableContents"/>
              <w:spacing w:before="0" w:after="0"/>
              <w:ind w:left="0" w:right="0" w:firstLine="180"/>
              <w:jc w:val="center"/>
              <w:rPr/>
            </w:pPr>
            <w:r>
              <w:rPr/>
              <w:t>—</w:t>
            </w:r>
            <w:r>
              <w:rPr>
                <w:rFonts w:ascii="inherit" w:hAnsi="inherit"/>
                <w:sz w:val="17"/>
              </w:rPr>
              <w:t>%</w:t>
            </w:r>
          </w:p>
        </w:tc>
      </w:tr>
      <w:tr>
        <w:trPr/>
        <w:tc>
          <w:tcPr>
            <w:tcW w:w="183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Nebraska</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3,483</w:t>
            </w:r>
          </w:p>
        </w:tc>
        <w:tc>
          <w:tcPr>
            <w:tcW w:w="90" w:type="dxa"/>
            <w:tcBorders/>
            <w:shd w:fill="CEFFE7" w:val="clear"/>
            <w:vAlign w:val="center"/>
          </w:tcPr>
          <w:p>
            <w:pPr>
              <w:pStyle w:val="TableContents"/>
              <w:spacing w:before="0" w:after="0"/>
              <w:ind w:left="0" w:right="0" w:firstLine="30"/>
              <w:rPr/>
            </w:pPr>
            <w:r>
              <w:rPr/>
              <w:t> </w:t>
            </w:r>
          </w:p>
        </w:tc>
        <w:tc>
          <w:tcPr>
            <w:tcW w:w="111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15%</w:t>
            </w:r>
          </w:p>
        </w:tc>
        <w:tc>
          <w:tcPr>
            <w:tcW w:w="90" w:type="dxa"/>
            <w:tcBorders/>
            <w:shd w:fill="CEFFE7" w:val="clear"/>
            <w:vAlign w:val="center"/>
          </w:tcPr>
          <w:p>
            <w:pPr>
              <w:pStyle w:val="TableContents"/>
              <w:spacing w:before="0" w:after="0"/>
              <w:ind w:left="0" w:right="0" w:firstLine="30"/>
              <w:rPr/>
            </w:pPr>
            <w:r>
              <w:rPr/>
              <w:t> </w:t>
            </w:r>
          </w:p>
        </w:tc>
        <w:tc>
          <w:tcPr>
            <w:tcW w:w="246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9%</w:t>
            </w:r>
          </w:p>
        </w:tc>
        <w:tc>
          <w:tcPr>
            <w:tcW w:w="90" w:type="dxa"/>
            <w:tcBorders/>
            <w:shd w:fill="CEFFE7" w:val="clear"/>
            <w:vAlign w:val="center"/>
          </w:tcPr>
          <w:p>
            <w:pPr>
              <w:pStyle w:val="TableContents"/>
              <w:spacing w:before="0" w:after="0"/>
              <w:ind w:left="0" w:right="0" w:firstLine="30"/>
              <w:rPr/>
            </w:pPr>
            <w:r>
              <w:rPr/>
              <w:t> </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3,207</w:t>
            </w:r>
          </w:p>
        </w:tc>
        <w:tc>
          <w:tcPr>
            <w:tcW w:w="90" w:type="dxa"/>
            <w:tcBorders/>
            <w:shd w:fill="CEFFE7" w:val="clear"/>
            <w:vAlign w:val="center"/>
          </w:tcPr>
          <w:p>
            <w:pPr>
              <w:pStyle w:val="TableContents"/>
              <w:spacing w:before="0" w:after="0"/>
              <w:ind w:left="0" w:right="0" w:firstLine="30"/>
              <w:rPr/>
            </w:pPr>
            <w:r>
              <w:rPr/>
              <w:t> </w:t>
            </w:r>
          </w:p>
        </w:tc>
        <w:tc>
          <w:tcPr>
            <w:tcW w:w="1280" w:type="dxa"/>
            <w:tcBorders/>
            <w:shd w:fill="CEFFE7" w:val="clear"/>
            <w:vAlign w:val="center"/>
          </w:tcPr>
          <w:p>
            <w:pPr>
              <w:pStyle w:val="TableContents"/>
              <w:spacing w:before="0" w:after="0"/>
              <w:ind w:left="0" w:right="0" w:firstLine="180"/>
              <w:jc w:val="center"/>
              <w:rPr>
                <w:rFonts w:ascii="inherit" w:hAnsi="inherit"/>
                <w:sz w:val="17"/>
              </w:rPr>
            </w:pPr>
            <w:r>
              <w:rPr>
                <w:rFonts w:ascii="inherit" w:hAnsi="inherit"/>
                <w:sz w:val="17"/>
              </w:rPr>
              <w:t>6%</w:t>
            </w:r>
          </w:p>
        </w:tc>
      </w:tr>
      <w:tr>
        <w:trPr/>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Wyoming</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3,513</w:t>
            </w:r>
          </w:p>
        </w:tc>
        <w:tc>
          <w:tcPr>
            <w:tcW w:w="90" w:type="dxa"/>
            <w:tcBorders/>
            <w:shd w:fill="auto" w:val="clear"/>
            <w:vAlign w:val="center"/>
          </w:tcPr>
          <w:p>
            <w:pPr>
              <w:pStyle w:val="TableContents"/>
              <w:spacing w:before="0" w:after="0"/>
              <w:ind w:left="0" w:right="0" w:firstLine="30"/>
              <w:rPr/>
            </w:pPr>
            <w:r>
              <w:rPr/>
              <w:t> </w:t>
            </w:r>
          </w:p>
        </w:tc>
        <w:tc>
          <w:tcPr>
            <w:tcW w:w="11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w:t>
            </w:r>
          </w:p>
        </w:tc>
        <w:tc>
          <w:tcPr>
            <w:tcW w:w="90" w:type="dxa"/>
            <w:tcBorders/>
            <w:shd w:fill="auto" w:val="clear"/>
            <w:vAlign w:val="center"/>
          </w:tcPr>
          <w:p>
            <w:pPr>
              <w:pStyle w:val="TableContents"/>
              <w:spacing w:before="0" w:after="0"/>
              <w:ind w:left="0" w:right="0" w:firstLine="30"/>
              <w:rPr/>
            </w:pPr>
            <w:r>
              <w:rPr/>
              <w:t> </w:t>
            </w:r>
          </w:p>
        </w:tc>
        <w:tc>
          <w:tcPr>
            <w:tcW w:w="24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w:t>
            </w:r>
          </w:p>
        </w:tc>
        <w:tc>
          <w:tcPr>
            <w:tcW w:w="90" w:type="dxa"/>
            <w:tcBorders/>
            <w:shd w:fill="auto" w:val="clear"/>
            <w:vAlign w:val="center"/>
          </w:tcPr>
          <w:p>
            <w:pPr>
              <w:pStyle w:val="TableContents"/>
              <w:spacing w:before="0" w:after="0"/>
              <w:ind w:left="0" w:right="0" w:firstLine="30"/>
              <w:rPr/>
            </w:pPr>
            <w:r>
              <w:rPr/>
              <w:t> </w:t>
            </w:r>
          </w:p>
        </w:tc>
        <w:tc>
          <w:tcPr>
            <w:tcW w:w="5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3,244</w:t>
            </w:r>
          </w:p>
        </w:tc>
        <w:tc>
          <w:tcPr>
            <w:tcW w:w="90" w:type="dxa"/>
            <w:tcBorders/>
            <w:shd w:fill="auto" w:val="clear"/>
            <w:vAlign w:val="center"/>
          </w:tcPr>
          <w:p>
            <w:pPr>
              <w:pStyle w:val="TableContents"/>
              <w:spacing w:before="0" w:after="0"/>
              <w:ind w:left="0" w:right="0" w:firstLine="30"/>
              <w:rPr/>
            </w:pPr>
            <w:r>
              <w:rPr/>
              <w:t> </w:t>
            </w:r>
          </w:p>
        </w:tc>
        <w:tc>
          <w:tcPr>
            <w:tcW w:w="128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w:t>
            </w:r>
          </w:p>
        </w:tc>
      </w:tr>
      <w:tr>
        <w:trPr/>
        <w:tc>
          <w:tcPr>
            <w:tcW w:w="183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Combined </w:t>
            </w:r>
            <w:r>
              <w:rPr>
                <w:rFonts w:ascii="inherit" w:hAnsi="inherit"/>
                <w:sz w:val="12"/>
              </w:rPr>
              <w:t>(b)</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3,449</w:t>
            </w:r>
          </w:p>
        </w:tc>
        <w:tc>
          <w:tcPr>
            <w:tcW w:w="90" w:type="dxa"/>
            <w:tcBorders/>
            <w:shd w:fill="CEFFE7" w:val="clear"/>
            <w:vAlign w:val="center"/>
          </w:tcPr>
          <w:p>
            <w:pPr>
              <w:pStyle w:val="TableContents"/>
              <w:spacing w:before="0" w:after="0"/>
              <w:ind w:left="0" w:right="0" w:firstLine="30"/>
              <w:rPr/>
            </w:pPr>
            <w:r>
              <w:rPr/>
              <w:t> </w:t>
            </w:r>
          </w:p>
        </w:tc>
        <w:tc>
          <w:tcPr>
            <w:tcW w:w="111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11%</w:t>
            </w:r>
          </w:p>
        </w:tc>
        <w:tc>
          <w:tcPr>
            <w:tcW w:w="90" w:type="dxa"/>
            <w:tcBorders/>
            <w:shd w:fill="CEFFE7" w:val="clear"/>
            <w:vAlign w:val="center"/>
          </w:tcPr>
          <w:p>
            <w:pPr>
              <w:pStyle w:val="TableContents"/>
              <w:spacing w:before="0" w:after="0"/>
              <w:ind w:left="0" w:right="0" w:firstLine="30"/>
              <w:rPr/>
            </w:pPr>
            <w:r>
              <w:rPr/>
              <w:t> </w:t>
            </w:r>
          </w:p>
        </w:tc>
        <w:tc>
          <w:tcPr>
            <w:tcW w:w="246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9%</w:t>
            </w:r>
          </w:p>
        </w:tc>
        <w:tc>
          <w:tcPr>
            <w:tcW w:w="90" w:type="dxa"/>
            <w:tcBorders/>
            <w:shd w:fill="CEFFE7" w:val="clear"/>
            <w:vAlign w:val="center"/>
          </w:tcPr>
          <w:p>
            <w:pPr>
              <w:pStyle w:val="TableContents"/>
              <w:spacing w:before="0" w:after="0"/>
              <w:ind w:left="0" w:right="0" w:firstLine="30"/>
              <w:rPr/>
            </w:pPr>
            <w:r>
              <w:rPr/>
              <w:t> </w:t>
            </w:r>
          </w:p>
        </w:tc>
        <w:tc>
          <w:tcPr>
            <w:tcW w:w="57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3,159</w:t>
            </w:r>
          </w:p>
        </w:tc>
        <w:tc>
          <w:tcPr>
            <w:tcW w:w="90" w:type="dxa"/>
            <w:tcBorders/>
            <w:shd w:fill="CEFFE7" w:val="clear"/>
            <w:vAlign w:val="center"/>
          </w:tcPr>
          <w:p>
            <w:pPr>
              <w:pStyle w:val="TableContents"/>
              <w:spacing w:before="0" w:after="0"/>
              <w:ind w:left="0" w:right="0" w:firstLine="30"/>
              <w:rPr/>
            </w:pPr>
            <w:r>
              <w:rPr/>
              <w:t> </w:t>
            </w:r>
          </w:p>
        </w:tc>
        <w:tc>
          <w:tcPr>
            <w:tcW w:w="1280" w:type="dxa"/>
            <w:tcBorders/>
            <w:shd w:fill="CEFFE7" w:val="clear"/>
            <w:vAlign w:val="center"/>
          </w:tcPr>
          <w:p>
            <w:pPr>
              <w:pStyle w:val="TableContents"/>
              <w:spacing w:before="0" w:after="0"/>
              <w:jc w:val="center"/>
              <w:rPr>
                <w:rFonts w:ascii="inherit" w:hAnsi="inherit"/>
                <w:sz w:val="17"/>
              </w:rPr>
            </w:pPr>
            <w:r>
              <w:rPr>
                <w:rFonts w:ascii="inherit" w:hAnsi="inherit"/>
                <w:sz w:val="17"/>
              </w:rPr>
              <w:t>2%</w:t>
            </w:r>
          </w:p>
        </w:tc>
      </w:tr>
    </w:tbl>
    <w:p>
      <w:pPr>
        <w:pStyle w:val="TextBody"/>
        <w:spacing w:lineRule="auto" w:line="240" w:before="0" w:after="0"/>
        <w:jc w:val="left"/>
        <w:rPr>
          <w:rFonts w:ascii="inherit" w:hAnsi="inherit"/>
          <w:sz w:val="17"/>
        </w:rPr>
      </w:pPr>
      <w:r>
        <w:rPr>
          <w:rFonts w:ascii="inherit" w:hAnsi="inherit"/>
          <w:sz w:val="17"/>
        </w:rPr>
        <w:t>__________</w:t>
      </w:r>
    </w:p>
    <w:tbl>
      <w:tblPr>
        <w:tblW w:w="8785" w:type="dxa"/>
        <w:jc w:val="left"/>
        <w:tblInd w:w="0" w:type="dxa"/>
        <w:tblCellMar>
          <w:top w:w="0" w:type="dxa"/>
          <w:left w:w="0" w:type="dxa"/>
          <w:bottom w:w="0" w:type="dxa"/>
          <w:right w:w="0" w:type="dxa"/>
        </w:tblCellMar>
      </w:tblPr>
      <w:tblGrid>
        <w:gridCol w:w="245"/>
        <w:gridCol w:w="8540"/>
      </w:tblGrid>
      <w:tr>
        <w:trPr/>
        <w:tc>
          <w:tcPr>
            <w:tcW w:w="245" w:type="dxa"/>
            <w:tcBorders/>
            <w:shd w:fill="auto" w:val="clear"/>
            <w:vAlign w:val="center"/>
          </w:tcPr>
          <w:p>
            <w:pPr>
              <w:pStyle w:val="TableContents"/>
              <w:spacing w:before="0" w:after="283"/>
              <w:rPr>
                <w:sz w:val="4"/>
                <w:szCs w:val="4"/>
              </w:rPr>
            </w:pPr>
            <w:r>
              <w:rPr>
                <w:sz w:val="4"/>
                <w:szCs w:val="4"/>
              </w:rPr>
            </w:r>
          </w:p>
        </w:tc>
        <w:tc>
          <w:tcPr>
            <w:tcW w:w="854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854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Arkansas and Kansas have weather normalization mechanisms that mitigate the weather impact on gross margins.</w:t>
            </w:r>
          </w:p>
        </w:tc>
      </w:tr>
    </w:tbl>
    <w:p>
      <w:pPr>
        <w:pStyle w:val="TextBody"/>
        <w:spacing w:lineRule="auto" w:line="288" w:before="0" w:after="0"/>
        <w:ind w:left="0" w:right="0" w:hanging="360"/>
        <w:jc w:val="left"/>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4"/>
                <w:szCs w:val="4"/>
              </w:rPr>
            </w:pPr>
            <w:r>
              <w:rPr>
                <w:sz w:val="4"/>
                <w:szCs w:val="4"/>
              </w:rPr>
            </w:r>
          </w:p>
        </w:tc>
        <w:tc>
          <w:tcPr>
            <w:tcW w:w="9993" w:type="dxa"/>
            <w:tcBorders/>
            <w:shd w:fill="auto" w:val="clear"/>
            <w:vAlign w:val="center"/>
          </w:tcPr>
          <w:p>
            <w:pPr>
              <w:pStyle w:val="TableContents"/>
              <w:spacing w:before="0" w:after="283"/>
              <w:rPr>
                <w:sz w:val="4"/>
                <w:szCs w:val="4"/>
              </w:rPr>
            </w:pPr>
            <w:r>
              <w:rPr>
                <w:sz w:val="4"/>
                <w:szCs w:val="4"/>
              </w:rPr>
            </w:r>
          </w:p>
        </w:tc>
      </w:tr>
      <w:tr>
        <w:trPr/>
        <w:tc>
          <w:tcPr>
            <w:tcW w:w="21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93"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tc>
      </w:tr>
    </w:tbl>
    <w:p>
      <w:pPr>
        <w:pStyle w:val="TextBody"/>
        <w:spacing w:lineRule="auto" w:line="240" w:before="0" w:after="0"/>
        <w:jc w:val="center"/>
        <w:rPr>
          <w:rFonts w:ascii="inherit" w:hAnsi="inherit"/>
          <w:sz w:val="17"/>
        </w:rPr>
      </w:pPr>
      <w:r>
        <w:rPr>
          <w:rFonts w:ascii="inherit" w:hAnsi="inherit"/>
          <w:sz w:val="17"/>
        </w:rPr>
      </w:r>
    </w:p>
    <w:tbl>
      <w:tblPr>
        <w:tblW w:w="900" w:type="dxa"/>
        <w:jc w:val="left"/>
        <w:tblInd w:w="0" w:type="dxa"/>
        <w:tblCellMar>
          <w:top w:w="0" w:type="dxa"/>
          <w:left w:w="0" w:type="dxa"/>
          <w:bottom w:w="0" w:type="dxa"/>
          <w:right w:w="0" w:type="dxa"/>
        </w:tblCellMar>
      </w:tblPr>
      <w:tblGrid>
        <w:gridCol w:w="105"/>
        <w:gridCol w:w="90"/>
        <w:gridCol w:w="90"/>
        <w:gridCol w:w="90"/>
        <w:gridCol w:w="90"/>
        <w:gridCol w:w="90"/>
        <w:gridCol w:w="90"/>
        <w:gridCol w:w="90"/>
        <w:gridCol w:w="90"/>
        <w:gridCol w:w="75"/>
      </w:tblGrid>
      <w:tr>
        <w:trPr/>
        <w:tc>
          <w:tcPr>
            <w:tcW w:w="900" w:type="dxa"/>
            <w:gridSpan w:val="10"/>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40" w:before="0" w:after="0"/>
        <w:ind w:left="0" w:right="0" w:hanging="540"/>
        <w:rPr>
          <w:rFonts w:ascii="inherit" w:hAnsi="inherit"/>
          <w:sz w:val="17"/>
        </w:rPr>
      </w:pPr>
      <w:r>
        <w:rPr>
          <w:rFonts w:ascii="inherit" w:hAnsi="inherit"/>
          <w:sz w:val="17"/>
        </w:rPr>
      </w:r>
    </w:p>
    <w:p>
      <w:pPr>
        <w:pStyle w:val="TextBody"/>
        <w:spacing w:lineRule="auto" w:line="240" w:before="0" w:after="0"/>
        <w:ind w:left="0" w:right="0" w:hanging="540"/>
        <w:rPr>
          <w:rFonts w:ascii="inherit" w:hAnsi="inherit"/>
          <w:sz w:val="17"/>
        </w:rPr>
      </w:pPr>
      <w:r>
        <w:rPr>
          <w:rFonts w:ascii="inherit" w:hAnsi="inherit"/>
          <w:sz w:val="17"/>
        </w:rPr>
      </w:r>
    </w:p>
    <w:p>
      <w:pPr>
        <w:pStyle w:val="TextBody"/>
        <w:spacing w:lineRule="auto" w:line="288" w:before="0" w:after="0"/>
        <w:jc w:val="left"/>
        <w:rPr>
          <w:rFonts w:ascii="inherit" w:hAnsi="inherit"/>
          <w:b/>
          <w:sz w:val="17"/>
          <w:u w:val="single"/>
        </w:rPr>
      </w:pPr>
      <w:bookmarkStart w:id="65" w:name="sAE4AD92A6038562CAF519423C09B9E08"/>
      <w:bookmarkEnd w:id="65"/>
      <w:r>
        <w:rPr>
          <w:rFonts w:ascii="inherit" w:hAnsi="inherit"/>
          <w:b/>
          <w:sz w:val="17"/>
          <w:u w:val="single"/>
        </w:rPr>
        <w:t>Regulatory Matters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2018</w:t>
      </w:r>
      <w:r>
        <w:rPr>
          <w:sz w:val="17"/>
        </w:rPr>
        <w:t xml:space="preserve"> </w:t>
      </w:r>
      <w:r>
        <w:rPr>
          <w:rFonts w:ascii="inherit" w:hAnsi="inherit"/>
          <w:sz w:val="17"/>
        </w:rPr>
        <w:t>Annual Report on Form 10-K filed with the SEC.</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i/>
          <w:sz w:val="17"/>
          <w:u w:val="single"/>
        </w:rPr>
      </w:pPr>
      <w:bookmarkStart w:id="66" w:name="sDA7905925C99564D942B192A52C1C044"/>
      <w:bookmarkEnd w:id="66"/>
      <w:r>
        <w:rPr>
          <w:rFonts w:ascii="inherit" w:hAnsi="inherit"/>
          <w:i/>
          <w:sz w:val="17"/>
          <w:u w:val="single"/>
        </w:rPr>
        <w:t>Power Generation</w:t>
      </w:r>
    </w:p>
    <w:tbl>
      <w:tblPr>
        <w:tblW w:w="5375" w:type="dxa"/>
        <w:jc w:val="center"/>
        <w:tblInd w:w="0" w:type="dxa"/>
        <w:tblCellMar>
          <w:top w:w="0" w:type="dxa"/>
          <w:left w:w="0" w:type="dxa"/>
          <w:bottom w:w="0" w:type="dxa"/>
          <w:right w:w="0" w:type="dxa"/>
        </w:tblCellMar>
      </w:tblPr>
      <w:tblGrid>
        <w:gridCol w:w="2600"/>
        <w:gridCol w:w="125"/>
        <w:gridCol w:w="590"/>
        <w:gridCol w:w="30"/>
        <w:gridCol w:w="125"/>
        <w:gridCol w:w="590"/>
        <w:gridCol w:w="30"/>
        <w:gridCol w:w="125"/>
        <w:gridCol w:w="485"/>
        <w:gridCol w:w="675"/>
      </w:tblGrid>
      <w:tr>
        <w:trPr/>
        <w:tc>
          <w:tcPr>
            <w:tcW w:w="5375" w:type="dxa"/>
            <w:gridSpan w:val="10"/>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00" w:type="dxa"/>
            <w:tcBorders/>
            <w:shd w:fill="auto" w:val="clear"/>
            <w:vAlign w:val="center"/>
          </w:tcPr>
          <w:p>
            <w:pPr>
              <w:pStyle w:val="TableContents"/>
              <w:spacing w:before="0" w:after="0"/>
              <w:ind w:left="0" w:right="0" w:firstLine="30"/>
              <w:rPr/>
            </w:pPr>
            <w:r>
              <w:rPr/>
              <w:t> </w:t>
            </w:r>
          </w:p>
        </w:tc>
        <w:tc>
          <w:tcPr>
            <w:tcW w:w="2775"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60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12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2600" w:type="dxa"/>
            <w:tcBorders/>
            <w:shd w:fill="auto" w:val="clear"/>
            <w:vAlign w:val="center"/>
          </w:tcPr>
          <w:p>
            <w:pPr>
              <w:pStyle w:val="TableContents"/>
              <w:spacing w:before="0" w:after="0"/>
              <w:ind w:left="0" w:right="0" w:firstLine="30"/>
              <w:rPr/>
            </w:pPr>
            <w:r>
              <w:rPr/>
              <w:t> </w:t>
            </w:r>
          </w:p>
        </w:tc>
        <w:tc>
          <w:tcPr>
            <w:tcW w:w="2775"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6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25,245</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23,939</w:t>
            </w:r>
          </w:p>
        </w:tc>
        <w:tc>
          <w:tcPr>
            <w:tcW w:w="30"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1,306</w:t>
            </w:r>
          </w:p>
        </w:tc>
        <w:tc>
          <w:tcPr>
            <w:tcW w:w="67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1285" w:type="dxa"/>
            <w:gridSpan w:val="3"/>
            <w:tcBorders/>
            <w:shd w:fill="auto" w:val="clear"/>
            <w:vAlign w:val="center"/>
          </w:tcPr>
          <w:p>
            <w:pPr>
              <w:pStyle w:val="TableContents"/>
              <w:spacing w:before="0" w:after="0"/>
              <w:ind w:left="0" w:right="0" w:firstLine="30"/>
              <w:rPr/>
            </w:pPr>
            <w:r>
              <w:rPr/>
              <w:t> </w:t>
            </w:r>
          </w:p>
        </w:tc>
      </w:tr>
      <w:tr>
        <w:trPr/>
        <w:tc>
          <w:tcPr>
            <w:tcW w:w="26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71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8,688</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8,127</w:t>
            </w:r>
          </w:p>
        </w:tc>
        <w:tc>
          <w:tcPr>
            <w:tcW w:w="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561</w:t>
            </w:r>
          </w:p>
        </w:tc>
        <w:tc>
          <w:tcPr>
            <w:tcW w:w="6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554</w:t>
            </w:r>
          </w:p>
        </w:tc>
        <w:tc>
          <w:tcPr>
            <w:tcW w:w="67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26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w:t>
            </w:r>
          </w:p>
        </w:tc>
        <w:tc>
          <w:tcPr>
            <w:tcW w:w="71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13,278</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12,163</w:t>
            </w:r>
          </w:p>
        </w:tc>
        <w:tc>
          <w:tcPr>
            <w:tcW w:w="30"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10"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1,115</w:t>
            </w:r>
          </w:p>
        </w:tc>
        <w:tc>
          <w:tcPr>
            <w:tcW w:w="67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1285" w:type="dxa"/>
            <w:gridSpan w:val="3"/>
            <w:tcBorders/>
            <w:shd w:fill="auto" w:val="clear"/>
            <w:vAlign w:val="center"/>
          </w:tcPr>
          <w:p>
            <w:pPr>
              <w:pStyle w:val="TableContents"/>
              <w:spacing w:before="0" w:after="0"/>
              <w:ind w:left="0" w:right="0" w:firstLine="30"/>
              <w:rPr/>
            </w:pPr>
            <w:r>
              <w:rPr/>
              <w:t> </w:t>
            </w:r>
          </w:p>
        </w:tc>
      </w:tr>
      <w:tr>
        <w:trPr/>
        <w:tc>
          <w:tcPr>
            <w:tcW w:w="2600"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Adjusted operating income </w:t>
            </w:r>
            <w:r>
              <w:rPr>
                <w:rFonts w:ascii="inherit" w:hAnsi="inherit"/>
                <w:sz w:val="12"/>
              </w:rPr>
              <w:t>(a)</w:t>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11,967</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11,776</w:t>
            </w:r>
          </w:p>
        </w:tc>
        <w:tc>
          <w:tcPr>
            <w:tcW w:w="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191</w:t>
            </w:r>
          </w:p>
        </w:tc>
        <w:tc>
          <w:tcPr>
            <w:tcW w:w="67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rPr>
                <w:sz w:val="4"/>
                <w:szCs w:val="4"/>
              </w:rPr>
            </w:pPr>
            <w:r>
              <w:rPr>
                <w:sz w:val="4"/>
                <w:szCs w:val="4"/>
              </w:rPr>
            </w:r>
          </w:p>
        </w:tc>
        <w:tc>
          <w:tcPr>
            <w:tcW w:w="9998"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98"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Adjusted operating income was recast for the three months ended March 31, 2018, which resulted in a change of ($1.6) million. The impact to Adjusted operating income for the three months ended March 31, 2019 was $0.7 million. There was no impact on our consolidated Operating income.</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Results of Operations for Power Generation for the Three Months Ended March 31, 2019</w:t>
      </w:r>
      <w:r>
        <w:rPr>
          <w:sz w:val="17"/>
        </w:rPr>
        <w:t xml:space="preserve"> </w:t>
      </w:r>
      <w:r>
        <w:rPr>
          <w:rFonts w:ascii="inherit" w:hAnsi="inherit"/>
          <w:b/>
          <w:sz w:val="17"/>
        </w:rPr>
        <w:t xml:space="preserve">Compared to the Three Months Ended March 31, 2018: </w:t>
      </w:r>
      <w:r>
        <w:rPr>
          <w:rFonts w:ascii="inherit" w:hAnsi="inherit"/>
          <w:sz w:val="17"/>
        </w:rPr>
        <w:t xml:space="preserve">Revenue increased in the current year due to increased wind megawatt hours sold and higher power purchase agreement prices. Operating expenses increased in the current year due to higher employee costs and higher depreciation from new wind assets.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table summarizes MWh for our Power Generation segment:</w:t>
      </w:r>
    </w:p>
    <w:tbl>
      <w:tblPr>
        <w:tblW w:w="6202" w:type="dxa"/>
        <w:jc w:val="center"/>
        <w:tblInd w:w="0" w:type="dxa"/>
        <w:tblCellMar>
          <w:top w:w="0" w:type="dxa"/>
          <w:left w:w="0" w:type="dxa"/>
          <w:bottom w:w="0" w:type="dxa"/>
          <w:right w:w="0" w:type="dxa"/>
        </w:tblCellMar>
      </w:tblPr>
      <w:tblGrid>
        <w:gridCol w:w="3575"/>
        <w:gridCol w:w="782"/>
        <w:gridCol w:w="33"/>
        <w:gridCol w:w="782"/>
        <w:gridCol w:w="1030"/>
      </w:tblGrid>
      <w:tr>
        <w:trPr/>
        <w:tc>
          <w:tcPr>
            <w:tcW w:w="6202" w:type="dxa"/>
            <w:gridSpan w:val="5"/>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75" w:type="dxa"/>
            <w:tcBorders/>
            <w:shd w:fill="auto" w:val="clear"/>
            <w:vAlign w:val="center"/>
          </w:tcPr>
          <w:p>
            <w:pPr>
              <w:pStyle w:val="TableContents"/>
              <w:spacing w:before="0" w:after="0"/>
              <w:ind w:left="0" w:right="0" w:firstLine="30"/>
              <w:rPr/>
            </w:pPr>
            <w:r>
              <w:rPr/>
              <w:t> </w:t>
            </w:r>
          </w:p>
        </w:tc>
        <w:tc>
          <w:tcPr>
            <w:tcW w:w="2627" w:type="dxa"/>
            <w:gridSpan w:val="4"/>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3575" w:type="dxa"/>
            <w:tcBorders/>
            <w:shd w:fill="auto" w:val="clear"/>
            <w:vAlign w:val="center"/>
          </w:tcPr>
          <w:p>
            <w:pPr>
              <w:pStyle w:val="TableContents"/>
              <w:spacing w:before="0" w:after="0"/>
              <w:ind w:left="0" w:right="0" w:firstLine="30"/>
              <w:rPr/>
            </w:pPr>
            <w:r>
              <w:rPr/>
              <w:t> </w:t>
            </w:r>
          </w:p>
        </w:tc>
        <w:tc>
          <w:tcPr>
            <w:tcW w:w="81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8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3575" w:type="dxa"/>
            <w:tcBorders/>
            <w:shd w:fill="auto" w:val="clear"/>
            <w:vAlign w:val="center"/>
          </w:tcPr>
          <w:p>
            <w:pPr>
              <w:pStyle w:val="TableContents"/>
              <w:spacing w:before="0" w:after="0"/>
              <w:jc w:val="left"/>
              <w:rPr>
                <w:rFonts w:ascii="inherit" w:hAnsi="inherit"/>
                <w:sz w:val="17"/>
              </w:rPr>
            </w:pPr>
            <w:r>
              <w:rPr>
                <w:rFonts w:ascii="inherit" w:hAnsi="inherit"/>
                <w:sz w:val="17"/>
              </w:rPr>
              <w:t>Quantities Sold, Generated and Purchased</w:t>
            </w:r>
          </w:p>
          <w:p>
            <w:pPr>
              <w:pStyle w:val="TableContents"/>
              <w:spacing w:lineRule="auto" w:line="288" w:before="0" w:after="0"/>
              <w:ind w:left="0" w:right="0" w:firstLine="30"/>
              <w:jc w:val="left"/>
              <w:rPr>
                <w:sz w:val="17"/>
              </w:rPr>
            </w:pPr>
            <w:r>
              <w:rPr>
                <w:rFonts w:ascii="inherit" w:hAnsi="inherit"/>
                <w:sz w:val="17"/>
              </w:rPr>
              <w:t xml:space="preserve">(MWh) </w:t>
            </w:r>
            <w:r>
              <w:rPr>
                <w:rFonts w:ascii="inherit" w:hAnsi="inherit"/>
                <w:sz w:val="12"/>
              </w:rPr>
              <w:t>(a)</w:t>
            </w:r>
          </w:p>
        </w:tc>
        <w:tc>
          <w:tcPr>
            <w:tcW w:w="815" w:type="dxa"/>
            <w:gridSpan w:val="2"/>
            <w:tcBorders/>
            <w:shd w:fill="auto" w:val="clear"/>
            <w:vAlign w:val="center"/>
          </w:tcPr>
          <w:p>
            <w:pPr>
              <w:pStyle w:val="TableContents"/>
              <w:spacing w:before="0" w:after="0"/>
              <w:ind w:left="0" w:right="0" w:firstLine="30"/>
              <w:rPr/>
            </w:pPr>
            <w:r>
              <w:rPr/>
              <w:t> </w:t>
            </w:r>
          </w:p>
        </w:tc>
        <w:tc>
          <w:tcPr>
            <w:tcW w:w="1812" w:type="dxa"/>
            <w:gridSpan w:val="2"/>
            <w:tcBorders/>
            <w:shd w:fill="auto" w:val="clear"/>
            <w:vAlign w:val="center"/>
          </w:tcPr>
          <w:p>
            <w:pPr>
              <w:pStyle w:val="TableContents"/>
              <w:spacing w:before="0" w:after="0"/>
              <w:ind w:left="0" w:right="0" w:firstLine="30"/>
              <w:rPr/>
            </w:pPr>
            <w:r>
              <w:rPr/>
              <w:t> </w:t>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Sold</w:t>
            </w:r>
          </w:p>
        </w:tc>
        <w:tc>
          <w:tcPr>
            <w:tcW w:w="815" w:type="dxa"/>
            <w:gridSpan w:val="2"/>
            <w:tcBorders/>
            <w:shd w:fill="CEFFE7" w:val="clear"/>
            <w:vAlign w:val="center"/>
          </w:tcPr>
          <w:p>
            <w:pPr>
              <w:pStyle w:val="TableContents"/>
              <w:spacing w:before="0" w:after="0"/>
              <w:ind w:left="0" w:right="0" w:firstLine="30"/>
              <w:rPr/>
            </w:pPr>
            <w:r>
              <w:rPr/>
              <w:t> </w:t>
            </w:r>
          </w:p>
        </w:tc>
        <w:tc>
          <w:tcPr>
            <w:tcW w:w="1812" w:type="dxa"/>
            <w:gridSpan w:val="2"/>
            <w:tcBorders/>
            <w:shd w:fill="CEFFE7" w:val="clear"/>
            <w:vAlign w:val="center"/>
          </w:tcPr>
          <w:p>
            <w:pPr>
              <w:pStyle w:val="TableContents"/>
              <w:spacing w:before="0" w:after="0"/>
              <w:ind w:left="0" w:right="0" w:firstLine="420"/>
              <w:rPr/>
            </w:pPr>
            <w:r>
              <w:rPr/>
              <w:t> </w:t>
            </w:r>
          </w:p>
        </w:tc>
      </w:tr>
      <w:tr>
        <w:trPr/>
        <w:tc>
          <w:tcPr>
            <w:tcW w:w="35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Colorado IPP </w:t>
            </w:r>
            <w:r>
              <w:rPr>
                <w:rFonts w:ascii="inherit" w:hAnsi="inherit"/>
                <w:sz w:val="12"/>
              </w:rPr>
              <w:t>(b)</w:t>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205,973</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232,375</w:t>
            </w:r>
          </w:p>
        </w:tc>
        <w:tc>
          <w:tcPr>
            <w:tcW w:w="10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7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Wyoming </w:t>
            </w:r>
            <w:r>
              <w:rPr>
                <w:rFonts w:ascii="inherit" w:hAnsi="inherit"/>
                <w:sz w:val="12"/>
              </w:rPr>
              <w:t>(c)</w:t>
            </w:r>
          </w:p>
        </w:tc>
        <w:tc>
          <w:tcPr>
            <w:tcW w:w="782" w:type="dxa"/>
            <w:tcBorders/>
            <w:shd w:fill="CEFFE7" w:val="clear"/>
            <w:vAlign w:val="center"/>
          </w:tcPr>
          <w:p>
            <w:pPr>
              <w:pStyle w:val="TableContents"/>
              <w:spacing w:before="0" w:after="0"/>
              <w:jc w:val="right"/>
              <w:rPr>
                <w:rFonts w:ascii="inherit" w:hAnsi="inherit"/>
                <w:sz w:val="17"/>
              </w:rPr>
            </w:pPr>
            <w:r>
              <w:rPr>
                <w:rFonts w:ascii="inherit" w:hAnsi="inherit"/>
                <w:sz w:val="17"/>
              </w:rPr>
              <w:t>164,049</w:t>
            </w:r>
          </w:p>
        </w:tc>
        <w:tc>
          <w:tcPr>
            <w:tcW w:w="3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shd w:fill="CEFFE7" w:val="clear"/>
            <w:vAlign w:val="center"/>
          </w:tcPr>
          <w:p>
            <w:pPr>
              <w:pStyle w:val="TableContents"/>
              <w:spacing w:before="0" w:after="0"/>
              <w:jc w:val="right"/>
              <w:rPr>
                <w:rFonts w:ascii="inherit" w:hAnsi="inherit"/>
                <w:sz w:val="17"/>
              </w:rPr>
            </w:pPr>
            <w:r>
              <w:rPr>
                <w:rFonts w:ascii="inherit" w:hAnsi="inherit"/>
                <w:sz w:val="17"/>
              </w:rPr>
              <w:t>165,601</w:t>
            </w:r>
          </w:p>
        </w:tc>
        <w:tc>
          <w:tcPr>
            <w:tcW w:w="1030"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Electric Generation </w:t>
            </w:r>
            <w:r>
              <w:rPr>
                <w:rFonts w:ascii="inherit" w:hAnsi="inherit"/>
                <w:sz w:val="12"/>
              </w:rPr>
              <w:t>(d)</w:t>
            </w:r>
          </w:p>
        </w:tc>
        <w:tc>
          <w:tcPr>
            <w:tcW w:w="7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12,864</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Sold</w:t>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382,886</w:t>
            </w:r>
          </w:p>
        </w:tc>
        <w:tc>
          <w:tcPr>
            <w:tcW w:w="3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397,976</w:t>
            </w:r>
          </w:p>
        </w:tc>
        <w:tc>
          <w:tcPr>
            <w:tcW w:w="10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before="0" w:after="0"/>
              <w:ind w:left="0" w:right="0" w:firstLine="30"/>
              <w:rPr/>
            </w:pPr>
            <w:r>
              <w:rPr/>
              <w:t> </w:t>
            </w:r>
          </w:p>
        </w:tc>
        <w:tc>
          <w:tcPr>
            <w:tcW w:w="815" w:type="dxa"/>
            <w:gridSpan w:val="2"/>
            <w:tcBorders/>
            <w:shd w:fill="auto" w:val="clear"/>
            <w:vAlign w:val="center"/>
          </w:tcPr>
          <w:p>
            <w:pPr>
              <w:pStyle w:val="TableContents"/>
              <w:spacing w:before="0" w:after="0"/>
              <w:ind w:left="0" w:right="0" w:firstLine="30"/>
              <w:rPr/>
            </w:pPr>
            <w:r>
              <w:rPr/>
              <w:t> </w:t>
            </w:r>
          </w:p>
        </w:tc>
        <w:tc>
          <w:tcPr>
            <w:tcW w:w="1812" w:type="dxa"/>
            <w:gridSpan w:val="2"/>
            <w:tcBorders/>
            <w:shd w:fill="auto" w:val="clear"/>
            <w:vAlign w:val="center"/>
          </w:tcPr>
          <w:p>
            <w:pPr>
              <w:pStyle w:val="TableContents"/>
              <w:spacing w:before="0" w:after="0"/>
              <w:ind w:left="0" w:right="0" w:firstLine="30"/>
              <w:rPr/>
            </w:pPr>
            <w:r>
              <w:rPr/>
              <w:t> </w:t>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Generated</w:t>
            </w:r>
          </w:p>
        </w:tc>
        <w:tc>
          <w:tcPr>
            <w:tcW w:w="815" w:type="dxa"/>
            <w:gridSpan w:val="2"/>
            <w:tcBorders/>
            <w:shd w:fill="CEFFE7" w:val="clear"/>
            <w:vAlign w:val="center"/>
          </w:tcPr>
          <w:p>
            <w:pPr>
              <w:pStyle w:val="TableContents"/>
              <w:spacing w:before="0" w:after="0"/>
              <w:ind w:left="0" w:right="0" w:firstLine="30"/>
              <w:rPr/>
            </w:pPr>
            <w:r>
              <w:rPr/>
              <w:t> </w:t>
            </w:r>
          </w:p>
        </w:tc>
        <w:tc>
          <w:tcPr>
            <w:tcW w:w="1812" w:type="dxa"/>
            <w:gridSpan w:val="2"/>
            <w:tcBorders/>
            <w:shd w:fill="CEFFE7" w:val="clear"/>
            <w:vAlign w:val="center"/>
          </w:tcPr>
          <w:p>
            <w:pPr>
              <w:pStyle w:val="TableContents"/>
              <w:spacing w:before="0" w:after="0"/>
              <w:ind w:left="0" w:right="0" w:firstLine="420"/>
              <w:rPr/>
            </w:pPr>
            <w:r>
              <w:rPr/>
              <w:t> </w:t>
            </w:r>
          </w:p>
        </w:tc>
      </w:tr>
      <w:tr>
        <w:trPr/>
        <w:tc>
          <w:tcPr>
            <w:tcW w:w="35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Colorado IPP </w:t>
            </w:r>
            <w:r>
              <w:rPr>
                <w:rFonts w:ascii="inherit" w:hAnsi="inherit"/>
                <w:sz w:val="12"/>
              </w:rPr>
              <w:t>(b)</w:t>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205,973</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232,375</w:t>
            </w:r>
          </w:p>
        </w:tc>
        <w:tc>
          <w:tcPr>
            <w:tcW w:w="10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75"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Wyoming </w:t>
            </w:r>
            <w:r>
              <w:rPr>
                <w:rFonts w:ascii="inherit" w:hAnsi="inherit"/>
                <w:sz w:val="12"/>
              </w:rPr>
              <w:t>(c)</w:t>
            </w:r>
          </w:p>
        </w:tc>
        <w:tc>
          <w:tcPr>
            <w:tcW w:w="782" w:type="dxa"/>
            <w:tcBorders/>
            <w:shd w:fill="CEFFE7" w:val="clear"/>
            <w:vAlign w:val="center"/>
          </w:tcPr>
          <w:p>
            <w:pPr>
              <w:pStyle w:val="TableContents"/>
              <w:spacing w:before="0" w:after="0"/>
              <w:jc w:val="right"/>
              <w:rPr>
                <w:rFonts w:ascii="inherit" w:hAnsi="inherit"/>
                <w:sz w:val="17"/>
              </w:rPr>
            </w:pPr>
            <w:r>
              <w:rPr>
                <w:rFonts w:ascii="inherit" w:hAnsi="inherit"/>
                <w:sz w:val="17"/>
              </w:rPr>
              <w:t>132,593</w:t>
            </w:r>
          </w:p>
        </w:tc>
        <w:tc>
          <w:tcPr>
            <w:tcW w:w="33"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shd w:fill="CEFFE7" w:val="clear"/>
            <w:vAlign w:val="center"/>
          </w:tcPr>
          <w:p>
            <w:pPr>
              <w:pStyle w:val="TableContents"/>
              <w:spacing w:before="0" w:after="0"/>
              <w:jc w:val="right"/>
              <w:rPr>
                <w:rFonts w:ascii="inherit" w:hAnsi="inherit"/>
                <w:sz w:val="17"/>
              </w:rPr>
            </w:pPr>
            <w:r>
              <w:rPr>
                <w:rFonts w:ascii="inherit" w:hAnsi="inherit"/>
                <w:sz w:val="17"/>
              </w:rPr>
              <w:t>134,029</w:t>
            </w:r>
          </w:p>
        </w:tc>
        <w:tc>
          <w:tcPr>
            <w:tcW w:w="1030" w:type="dxa"/>
            <w:tcBorders/>
            <w:shd w:fill="CEFFE7"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Electric Generation </w:t>
            </w:r>
            <w:r>
              <w:rPr>
                <w:rFonts w:ascii="inherit" w:hAnsi="inherit"/>
                <w:sz w:val="12"/>
              </w:rPr>
              <w:t>(d)</w:t>
            </w:r>
          </w:p>
        </w:tc>
        <w:tc>
          <w:tcPr>
            <w:tcW w:w="7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12,864</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30"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Generated</w:t>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351,430</w:t>
            </w:r>
          </w:p>
        </w:tc>
        <w:tc>
          <w:tcPr>
            <w:tcW w:w="3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366,404</w:t>
            </w:r>
          </w:p>
        </w:tc>
        <w:tc>
          <w:tcPr>
            <w:tcW w:w="10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before="0" w:after="0"/>
              <w:ind w:left="0" w:right="0" w:firstLine="30"/>
              <w:rPr/>
            </w:pPr>
            <w:r>
              <w:rPr/>
              <w:t> </w:t>
            </w:r>
          </w:p>
        </w:tc>
        <w:tc>
          <w:tcPr>
            <w:tcW w:w="815" w:type="dxa"/>
            <w:gridSpan w:val="2"/>
            <w:tcBorders/>
            <w:shd w:fill="auto" w:val="clear"/>
            <w:vAlign w:val="center"/>
          </w:tcPr>
          <w:p>
            <w:pPr>
              <w:pStyle w:val="TableContents"/>
              <w:spacing w:before="0" w:after="0"/>
              <w:ind w:left="0" w:right="0" w:firstLine="30"/>
              <w:rPr/>
            </w:pPr>
            <w:r>
              <w:rPr/>
              <w:t> </w:t>
            </w:r>
          </w:p>
        </w:tc>
        <w:tc>
          <w:tcPr>
            <w:tcW w:w="1812" w:type="dxa"/>
            <w:gridSpan w:val="2"/>
            <w:tcBorders/>
            <w:shd w:fill="auto" w:val="clear"/>
            <w:vAlign w:val="center"/>
          </w:tcPr>
          <w:p>
            <w:pPr>
              <w:pStyle w:val="TableContents"/>
              <w:spacing w:before="0" w:after="0"/>
              <w:ind w:left="0" w:right="0" w:firstLine="30"/>
              <w:rPr/>
            </w:pPr>
            <w:r>
              <w:rPr/>
              <w:t> </w:t>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Purchased</w:t>
            </w:r>
          </w:p>
        </w:tc>
        <w:tc>
          <w:tcPr>
            <w:tcW w:w="815" w:type="dxa"/>
            <w:gridSpan w:val="2"/>
            <w:tcBorders/>
            <w:shd w:fill="CEFFE7" w:val="clear"/>
            <w:vAlign w:val="center"/>
          </w:tcPr>
          <w:p>
            <w:pPr>
              <w:pStyle w:val="TableContents"/>
              <w:spacing w:before="0" w:after="0"/>
              <w:ind w:left="0" w:right="0" w:firstLine="30"/>
              <w:rPr/>
            </w:pPr>
            <w:r>
              <w:rPr/>
              <w:t> </w:t>
            </w:r>
          </w:p>
        </w:tc>
        <w:tc>
          <w:tcPr>
            <w:tcW w:w="1812" w:type="dxa"/>
            <w:gridSpan w:val="2"/>
            <w:tcBorders/>
            <w:shd w:fill="CEFFE7" w:val="clear"/>
            <w:vAlign w:val="center"/>
          </w:tcPr>
          <w:p>
            <w:pPr>
              <w:pStyle w:val="TableContents"/>
              <w:spacing w:before="0" w:after="0"/>
              <w:ind w:left="0" w:right="0" w:firstLine="420"/>
              <w:rPr/>
            </w:pPr>
            <w:r>
              <w:rPr/>
              <w:t> </w:t>
            </w:r>
          </w:p>
        </w:tc>
      </w:tr>
      <w:tr>
        <w:trPr/>
        <w:tc>
          <w:tcPr>
            <w:tcW w:w="35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Black Hills Wyoming </w:t>
            </w:r>
            <w:r>
              <w:rPr>
                <w:rFonts w:ascii="inherit" w:hAnsi="inherit"/>
                <w:sz w:val="12"/>
              </w:rPr>
              <w:t>(c)</w:t>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25,579</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shd w:fill="auto" w:val="clear"/>
            <w:vAlign w:val="center"/>
          </w:tcPr>
          <w:p>
            <w:pPr>
              <w:pStyle w:val="TableContents"/>
              <w:spacing w:before="0" w:after="0"/>
              <w:jc w:val="right"/>
              <w:rPr>
                <w:rFonts w:ascii="inherit" w:hAnsi="inherit"/>
                <w:sz w:val="17"/>
              </w:rPr>
            </w:pPr>
            <w:r>
              <w:rPr>
                <w:rFonts w:ascii="inherit" w:hAnsi="inherit"/>
                <w:sz w:val="17"/>
              </w:rPr>
              <w:t>31,917</w:t>
            </w:r>
          </w:p>
        </w:tc>
        <w:tc>
          <w:tcPr>
            <w:tcW w:w="1030" w:type="dxa"/>
            <w:tcBorders/>
            <w:shd w:fill="auto"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35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Purchased</w:t>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25,579</w:t>
            </w:r>
          </w:p>
        </w:tc>
        <w:tc>
          <w:tcPr>
            <w:tcW w:w="33"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82"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31,917</w:t>
            </w:r>
          </w:p>
        </w:tc>
        <w:tc>
          <w:tcPr>
            <w:tcW w:w="1030"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left"/>
        <w:rPr>
          <w:rFonts w:ascii="inherit" w:hAnsi="inherit"/>
          <w:sz w:val="15"/>
        </w:rPr>
      </w:pPr>
      <w:r>
        <w:rPr>
          <w:rFonts w:ascii="inherit" w:hAnsi="inherit"/>
          <w:sz w:val="15"/>
        </w:rPr>
        <w:t>____________</w:t>
      </w:r>
    </w:p>
    <w:tbl>
      <w:tblPr>
        <w:tblW w:w="7030" w:type="dxa"/>
        <w:jc w:val="left"/>
        <w:tblInd w:w="0" w:type="dxa"/>
        <w:tblCellMar>
          <w:top w:w="0" w:type="dxa"/>
          <w:left w:w="0" w:type="dxa"/>
          <w:bottom w:w="0" w:type="dxa"/>
          <w:right w:w="0" w:type="dxa"/>
        </w:tblCellMar>
      </w:tblPr>
      <w:tblGrid>
        <w:gridCol w:w="245"/>
        <w:gridCol w:w="6785"/>
      </w:tblGrid>
      <w:tr>
        <w:trPr/>
        <w:tc>
          <w:tcPr>
            <w:tcW w:w="245" w:type="dxa"/>
            <w:tcBorders/>
            <w:shd w:fill="auto" w:val="clear"/>
            <w:vAlign w:val="center"/>
          </w:tcPr>
          <w:p>
            <w:pPr>
              <w:pStyle w:val="TableContents"/>
              <w:spacing w:before="0" w:after="283"/>
              <w:rPr>
                <w:sz w:val="4"/>
                <w:szCs w:val="4"/>
              </w:rPr>
            </w:pPr>
            <w:r>
              <w:rPr>
                <w:sz w:val="4"/>
                <w:szCs w:val="4"/>
              </w:rPr>
            </w:r>
          </w:p>
        </w:tc>
        <w:tc>
          <w:tcPr>
            <w:tcW w:w="678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6785" w:type="dxa"/>
            <w:tcBorders/>
            <w:shd w:fill="auto" w:val="clear"/>
            <w:vAlign w:val="center"/>
          </w:tcPr>
          <w:p>
            <w:pPr>
              <w:pStyle w:val="TableContents"/>
              <w:spacing w:lineRule="auto" w:line="288" w:before="0" w:after="0"/>
              <w:rPr>
                <w:rFonts w:ascii="inherit" w:hAnsi="inherit"/>
                <w:sz w:val="15"/>
              </w:rPr>
            </w:pPr>
            <w:r>
              <w:rPr>
                <w:rFonts w:ascii="inherit" w:hAnsi="inherit"/>
                <w:sz w:val="15"/>
              </w:rPr>
              <w:t>Company uses and losses are not included in the quantities sold, generated, and purchased.</w:t>
            </w:r>
          </w:p>
        </w:tc>
      </w:tr>
    </w:tbl>
    <w:tbl>
      <w:tblPr>
        <w:tblW w:w="9595" w:type="dxa"/>
        <w:jc w:val="left"/>
        <w:tblInd w:w="0" w:type="dxa"/>
        <w:tblCellMar>
          <w:top w:w="0" w:type="dxa"/>
          <w:left w:w="0" w:type="dxa"/>
          <w:bottom w:w="0" w:type="dxa"/>
          <w:right w:w="0" w:type="dxa"/>
        </w:tblCellMar>
      </w:tblPr>
      <w:tblGrid>
        <w:gridCol w:w="245"/>
        <w:gridCol w:w="9350"/>
      </w:tblGrid>
      <w:tr>
        <w:trPr/>
        <w:tc>
          <w:tcPr>
            <w:tcW w:w="245" w:type="dxa"/>
            <w:tcBorders/>
            <w:shd w:fill="auto" w:val="clear"/>
            <w:vAlign w:val="center"/>
          </w:tcPr>
          <w:p>
            <w:pPr>
              <w:pStyle w:val="TableContents"/>
              <w:spacing w:before="0" w:after="283"/>
              <w:rPr>
                <w:sz w:val="4"/>
                <w:szCs w:val="4"/>
              </w:rPr>
            </w:pPr>
            <w:r>
              <w:rPr>
                <w:sz w:val="4"/>
                <w:szCs w:val="4"/>
              </w:rPr>
            </w:r>
          </w:p>
        </w:tc>
        <w:tc>
          <w:tcPr>
            <w:tcW w:w="935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350"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Decrease from the prior year is a result of the impact of Colorado Electric’s wind generation replacing natural-gas generation. </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10015"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 </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sz w:val="4"/>
                <w:szCs w:val="4"/>
              </w:rPr>
            </w:pPr>
            <w:r>
              <w:rPr>
                <w:sz w:val="4"/>
                <w:szCs w:val="4"/>
              </w:rPr>
            </w:r>
          </w:p>
        </w:tc>
        <w:tc>
          <w:tcPr>
            <w:tcW w:w="9971" w:type="dxa"/>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(d)</w:t>
            </w:r>
          </w:p>
        </w:tc>
        <w:tc>
          <w:tcPr>
            <w:tcW w:w="9971"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Increase from prior year is driven primarily by Black Hills Electric Generation’s acquisition of a 50% ownership interest in Busch Ranch I on December 11, 2018.</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following table provides certain operating statistics for our plants within the Power Generation segment:</w:t>
      </w:r>
    </w:p>
    <w:tbl>
      <w:tblPr>
        <w:tblW w:w="6097" w:type="dxa"/>
        <w:jc w:val="center"/>
        <w:tblInd w:w="0" w:type="dxa"/>
        <w:tblCellMar>
          <w:top w:w="0" w:type="dxa"/>
          <w:left w:w="0" w:type="dxa"/>
          <w:bottom w:w="0" w:type="dxa"/>
          <w:right w:w="0" w:type="dxa"/>
        </w:tblCellMar>
      </w:tblPr>
      <w:tblGrid>
        <w:gridCol w:w="3470"/>
        <w:gridCol w:w="713"/>
        <w:gridCol w:w="375"/>
        <w:gridCol w:w="713"/>
        <w:gridCol w:w="826"/>
      </w:tblGrid>
      <w:tr>
        <w:trPr/>
        <w:tc>
          <w:tcPr>
            <w:tcW w:w="6097" w:type="dxa"/>
            <w:gridSpan w:val="5"/>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0" w:type="dxa"/>
            <w:tcBorders/>
            <w:shd w:fill="auto" w:val="clear"/>
            <w:vAlign w:val="center"/>
          </w:tcPr>
          <w:p>
            <w:pPr>
              <w:pStyle w:val="TableContents"/>
              <w:spacing w:before="0" w:after="0"/>
              <w:ind w:left="0" w:right="0" w:firstLine="30"/>
              <w:rPr/>
            </w:pPr>
            <w:r>
              <w:rPr/>
              <w:t> </w:t>
            </w:r>
          </w:p>
        </w:tc>
        <w:tc>
          <w:tcPr>
            <w:tcW w:w="2627" w:type="dxa"/>
            <w:gridSpan w:val="4"/>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3470" w:type="dxa"/>
            <w:tcBorders/>
            <w:shd w:fill="auto" w:val="clear"/>
            <w:vAlign w:val="center"/>
          </w:tcPr>
          <w:p>
            <w:pPr>
              <w:pStyle w:val="TableContents"/>
              <w:spacing w:before="0" w:after="0"/>
              <w:ind w:left="0" w:right="0" w:firstLine="30"/>
              <w:rPr/>
            </w:pPr>
            <w:r>
              <w:rPr/>
              <w:t> </w:t>
            </w:r>
          </w:p>
        </w:tc>
        <w:tc>
          <w:tcPr>
            <w:tcW w:w="108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53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Contracted power plant fleet availability:</w:t>
            </w:r>
          </w:p>
        </w:tc>
        <w:tc>
          <w:tcPr>
            <w:tcW w:w="1088" w:type="dxa"/>
            <w:gridSpan w:val="2"/>
            <w:tcBorders/>
            <w:shd w:fill="auto" w:val="clear"/>
            <w:vAlign w:val="center"/>
          </w:tcPr>
          <w:p>
            <w:pPr>
              <w:pStyle w:val="TableContents"/>
              <w:spacing w:before="0" w:after="0"/>
              <w:ind w:left="0" w:right="0" w:firstLine="30"/>
              <w:rPr/>
            </w:pPr>
            <w:r>
              <w:rPr/>
              <w:t> </w:t>
            </w:r>
          </w:p>
        </w:tc>
        <w:tc>
          <w:tcPr>
            <w:tcW w:w="1539" w:type="dxa"/>
            <w:gridSpan w:val="2"/>
            <w:tcBorders/>
            <w:shd w:fill="auto" w:val="clear"/>
            <w:vAlign w:val="center"/>
          </w:tcPr>
          <w:p>
            <w:pPr>
              <w:pStyle w:val="TableContents"/>
              <w:spacing w:before="0" w:after="0"/>
              <w:ind w:left="0" w:right="0" w:firstLine="255"/>
              <w:rPr/>
            </w:pPr>
            <w:r>
              <w:rPr/>
              <w:t> </w:t>
            </w:r>
          </w:p>
        </w:tc>
      </w:tr>
      <w:tr>
        <w:trPr/>
        <w:tc>
          <w:tcPr>
            <w:tcW w:w="34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Coal-fired plant </w:t>
            </w:r>
          </w:p>
        </w:tc>
        <w:tc>
          <w:tcPr>
            <w:tcW w:w="713" w:type="dxa"/>
            <w:tcBorders/>
            <w:shd w:fill="CEFFE7" w:val="clear"/>
            <w:vAlign w:val="center"/>
          </w:tcPr>
          <w:p>
            <w:pPr>
              <w:pStyle w:val="TableContents"/>
              <w:spacing w:before="0" w:after="0"/>
              <w:jc w:val="right"/>
              <w:rPr>
                <w:rFonts w:ascii="inherit" w:hAnsi="inherit"/>
                <w:sz w:val="17"/>
              </w:rPr>
            </w:pPr>
            <w:r>
              <w:rPr>
                <w:rFonts w:ascii="inherit" w:hAnsi="inherit"/>
                <w:sz w:val="17"/>
              </w:rPr>
              <w:t>94.8</w:t>
            </w:r>
          </w:p>
        </w:tc>
        <w:tc>
          <w:tcPr>
            <w:tcW w:w="3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13" w:type="dxa"/>
            <w:tcBorders/>
            <w:shd w:fill="CEFFE7" w:val="clear"/>
            <w:vAlign w:val="center"/>
          </w:tcPr>
          <w:p>
            <w:pPr>
              <w:pStyle w:val="TableContents"/>
              <w:spacing w:before="0" w:after="0"/>
              <w:jc w:val="right"/>
              <w:rPr>
                <w:rFonts w:ascii="inherit" w:hAnsi="inherit"/>
                <w:sz w:val="17"/>
              </w:rPr>
            </w:pPr>
            <w:r>
              <w:rPr>
                <w:rFonts w:ascii="inherit" w:hAnsi="inherit"/>
                <w:sz w:val="17"/>
              </w:rPr>
              <w:t>94.7</w:t>
            </w:r>
          </w:p>
        </w:tc>
        <w:tc>
          <w:tcPr>
            <w:tcW w:w="826"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Natural gas-fired plants</w:t>
            </w:r>
          </w:p>
        </w:tc>
        <w:tc>
          <w:tcPr>
            <w:tcW w:w="713" w:type="dxa"/>
            <w:tcBorders/>
            <w:shd w:fill="auto" w:val="clear"/>
            <w:vAlign w:val="center"/>
          </w:tcPr>
          <w:p>
            <w:pPr>
              <w:pStyle w:val="TableContents"/>
              <w:spacing w:before="0" w:after="0"/>
              <w:jc w:val="right"/>
              <w:rPr>
                <w:rFonts w:ascii="inherit" w:hAnsi="inherit"/>
                <w:sz w:val="17"/>
              </w:rPr>
            </w:pPr>
            <w:r>
              <w:rPr>
                <w:rFonts w:ascii="inherit" w:hAnsi="inherit"/>
                <w:sz w:val="17"/>
              </w:rPr>
              <w:t>95.6</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13" w:type="dxa"/>
            <w:tcBorders/>
            <w:shd w:fill="auto" w:val="clear"/>
            <w:vAlign w:val="center"/>
          </w:tcPr>
          <w:p>
            <w:pPr>
              <w:pStyle w:val="TableContents"/>
              <w:spacing w:before="0" w:after="0"/>
              <w:jc w:val="right"/>
              <w:rPr>
                <w:rFonts w:ascii="inherit" w:hAnsi="inherit"/>
                <w:sz w:val="17"/>
              </w:rPr>
            </w:pPr>
            <w:r>
              <w:rPr>
                <w:rFonts w:ascii="inherit" w:hAnsi="inherit"/>
                <w:sz w:val="17"/>
              </w:rPr>
              <w:t>99.5</w:t>
            </w:r>
          </w:p>
        </w:tc>
        <w:tc>
          <w:tcPr>
            <w:tcW w:w="826" w:type="dxa"/>
            <w:tcBorders/>
            <w:shd w:fill="auto" w:val="clear"/>
            <w:vAlign w:val="center"/>
          </w:tcPr>
          <w:p>
            <w:pPr>
              <w:pStyle w:val="TableContents"/>
              <w:spacing w:before="0" w:after="0"/>
              <w:ind w:left="0" w:right="0" w:firstLine="255"/>
              <w:jc w:val="left"/>
              <w:rPr>
                <w:rFonts w:ascii="inherit" w:hAnsi="inherit"/>
                <w:sz w:val="17"/>
              </w:rPr>
            </w:pPr>
            <w:r>
              <w:rPr>
                <w:rFonts w:ascii="inherit" w:hAnsi="inherit"/>
                <w:sz w:val="17"/>
              </w:rPr>
              <w:t>%</w:t>
            </w:r>
          </w:p>
        </w:tc>
      </w:tr>
      <w:tr>
        <w:trPr/>
        <w:tc>
          <w:tcPr>
            <w:tcW w:w="3470"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Wind </w:t>
            </w:r>
            <w:r>
              <w:rPr>
                <w:rFonts w:ascii="inherit" w:hAnsi="inherit"/>
                <w:sz w:val="12"/>
              </w:rPr>
              <w:t>(a)</w:t>
            </w:r>
          </w:p>
        </w:tc>
        <w:tc>
          <w:tcPr>
            <w:tcW w:w="713" w:type="dxa"/>
            <w:tcBorders/>
            <w:shd w:fill="CEFFE7" w:val="clear"/>
            <w:vAlign w:val="center"/>
          </w:tcPr>
          <w:p>
            <w:pPr>
              <w:pStyle w:val="TableContents"/>
              <w:spacing w:before="0" w:after="0"/>
              <w:jc w:val="right"/>
              <w:rPr>
                <w:rFonts w:ascii="inherit" w:hAnsi="inherit"/>
                <w:sz w:val="17"/>
              </w:rPr>
            </w:pPr>
            <w:r>
              <w:rPr>
                <w:rFonts w:ascii="inherit" w:hAnsi="inherit"/>
                <w:sz w:val="17"/>
              </w:rPr>
              <w:t>90.4</w:t>
            </w:r>
          </w:p>
        </w:tc>
        <w:tc>
          <w:tcPr>
            <w:tcW w:w="37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13" w:type="dxa"/>
            <w:tcBorders/>
            <w:shd w:fill="CEFFE7" w:val="clear"/>
            <w:vAlign w:val="center"/>
          </w:tcPr>
          <w:p>
            <w:pPr>
              <w:pStyle w:val="TableContents"/>
              <w:spacing w:before="0" w:after="0"/>
              <w:jc w:val="right"/>
              <w:rPr>
                <w:rFonts w:ascii="inherit" w:hAnsi="inherit"/>
                <w:sz w:val="17"/>
              </w:rPr>
            </w:pPr>
            <w:r>
              <w:rPr>
                <w:rFonts w:ascii="inherit" w:hAnsi="inherit"/>
                <w:sz w:val="17"/>
              </w:rPr>
              <w:t>N/A</w:t>
            </w:r>
          </w:p>
        </w:tc>
        <w:tc>
          <w:tcPr>
            <w:tcW w:w="826" w:type="dxa"/>
            <w:tcBorders/>
            <w:shd w:fill="CEFFE7" w:val="clear"/>
            <w:vAlign w:val="center"/>
          </w:tcPr>
          <w:p>
            <w:pPr>
              <w:pStyle w:val="TableContents"/>
              <w:spacing w:before="0" w:after="0"/>
              <w:ind w:left="0" w:right="0" w:firstLine="255"/>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availability</w:t>
            </w:r>
          </w:p>
        </w:tc>
        <w:tc>
          <w:tcPr>
            <w:tcW w:w="713" w:type="dxa"/>
            <w:tcBorders/>
            <w:shd w:fill="auto" w:val="clear"/>
            <w:vAlign w:val="center"/>
          </w:tcPr>
          <w:p>
            <w:pPr>
              <w:pStyle w:val="TableContents"/>
              <w:spacing w:before="0" w:after="0"/>
              <w:jc w:val="right"/>
              <w:rPr>
                <w:rFonts w:ascii="inherit" w:hAnsi="inherit"/>
                <w:sz w:val="17"/>
              </w:rPr>
            </w:pPr>
            <w:r>
              <w:rPr>
                <w:rFonts w:ascii="inherit" w:hAnsi="inherit"/>
                <w:sz w:val="17"/>
              </w:rPr>
              <w:t>94.1</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713" w:type="dxa"/>
            <w:tcBorders/>
            <w:shd w:fill="auto" w:val="clear"/>
            <w:vAlign w:val="center"/>
          </w:tcPr>
          <w:p>
            <w:pPr>
              <w:pStyle w:val="TableContents"/>
              <w:spacing w:before="0" w:after="0"/>
              <w:jc w:val="right"/>
              <w:rPr>
                <w:rFonts w:ascii="inherit" w:hAnsi="inherit"/>
                <w:sz w:val="17"/>
              </w:rPr>
            </w:pPr>
            <w:r>
              <w:rPr>
                <w:rFonts w:ascii="inherit" w:hAnsi="inherit"/>
                <w:sz w:val="17"/>
              </w:rPr>
              <w:t>98.3</w:t>
            </w:r>
          </w:p>
        </w:tc>
        <w:tc>
          <w:tcPr>
            <w:tcW w:w="8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40" w:before="0" w:after="0"/>
        <w:jc w:val="left"/>
        <w:rPr>
          <w:rFonts w:ascii="inherit" w:hAnsi="inherit"/>
          <w:sz w:val="15"/>
        </w:rPr>
      </w:pPr>
      <w:r>
        <w:rPr>
          <w:rFonts w:ascii="inherit" w:hAnsi="inherit"/>
          <w:sz w:val="15"/>
        </w:rPr>
        <w:t>____________</w:t>
      </w:r>
    </w:p>
    <w:tbl>
      <w:tblPr>
        <w:tblW w:w="8110" w:type="dxa"/>
        <w:jc w:val="left"/>
        <w:tblInd w:w="0" w:type="dxa"/>
        <w:tblCellMar>
          <w:top w:w="0" w:type="dxa"/>
          <w:left w:w="0" w:type="dxa"/>
          <w:bottom w:w="0" w:type="dxa"/>
          <w:right w:w="0" w:type="dxa"/>
        </w:tblCellMar>
      </w:tblPr>
      <w:tblGrid>
        <w:gridCol w:w="245"/>
        <w:gridCol w:w="7865"/>
      </w:tblGrid>
      <w:tr>
        <w:trPr/>
        <w:tc>
          <w:tcPr>
            <w:tcW w:w="245" w:type="dxa"/>
            <w:tcBorders/>
            <w:shd w:fill="auto" w:val="clear"/>
            <w:vAlign w:val="center"/>
          </w:tcPr>
          <w:p>
            <w:pPr>
              <w:pStyle w:val="TableContents"/>
              <w:spacing w:before="0" w:after="283"/>
              <w:rPr>
                <w:sz w:val="4"/>
                <w:szCs w:val="4"/>
              </w:rPr>
            </w:pPr>
            <w:r>
              <w:rPr>
                <w:sz w:val="4"/>
                <w:szCs w:val="4"/>
              </w:rPr>
            </w:r>
          </w:p>
        </w:tc>
        <w:tc>
          <w:tcPr>
            <w:tcW w:w="786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7865" w:type="dxa"/>
            <w:tcBorders/>
            <w:shd w:fill="auto" w:val="clear"/>
            <w:vAlign w:val="center"/>
          </w:tcPr>
          <w:p>
            <w:pPr>
              <w:pStyle w:val="TableContents"/>
              <w:spacing w:lineRule="auto" w:line="288" w:before="0" w:after="0"/>
              <w:rPr>
                <w:rFonts w:ascii="inherit" w:hAnsi="inherit"/>
                <w:sz w:val="15"/>
              </w:rPr>
            </w:pPr>
            <w:r>
              <w:rPr>
                <w:rFonts w:ascii="inherit" w:hAnsi="inherit"/>
                <w:sz w:val="15"/>
              </w:rPr>
              <w:t>Black Hills Electric Generation acquired a 50% ownership interest in Busch Ranch I on December 11, 2018.</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jc w:val="right"/>
        <w:rPr>
          <w:rFonts w:ascii="inherit" w:hAnsi="inherit"/>
          <w:sz w:val="17"/>
        </w:rPr>
      </w:pPr>
      <w:r>
        <w:rPr>
          <w:rFonts w:ascii="inherit" w:hAnsi="inherit"/>
          <w:sz w:val="17"/>
        </w:rPr>
      </w:r>
      <w:bookmarkStart w:id="67" w:name="s1385402622545E0FA1CF537C93912C91"/>
      <w:bookmarkStart w:id="68" w:name="s1385402622545E0FA1CF537C93912C91"/>
      <w:bookmarkEnd w:id="68"/>
    </w:p>
    <w:p>
      <w:pPr>
        <w:pStyle w:val="TextBody"/>
        <w:spacing w:before="0" w:after="0"/>
        <w:rPr/>
      </w:pPr>
      <w:r>
        <w:rPr/>
      </w:r>
    </w:p>
    <w:p>
      <w:pPr>
        <w:pStyle w:val="TextBody"/>
        <w:spacing w:lineRule="auto" w:line="288" w:before="0" w:after="0"/>
        <w:rPr>
          <w:rFonts w:ascii="inherit" w:hAnsi="inherit"/>
          <w:i/>
          <w:sz w:val="17"/>
          <w:u w:val="single"/>
        </w:rPr>
      </w:pPr>
      <w:r>
        <w:rPr>
          <w:rFonts w:ascii="inherit" w:hAnsi="inherit"/>
          <w:i/>
          <w:sz w:val="17"/>
          <w:u w:val="single"/>
        </w:rPr>
        <w:t>Mining</w:t>
      </w:r>
    </w:p>
    <w:tbl>
      <w:tblPr>
        <w:tblW w:w="6096" w:type="dxa"/>
        <w:jc w:val="center"/>
        <w:tblInd w:w="0" w:type="dxa"/>
        <w:tblCellMar>
          <w:top w:w="0" w:type="dxa"/>
          <w:left w:w="0" w:type="dxa"/>
          <w:bottom w:w="0" w:type="dxa"/>
          <w:right w:w="0" w:type="dxa"/>
        </w:tblCellMar>
      </w:tblPr>
      <w:tblGrid>
        <w:gridCol w:w="3470"/>
        <w:gridCol w:w="149"/>
        <w:gridCol w:w="703"/>
        <w:gridCol w:w="35"/>
        <w:gridCol w:w="149"/>
        <w:gridCol w:w="703"/>
        <w:gridCol w:w="35"/>
        <w:gridCol w:w="149"/>
        <w:gridCol w:w="471"/>
        <w:gridCol w:w="232"/>
      </w:tblGrid>
      <w:tr>
        <w:trPr/>
        <w:tc>
          <w:tcPr>
            <w:tcW w:w="6096" w:type="dxa"/>
            <w:gridSpan w:val="10"/>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0" w:type="dxa"/>
            <w:tcBorders/>
            <w:shd w:fill="auto" w:val="clear"/>
            <w:vAlign w:val="center"/>
          </w:tcPr>
          <w:p>
            <w:pPr>
              <w:pStyle w:val="TableContents"/>
              <w:spacing w:before="0" w:after="0"/>
              <w:ind w:left="0" w:right="0" w:firstLine="30"/>
              <w:jc w:val="center"/>
              <w:rPr>
                <w:rFonts w:ascii="inherit" w:hAnsi="inherit"/>
                <w:sz w:val="12"/>
              </w:rPr>
            </w:pPr>
            <w:r>
              <w:rPr>
                <w:rFonts w:ascii="inherit" w:hAnsi="inherit"/>
                <w:sz w:val="12"/>
              </w:rPr>
            </w:r>
          </w:p>
        </w:tc>
        <w:tc>
          <w:tcPr>
            <w:tcW w:w="2626"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34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r>
          </w:p>
        </w:tc>
        <w:tc>
          <w:tcPr>
            <w:tcW w:w="8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8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8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3470" w:type="dxa"/>
            <w:tcBorders/>
            <w:shd w:fill="auto" w:val="clear"/>
            <w:vAlign w:val="center"/>
          </w:tcPr>
          <w:p>
            <w:pPr>
              <w:pStyle w:val="TableContents"/>
              <w:spacing w:before="0" w:after="0"/>
              <w:ind w:left="0" w:right="0" w:firstLine="30"/>
              <w:jc w:val="center"/>
              <w:rPr>
                <w:rFonts w:ascii="inherit" w:hAnsi="inherit"/>
                <w:sz w:val="12"/>
              </w:rPr>
            </w:pPr>
            <w:r>
              <w:rPr>
                <w:rFonts w:ascii="inherit" w:hAnsi="inherit"/>
                <w:sz w:val="12"/>
              </w:rPr>
            </w:r>
          </w:p>
        </w:tc>
        <w:tc>
          <w:tcPr>
            <w:tcW w:w="2626"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34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49"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16,429</w:t>
            </w:r>
          </w:p>
        </w:tc>
        <w:tc>
          <w:tcPr>
            <w:tcW w:w="3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17,128</w:t>
            </w:r>
          </w:p>
        </w:tc>
        <w:tc>
          <w:tcPr>
            <w:tcW w:w="35"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bottom w:val="single" w:sz="2"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71" w:type="dxa"/>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(699</w:t>
            </w:r>
          </w:p>
        </w:tc>
        <w:tc>
          <w:tcPr>
            <w:tcW w:w="232"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rPr/>
            </w:pPr>
            <w:r>
              <w:rPr/>
              <w:t> </w:t>
            </w:r>
          </w:p>
        </w:tc>
        <w:tc>
          <w:tcPr>
            <w:tcW w:w="887" w:type="dxa"/>
            <w:gridSpan w:val="3"/>
            <w:tcBorders/>
            <w:shd w:fill="auto" w:val="clear"/>
            <w:vAlign w:val="center"/>
          </w:tcPr>
          <w:p>
            <w:pPr>
              <w:pStyle w:val="TableContents"/>
              <w:spacing w:before="0" w:after="0"/>
              <w:ind w:left="0" w:right="0" w:firstLine="30"/>
              <w:rPr/>
            </w:pPr>
            <w:r>
              <w:rPr/>
              <w:t> </w:t>
            </w:r>
          </w:p>
        </w:tc>
        <w:tc>
          <w:tcPr>
            <w:tcW w:w="887" w:type="dxa"/>
            <w:gridSpan w:val="3"/>
            <w:tcBorders/>
            <w:shd w:fill="auto" w:val="clear"/>
            <w:vAlign w:val="center"/>
          </w:tcPr>
          <w:p>
            <w:pPr>
              <w:pStyle w:val="TableContents"/>
              <w:spacing w:before="0" w:after="0"/>
              <w:ind w:left="0" w:right="0" w:firstLine="30"/>
              <w:rPr/>
            </w:pPr>
            <w:r>
              <w:rPr/>
              <w:t> </w:t>
            </w:r>
          </w:p>
        </w:tc>
        <w:tc>
          <w:tcPr>
            <w:tcW w:w="852" w:type="dxa"/>
            <w:gridSpan w:val="3"/>
            <w:tcBorders/>
            <w:shd w:fill="auto" w:val="clear"/>
            <w:vAlign w:val="center"/>
          </w:tcPr>
          <w:p>
            <w:pPr>
              <w:pStyle w:val="TableContents"/>
              <w:spacing w:before="0" w:after="0"/>
              <w:ind w:left="0" w:right="0" w:firstLine="30"/>
              <w:rPr/>
            </w:pPr>
            <w:r>
              <w:rPr/>
              <w:t> </w:t>
            </w:r>
          </w:p>
        </w:tc>
      </w:tr>
      <w:tr>
        <w:trPr/>
        <w:tc>
          <w:tcPr>
            <w:tcW w:w="34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Operations and maintenance</w:t>
            </w:r>
          </w:p>
        </w:tc>
        <w:tc>
          <w:tcPr>
            <w:tcW w:w="85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9,913</w:t>
            </w:r>
          </w:p>
        </w:tc>
        <w:tc>
          <w:tcPr>
            <w:tcW w:w="3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10,922</w:t>
            </w:r>
          </w:p>
        </w:tc>
        <w:tc>
          <w:tcPr>
            <w:tcW w:w="3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0"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(1,009</w:t>
            </w:r>
          </w:p>
        </w:tc>
        <w:tc>
          <w:tcPr>
            <w:tcW w:w="232"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depletion and amortization</w:t>
            </w:r>
          </w:p>
        </w:tc>
        <w:tc>
          <w:tcPr>
            <w:tcW w:w="8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2,179</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1,935</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244</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4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852"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12,092</w:t>
            </w:r>
          </w:p>
        </w:tc>
        <w:tc>
          <w:tcPr>
            <w:tcW w:w="3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2" w:type="dxa"/>
            <w:gridSpan w:val="2"/>
            <w:tcBorders>
              <w:top w:val="single" w:sz="2" w:space="0" w:color="000000"/>
              <w:bottom w:val="single" w:sz="2"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12,857</w:t>
            </w:r>
          </w:p>
        </w:tc>
        <w:tc>
          <w:tcPr>
            <w:tcW w:w="35" w:type="dxa"/>
            <w:tcBorders>
              <w:top w:val="single" w:sz="2" w:space="0" w:color="000000"/>
              <w:bottom w:val="single" w:sz="2"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20"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(765</w:t>
            </w:r>
          </w:p>
        </w:tc>
        <w:tc>
          <w:tcPr>
            <w:tcW w:w="232" w:type="dxa"/>
            <w:tcBorders>
              <w:bottom w:val="single" w:sz="2"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rPr/>
            </w:pPr>
            <w:r>
              <w:rPr/>
              <w:t> </w:t>
            </w:r>
          </w:p>
        </w:tc>
        <w:tc>
          <w:tcPr>
            <w:tcW w:w="887" w:type="dxa"/>
            <w:gridSpan w:val="3"/>
            <w:tcBorders/>
            <w:shd w:fill="auto" w:val="clear"/>
            <w:vAlign w:val="center"/>
          </w:tcPr>
          <w:p>
            <w:pPr>
              <w:pStyle w:val="TableContents"/>
              <w:spacing w:before="0" w:after="0"/>
              <w:ind w:left="0" w:right="0" w:firstLine="30"/>
              <w:rPr/>
            </w:pPr>
            <w:r>
              <w:rPr/>
              <w:t> </w:t>
            </w:r>
          </w:p>
        </w:tc>
        <w:tc>
          <w:tcPr>
            <w:tcW w:w="887" w:type="dxa"/>
            <w:gridSpan w:val="3"/>
            <w:tcBorders/>
            <w:shd w:fill="auto" w:val="clear"/>
            <w:vAlign w:val="center"/>
          </w:tcPr>
          <w:p>
            <w:pPr>
              <w:pStyle w:val="TableContents"/>
              <w:spacing w:before="0" w:after="0"/>
              <w:ind w:left="0" w:right="0" w:firstLine="30"/>
              <w:rPr/>
            </w:pPr>
            <w:r>
              <w:rPr/>
              <w:t> </w:t>
            </w:r>
          </w:p>
        </w:tc>
        <w:tc>
          <w:tcPr>
            <w:tcW w:w="852" w:type="dxa"/>
            <w:gridSpan w:val="3"/>
            <w:tcBorders/>
            <w:shd w:fill="auto" w:val="clear"/>
            <w:vAlign w:val="center"/>
          </w:tcPr>
          <w:p>
            <w:pPr>
              <w:pStyle w:val="TableContents"/>
              <w:spacing w:before="0" w:after="0"/>
              <w:ind w:left="0" w:right="0" w:firstLine="30"/>
              <w:rPr/>
            </w:pPr>
            <w:r>
              <w:rPr/>
              <w:t> </w:t>
            </w:r>
          </w:p>
        </w:tc>
      </w:tr>
      <w:tr>
        <w:trPr/>
        <w:tc>
          <w:tcPr>
            <w:tcW w:w="347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Adjusted operating income</w:t>
            </w:r>
          </w:p>
        </w:tc>
        <w:tc>
          <w:tcPr>
            <w:tcW w:w="14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4,337</w:t>
            </w:r>
          </w:p>
        </w:tc>
        <w:tc>
          <w:tcPr>
            <w:tcW w:w="3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4,271</w:t>
            </w:r>
          </w:p>
        </w:tc>
        <w:tc>
          <w:tcPr>
            <w:tcW w:w="35"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71"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232"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t>The following table provides certain operating statistics for our Mining segment (in thousands, except for Revenue per ton):</w:t>
      </w:r>
    </w:p>
    <w:tbl>
      <w:tblPr>
        <w:tblW w:w="5555" w:type="dxa"/>
        <w:jc w:val="center"/>
        <w:tblInd w:w="0" w:type="dxa"/>
        <w:tblCellMar>
          <w:top w:w="0" w:type="dxa"/>
          <w:left w:w="0" w:type="dxa"/>
          <w:bottom w:w="0" w:type="dxa"/>
          <w:right w:w="0" w:type="dxa"/>
        </w:tblCellMar>
      </w:tblPr>
      <w:tblGrid>
        <w:gridCol w:w="2930"/>
        <w:gridCol w:w="253"/>
        <w:gridCol w:w="984"/>
        <w:gridCol w:w="60"/>
        <w:gridCol w:w="253"/>
        <w:gridCol w:w="984"/>
        <w:gridCol w:w="91"/>
      </w:tblGrid>
      <w:tr>
        <w:trPr/>
        <w:tc>
          <w:tcPr>
            <w:tcW w:w="5555" w:type="dxa"/>
            <w:gridSpan w:val="7"/>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30" w:type="dxa"/>
            <w:tcBorders/>
            <w:shd w:fill="auto" w:val="clear"/>
            <w:vAlign w:val="center"/>
          </w:tcPr>
          <w:p>
            <w:pPr>
              <w:pStyle w:val="TableContents"/>
              <w:spacing w:before="0" w:after="0"/>
              <w:ind w:left="0" w:right="0" w:firstLine="30"/>
              <w:rPr/>
            </w:pPr>
            <w:r>
              <w:rPr/>
              <w:t> </w:t>
            </w:r>
          </w:p>
        </w:tc>
        <w:tc>
          <w:tcPr>
            <w:tcW w:w="2625" w:type="dxa"/>
            <w:gridSpan w:val="6"/>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930" w:type="dxa"/>
            <w:tcBorders/>
            <w:shd w:fill="auto" w:val="clear"/>
            <w:vAlign w:val="center"/>
          </w:tcPr>
          <w:p>
            <w:pPr>
              <w:pStyle w:val="TableContents"/>
              <w:spacing w:before="0" w:after="0"/>
              <w:ind w:left="0" w:right="0" w:firstLine="30"/>
              <w:rPr/>
            </w:pPr>
            <w:r>
              <w:rPr/>
              <w:t> </w:t>
            </w:r>
          </w:p>
        </w:tc>
        <w:tc>
          <w:tcPr>
            <w:tcW w:w="12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13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r>
      <w:tr>
        <w:trPr/>
        <w:tc>
          <w:tcPr>
            <w:tcW w:w="293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Tons of coal sold</w:t>
            </w:r>
          </w:p>
        </w:tc>
        <w:tc>
          <w:tcPr>
            <w:tcW w:w="1237"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997</w:t>
            </w:r>
          </w:p>
        </w:tc>
        <w:tc>
          <w:tcPr>
            <w:tcW w:w="6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7" w:type="dxa"/>
            <w:gridSpan w:val="2"/>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1,078</w:t>
            </w:r>
          </w:p>
        </w:tc>
        <w:tc>
          <w:tcPr>
            <w:tcW w:w="91"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Cubic yards of overburden moved</w:t>
            </w:r>
          </w:p>
        </w:tc>
        <w:tc>
          <w:tcPr>
            <w:tcW w:w="12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1,994</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2,022</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0" w:type="dxa"/>
            <w:tcBorders/>
            <w:shd w:fill="CEFFE7" w:val="clear"/>
            <w:vAlign w:val="center"/>
          </w:tcPr>
          <w:p>
            <w:pPr>
              <w:pStyle w:val="TableContents"/>
              <w:spacing w:before="0" w:after="0"/>
              <w:ind w:left="0" w:right="0" w:firstLine="30"/>
              <w:rPr/>
            </w:pPr>
            <w:r>
              <w:rPr/>
              <w:t> </w:t>
            </w:r>
          </w:p>
        </w:tc>
        <w:tc>
          <w:tcPr>
            <w:tcW w:w="1297" w:type="dxa"/>
            <w:gridSpan w:val="3"/>
            <w:tcBorders/>
            <w:shd w:fill="CEFFE7" w:val="clear"/>
            <w:vAlign w:val="center"/>
          </w:tcPr>
          <w:p>
            <w:pPr>
              <w:pStyle w:val="TableContents"/>
              <w:spacing w:before="0" w:after="0"/>
              <w:ind w:left="0" w:right="0" w:firstLine="30"/>
              <w:rPr/>
            </w:pPr>
            <w:r>
              <w:rPr/>
              <w:t> </w:t>
            </w:r>
          </w:p>
        </w:tc>
        <w:tc>
          <w:tcPr>
            <w:tcW w:w="1328" w:type="dxa"/>
            <w:gridSpan w:val="3"/>
            <w:tcBorders/>
            <w:shd w:fill="CEFFE7" w:val="clear"/>
            <w:vAlign w:val="center"/>
          </w:tcPr>
          <w:p>
            <w:pPr>
              <w:pStyle w:val="TableContents"/>
              <w:spacing w:before="0" w:after="0"/>
              <w:ind w:left="0" w:right="0" w:firstLine="30"/>
              <w:rPr/>
            </w:pPr>
            <w:r>
              <w:rPr/>
              <w:t> </w:t>
            </w:r>
          </w:p>
        </w:tc>
      </w:tr>
      <w:tr>
        <w:trPr/>
        <w:tc>
          <w:tcPr>
            <w:tcW w:w="29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 per ton</w:t>
            </w:r>
          </w:p>
        </w:tc>
        <w:tc>
          <w:tcPr>
            <w:tcW w:w="2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auto" w:val="clear"/>
            <w:vAlign w:val="center"/>
          </w:tcPr>
          <w:p>
            <w:pPr>
              <w:pStyle w:val="TableContents"/>
              <w:spacing w:before="0" w:after="0"/>
              <w:jc w:val="right"/>
              <w:rPr>
                <w:rFonts w:ascii="inherit" w:hAnsi="inherit"/>
                <w:sz w:val="17"/>
              </w:rPr>
            </w:pPr>
            <w:r>
              <w:rPr>
                <w:rFonts w:ascii="inherit" w:hAnsi="inherit"/>
                <w:sz w:val="17"/>
              </w:rPr>
              <w:t>15.87</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5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auto" w:val="clear"/>
            <w:vAlign w:val="center"/>
          </w:tcPr>
          <w:p>
            <w:pPr>
              <w:pStyle w:val="TableContents"/>
              <w:spacing w:before="0" w:after="0"/>
              <w:jc w:val="right"/>
              <w:rPr>
                <w:rFonts w:ascii="inherit" w:hAnsi="inherit"/>
                <w:sz w:val="17"/>
              </w:rPr>
            </w:pPr>
            <w:r>
              <w:rPr>
                <w:rFonts w:ascii="inherit" w:hAnsi="inherit"/>
                <w:sz w:val="17"/>
              </w:rPr>
              <w:t>15.89</w:t>
            </w:r>
          </w:p>
        </w:tc>
        <w:tc>
          <w:tcPr>
            <w:tcW w:w="9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Results of Operations for Mining for the Three Months Ended March 31, 2019</w:t>
      </w:r>
      <w:r>
        <w:rPr>
          <w:sz w:val="17"/>
        </w:rPr>
        <w:t xml:space="preserve"> </w:t>
      </w:r>
      <w:r>
        <w:rPr>
          <w:rFonts w:ascii="inherit" w:hAnsi="inherit"/>
          <w:b/>
          <w:sz w:val="17"/>
        </w:rPr>
        <w:t>Compared to the Three Months Ended March 31, 2018:</w:t>
      </w:r>
      <w:r>
        <w:rPr>
          <w:sz w:val="17"/>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Current year revenue decreased due to 8%</w:t>
      </w:r>
      <w:r>
        <w:rPr>
          <w:sz w:val="17"/>
        </w:rPr>
        <w:t xml:space="preserve"> </w:t>
      </w:r>
      <w:r>
        <w:rPr>
          <w:rFonts w:ascii="inherit" w:hAnsi="inherit"/>
          <w:sz w:val="17"/>
        </w:rPr>
        <w:t>fewer tons sold driven by a planned outage at the Wyodak power plant.</w:t>
      </w:r>
      <w:r>
        <w:rPr>
          <w:sz w:val="17"/>
        </w:rPr>
        <w:t xml:space="preserve"> </w:t>
      </w:r>
      <w:r>
        <w:rPr>
          <w:rFonts w:ascii="inherit" w:hAnsi="inherit"/>
          <w:sz w:val="17"/>
        </w:rPr>
        <w:t>Operating expenses decreased primarily due to lower royalties and production taxes on decreased revenues, and lower major maintenance expenses.</w:t>
      </w:r>
      <w:r>
        <w:rPr>
          <w:sz w:val="17"/>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i/>
          <w:sz w:val="17"/>
          <w:u w:val="single"/>
        </w:rPr>
      </w:pPr>
      <w:bookmarkStart w:id="69" w:name="sB5AAC0536DA4524C8B512E27D41908C0"/>
      <w:bookmarkEnd w:id="69"/>
      <w:r>
        <w:rPr>
          <w:rFonts w:ascii="inherit" w:hAnsi="inherit"/>
          <w:i/>
          <w:sz w:val="17"/>
          <w:u w:val="single"/>
        </w:rPr>
        <w:t>Corporate and Other</w:t>
      </w:r>
    </w:p>
    <w:tbl>
      <w:tblPr>
        <w:tblW w:w="4988" w:type="dxa"/>
        <w:jc w:val="center"/>
        <w:tblInd w:w="0" w:type="dxa"/>
        <w:tblCellMar>
          <w:top w:w="0" w:type="dxa"/>
          <w:left w:w="0" w:type="dxa"/>
          <w:bottom w:w="0" w:type="dxa"/>
          <w:right w:w="0" w:type="dxa"/>
        </w:tblCellMar>
      </w:tblPr>
      <w:tblGrid>
        <w:gridCol w:w="2360"/>
        <w:gridCol w:w="159"/>
        <w:gridCol w:w="503"/>
        <w:gridCol w:w="140"/>
        <w:gridCol w:w="159"/>
        <w:gridCol w:w="694"/>
        <w:gridCol w:w="140"/>
        <w:gridCol w:w="159"/>
        <w:gridCol w:w="617"/>
        <w:gridCol w:w="57"/>
      </w:tblGrid>
      <w:tr>
        <w:trPr/>
        <w:tc>
          <w:tcPr>
            <w:tcW w:w="4988" w:type="dxa"/>
            <w:gridSpan w:val="10"/>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60" w:type="dxa"/>
            <w:tcBorders/>
            <w:shd w:fill="auto" w:val="clear"/>
            <w:vAlign w:val="center"/>
          </w:tcPr>
          <w:p>
            <w:pPr>
              <w:pStyle w:val="TableContents"/>
              <w:spacing w:before="0" w:after="0"/>
              <w:ind w:left="0" w:right="0" w:firstLine="30"/>
              <w:rPr/>
            </w:pPr>
            <w:r>
              <w:rPr/>
              <w:t> </w:t>
            </w:r>
          </w:p>
        </w:tc>
        <w:tc>
          <w:tcPr>
            <w:tcW w:w="2628"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Three Months Ended March 31,</w:t>
            </w:r>
          </w:p>
        </w:tc>
      </w:tr>
      <w:tr>
        <w:trPr/>
        <w:tc>
          <w:tcPr>
            <w:tcW w:w="2360" w:type="dxa"/>
            <w:tcBorders/>
            <w:shd w:fill="auto" w:val="clear"/>
            <w:vAlign w:val="center"/>
          </w:tcPr>
          <w:p>
            <w:pPr>
              <w:pStyle w:val="TableContents"/>
              <w:spacing w:before="0" w:after="0"/>
              <w:ind w:left="0" w:right="0" w:firstLine="30"/>
              <w:rPr/>
            </w:pPr>
            <w:r>
              <w:rPr/>
              <w:t> </w:t>
            </w:r>
          </w:p>
        </w:tc>
        <w:tc>
          <w:tcPr>
            <w:tcW w:w="8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8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2360" w:type="dxa"/>
            <w:tcBorders/>
            <w:shd w:fill="auto" w:val="clear"/>
            <w:vAlign w:val="center"/>
          </w:tcPr>
          <w:p>
            <w:pPr>
              <w:pStyle w:val="TableContents"/>
              <w:spacing w:before="0" w:after="0"/>
              <w:ind w:left="0" w:right="0" w:firstLine="30"/>
              <w:rPr/>
            </w:pPr>
            <w:r>
              <w:rPr/>
              <w:t> </w:t>
            </w:r>
          </w:p>
        </w:tc>
        <w:tc>
          <w:tcPr>
            <w:tcW w:w="2628" w:type="dxa"/>
            <w:gridSpan w:val="9"/>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 thousands)</w:t>
            </w:r>
          </w:p>
        </w:tc>
      </w:tr>
      <w:tr>
        <w:trPr/>
        <w:tc>
          <w:tcPr>
            <w:tcW w:w="2360"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Adjusted operating (loss) </w:t>
            </w:r>
            <w:r>
              <w:rPr>
                <w:rFonts w:ascii="inherit" w:hAnsi="inherit"/>
                <w:sz w:val="12"/>
              </w:rPr>
              <w:t>(a)</w:t>
            </w:r>
          </w:p>
        </w:tc>
        <w:tc>
          <w:tcPr>
            <w:tcW w:w="159"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(507</w:t>
            </w:r>
          </w:p>
        </w:tc>
        <w:tc>
          <w:tcPr>
            <w:tcW w:w="140" w:type="dxa"/>
            <w:tcBorders>
              <w:bottom w:val="double" w:sz="6"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9"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4"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(1,696</w:t>
            </w:r>
          </w:p>
        </w:tc>
        <w:tc>
          <w:tcPr>
            <w:tcW w:w="140" w:type="dxa"/>
            <w:tcBorders>
              <w:bottom w:val="double" w:sz="6" w:space="0" w:color="000000"/>
            </w:tcBorders>
            <w:shd w:fill="CEFFE7"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9" w:type="dxa"/>
            <w:tcBorders>
              <w:bottom w:val="double" w:sz="6" w:space="0" w:color="000000"/>
            </w:tcBorders>
            <w:shd w:fill="CEFFE7"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7" w:type="dxa"/>
            <w:tcBorders>
              <w:bottom w:val="double" w:sz="6"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1,189</w:t>
            </w:r>
          </w:p>
        </w:tc>
        <w:tc>
          <w:tcPr>
            <w:tcW w:w="57" w:type="dxa"/>
            <w:tcBorders>
              <w:bottom w:val="double" w:sz="6" w:space="0" w:color="000000"/>
            </w:tcBorders>
            <w:shd w:fill="CEFFE7"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rPr>
                <w:sz w:val="4"/>
                <w:szCs w:val="4"/>
              </w:rPr>
            </w:pPr>
            <w:r>
              <w:rPr>
                <w:sz w:val="4"/>
                <w:szCs w:val="4"/>
              </w:rPr>
            </w:r>
          </w:p>
        </w:tc>
        <w:tc>
          <w:tcPr>
            <w:tcW w:w="9998"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98"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Due to changes to our segment performance measure, Adjusted operating loss was recast for the three months ended March 31, 2018, which results in a change of ($0.1) million. The impact to Adjusted operating loss for the three months ended March 31, 2019 was $4.7 million. There was no impact on our consolidated Operating income.</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b/>
          <w:sz w:val="17"/>
        </w:rPr>
        <w:t>Results of Operations for Corporate and Other for the Three Months Ended March 31, 2019</w:t>
      </w:r>
      <w:r>
        <w:rPr>
          <w:sz w:val="17"/>
        </w:rPr>
        <w:t xml:space="preserve"> </w:t>
      </w:r>
      <w:r>
        <w:rPr>
          <w:rFonts w:ascii="inherit" w:hAnsi="inherit"/>
          <w:b/>
          <w:sz w:val="17"/>
        </w:rPr>
        <w:t xml:space="preserve">Compared to the Three Months Ended March 31, 2018: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variance in Adjusted operating loss was primarily due to prior year expenses related to the oil and gas segment that were not reclassified to discontinued operations.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jc w:val="right"/>
        <w:rPr>
          <w:rFonts w:ascii="inherit" w:hAnsi="inherit"/>
          <w:sz w:val="17"/>
        </w:rPr>
      </w:pPr>
      <w:r>
        <w:rPr>
          <w:rFonts w:ascii="inherit" w:hAnsi="inherit"/>
          <w:sz w:val="17"/>
        </w:rPr>
      </w:r>
      <w:bookmarkStart w:id="70" w:name="sd7388f918f1c4eb0942b54d8daaf9109"/>
      <w:bookmarkStart w:id="71" w:name="sd7388f918f1c4eb0942b54d8daaf9109"/>
      <w:bookmarkEnd w:id="71"/>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Consolidated interest expense, Other income (expense) and Income tax (expense) benefit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i/>
          <w:sz w:val="17"/>
          <w:u w:val="single"/>
        </w:rPr>
      </w:pPr>
      <w:r>
        <w:rPr>
          <w:rFonts w:ascii="inherit" w:hAnsi="inherit"/>
          <w:i/>
          <w:sz w:val="17"/>
          <w:u w:val="single"/>
        </w:rPr>
        <w:t>Interest Expense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Interest expense, net for the three months ended March 31, 2019</w:t>
      </w:r>
      <w:r>
        <w:rPr>
          <w:sz w:val="17"/>
        </w:rPr>
        <w:t xml:space="preserve"> </w:t>
      </w:r>
      <w:r>
        <w:rPr>
          <w:rFonts w:ascii="inherit" w:hAnsi="inherit"/>
          <w:sz w:val="17"/>
        </w:rPr>
        <w:t>was $35 million</w:t>
      </w:r>
      <w:r>
        <w:rPr>
          <w:sz w:val="17"/>
        </w:rPr>
        <w:t xml:space="preserve"> </w:t>
      </w:r>
      <w:r>
        <w:rPr>
          <w:rFonts w:ascii="inherit" w:hAnsi="inherit"/>
          <w:sz w:val="17"/>
        </w:rPr>
        <w:t>compared to $35 million</w:t>
      </w:r>
      <w:r>
        <w:rPr>
          <w:sz w:val="17"/>
        </w:rPr>
        <w:t xml:space="preserve"> </w:t>
      </w:r>
      <w:r>
        <w:rPr>
          <w:rFonts w:ascii="inherit" w:hAnsi="inherit"/>
          <w:sz w:val="17"/>
        </w:rPr>
        <w:t>for the same period in 2018.</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i/>
          <w:sz w:val="17"/>
          <w:u w:val="single"/>
        </w:rPr>
      </w:pPr>
      <w:r>
        <w:rPr>
          <w:rFonts w:ascii="inherit" w:hAnsi="inherit"/>
          <w:i/>
          <w:sz w:val="17"/>
          <w:u w:val="single"/>
        </w:rPr>
        <w:t>Other (Expense) Income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Other (expense) income, net for the three months ended March 31, 2019</w:t>
      </w:r>
      <w:r>
        <w:rPr>
          <w:sz w:val="17"/>
        </w:rPr>
        <w:t xml:space="preserve"> </w:t>
      </w:r>
      <w:r>
        <w:rPr>
          <w:rFonts w:ascii="inherit" w:hAnsi="inherit"/>
          <w:sz w:val="17"/>
        </w:rPr>
        <w:t>was $(0.8) million</w:t>
      </w:r>
      <w:r>
        <w:rPr>
          <w:sz w:val="17"/>
        </w:rPr>
        <w:t xml:space="preserve"> </w:t>
      </w:r>
      <w:r>
        <w:rPr>
          <w:rFonts w:ascii="inherit" w:hAnsi="inherit"/>
          <w:sz w:val="17"/>
        </w:rPr>
        <w:t>compared to $(0.1) million</w:t>
      </w:r>
      <w:r>
        <w:rPr>
          <w:sz w:val="17"/>
        </w:rPr>
        <w:t xml:space="preserve"> </w:t>
      </w:r>
      <w:r>
        <w:rPr>
          <w:rFonts w:ascii="inherit" w:hAnsi="inherit"/>
          <w:sz w:val="17"/>
        </w:rPr>
        <w:t>for the same period in 2018.</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i/>
          <w:sz w:val="17"/>
          <w:u w:val="single"/>
        </w:rPr>
      </w:pPr>
      <w:r>
        <w:rPr>
          <w:rFonts w:ascii="inherit" w:hAnsi="inherit"/>
          <w:i/>
          <w:sz w:val="17"/>
          <w:u w:val="single"/>
        </w:rPr>
        <w:t>Income Tax Benefit (Expense)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Income tax benefit (expense), net for the three months ended March 31, 2019</w:t>
      </w:r>
      <w:r>
        <w:rPr>
          <w:sz w:val="17"/>
        </w:rPr>
        <w:t xml:space="preserve"> </w:t>
      </w:r>
      <w:r>
        <w:rPr>
          <w:rFonts w:ascii="inherit" w:hAnsi="inherit"/>
          <w:sz w:val="17"/>
        </w:rPr>
        <w:t>was $(17) million</w:t>
      </w:r>
      <w:r>
        <w:rPr>
          <w:sz w:val="17"/>
        </w:rPr>
        <w:t xml:space="preserve"> </w:t>
      </w:r>
      <w:r>
        <w:rPr>
          <w:rFonts w:ascii="inherit" w:hAnsi="inherit"/>
          <w:sz w:val="17"/>
        </w:rPr>
        <w:t>compared to $26 million</w:t>
      </w:r>
      <w:r>
        <w:rPr>
          <w:sz w:val="17"/>
        </w:rPr>
        <w:t xml:space="preserve"> </w:t>
      </w:r>
      <w:r>
        <w:rPr>
          <w:rFonts w:ascii="inherit" w:hAnsi="inherit"/>
          <w:sz w:val="17"/>
        </w:rPr>
        <w:t>for the same period in 2018. The increase in tax expense was primarily due to:</w:t>
      </w:r>
    </w:p>
    <w:p>
      <w:pPr>
        <w:pStyle w:val="TextBody"/>
        <w:spacing w:lineRule="auto" w:line="288" w:before="0" w:after="0"/>
        <w:rPr>
          <w:rFonts w:ascii="inherit" w:hAnsi="inherit"/>
          <w:sz w:val="17"/>
        </w:rPr>
      </w:pPr>
      <w:r>
        <w:rPr>
          <w:rFonts w:ascii="inherit" w:hAnsi="inherit"/>
          <w:sz w:val="17"/>
        </w:rPr>
      </w:r>
    </w:p>
    <w:tbl>
      <w:tblPr>
        <w:tblW w:w="8350" w:type="dxa"/>
        <w:jc w:val="left"/>
        <w:tblInd w:w="0" w:type="dxa"/>
        <w:tblCellMar>
          <w:top w:w="0" w:type="dxa"/>
          <w:left w:w="0" w:type="dxa"/>
          <w:bottom w:w="0" w:type="dxa"/>
          <w:right w:w="0" w:type="dxa"/>
        </w:tblCellMar>
      </w:tblPr>
      <w:tblGrid>
        <w:gridCol w:w="485"/>
        <w:gridCol w:w="7865"/>
      </w:tblGrid>
      <w:tr>
        <w:trPr/>
        <w:tc>
          <w:tcPr>
            <w:tcW w:w="485" w:type="dxa"/>
            <w:tcBorders/>
            <w:shd w:fill="auto" w:val="clear"/>
            <w:vAlign w:val="center"/>
          </w:tcPr>
          <w:p>
            <w:pPr>
              <w:pStyle w:val="TableContents"/>
              <w:spacing w:before="0" w:after="283"/>
              <w:rPr>
                <w:sz w:val="4"/>
                <w:szCs w:val="4"/>
              </w:rPr>
            </w:pPr>
            <w:r>
              <w:rPr>
                <w:sz w:val="4"/>
                <w:szCs w:val="4"/>
              </w:rPr>
            </w:r>
          </w:p>
        </w:tc>
        <w:tc>
          <w:tcPr>
            <w:tcW w:w="78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865" w:type="dxa"/>
            <w:tcBorders/>
            <w:shd w:fill="auto" w:val="clear"/>
            <w:vAlign w:val="center"/>
          </w:tcPr>
          <w:p>
            <w:pPr>
              <w:pStyle w:val="TableContents"/>
              <w:spacing w:lineRule="auto" w:line="288" w:before="0" w:after="0"/>
              <w:rPr>
                <w:sz w:val="17"/>
              </w:rPr>
            </w:pPr>
            <w:r>
              <w:rPr>
                <w:rFonts w:ascii="inherit" w:hAnsi="inherit"/>
                <w:sz w:val="17"/>
              </w:rPr>
              <w:t>A prior year $49 million tax benefit resulting from</w:t>
            </w:r>
            <w:r>
              <w:rPr>
                <w:color w:val="1F497D"/>
                <w:sz w:val="17"/>
              </w:rPr>
              <w:t xml:space="preserve"> </w:t>
            </w:r>
            <w:r>
              <w:rPr>
                <w:rFonts w:ascii="inherit" w:hAnsi="inherit"/>
                <w:sz w:val="17"/>
              </w:rPr>
              <w:t>legal entity restructuring partially offset by:</w:t>
            </w:r>
          </w:p>
        </w:tc>
      </w:tr>
    </w:tbl>
    <w:p>
      <w:pPr>
        <w:pStyle w:val="TextBody"/>
        <w:spacing w:lineRule="auto" w:line="288" w:before="0" w:after="0"/>
        <w:ind w:left="0" w:right="0" w:firstLine="72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prior year $2.3 million income tax expense associated with changes in the prior estimated impact of tax reform on deferred income taxes; and</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current year $3.4 million increase in income tax benefit from forecasted federal production tax credits and state investment tax credits as well as $1.8 million of income tax benefit for deferred tax amortization related to tax reform (which is offset by reduced revenue at our utilities).</w:t>
            </w:r>
          </w:p>
        </w:tc>
      </w:tr>
    </w:tbl>
    <w:p>
      <w:pPr>
        <w:pStyle w:val="TextBody"/>
        <w:spacing w:lineRule="auto" w:line="288" w:before="0" w:after="0"/>
        <w:ind w:left="0" w:right="0" w:firstLine="144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72" w:name="sF342388E7D465D25BD6F1D1FEC976CD9"/>
      <w:bookmarkEnd w:id="72"/>
      <w:r>
        <w:rPr>
          <w:rFonts w:ascii="inherit" w:hAnsi="inherit"/>
          <w:b/>
          <w:sz w:val="17"/>
        </w:rPr>
        <w:t>Critical Accounting Estimates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There have been no material changes in our critical accounting estimates from those reported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 xml:space="preserve">Annual Report on Form 10-K filed with the SEC. For more information on our critical accounting estimates, see Part II, Item 7 of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jc w:val="right"/>
        <w:rPr>
          <w:rFonts w:ascii="inherit" w:hAnsi="inherit"/>
          <w:sz w:val="17"/>
        </w:rPr>
      </w:pPr>
      <w:r>
        <w:rPr>
          <w:rFonts w:ascii="inherit" w:hAnsi="inherit"/>
          <w:sz w:val="17"/>
        </w:rPr>
      </w:r>
      <w:bookmarkStart w:id="73" w:name="s5D180994B9F55DD5A1F0C8AEC092BC7D"/>
      <w:bookmarkStart w:id="74" w:name="s5D180994B9F55DD5A1F0C8AEC092BC7D"/>
      <w:bookmarkEnd w:id="7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Liquidity and Capital Resources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OVERVIEW</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expect an increase in working capital requirements as a result of complying with the TCJA and the impact of providing TCJA benefits to customers.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Significant Factors Affecting Liquidity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March 31, 2019, we had sufficient liquidity to cover collateral that could be required to be posted under these contracts.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Income Tax</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TCJA required revaluation of federal deferred tax assets and liabilities using the new lower corporate tax rate of 21%.</w:t>
      </w:r>
    </w:p>
    <w:p>
      <w:pPr>
        <w:pStyle w:val="TextBody"/>
        <w:spacing w:lineRule="auto" w:line="288" w:before="0" w:after="0"/>
        <w:jc w:val="left"/>
        <w:rPr>
          <w:rFonts w:ascii="inherit" w:hAnsi="inherit"/>
          <w:sz w:val="17"/>
        </w:rPr>
      </w:pPr>
      <w:r>
        <w:rPr>
          <w:rFonts w:ascii="inherit" w:hAnsi="inherit"/>
          <w:sz w:val="17"/>
        </w:rPr>
        <w:t>We have reached agreements with regulators in six states and are working with regulators in our seventh state, as well as</w:t>
      </w:r>
    </w:p>
    <w:p>
      <w:pPr>
        <w:pStyle w:val="TextBody"/>
        <w:spacing w:lineRule="auto" w:line="288" w:before="0" w:after="0"/>
        <w:jc w:val="left"/>
        <w:rPr>
          <w:rFonts w:ascii="inherit" w:hAnsi="inherit"/>
          <w:sz w:val="17"/>
        </w:rPr>
      </w:pPr>
      <w:r>
        <w:rPr>
          <w:rFonts w:ascii="inherit" w:hAnsi="inherit"/>
          <w:sz w:val="17"/>
        </w:rPr>
        <w:t xml:space="preserve">FERC regarding returning benefits to customers. Our working capital requirements increased as a result of complying with the TCJA and providing the benefits of the TCJA to customers. This will negatively impact our cash flows by approximately $40 million to $45 million per year for each of the next several years.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75" w:name="sF8E6EDEDAF3255BEB8229782F8E8B984"/>
      <w:bookmarkEnd w:id="75"/>
      <w:r>
        <w:rPr>
          <w:rFonts w:ascii="inherit" w:hAnsi="inherit"/>
          <w:b/>
          <w:sz w:val="17"/>
        </w:rPr>
        <w:t>Cash Flow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following table summarizes our cash flows for the three months ended March 31</w:t>
      </w:r>
      <w:r>
        <w:rPr>
          <w:sz w:val="17"/>
        </w:rPr>
        <w:t xml:space="preserve"> </w:t>
      </w:r>
      <w:r>
        <w:rPr>
          <w:rFonts w:ascii="inherit" w:hAnsi="inherit"/>
          <w:sz w:val="17"/>
        </w:rPr>
        <w:t>(in thousands):</w:t>
      </w:r>
    </w:p>
    <w:tbl>
      <w:tblPr>
        <w:tblW w:w="5180" w:type="dxa"/>
        <w:jc w:val="center"/>
        <w:tblInd w:w="0" w:type="dxa"/>
        <w:tblCellMar>
          <w:top w:w="0" w:type="dxa"/>
          <w:left w:w="0" w:type="dxa"/>
          <w:bottom w:w="0" w:type="dxa"/>
          <w:right w:w="0" w:type="dxa"/>
        </w:tblCellMar>
      </w:tblPr>
      <w:tblGrid>
        <w:gridCol w:w="2360"/>
        <w:gridCol w:w="125"/>
        <w:gridCol w:w="755"/>
        <w:gridCol w:w="110"/>
        <w:gridCol w:w="125"/>
        <w:gridCol w:w="695"/>
        <w:gridCol w:w="110"/>
        <w:gridCol w:w="125"/>
        <w:gridCol w:w="650"/>
        <w:gridCol w:w="125"/>
      </w:tblGrid>
      <w:tr>
        <w:trPr/>
        <w:tc>
          <w:tcPr>
            <w:tcW w:w="5180" w:type="dxa"/>
            <w:gridSpan w:val="10"/>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Cash provided by (used in):</w:t>
            </w:r>
          </w:p>
        </w:tc>
        <w:tc>
          <w:tcPr>
            <w:tcW w:w="9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9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Variance</w:t>
            </w:r>
          </w:p>
        </w:tc>
      </w:tr>
      <w:tr>
        <w:trPr/>
        <w:tc>
          <w:tcPr>
            <w:tcW w:w="23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Operating activities</w:t>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175,893</w:t>
            </w:r>
          </w:p>
        </w:tc>
        <w:tc>
          <w:tcPr>
            <w:tcW w:w="11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169,875</w:t>
            </w:r>
          </w:p>
        </w:tc>
        <w:tc>
          <w:tcPr>
            <w:tcW w:w="110"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6,018</w:t>
            </w:r>
          </w:p>
        </w:tc>
        <w:tc>
          <w:tcPr>
            <w:tcW w:w="125"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(145,027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(73,554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auto" w:val="clear"/>
            <w:vAlign w:val="center"/>
          </w:tcPr>
          <w:p>
            <w:pPr>
              <w:pStyle w:val="TableContents"/>
              <w:spacing w:before="0" w:after="0"/>
              <w:jc w:val="right"/>
              <w:rPr>
                <w:rFonts w:ascii="inherit" w:hAnsi="inherit"/>
                <w:sz w:val="17"/>
              </w:rPr>
            </w:pPr>
            <w:r>
              <w:rPr>
                <w:rFonts w:ascii="inherit" w:hAnsi="inherit"/>
                <w:sz w:val="17"/>
              </w:rPr>
              <w:t>(71,473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CEFFE7" w:val="clear"/>
            <w:vAlign w:val="center"/>
          </w:tcPr>
          <w:p>
            <w:pPr>
              <w:pStyle w:val="TableContents"/>
              <w:spacing w:before="0" w:after="0"/>
              <w:jc w:val="right"/>
              <w:rPr>
                <w:rFonts w:ascii="inherit" w:hAnsi="inherit"/>
                <w:sz w:val="17"/>
              </w:rPr>
            </w:pPr>
            <w:r>
              <w:rPr>
                <w:rFonts w:ascii="inherit" w:hAnsi="inherit"/>
                <w:sz w:val="17"/>
              </w:rPr>
              <w:t>(39,292</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EFFE7" w:val="clear"/>
            <w:vAlign w:val="center"/>
          </w:tcPr>
          <w:p>
            <w:pPr>
              <w:pStyle w:val="TableContents"/>
              <w:spacing w:before="0" w:after="0"/>
              <w:jc w:val="right"/>
              <w:rPr>
                <w:rFonts w:ascii="inherit" w:hAnsi="inherit"/>
                <w:sz w:val="17"/>
              </w:rPr>
            </w:pPr>
            <w:r>
              <w:rPr>
                <w:rFonts w:ascii="inherit" w:hAnsi="inherit"/>
                <w:sz w:val="17"/>
              </w:rPr>
              <w:t>(80,656</w:t>
            </w:r>
          </w:p>
        </w:tc>
        <w:tc>
          <w:tcPr>
            <w:tcW w:w="11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CEFFE7" w:val="clear"/>
            <w:vAlign w:val="center"/>
          </w:tcPr>
          <w:p>
            <w:pPr>
              <w:pStyle w:val="TableContents"/>
              <w:spacing w:before="0" w:after="0"/>
              <w:jc w:val="right"/>
              <w:rPr>
                <w:rFonts w:ascii="inherit" w:hAnsi="inherit"/>
                <w:sz w:val="17"/>
              </w:rPr>
            </w:pPr>
            <w:r>
              <w:rPr>
                <w:rFonts w:ascii="inherit" w:hAnsi="inherit"/>
                <w:sz w:val="17"/>
              </w:rPr>
              <w:t>41,364</w:t>
            </w:r>
          </w:p>
        </w:tc>
        <w:tc>
          <w:tcPr>
            <w:tcW w:w="125" w:type="dxa"/>
            <w:tcBorders/>
            <w:shd w:fill="CEFFE7"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b/>
          <w:sz w:val="17"/>
        </w:rPr>
        <w:t>Year-to-Date 2019</w:t>
      </w:r>
      <w:r>
        <w:rPr>
          <w:sz w:val="17"/>
        </w:rPr>
        <w:t xml:space="preserve"> </w:t>
      </w:r>
      <w:r>
        <w:rPr>
          <w:rFonts w:ascii="inherit" w:hAnsi="inherit"/>
          <w:b/>
          <w:sz w:val="17"/>
        </w:rPr>
        <w:t>Compared to Year-to-Date 2018</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Operating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Net cash provided by</w:t>
      </w:r>
      <w:r>
        <w:rPr>
          <w:sz w:val="17"/>
        </w:rPr>
        <w:t xml:space="preserve"> </w:t>
      </w:r>
      <w:r>
        <w:rPr>
          <w:rFonts w:ascii="inherit" w:hAnsi="inherit"/>
          <w:sz w:val="17"/>
        </w:rPr>
        <w:t>operating activities was $176 million</w:t>
      </w:r>
      <w:r>
        <w:rPr>
          <w:sz w:val="17"/>
        </w:rPr>
        <w:t xml:space="preserve"> </w:t>
      </w:r>
      <w:r>
        <w:rPr>
          <w:rFonts w:ascii="inherit" w:hAnsi="inherit"/>
          <w:sz w:val="17"/>
        </w:rPr>
        <w:t>for the three months ended March 31, 2019, compared to net cash provided by</w:t>
      </w:r>
      <w:r>
        <w:rPr>
          <w:sz w:val="17"/>
        </w:rPr>
        <w:t xml:space="preserve"> </w:t>
      </w:r>
      <w:r>
        <w:rPr>
          <w:rFonts w:ascii="inherit" w:hAnsi="inherit"/>
          <w:sz w:val="17"/>
        </w:rPr>
        <w:t>operating activities of $170 million</w:t>
      </w:r>
      <w:r>
        <w:rPr>
          <w:sz w:val="17"/>
        </w:rPr>
        <w:t xml:space="preserve"> </w:t>
      </w:r>
      <w:r>
        <w:rPr>
          <w:rFonts w:ascii="inherit" w:hAnsi="inherit"/>
          <w:sz w:val="17"/>
        </w:rPr>
        <w:t>for the same period in 2018</w:t>
      </w:r>
      <w:r>
        <w:rPr>
          <w:sz w:val="17"/>
        </w:rPr>
        <w:t xml:space="preserve"> </w:t>
      </w:r>
      <w:r>
        <w:rPr>
          <w:rFonts w:ascii="inherit" w:hAnsi="inherit"/>
          <w:sz w:val="17"/>
        </w:rPr>
        <w:t>for an increase of $6 million. The variance was primarily attributable to:</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Cash earnings (income from continuing operations plus non-cash adjustments) were $18 million</w:t>
            </w:r>
            <w:r>
              <w:rPr>
                <w:sz w:val="17"/>
              </w:rPr>
              <w:t xml:space="preserve"> </w:t>
            </w:r>
            <w:r>
              <w:rPr>
                <w:rFonts w:ascii="inherit" w:hAnsi="inherit"/>
                <w:sz w:val="17"/>
              </w:rPr>
              <w:t>higher for the three months ended March 31, 2019</w:t>
            </w:r>
            <w:r>
              <w:rPr>
                <w:sz w:val="17"/>
              </w:rPr>
              <w:t xml:space="preserve"> </w:t>
            </w:r>
            <w:r>
              <w:rPr>
                <w:rFonts w:ascii="inherit" w:hAnsi="inherit"/>
                <w:sz w:val="17"/>
              </w:rPr>
              <w:t>compared to the same period in the prior year;</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Net cash outflows</w:t>
            </w:r>
            <w:r>
              <w:rPr>
                <w:sz w:val="17"/>
              </w:rPr>
              <w:t xml:space="preserve"> </w:t>
            </w:r>
            <w:r>
              <w:rPr>
                <w:rFonts w:ascii="inherit" w:hAnsi="inherit"/>
                <w:sz w:val="17"/>
              </w:rPr>
              <w:t>from changes in operating assets and liabilities were $15 million</w:t>
            </w:r>
            <w:r>
              <w:rPr>
                <w:sz w:val="17"/>
              </w:rPr>
              <w:t xml:space="preserve"> </w:t>
            </w:r>
            <w:r>
              <w:rPr>
                <w:rFonts w:ascii="inherit" w:hAnsi="inherit"/>
                <w:sz w:val="17"/>
              </w:rPr>
              <w:t>for the three months ended March 31, 2019, compared to net cash outflows of $1 million</w:t>
            </w:r>
            <w:r>
              <w:rPr>
                <w:sz w:val="17"/>
              </w:rPr>
              <w:t xml:space="preserve"> </w:t>
            </w:r>
            <w:r>
              <w:rPr>
                <w:rFonts w:ascii="inherit" w:hAnsi="inherit"/>
                <w:sz w:val="17"/>
              </w:rPr>
              <w:t>in the same period in the prior year. This $14 million</w:t>
            </w:r>
            <w:r>
              <w:rPr>
                <w:sz w:val="17"/>
              </w:rPr>
              <w:t xml:space="preserve"> </w:t>
            </w:r>
            <w:r>
              <w:rPr>
                <w:rFonts w:ascii="inherit" w:hAnsi="inherit"/>
                <w:sz w:val="17"/>
              </w:rPr>
              <w:t>increase was primarily due to:</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025"/>
        <w:gridCol w:w="9180"/>
      </w:tblGrid>
      <w:tr>
        <w:trPr/>
        <w:tc>
          <w:tcPr>
            <w:tcW w:w="1025" w:type="dxa"/>
            <w:tcBorders/>
            <w:shd w:fill="auto" w:val="clear"/>
            <w:vAlign w:val="center"/>
          </w:tcPr>
          <w:p>
            <w:pPr>
              <w:pStyle w:val="TableContents"/>
              <w:spacing w:before="0" w:after="283"/>
              <w:rPr>
                <w:sz w:val="4"/>
                <w:szCs w:val="4"/>
              </w:rPr>
            </w:pPr>
            <w:r>
              <w:rPr>
                <w:sz w:val="4"/>
                <w:szCs w:val="4"/>
              </w:rPr>
            </w:r>
          </w:p>
        </w:tc>
        <w:tc>
          <w:tcPr>
            <w:tcW w:w="9180"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center"/>
          </w:tcPr>
          <w:p>
            <w:pPr>
              <w:pStyle w:val="TableContents"/>
              <w:spacing w:lineRule="auto" w:line="288" w:before="0" w:after="0"/>
              <w:ind w:left="0" w:right="0" w:firstLine="900"/>
              <w:rPr/>
            </w:pPr>
            <w:r>
              <w:rPr/>
              <w:t>◦</w:t>
            </w:r>
          </w:p>
        </w:tc>
        <w:tc>
          <w:tcPr>
            <w:tcW w:w="9180" w:type="dxa"/>
            <w:tcBorders/>
            <w:shd w:fill="auto" w:val="clear"/>
            <w:vAlign w:val="center"/>
          </w:tcPr>
          <w:p>
            <w:pPr>
              <w:pStyle w:val="TableContents"/>
              <w:spacing w:lineRule="auto" w:line="288" w:before="0" w:after="0"/>
              <w:jc w:val="left"/>
              <w:rPr>
                <w:sz w:val="17"/>
              </w:rPr>
            </w:pPr>
            <w:r>
              <w:rPr>
                <w:rFonts w:ascii="inherit" w:hAnsi="inherit"/>
                <w:sz w:val="17"/>
              </w:rPr>
              <w:t>Cash inflows increased by approximately $7 million</w:t>
            </w:r>
            <w:r>
              <w:rPr>
                <w:sz w:val="17"/>
              </w:rPr>
              <w:t xml:space="preserve"> </w:t>
            </w:r>
            <w:r>
              <w:rPr>
                <w:rFonts w:ascii="inherit" w:hAnsi="inherit"/>
                <w:sz w:val="17"/>
              </w:rPr>
              <w:t>primarily as a result of higher collections of accounts receivable, partially offset by higher materials inventory and natural gas in storage for the three months ended March 31, 2019</w:t>
            </w:r>
            <w:r>
              <w:rPr>
                <w:sz w:val="17"/>
              </w:rPr>
              <w:t xml:space="preserve"> </w:t>
            </w:r>
            <w:r>
              <w:rPr>
                <w:rFonts w:ascii="inherit" w:hAnsi="inherit"/>
                <w:sz w:val="17"/>
              </w:rPr>
              <w:t>compared to the same period in the prior year;</w:t>
            </w:r>
          </w:p>
        </w:tc>
      </w:tr>
    </w:tbl>
    <w:p>
      <w:pPr>
        <w:pStyle w:val="TextBody"/>
        <w:spacing w:lineRule="auto" w:line="288" w:before="0" w:after="0"/>
        <w:ind w:left="0" w:right="0" w:firstLine="12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025"/>
        <w:gridCol w:w="9180"/>
      </w:tblGrid>
      <w:tr>
        <w:trPr/>
        <w:tc>
          <w:tcPr>
            <w:tcW w:w="1025" w:type="dxa"/>
            <w:tcBorders/>
            <w:shd w:fill="auto" w:val="clear"/>
            <w:vAlign w:val="center"/>
          </w:tcPr>
          <w:p>
            <w:pPr>
              <w:pStyle w:val="TableContents"/>
              <w:spacing w:before="0" w:after="283"/>
              <w:rPr>
                <w:sz w:val="4"/>
                <w:szCs w:val="4"/>
              </w:rPr>
            </w:pPr>
            <w:r>
              <w:rPr>
                <w:sz w:val="4"/>
                <w:szCs w:val="4"/>
              </w:rPr>
            </w:r>
          </w:p>
        </w:tc>
        <w:tc>
          <w:tcPr>
            <w:tcW w:w="9180"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center"/>
          </w:tcPr>
          <w:p>
            <w:pPr>
              <w:pStyle w:val="TableContents"/>
              <w:spacing w:lineRule="auto" w:line="288" w:before="0" w:after="0"/>
              <w:ind w:left="0" w:right="0" w:firstLine="900"/>
              <w:rPr/>
            </w:pPr>
            <w:r>
              <w:rPr/>
              <w:t>◦</w:t>
            </w:r>
          </w:p>
        </w:tc>
        <w:tc>
          <w:tcPr>
            <w:tcW w:w="9180" w:type="dxa"/>
            <w:tcBorders/>
            <w:shd w:fill="auto" w:val="clear"/>
            <w:vAlign w:val="center"/>
          </w:tcPr>
          <w:p>
            <w:pPr>
              <w:pStyle w:val="TableContents"/>
              <w:spacing w:lineRule="auto" w:line="288" w:before="0" w:after="0"/>
              <w:jc w:val="left"/>
              <w:rPr>
                <w:sz w:val="17"/>
              </w:rPr>
            </w:pPr>
            <w:r>
              <w:rPr>
                <w:rFonts w:ascii="inherit" w:hAnsi="inherit"/>
                <w:sz w:val="17"/>
              </w:rPr>
              <w:t>Cash outflows decreased by approximately $29 million</w:t>
            </w:r>
            <w:r>
              <w:rPr>
                <w:sz w:val="17"/>
              </w:rPr>
              <w:t xml:space="preserve"> </w:t>
            </w:r>
            <w:r>
              <w:rPr>
                <w:rFonts w:ascii="inherit" w:hAnsi="inherit"/>
                <w:sz w:val="17"/>
              </w:rPr>
              <w:t>as a result of increases in accounts payable and accrued liabilities driven by working capital requirements; and</w:t>
            </w:r>
          </w:p>
        </w:tc>
      </w:tr>
    </w:tbl>
    <w:p>
      <w:pPr>
        <w:pStyle w:val="TextBody"/>
        <w:spacing w:lineRule="auto" w:line="288" w:before="0" w:after="0"/>
        <w:ind w:left="0" w:right="0" w:firstLine="12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025"/>
        <w:gridCol w:w="9180"/>
      </w:tblGrid>
      <w:tr>
        <w:trPr/>
        <w:tc>
          <w:tcPr>
            <w:tcW w:w="1025" w:type="dxa"/>
            <w:tcBorders/>
            <w:shd w:fill="auto" w:val="clear"/>
            <w:vAlign w:val="center"/>
          </w:tcPr>
          <w:p>
            <w:pPr>
              <w:pStyle w:val="TableContents"/>
              <w:spacing w:before="0" w:after="283"/>
              <w:rPr>
                <w:sz w:val="4"/>
                <w:szCs w:val="4"/>
              </w:rPr>
            </w:pPr>
            <w:r>
              <w:rPr>
                <w:sz w:val="4"/>
                <w:szCs w:val="4"/>
              </w:rPr>
            </w:r>
          </w:p>
        </w:tc>
        <w:tc>
          <w:tcPr>
            <w:tcW w:w="9180"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center"/>
          </w:tcPr>
          <w:p>
            <w:pPr>
              <w:pStyle w:val="TableContents"/>
              <w:spacing w:lineRule="auto" w:line="288" w:before="0" w:after="0"/>
              <w:ind w:left="0" w:right="0" w:firstLine="900"/>
              <w:rPr/>
            </w:pPr>
            <w:r>
              <w:rPr/>
              <w:t>◦</w:t>
            </w:r>
          </w:p>
        </w:tc>
        <w:tc>
          <w:tcPr>
            <w:tcW w:w="9180" w:type="dxa"/>
            <w:tcBorders/>
            <w:shd w:fill="auto" w:val="clear"/>
            <w:vAlign w:val="center"/>
          </w:tcPr>
          <w:p>
            <w:pPr>
              <w:pStyle w:val="TableContents"/>
              <w:spacing w:lineRule="auto" w:line="288" w:before="0" w:after="0"/>
              <w:jc w:val="left"/>
              <w:rPr>
                <w:sz w:val="17"/>
              </w:rPr>
            </w:pPr>
            <w:r>
              <w:rPr>
                <w:rFonts w:ascii="inherit" w:hAnsi="inherit"/>
                <w:sz w:val="17"/>
              </w:rPr>
              <w:t>Cash inflows decreased by approximately $53 million</w:t>
            </w:r>
            <w:r>
              <w:rPr>
                <w:sz w:val="17"/>
              </w:rPr>
              <w:t xml:space="preserve"> </w:t>
            </w:r>
            <w:r>
              <w:rPr>
                <w:rFonts w:ascii="inherit" w:hAnsi="inherit"/>
                <w:sz w:val="17"/>
              </w:rPr>
              <w:t>as a result of changes in our current regulatory assets and liabilities driven by differences in fuel cost adjustments and revenue reserved in the prior year due to the TCJA tax rate change that has subsequently been returned to customers.</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Investing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Net cash used in</w:t>
      </w:r>
      <w:r>
        <w:rPr>
          <w:sz w:val="17"/>
        </w:rPr>
        <w:t xml:space="preserve"> </w:t>
      </w:r>
      <w:r>
        <w:rPr>
          <w:rFonts w:ascii="inherit" w:hAnsi="inherit"/>
          <w:sz w:val="17"/>
        </w:rPr>
        <w:t>investing activities was $145 million</w:t>
      </w:r>
      <w:r>
        <w:rPr>
          <w:sz w:val="17"/>
        </w:rPr>
        <w:t xml:space="preserve"> </w:t>
      </w:r>
      <w:r>
        <w:rPr>
          <w:rFonts w:ascii="inherit" w:hAnsi="inherit"/>
          <w:sz w:val="17"/>
        </w:rPr>
        <w:t>for the three months ended March 31, 2019, compared to net cash used in</w:t>
      </w:r>
      <w:r>
        <w:rPr>
          <w:sz w:val="17"/>
        </w:rPr>
        <w:t xml:space="preserve"> </w:t>
      </w:r>
      <w:r>
        <w:rPr>
          <w:rFonts w:ascii="inherit" w:hAnsi="inherit"/>
          <w:sz w:val="17"/>
        </w:rPr>
        <w:t>investing activities of $74 million</w:t>
      </w:r>
      <w:r>
        <w:rPr>
          <w:sz w:val="17"/>
        </w:rPr>
        <w:t xml:space="preserve"> </w:t>
      </w:r>
      <w:r>
        <w:rPr>
          <w:rFonts w:ascii="inherit" w:hAnsi="inherit"/>
          <w:sz w:val="17"/>
        </w:rPr>
        <w:t>for the same period in 2018</w:t>
      </w:r>
      <w:r>
        <w:rPr>
          <w:sz w:val="17"/>
        </w:rPr>
        <w:t xml:space="preserve"> </w:t>
      </w:r>
      <w:r>
        <w:rPr>
          <w:rFonts w:ascii="inherit" w:hAnsi="inherit"/>
          <w:sz w:val="17"/>
        </w:rPr>
        <w:t>for a variance of $71 million. The variance was primarily attributable to:</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Capital expenditures of approximately $144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$70 million</w:t>
            </w:r>
            <w:r>
              <w:rPr>
                <w:sz w:val="17"/>
              </w:rPr>
              <w:t xml:space="preserve"> </w:t>
            </w:r>
            <w:r>
              <w:rPr>
                <w:rFonts w:ascii="inherit" w:hAnsi="inherit"/>
                <w:sz w:val="17"/>
              </w:rPr>
              <w:t>for the same period in the prior year. Higher current year expenditures are driven by the Busch Ranch II wind project at our Power Generation segment and increased programmatic spending at our Gas and Electric Utilities; and</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A $24 million investment made in the prior year partially offset by a $20 million</w:t>
            </w:r>
            <w:r>
              <w:rPr>
                <w:sz w:val="17"/>
              </w:rPr>
              <w:t xml:space="preserve"> </w:t>
            </w:r>
            <w:r>
              <w:rPr>
                <w:rFonts w:ascii="inherit" w:hAnsi="inherit"/>
                <w:sz w:val="17"/>
              </w:rPr>
              <w:t>change in net cash provided by investing activities from discontinued operations primarily due to the prior year sale of assets held for sale.</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Financing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Net cash used in</w:t>
      </w:r>
      <w:r>
        <w:rPr>
          <w:sz w:val="17"/>
        </w:rPr>
        <w:t xml:space="preserve"> </w:t>
      </w:r>
      <w:r>
        <w:rPr>
          <w:rFonts w:ascii="inherit" w:hAnsi="inherit"/>
          <w:sz w:val="17"/>
        </w:rPr>
        <w:t>financing activities for the three months ended March 31, 2019</w:t>
      </w:r>
      <w:r>
        <w:rPr>
          <w:sz w:val="17"/>
        </w:rPr>
        <w:t xml:space="preserve"> </w:t>
      </w:r>
      <w:r>
        <w:rPr>
          <w:rFonts w:ascii="inherit" w:hAnsi="inherit"/>
          <w:sz w:val="17"/>
        </w:rPr>
        <w:t>was $39 million, compared to $81 million</w:t>
      </w:r>
      <w:r>
        <w:rPr>
          <w:sz w:val="17"/>
        </w:rPr>
        <w:t xml:space="preserve"> </w:t>
      </w:r>
      <w:r>
        <w:rPr>
          <w:rFonts w:ascii="inherit" w:hAnsi="inherit"/>
          <w:sz w:val="17"/>
        </w:rPr>
        <w:t>of net cash used in</w:t>
      </w:r>
      <w:r>
        <w:rPr>
          <w:sz w:val="17"/>
        </w:rPr>
        <w:t xml:space="preserve"> </w:t>
      </w:r>
      <w:r>
        <w:rPr>
          <w:rFonts w:ascii="inherit" w:hAnsi="inherit"/>
          <w:sz w:val="17"/>
        </w:rPr>
        <w:t>financing activities for the same period in 2018</w:t>
      </w:r>
      <w:r>
        <w:rPr>
          <w:sz w:val="17"/>
        </w:rPr>
        <w:t xml:space="preserve"> </w:t>
      </w:r>
      <w:r>
        <w:rPr>
          <w:rFonts w:ascii="inherit" w:hAnsi="inherit"/>
          <w:sz w:val="17"/>
        </w:rPr>
        <w:t>for a variance of $41 million. This variance is primarily due to:</w:t>
      </w:r>
    </w:p>
    <w:p>
      <w:pPr>
        <w:pStyle w:val="TextBody"/>
        <w:spacing w:lineRule="auto" w:line="288" w:before="0" w:after="0"/>
        <w:jc w:val="left"/>
        <w:rPr>
          <w:rFonts w:ascii="inherit" w:hAnsi="inherit"/>
          <w:sz w:val="17"/>
        </w:rPr>
      </w:pPr>
      <w:r>
        <w:rPr>
          <w:rFonts w:ascii="inherit" w:hAnsi="inherit"/>
          <w:sz w:val="17"/>
        </w:rPr>
      </w:r>
    </w:p>
    <w:tbl>
      <w:tblPr>
        <w:tblW w:w="6880" w:type="dxa"/>
        <w:jc w:val="left"/>
        <w:tblInd w:w="0" w:type="dxa"/>
        <w:tblCellMar>
          <w:top w:w="0" w:type="dxa"/>
          <w:left w:w="0" w:type="dxa"/>
          <w:bottom w:w="0" w:type="dxa"/>
          <w:right w:w="0" w:type="dxa"/>
        </w:tblCellMar>
      </w:tblPr>
      <w:tblGrid>
        <w:gridCol w:w="485"/>
        <w:gridCol w:w="6395"/>
      </w:tblGrid>
      <w:tr>
        <w:trPr/>
        <w:tc>
          <w:tcPr>
            <w:tcW w:w="485" w:type="dxa"/>
            <w:tcBorders/>
            <w:shd w:fill="auto" w:val="clear"/>
            <w:vAlign w:val="center"/>
          </w:tcPr>
          <w:p>
            <w:pPr>
              <w:pStyle w:val="TableContents"/>
              <w:spacing w:before="0" w:after="283"/>
              <w:rPr>
                <w:sz w:val="4"/>
                <w:szCs w:val="4"/>
              </w:rPr>
            </w:pPr>
            <w:r>
              <w:rPr>
                <w:sz w:val="4"/>
                <w:szCs w:val="4"/>
              </w:rPr>
            </w:r>
          </w:p>
        </w:tc>
        <w:tc>
          <w:tcPr>
            <w:tcW w:w="63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3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Lower current year net repayments of short-term borrowings of $26 million;</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Current year issuance of common stock for net proceeds of approximately $20 million through our ATM equity offering program; and</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5065" w:type="dxa"/>
        <w:jc w:val="left"/>
        <w:tblInd w:w="0" w:type="dxa"/>
        <w:tblCellMar>
          <w:top w:w="0" w:type="dxa"/>
          <w:left w:w="0" w:type="dxa"/>
          <w:bottom w:w="0" w:type="dxa"/>
          <w:right w:w="0" w:type="dxa"/>
        </w:tblCellMar>
      </w:tblPr>
      <w:tblGrid>
        <w:gridCol w:w="485"/>
        <w:gridCol w:w="4580"/>
      </w:tblGrid>
      <w:tr>
        <w:trPr/>
        <w:tc>
          <w:tcPr>
            <w:tcW w:w="48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$4.9 million of higher current year dividend payments.</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jc w:val="right"/>
        <w:rPr>
          <w:rFonts w:ascii="inherit" w:hAnsi="inherit"/>
          <w:sz w:val="17"/>
        </w:rPr>
      </w:pPr>
      <w:r>
        <w:rPr>
          <w:rFonts w:ascii="inherit" w:hAnsi="inherit"/>
          <w:sz w:val="17"/>
        </w:rPr>
      </w:r>
      <w:bookmarkStart w:id="76" w:name="sC7411B8532645C37B6C702CF18FEDEBF"/>
      <w:bookmarkStart w:id="77" w:name="sC7411B8532645C37B6C702CF18FEDEBF"/>
      <w:bookmarkEnd w:id="7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Dividends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Dividends paid on our common stock totaled $30 million</w:t>
      </w:r>
      <w:r>
        <w:rPr>
          <w:sz w:val="17"/>
        </w:rPr>
        <w:t xml:space="preserve"> </w:t>
      </w:r>
      <w:r>
        <w:rPr>
          <w:rFonts w:ascii="inherit" w:hAnsi="inherit"/>
          <w:sz w:val="17"/>
        </w:rPr>
        <w:t>for the three</w:t>
      </w:r>
      <w:r>
        <w:rPr>
          <w:sz w:val="17"/>
        </w:rPr>
        <w:t xml:space="preserve"> </w:t>
      </w:r>
      <w:r>
        <w:rPr>
          <w:rFonts w:ascii="inherit" w:hAnsi="inherit"/>
          <w:sz w:val="17"/>
        </w:rPr>
        <w:t>months ended March 31, 2019, or $0.505 per share per quarter. On April 29, 2019, our board of directors declared a quarterly dividend of $0.505 per share payable June 1, 2019, equivalent to an annual dividend of $2.02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78" w:name="sD956E73DB62050C7ADB5AE588BF10BC2"/>
      <w:bookmarkEnd w:id="78"/>
      <w:r>
        <w:rPr>
          <w:rFonts w:ascii="inherit" w:hAnsi="inherit"/>
          <w:b/>
          <w:sz w:val="17"/>
        </w:rPr>
        <w:t>Debt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Financing Transactions and Short-Term Liquidity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Our principal sources to meet day-to-day operating cash requirements are cash from operations, our CP Program and our corporate Revolving Credit Facility.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Revolving Credit Facility and CP Program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On July 30, 2018, we amended and restated our corporate Revolving Credit Facility, maintaining total commitments of $750 million</w:t>
      </w:r>
      <w:r>
        <w:rPr>
          <w:sz w:val="17"/>
        </w:rPr>
        <w:t xml:space="preserve"> </w:t>
      </w:r>
      <w:r>
        <w:rPr>
          <w:rFonts w:ascii="inherit" w:hAnsi="inherit"/>
          <w:sz w:val="17"/>
        </w:rPr>
        <w:t>and extending the term through July 30, 2023</w:t>
      </w:r>
      <w:r>
        <w:rPr>
          <w:sz w:val="17"/>
        </w:rPr>
        <w:t xml:space="preserve"> </w:t>
      </w:r>
      <w:r>
        <w:rPr>
          <w:rFonts w:ascii="inherit" w:hAnsi="inherit"/>
          <w:sz w:val="17"/>
        </w:rPr>
        <w:t>with two</w:t>
      </w:r>
      <w:r>
        <w:rPr>
          <w:sz w:val="17"/>
        </w:rPr>
        <w:t xml:space="preserve"> </w:t>
      </w:r>
      <w:r>
        <w:rPr>
          <w:rFonts w:ascii="inherit" w:hAnsi="inherit"/>
          <w:sz w:val="17"/>
        </w:rPr>
        <w:t>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See Note 8</w:t>
      </w:r>
      <w:r>
        <w:rPr>
          <w:sz w:val="17"/>
        </w:rPr>
        <w:t xml:space="preserve"> </w:t>
      </w:r>
      <w:r>
        <w:rPr>
          <w:rFonts w:ascii="inherit" w:hAnsi="inherit"/>
          <w:sz w:val="17"/>
        </w:rPr>
        <w:t>for more information.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We have a $750 million, unsecured CP Program that is backstopped by the Revolving Credit Facility. Amounts outstanding under the Revolving Credit Facility and the CP Program, either individually or in the aggregate, cannot exceed $750 million. See Note 8</w:t>
      </w:r>
      <w:r>
        <w:rPr>
          <w:sz w:val="17"/>
        </w:rPr>
        <w:t xml:space="preserve"> </w:t>
      </w:r>
      <w:r>
        <w:rPr>
          <w:rFonts w:ascii="inherit" w:hAnsi="inherit"/>
          <w:sz w:val="17"/>
        </w:rPr>
        <w:t xml:space="preserve">for more information.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Revolving Credit Facility had the following borrowings, outstanding letters of credit, and available capacity (in millions):</w:t>
      </w:r>
    </w:p>
    <w:tbl>
      <w:tblPr>
        <w:tblW w:w="10205" w:type="dxa"/>
        <w:jc w:val="center"/>
        <w:tblInd w:w="0" w:type="dxa"/>
        <w:tblCellMar>
          <w:top w:w="0" w:type="dxa"/>
          <w:left w:w="0" w:type="dxa"/>
          <w:bottom w:w="0" w:type="dxa"/>
          <w:right w:w="0" w:type="dxa"/>
        </w:tblCellMar>
      </w:tblPr>
      <w:tblGrid>
        <w:gridCol w:w="1760"/>
        <w:gridCol w:w="1056"/>
        <w:gridCol w:w="192"/>
        <w:gridCol w:w="516"/>
        <w:gridCol w:w="47"/>
        <w:gridCol w:w="525"/>
        <w:gridCol w:w="1092"/>
        <w:gridCol w:w="127"/>
        <w:gridCol w:w="488"/>
        <w:gridCol w:w="1311"/>
        <w:gridCol w:w="119"/>
        <w:gridCol w:w="496"/>
        <w:gridCol w:w="798"/>
        <w:gridCol w:w="104"/>
        <w:gridCol w:w="393"/>
        <w:gridCol w:w="1033"/>
        <w:gridCol w:w="148"/>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60" w:type="dxa"/>
            <w:tcBorders/>
            <w:shd w:fill="auto" w:val="clear"/>
            <w:vAlign w:val="center"/>
          </w:tcPr>
          <w:p>
            <w:pPr>
              <w:pStyle w:val="TableContents"/>
              <w:spacing w:before="0" w:after="0"/>
              <w:ind w:left="0" w:right="0" w:firstLine="30"/>
              <w:rPr/>
            </w:pPr>
            <w:r>
              <w:rPr/>
              <w:t> </w:t>
            </w:r>
          </w:p>
        </w:tc>
        <w:tc>
          <w:tcPr>
            <w:tcW w:w="1056"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Current</w:t>
            </w:r>
          </w:p>
        </w:tc>
        <w:tc>
          <w:tcPr>
            <w:tcW w:w="174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Revolver Borrowings at</w:t>
            </w:r>
          </w:p>
        </w:tc>
        <w:tc>
          <w:tcPr>
            <w:tcW w:w="1918"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CP Program Borrowings at</w:t>
            </w:r>
          </w:p>
        </w:tc>
        <w:tc>
          <w:tcPr>
            <w:tcW w:w="1398"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Letters of Credit at</w:t>
            </w:r>
          </w:p>
        </w:tc>
        <w:tc>
          <w:tcPr>
            <w:tcW w:w="1574"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Available Capacity at</w:t>
            </w:r>
          </w:p>
        </w:tc>
      </w:tr>
      <w:tr>
        <w:trPr/>
        <w:tc>
          <w:tcPr>
            <w:tcW w:w="17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Credit Facility</w:t>
            </w:r>
          </w:p>
        </w:tc>
        <w:tc>
          <w:tcPr>
            <w:tcW w:w="105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Expiration</w:t>
            </w:r>
          </w:p>
        </w:tc>
        <w:tc>
          <w:tcPr>
            <w:tcW w:w="75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Capacity</w:t>
            </w:r>
          </w:p>
        </w:tc>
        <w:tc>
          <w:tcPr>
            <w:tcW w:w="174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March 31, 2019</w:t>
            </w:r>
          </w:p>
        </w:tc>
        <w:tc>
          <w:tcPr>
            <w:tcW w:w="19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3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15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r>
      <w:tr>
        <w:trPr/>
        <w:tc>
          <w:tcPr>
            <w:tcW w:w="176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Revolving Credit Facility</w:t>
            </w:r>
          </w:p>
        </w:tc>
        <w:tc>
          <w:tcPr>
            <w:tcW w:w="1056"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July 30, 2023</w:t>
            </w:r>
          </w:p>
        </w:tc>
        <w:tc>
          <w:tcPr>
            <w:tcW w:w="192"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1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750</w:t>
            </w:r>
          </w:p>
        </w:tc>
        <w:tc>
          <w:tcPr>
            <w:tcW w:w="4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25"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92" w:type="dxa"/>
            <w:tcBorders>
              <w:top w:val="single" w:sz="2" w:space="0" w:color="000000"/>
            </w:tcBorders>
            <w:shd w:fill="CEFFE7" w:val="clear"/>
            <w:tcMar>
              <w:top w:w="30" w:type="dxa"/>
            </w:tcMar>
            <w:vAlign w:val="center"/>
          </w:tcPr>
          <w:p>
            <w:pPr>
              <w:pStyle w:val="TableContents"/>
              <w:spacing w:before="0" w:after="0"/>
              <w:jc w:val="right"/>
              <w:rPr/>
            </w:pPr>
            <w:r>
              <w:rPr/>
              <w:t>—</w:t>
            </w:r>
          </w:p>
        </w:tc>
        <w:tc>
          <w:tcPr>
            <w:tcW w:w="127"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8"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165</w:t>
            </w:r>
          </w:p>
        </w:tc>
        <w:tc>
          <w:tcPr>
            <w:tcW w:w="119"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6"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98"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14</w:t>
            </w:r>
          </w:p>
        </w:tc>
        <w:tc>
          <w:tcPr>
            <w:tcW w:w="104" w:type="dxa"/>
            <w:tcBorders>
              <w:top w:val="single" w:sz="2" w:space="0" w:color="000000"/>
            </w:tcBorders>
            <w:shd w:fill="CEFFE7"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93"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571</w:t>
            </w:r>
          </w:p>
        </w:tc>
        <w:tc>
          <w:tcPr>
            <w:tcW w:w="148" w:type="dxa"/>
            <w:tcBorders>
              <w:top w:val="single" w:sz="2" w:space="0" w:color="000000"/>
            </w:tcBorders>
            <w:shd w:fill="CEFFE7"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weighted average interest rate on CP Program borrowings at March 31, 2019</w:t>
      </w:r>
      <w:r>
        <w:rPr>
          <w:sz w:val="17"/>
        </w:rPr>
        <w:t xml:space="preserve"> </w:t>
      </w:r>
      <w:r>
        <w:rPr>
          <w:rFonts w:ascii="inherit" w:hAnsi="inherit"/>
          <w:sz w:val="17"/>
        </w:rPr>
        <w:t>was 2.71%. Revolving Credit Facility and CP Program financing activity for the three</w:t>
      </w:r>
      <w:r>
        <w:rPr>
          <w:sz w:val="17"/>
        </w:rPr>
        <w:t xml:space="preserve"> </w:t>
      </w:r>
      <w:r>
        <w:rPr>
          <w:rFonts w:ascii="inherit" w:hAnsi="inherit"/>
          <w:sz w:val="17"/>
        </w:rPr>
        <w:t>months ended March 31, 2019</w:t>
      </w:r>
      <w:r>
        <w:rPr>
          <w:sz w:val="17"/>
        </w:rPr>
        <w:t xml:space="preserve"> </w:t>
      </w:r>
      <w:r>
        <w:rPr>
          <w:rFonts w:ascii="inherit" w:hAnsi="inherit"/>
          <w:sz w:val="17"/>
        </w:rPr>
        <w:t>was (dollars in millions):</w:t>
      </w:r>
    </w:p>
    <w:tbl>
      <w:tblPr>
        <w:tblW w:w="10205" w:type="dxa"/>
        <w:jc w:val="center"/>
        <w:tblInd w:w="0" w:type="dxa"/>
        <w:tblCellMar>
          <w:top w:w="0" w:type="dxa"/>
          <w:left w:w="0" w:type="dxa"/>
          <w:bottom w:w="0" w:type="dxa"/>
          <w:right w:w="0" w:type="dxa"/>
        </w:tblCellMar>
      </w:tblPr>
      <w:tblGrid>
        <w:gridCol w:w="6849"/>
        <w:gridCol w:w="537"/>
        <w:gridCol w:w="1440"/>
        <w:gridCol w:w="137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684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4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356" w:type="dxa"/>
            <w:gridSpan w:val="3"/>
            <w:tcBorders>
              <w:bottom w:val="single" w:sz="2" w:space="0" w:color="000000"/>
            </w:tcBorders>
            <w:shd w:fill="auto" w:val="clear"/>
            <w:tcMar>
              <w:bottom w:w="30" w:type="dxa"/>
            </w:tcMar>
            <w:vAlign w:val="center"/>
          </w:tcPr>
          <w:p>
            <w:pPr>
              <w:pStyle w:val="TableContents"/>
              <w:spacing w:before="0" w:after="0"/>
              <w:ind w:left="0" w:right="0" w:firstLine="135"/>
              <w:jc w:val="center"/>
              <w:rPr>
                <w:rFonts w:ascii="inherit" w:hAnsi="inherit"/>
                <w:sz w:val="17"/>
              </w:rPr>
            </w:pPr>
            <w:r>
              <w:rPr>
                <w:rFonts w:ascii="inherit" w:hAnsi="inherit"/>
                <w:sz w:val="17"/>
              </w:rPr>
              <w:t>For the Three Months Ended March 31, 2019</w:t>
            </w:r>
          </w:p>
        </w:tc>
      </w:tr>
      <w:tr>
        <w:trPr/>
        <w:tc>
          <w:tcPr>
            <w:tcW w:w="68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Maximum amount outstanding - commercial paper (based on daily outstanding balances)</w:t>
            </w:r>
          </w:p>
        </w:tc>
        <w:tc>
          <w:tcPr>
            <w:tcW w:w="537"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440"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237</w:t>
            </w:r>
          </w:p>
        </w:tc>
        <w:tc>
          <w:tcPr>
            <w:tcW w:w="1379" w:type="dxa"/>
            <w:tcBorders>
              <w:top w:val="single" w:sz="2" w:space="0" w:color="000000"/>
            </w:tcBorders>
            <w:shd w:fill="CEFFE7" w:val="clear"/>
            <w:tcMar>
              <w:top w:w="28" w:type="dxa"/>
            </w:tcMar>
            <w:vAlign w:val="center"/>
          </w:tcPr>
          <w:p>
            <w:pPr>
              <w:pStyle w:val="TableContents"/>
              <w:spacing w:before="0" w:after="0"/>
              <w:ind w:left="0" w:right="0" w:firstLine="135"/>
              <w:jc w:val="left"/>
              <w:rPr>
                <w:rFonts w:ascii="inherit" w:hAnsi="inherit"/>
                <w:sz w:val="17"/>
              </w:rPr>
            </w:pPr>
            <w:r>
              <w:rPr>
                <w:rFonts w:ascii="inherit" w:hAnsi="inherit"/>
                <w:sz w:val="17"/>
              </w:rPr>
            </w:r>
          </w:p>
        </w:tc>
      </w:tr>
      <w:tr>
        <w:trPr/>
        <w:tc>
          <w:tcPr>
            <w:tcW w:w="6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Maximum amount outstanding - revolving credit facility (based on daily outstanding balances)</w:t>
            </w:r>
          </w:p>
        </w:tc>
        <w:tc>
          <w:tcPr>
            <w:tcW w:w="53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0" w:type="dxa"/>
            <w:tcBorders/>
            <w:shd w:fill="auto" w:val="clear"/>
            <w:vAlign w:val="center"/>
          </w:tcPr>
          <w:p>
            <w:pPr>
              <w:pStyle w:val="TableContents"/>
              <w:spacing w:before="0" w:after="0"/>
              <w:jc w:val="right"/>
              <w:rPr/>
            </w:pPr>
            <w:r>
              <w:rPr/>
              <w:t>—</w:t>
            </w:r>
          </w:p>
        </w:tc>
        <w:tc>
          <w:tcPr>
            <w:tcW w:w="1379" w:type="dxa"/>
            <w:tcBorders/>
            <w:shd w:fill="auto" w:val="clear"/>
            <w:vAlign w:val="center"/>
          </w:tcPr>
          <w:p>
            <w:pPr>
              <w:pStyle w:val="TableContents"/>
              <w:spacing w:before="0" w:after="0"/>
              <w:ind w:left="0" w:right="0" w:firstLine="135"/>
              <w:jc w:val="left"/>
              <w:rPr>
                <w:rFonts w:ascii="inherit" w:hAnsi="inherit"/>
                <w:sz w:val="17"/>
              </w:rPr>
            </w:pPr>
            <w:r>
              <w:rPr>
                <w:rFonts w:ascii="inherit" w:hAnsi="inherit"/>
                <w:sz w:val="17"/>
              </w:rPr>
            </w:r>
          </w:p>
        </w:tc>
      </w:tr>
      <w:tr>
        <w:trPr/>
        <w:tc>
          <w:tcPr>
            <w:tcW w:w="68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Average amount outstanding - commercial paper (based on daily outstanding balances) </w:t>
            </w:r>
          </w:p>
        </w:tc>
        <w:tc>
          <w:tcPr>
            <w:tcW w:w="537" w:type="dxa"/>
            <w:tcBorders/>
            <w:shd w:fill="CEFFE7" w:val="clear"/>
            <w:vAlign w:val="center"/>
          </w:tcPr>
          <w:p>
            <w:pPr>
              <w:pStyle w:val="TableContents"/>
              <w:spacing w:before="0" w:after="0"/>
              <w:jc w:val="left"/>
              <w:rPr>
                <w:rFonts w:ascii="inherit" w:hAnsi="inherit"/>
                <w:sz w:val="17"/>
              </w:rPr>
            </w:pPr>
            <w:r>
              <w:rPr>
                <w:rFonts w:ascii="inherit" w:hAnsi="inherit"/>
                <w:sz w:val="17"/>
              </w:rPr>
              <w:t>$</w:t>
            </w:r>
          </w:p>
        </w:tc>
        <w:tc>
          <w:tcPr>
            <w:tcW w:w="1440" w:type="dxa"/>
            <w:tcBorders/>
            <w:shd w:fill="CEFFE7" w:val="clear"/>
            <w:vAlign w:val="center"/>
          </w:tcPr>
          <w:p>
            <w:pPr>
              <w:pStyle w:val="TableContents"/>
              <w:spacing w:before="0" w:after="0"/>
              <w:jc w:val="right"/>
              <w:rPr>
                <w:rFonts w:ascii="inherit" w:hAnsi="inherit"/>
                <w:sz w:val="17"/>
              </w:rPr>
            </w:pPr>
            <w:r>
              <w:rPr>
                <w:rFonts w:ascii="inherit" w:hAnsi="inherit"/>
                <w:sz w:val="17"/>
              </w:rPr>
              <w:t>172</w:t>
            </w:r>
          </w:p>
        </w:tc>
        <w:tc>
          <w:tcPr>
            <w:tcW w:w="1379" w:type="dxa"/>
            <w:tcBorders/>
            <w:shd w:fill="CEFFE7" w:val="clear"/>
            <w:vAlign w:val="center"/>
          </w:tcPr>
          <w:p>
            <w:pPr>
              <w:pStyle w:val="TableContents"/>
              <w:spacing w:before="0" w:after="0"/>
              <w:ind w:left="0" w:right="0" w:firstLine="135"/>
              <w:jc w:val="left"/>
              <w:rPr>
                <w:rFonts w:ascii="inherit" w:hAnsi="inherit"/>
                <w:sz w:val="17"/>
              </w:rPr>
            </w:pPr>
            <w:r>
              <w:rPr>
                <w:rFonts w:ascii="inherit" w:hAnsi="inherit"/>
                <w:sz w:val="17"/>
              </w:rPr>
            </w:r>
          </w:p>
        </w:tc>
      </w:tr>
      <w:tr>
        <w:trPr/>
        <w:tc>
          <w:tcPr>
            <w:tcW w:w="6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amount outstanding - revolving credit facility (based on daily outstanding balances)</w:t>
            </w:r>
          </w:p>
        </w:tc>
        <w:tc>
          <w:tcPr>
            <w:tcW w:w="53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0" w:type="dxa"/>
            <w:tcBorders/>
            <w:shd w:fill="auto" w:val="clear"/>
            <w:vAlign w:val="center"/>
          </w:tcPr>
          <w:p>
            <w:pPr>
              <w:pStyle w:val="TableContents"/>
              <w:spacing w:before="0" w:after="0"/>
              <w:jc w:val="right"/>
              <w:rPr/>
            </w:pPr>
            <w:r>
              <w:rPr/>
              <w:t>—</w:t>
            </w:r>
          </w:p>
        </w:tc>
        <w:tc>
          <w:tcPr>
            <w:tcW w:w="1379" w:type="dxa"/>
            <w:tcBorders/>
            <w:shd w:fill="auto" w:val="clear"/>
            <w:vAlign w:val="center"/>
          </w:tcPr>
          <w:p>
            <w:pPr>
              <w:pStyle w:val="TableContents"/>
              <w:spacing w:before="0" w:after="0"/>
              <w:ind w:left="0" w:right="0" w:firstLine="135"/>
              <w:jc w:val="left"/>
              <w:rPr>
                <w:rFonts w:ascii="inherit" w:hAnsi="inherit"/>
                <w:sz w:val="17"/>
              </w:rPr>
            </w:pPr>
            <w:r>
              <w:rPr>
                <w:rFonts w:ascii="inherit" w:hAnsi="inherit"/>
                <w:sz w:val="17"/>
              </w:rPr>
            </w:r>
          </w:p>
        </w:tc>
      </w:tr>
      <w:tr>
        <w:trPr/>
        <w:tc>
          <w:tcPr>
            <w:tcW w:w="6849"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Weighted average interest rates - commercial paper </w:t>
            </w:r>
          </w:p>
        </w:tc>
        <w:tc>
          <w:tcPr>
            <w:tcW w:w="1977"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2.70</w:t>
            </w:r>
          </w:p>
        </w:tc>
        <w:tc>
          <w:tcPr>
            <w:tcW w:w="1379" w:type="dxa"/>
            <w:tcBorders/>
            <w:shd w:fill="CEFFE7" w:val="clear"/>
            <w:vAlign w:val="center"/>
          </w:tcPr>
          <w:p>
            <w:pPr>
              <w:pStyle w:val="TableContents"/>
              <w:spacing w:before="0" w:after="0"/>
              <w:ind w:left="0" w:right="0" w:firstLine="135"/>
              <w:jc w:val="left"/>
              <w:rPr>
                <w:rFonts w:ascii="inherit" w:hAnsi="inherit"/>
                <w:sz w:val="17"/>
              </w:rPr>
            </w:pPr>
            <w:r>
              <w:rPr>
                <w:rFonts w:ascii="inherit" w:hAnsi="inherit"/>
                <w:sz w:val="17"/>
              </w:rPr>
              <w:t>%</w:t>
            </w:r>
          </w:p>
        </w:tc>
      </w:tr>
      <w:tr>
        <w:trPr/>
        <w:tc>
          <w:tcPr>
            <w:tcW w:w="6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Weighted average interest rates - revolving credit facility </w:t>
            </w:r>
          </w:p>
        </w:tc>
        <w:tc>
          <w:tcPr>
            <w:tcW w:w="1977" w:type="dxa"/>
            <w:gridSpan w:val="2"/>
            <w:tcBorders/>
            <w:shd w:fill="auto" w:val="clear"/>
            <w:vAlign w:val="center"/>
          </w:tcPr>
          <w:p>
            <w:pPr>
              <w:pStyle w:val="TableContents"/>
              <w:spacing w:before="0" w:after="0"/>
              <w:jc w:val="right"/>
              <w:rPr/>
            </w:pPr>
            <w:r>
              <w:rPr/>
              <w:t>—</w:t>
            </w:r>
          </w:p>
        </w:tc>
        <w:tc>
          <w:tcPr>
            <w:tcW w:w="13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and certain guarantees issued), by (ii) Capital, which is Consolidated Indebtedness plus Consolidated Net Worth (which excludes noncontrolling interests in subsidiaries.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March 31, 2019.</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Financing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Financing activities for the three</w:t>
      </w:r>
      <w:r>
        <w:rPr>
          <w:sz w:val="17"/>
        </w:rPr>
        <w:t xml:space="preserve"> </w:t>
      </w:r>
      <w:r>
        <w:rPr>
          <w:rFonts w:ascii="inherit" w:hAnsi="inherit"/>
          <w:sz w:val="17"/>
        </w:rPr>
        <w:t>months ended March 31, 2019</w:t>
      </w:r>
      <w:r>
        <w:rPr>
          <w:sz w:val="17"/>
        </w:rPr>
        <w:t xml:space="preserve"> </w:t>
      </w:r>
      <w:r>
        <w:rPr>
          <w:rFonts w:ascii="inherit" w:hAnsi="inherit"/>
          <w:sz w:val="17"/>
        </w:rPr>
        <w:t>consisted of the following:</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sz w:val="17"/>
              </w:rPr>
            </w:pPr>
            <w:r>
              <w:rPr>
                <w:rFonts w:ascii="inherit" w:hAnsi="inherit"/>
                <w:sz w:val="17"/>
              </w:rPr>
              <w:t>We issued a total of 280,497</w:t>
            </w:r>
            <w:r>
              <w:rPr>
                <w:sz w:val="17"/>
              </w:rPr>
              <w:t xml:space="preserve"> </w:t>
            </w:r>
            <w:r>
              <w:rPr>
                <w:rFonts w:ascii="inherit" w:hAnsi="inherit"/>
                <w:sz w:val="17"/>
              </w:rPr>
              <w:t>shares of common stock under the ATM equity offering program for $20 million, net of $0.2 million in commissions. As of March 31, 2019, there were no shares that were sold, but not settled.</w:t>
            </w:r>
          </w:p>
        </w:tc>
      </w:tr>
    </w:tbl>
    <w:p>
      <w:pPr>
        <w:pStyle w:val="TextBody"/>
        <w:spacing w:lineRule="auto" w:line="288" w:before="0" w:after="0"/>
        <w:jc w:val="left"/>
        <w:rPr>
          <w:rFonts w:ascii="inherit" w:hAnsi="inherit"/>
          <w:sz w:val="17"/>
        </w:rPr>
      </w:pPr>
      <w:r>
        <w:rPr>
          <w:rFonts w:ascii="inherit" w:hAnsi="inherit"/>
          <w:sz w:val="17"/>
        </w:rPr>
      </w:r>
    </w:p>
    <w:tbl>
      <w:tblPr>
        <w:tblW w:w="3940" w:type="dxa"/>
        <w:jc w:val="left"/>
        <w:tblInd w:w="0" w:type="dxa"/>
        <w:tblCellMar>
          <w:top w:w="0" w:type="dxa"/>
          <w:left w:w="0" w:type="dxa"/>
          <w:bottom w:w="0" w:type="dxa"/>
          <w:right w:w="0" w:type="dxa"/>
        </w:tblCellMar>
      </w:tblPr>
      <w:tblGrid>
        <w:gridCol w:w="125"/>
        <w:gridCol w:w="3815"/>
      </w:tblGrid>
      <w:tr>
        <w:trPr/>
        <w:tc>
          <w:tcPr>
            <w:tcW w:w="12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Short-term borrowings from our CP Program.</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Future Financing Plans</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Evaluating refinancing options for our $200 million senior notes due July 15, 2020 and the $300 million Corporate term loan due July 30, 2020.</w:t>
            </w:r>
          </w:p>
        </w:tc>
      </w:tr>
    </w:tbl>
    <w:p>
      <w:pPr>
        <w:pStyle w:val="TextBody"/>
        <w:spacing w:lineRule="auto" w:line="288" w:before="0" w:after="0"/>
        <w:ind w:left="0" w:right="0" w:firstLine="3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Continue our ATM equity offering program to issue an additional $60 to $80 million of common stock for the remainder of 2019.</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Dividend Restrictions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w:t>
      </w:r>
    </w:p>
    <w:p>
      <w:pPr>
        <w:pStyle w:val="TextBody"/>
        <w:spacing w:lineRule="auto" w:line="288" w:before="0" w:after="0"/>
        <w:jc w:val="left"/>
        <w:rPr>
          <w:sz w:val="17"/>
        </w:rPr>
      </w:pPr>
      <w:r>
        <w:rPr>
          <w:rFonts w:ascii="inherit" w:hAnsi="inherit"/>
          <w:sz w:val="17"/>
        </w:rPr>
        <w:t>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See Note 16</w:t>
      </w:r>
      <w:r>
        <w:rPr>
          <w:sz w:val="17"/>
        </w:rPr>
        <w:t xml:space="preserve"> </w:t>
      </w:r>
      <w:r>
        <w:rPr>
          <w:rFonts w:ascii="inherit" w:hAnsi="inherit"/>
          <w:sz w:val="17"/>
        </w:rPr>
        <w:t xml:space="preserve">for more information. </w:t>
      </w:r>
    </w:p>
    <w:p>
      <w:pPr>
        <w:pStyle w:val="TextBody"/>
        <w:spacing w:lineRule="auto" w:line="288" w:before="0" w:after="0"/>
        <w:jc w:val="left"/>
        <w:rPr>
          <w:rFonts w:ascii="inherit" w:hAnsi="inherit"/>
          <w:sz w:val="17"/>
        </w:rPr>
      </w:pPr>
      <w:r>
        <w:rPr>
          <w:rFonts w:ascii="inherit" w:hAnsi="inherit"/>
          <w:sz w:val="17"/>
        </w:rPr>
        <w:t xml:space="preserve">Our credit facilities and other debt obligations contain restrictions on the payment of cash dividends upon a default or event of default. An event of default would be deemed to have occurred if we did not comply with certain financial or other covenants. </w:t>
      </w:r>
    </w:p>
    <w:p>
      <w:pPr>
        <w:pStyle w:val="TextBody"/>
        <w:spacing w:lineRule="auto" w:line="288" w:before="0" w:after="0"/>
        <w:jc w:val="left"/>
        <w:rPr>
          <w:rFonts w:ascii="inherit" w:hAnsi="inherit"/>
          <w:sz w:val="17"/>
        </w:rPr>
      </w:pPr>
      <w:r>
        <w:rPr>
          <w:rFonts w:ascii="inherit" w:hAnsi="inherit"/>
          <w:sz w:val="17"/>
        </w:rPr>
        <w:t>Covenants within Wyoming Electric’s financing agreements require Wyoming Electric to maintain a debt to capitalization ratio of no more than 0.60 to 1.00. As of March 31, 2019, we were in compliance with these covenants.</w:t>
      </w:r>
    </w:p>
    <w:p>
      <w:pPr>
        <w:pStyle w:val="TextBody"/>
        <w:spacing w:lineRule="auto" w:line="288" w:before="0" w:after="0"/>
        <w:jc w:val="left"/>
        <w:rPr>
          <w:sz w:val="17"/>
        </w:rPr>
      </w:pPr>
      <w:r>
        <w:rPr>
          <w:rFonts w:ascii="inherit" w:hAnsi="inherit"/>
          <w:sz w:val="17"/>
        </w:rPr>
        <w:t xml:space="preserve">There have been no other material changes in our financing transactions and short-term liquidity from those reported in Item 7 of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 filed with the SEC.</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Credit Ratings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represents the credit ratings and outlook and risk profile of BHC at March 31, 2019:</w:t>
      </w:r>
    </w:p>
    <w:tbl>
      <w:tblPr>
        <w:tblW w:w="4575" w:type="dxa"/>
        <w:jc w:val="center"/>
        <w:tblInd w:w="0" w:type="dxa"/>
        <w:tblCellMar>
          <w:top w:w="0" w:type="dxa"/>
          <w:left w:w="0" w:type="dxa"/>
          <w:bottom w:w="0" w:type="dxa"/>
          <w:right w:w="0" w:type="dxa"/>
        </w:tblCellMar>
      </w:tblPr>
      <w:tblGrid>
        <w:gridCol w:w="1415"/>
        <w:gridCol w:w="2360"/>
        <w:gridCol w:w="800"/>
      </w:tblGrid>
      <w:tr>
        <w:trPr/>
        <w:tc>
          <w:tcPr>
            <w:tcW w:w="4575" w:type="dxa"/>
            <w:gridSpan w:val="3"/>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Rating Agency</w:t>
            </w:r>
          </w:p>
        </w:tc>
        <w:tc>
          <w:tcPr>
            <w:tcW w:w="236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Senior Unsecured Rating</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Outlook</w:t>
            </w:r>
          </w:p>
        </w:tc>
      </w:tr>
      <w:tr>
        <w:trPr/>
        <w:tc>
          <w:tcPr>
            <w:tcW w:w="141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S&amp;P </w:t>
            </w:r>
            <w:r>
              <w:rPr>
                <w:rFonts w:ascii="inherit" w:hAnsi="inherit"/>
                <w:sz w:val="12"/>
              </w:rPr>
              <w:t>(a)</w:t>
            </w:r>
          </w:p>
        </w:tc>
        <w:tc>
          <w:tcPr>
            <w:tcW w:w="2360"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BBB+</w:t>
            </w:r>
          </w:p>
        </w:tc>
        <w:tc>
          <w:tcPr>
            <w:tcW w:w="800"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Stable</w:t>
            </w:r>
          </w:p>
        </w:tc>
      </w:tr>
      <w:tr>
        <w:trPr/>
        <w:tc>
          <w:tcPr>
            <w:tcW w:w="141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Moody’s </w:t>
            </w:r>
            <w:r>
              <w:rPr>
                <w:rFonts w:ascii="inherit" w:hAnsi="inherit"/>
                <w:sz w:val="12"/>
              </w:rPr>
              <w:t>(b)</w:t>
            </w:r>
          </w:p>
        </w:tc>
        <w:tc>
          <w:tcPr>
            <w:tcW w:w="236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Baa2</w:t>
            </w:r>
          </w:p>
        </w:tc>
        <w:tc>
          <w:tcPr>
            <w:tcW w:w="8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Stable</w:t>
            </w:r>
          </w:p>
        </w:tc>
      </w:tr>
      <w:tr>
        <w:trPr/>
        <w:tc>
          <w:tcPr>
            <w:tcW w:w="141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Fitch </w:t>
            </w:r>
            <w:r>
              <w:rPr>
                <w:rFonts w:ascii="inherit" w:hAnsi="inherit"/>
                <w:sz w:val="12"/>
              </w:rPr>
              <w:t>(c)</w:t>
            </w:r>
          </w:p>
        </w:tc>
        <w:tc>
          <w:tcPr>
            <w:tcW w:w="2360" w:type="dxa"/>
            <w:tcBorders/>
            <w:shd w:fill="CEFFE7" w:val="clear"/>
            <w:vAlign w:val="center"/>
          </w:tcPr>
          <w:p>
            <w:pPr>
              <w:pStyle w:val="TableContents"/>
              <w:spacing w:before="0" w:after="0"/>
              <w:ind w:left="0" w:right="0" w:firstLine="30"/>
              <w:jc w:val="center"/>
              <w:rPr/>
            </w:pPr>
            <w:r>
              <w:rPr/>
              <w:t>  </w:t>
            </w:r>
            <w:r>
              <w:rPr>
                <w:rFonts w:ascii="inherit" w:hAnsi="inherit"/>
                <w:sz w:val="17"/>
              </w:rPr>
              <w:t>BBB+</w:t>
            </w:r>
          </w:p>
        </w:tc>
        <w:tc>
          <w:tcPr>
            <w:tcW w:w="800" w:type="dxa"/>
            <w:tcBorders/>
            <w:shd w:fill="CEFFE7" w:val="clear"/>
            <w:vAlign w:val="center"/>
          </w:tcPr>
          <w:p>
            <w:pPr>
              <w:pStyle w:val="TableContents"/>
              <w:spacing w:before="0" w:after="0"/>
              <w:jc w:val="center"/>
              <w:rPr>
                <w:rFonts w:ascii="inherit" w:hAnsi="inherit"/>
                <w:sz w:val="17"/>
              </w:rPr>
            </w:pPr>
            <w:r>
              <w:rPr>
                <w:rFonts w:ascii="inherit" w:hAnsi="inherit"/>
                <w:sz w:val="17"/>
              </w:rPr>
              <w:t>Stable</w:t>
            </w:r>
          </w:p>
        </w:tc>
      </w:tr>
    </w:tbl>
    <w:p>
      <w:pPr>
        <w:pStyle w:val="TextBody"/>
        <w:spacing w:lineRule="auto" w:line="288" w:before="0" w:after="0"/>
        <w:ind w:left="0" w:right="0" w:hanging="360"/>
        <w:jc w:val="left"/>
        <w:rPr>
          <w:rFonts w:ascii="inherit" w:hAnsi="inherit"/>
          <w:sz w:val="15"/>
        </w:rPr>
      </w:pPr>
      <w:r>
        <w:rPr>
          <w:rFonts w:ascii="inherit" w:hAnsi="inherit"/>
          <w:sz w:val="15"/>
        </w:rPr>
        <w:t>__________</w:t>
      </w:r>
    </w:p>
    <w:tbl>
      <w:tblPr>
        <w:tblW w:w="6670" w:type="dxa"/>
        <w:jc w:val="left"/>
        <w:tblInd w:w="0" w:type="dxa"/>
        <w:tblCellMar>
          <w:top w:w="0" w:type="dxa"/>
          <w:left w:w="0" w:type="dxa"/>
          <w:bottom w:w="0" w:type="dxa"/>
          <w:right w:w="0" w:type="dxa"/>
        </w:tblCellMar>
      </w:tblPr>
      <w:tblGrid>
        <w:gridCol w:w="245"/>
        <w:gridCol w:w="6425"/>
      </w:tblGrid>
      <w:tr>
        <w:trPr/>
        <w:tc>
          <w:tcPr>
            <w:tcW w:w="245" w:type="dxa"/>
            <w:tcBorders/>
            <w:shd w:fill="auto" w:val="clear"/>
            <w:vAlign w:val="center"/>
          </w:tcPr>
          <w:p>
            <w:pPr>
              <w:pStyle w:val="TableContents"/>
              <w:spacing w:before="0" w:after="283"/>
              <w:rPr>
                <w:sz w:val="4"/>
                <w:szCs w:val="4"/>
              </w:rPr>
            </w:pPr>
            <w:r>
              <w:rPr>
                <w:sz w:val="4"/>
                <w:szCs w:val="4"/>
              </w:rPr>
            </w:r>
          </w:p>
        </w:tc>
        <w:tc>
          <w:tcPr>
            <w:tcW w:w="642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642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February 28, 2019, S&amp;P affirmed our BBB+ rating and maintained a Stable outlook.</w:t>
            </w:r>
          </w:p>
        </w:tc>
      </w:tr>
    </w:tbl>
    <w:tbl>
      <w:tblPr>
        <w:tblW w:w="7030" w:type="dxa"/>
        <w:jc w:val="left"/>
        <w:tblInd w:w="0" w:type="dxa"/>
        <w:tblCellMar>
          <w:top w:w="0" w:type="dxa"/>
          <w:left w:w="0" w:type="dxa"/>
          <w:bottom w:w="0" w:type="dxa"/>
          <w:right w:w="0" w:type="dxa"/>
        </w:tblCellMar>
      </w:tblPr>
      <w:tblGrid>
        <w:gridCol w:w="245"/>
        <w:gridCol w:w="6785"/>
      </w:tblGrid>
      <w:tr>
        <w:trPr/>
        <w:tc>
          <w:tcPr>
            <w:tcW w:w="245" w:type="dxa"/>
            <w:tcBorders/>
            <w:shd w:fill="auto" w:val="clear"/>
            <w:vAlign w:val="center"/>
          </w:tcPr>
          <w:p>
            <w:pPr>
              <w:pStyle w:val="TableContents"/>
              <w:spacing w:before="0" w:after="283"/>
              <w:rPr>
                <w:sz w:val="4"/>
                <w:szCs w:val="4"/>
              </w:rPr>
            </w:pPr>
            <w:r>
              <w:rPr>
                <w:sz w:val="4"/>
                <w:szCs w:val="4"/>
              </w:rPr>
            </w:r>
          </w:p>
        </w:tc>
        <w:tc>
          <w:tcPr>
            <w:tcW w:w="678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678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December 12, 2018, Moody’s affirmed our Baa2 rating and maintained a Stable outlook.</w:t>
            </w:r>
          </w:p>
        </w:tc>
      </w:tr>
    </w:tbl>
    <w:tbl>
      <w:tblPr>
        <w:tblW w:w="6640" w:type="dxa"/>
        <w:jc w:val="left"/>
        <w:tblInd w:w="0" w:type="dxa"/>
        <w:tblCellMar>
          <w:top w:w="0" w:type="dxa"/>
          <w:left w:w="0" w:type="dxa"/>
          <w:bottom w:w="0" w:type="dxa"/>
          <w:right w:w="0" w:type="dxa"/>
        </w:tblCellMar>
      </w:tblPr>
      <w:tblGrid>
        <w:gridCol w:w="230"/>
        <w:gridCol w:w="6410"/>
      </w:tblGrid>
      <w:tr>
        <w:trPr/>
        <w:tc>
          <w:tcPr>
            <w:tcW w:w="230" w:type="dxa"/>
            <w:tcBorders/>
            <w:shd w:fill="auto" w:val="clear"/>
            <w:vAlign w:val="center"/>
          </w:tcPr>
          <w:p>
            <w:pPr>
              <w:pStyle w:val="TableContents"/>
              <w:spacing w:before="0" w:after="283"/>
              <w:rPr>
                <w:sz w:val="4"/>
                <w:szCs w:val="4"/>
              </w:rPr>
            </w:pPr>
            <w:r>
              <w:rPr>
                <w:sz w:val="4"/>
                <w:szCs w:val="4"/>
              </w:rPr>
            </w:r>
          </w:p>
        </w:tc>
        <w:tc>
          <w:tcPr>
            <w:tcW w:w="641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641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October 11, 2018, Fitch affirmed our BBB+ rating and maintained a Stable outlook.</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t>The following table represents the credit ratings of South Dakota Electric at March 31, 2019:</w:t>
      </w:r>
    </w:p>
    <w:tbl>
      <w:tblPr>
        <w:tblW w:w="3550" w:type="dxa"/>
        <w:jc w:val="center"/>
        <w:tblInd w:w="0" w:type="dxa"/>
        <w:tblCellMar>
          <w:top w:w="0" w:type="dxa"/>
          <w:left w:w="0" w:type="dxa"/>
          <w:bottom w:w="0" w:type="dxa"/>
          <w:right w:w="0" w:type="dxa"/>
        </w:tblCellMar>
      </w:tblPr>
      <w:tblGrid>
        <w:gridCol w:w="1415"/>
        <w:gridCol w:w="2135"/>
      </w:tblGrid>
      <w:tr>
        <w:trPr/>
        <w:tc>
          <w:tcPr>
            <w:tcW w:w="3550" w:type="dxa"/>
            <w:gridSpan w:val="2"/>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Rating Agency</w:t>
            </w:r>
          </w:p>
        </w:tc>
        <w:tc>
          <w:tcPr>
            <w:tcW w:w="2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Senior Secured Rating</w:t>
            </w:r>
          </w:p>
        </w:tc>
      </w:tr>
      <w:tr>
        <w:trPr/>
        <w:tc>
          <w:tcPr>
            <w:tcW w:w="141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S&amp;P </w:t>
            </w:r>
            <w:r>
              <w:rPr>
                <w:rFonts w:ascii="inherit" w:hAnsi="inherit"/>
                <w:sz w:val="12"/>
              </w:rPr>
              <w:t>(a)</w:t>
            </w:r>
          </w:p>
        </w:tc>
        <w:tc>
          <w:tcPr>
            <w:tcW w:w="2135" w:type="dxa"/>
            <w:tcBorders/>
            <w:shd w:fill="CEFFE7" w:val="clear"/>
            <w:vAlign w:val="center"/>
          </w:tcPr>
          <w:p>
            <w:pPr>
              <w:pStyle w:val="TableContents"/>
              <w:spacing w:before="0" w:after="0"/>
              <w:ind w:left="0" w:right="0" w:firstLine="30"/>
              <w:jc w:val="center"/>
              <w:rPr>
                <w:rFonts w:ascii="inherit" w:hAnsi="inherit"/>
                <w:sz w:val="17"/>
              </w:rPr>
            </w:pPr>
            <w:r>
              <w:rPr>
                <w:rFonts w:ascii="inherit" w:hAnsi="inherit"/>
                <w:sz w:val="17"/>
              </w:rPr>
              <w:t>A</w:t>
            </w:r>
          </w:p>
        </w:tc>
      </w:tr>
      <w:tr>
        <w:trPr/>
        <w:tc>
          <w:tcPr>
            <w:tcW w:w="141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Moody’s </w:t>
            </w:r>
            <w:r>
              <w:rPr>
                <w:rFonts w:ascii="inherit" w:hAnsi="inherit"/>
                <w:sz w:val="12"/>
              </w:rPr>
              <w:t>(b)</w:t>
            </w:r>
          </w:p>
        </w:tc>
        <w:tc>
          <w:tcPr>
            <w:tcW w:w="21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A1</w:t>
            </w:r>
          </w:p>
        </w:tc>
      </w:tr>
      <w:tr>
        <w:trPr/>
        <w:tc>
          <w:tcPr>
            <w:tcW w:w="1415" w:type="dxa"/>
            <w:tcBorders/>
            <w:shd w:fill="CEFFE7" w:val="clear"/>
            <w:vAlign w:val="center"/>
          </w:tcPr>
          <w:p>
            <w:pPr>
              <w:pStyle w:val="TableContents"/>
              <w:spacing w:lineRule="auto" w:line="288" w:before="0" w:after="0"/>
              <w:ind w:left="0" w:right="0" w:firstLine="30"/>
              <w:rPr>
                <w:sz w:val="17"/>
              </w:rPr>
            </w:pPr>
            <w:r>
              <w:rPr>
                <w:rFonts w:ascii="inherit" w:hAnsi="inherit"/>
                <w:sz w:val="17"/>
              </w:rPr>
              <w:t xml:space="preserve">Fitch </w:t>
            </w:r>
            <w:r>
              <w:rPr>
                <w:rFonts w:ascii="inherit" w:hAnsi="inherit"/>
                <w:sz w:val="12"/>
              </w:rPr>
              <w:t>(c)</w:t>
            </w:r>
          </w:p>
        </w:tc>
        <w:tc>
          <w:tcPr>
            <w:tcW w:w="2135" w:type="dxa"/>
            <w:tcBorders/>
            <w:shd w:fill="CEFFE7" w:val="clear"/>
            <w:vAlign w:val="center"/>
          </w:tcPr>
          <w:p>
            <w:pPr>
              <w:pStyle w:val="TableContents"/>
              <w:spacing w:before="0" w:after="0"/>
              <w:jc w:val="center"/>
              <w:rPr>
                <w:rFonts w:ascii="inherit" w:hAnsi="inherit"/>
                <w:sz w:val="17"/>
              </w:rPr>
            </w:pPr>
            <w:r>
              <w:rPr>
                <w:rFonts w:ascii="inherit" w:hAnsi="inherit"/>
                <w:sz w:val="17"/>
              </w:rPr>
              <w:t>A</w:t>
            </w:r>
          </w:p>
        </w:tc>
      </w:tr>
    </w:tbl>
    <w:p>
      <w:pPr>
        <w:pStyle w:val="TextBody"/>
        <w:spacing w:lineRule="auto" w:line="288" w:before="0" w:after="0"/>
        <w:ind w:left="0" w:right="0" w:hanging="360"/>
        <w:jc w:val="left"/>
        <w:rPr>
          <w:rFonts w:ascii="inherit" w:hAnsi="inherit"/>
          <w:sz w:val="15"/>
        </w:rPr>
      </w:pPr>
      <w:r>
        <w:rPr>
          <w:rFonts w:ascii="inherit" w:hAnsi="inherit"/>
          <w:sz w:val="15"/>
        </w:rPr>
        <w:t>__________</w:t>
      </w:r>
    </w:p>
    <w:tbl>
      <w:tblPr>
        <w:tblW w:w="3295" w:type="dxa"/>
        <w:jc w:val="left"/>
        <w:tblInd w:w="0" w:type="dxa"/>
        <w:tblCellMar>
          <w:top w:w="0" w:type="dxa"/>
          <w:left w:w="0" w:type="dxa"/>
          <w:bottom w:w="0" w:type="dxa"/>
          <w:right w:w="0" w:type="dxa"/>
        </w:tblCellMar>
      </w:tblPr>
      <w:tblGrid>
        <w:gridCol w:w="245"/>
        <w:gridCol w:w="3050"/>
      </w:tblGrid>
      <w:tr>
        <w:trPr/>
        <w:tc>
          <w:tcPr>
            <w:tcW w:w="245"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305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April 30, 2019, S&amp;P affirmed A rating.</w:t>
            </w:r>
          </w:p>
        </w:tc>
      </w:tr>
    </w:tbl>
    <w:tbl>
      <w:tblPr>
        <w:tblW w:w="4120" w:type="dxa"/>
        <w:jc w:val="left"/>
        <w:tblInd w:w="0" w:type="dxa"/>
        <w:tblCellMar>
          <w:top w:w="0" w:type="dxa"/>
          <w:left w:w="0" w:type="dxa"/>
          <w:bottom w:w="0" w:type="dxa"/>
          <w:right w:w="0" w:type="dxa"/>
        </w:tblCellMar>
      </w:tblPr>
      <w:tblGrid>
        <w:gridCol w:w="245"/>
        <w:gridCol w:w="3875"/>
      </w:tblGrid>
      <w:tr>
        <w:trPr/>
        <w:tc>
          <w:tcPr>
            <w:tcW w:w="245"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3875"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December 12, 2018, Moody’s affirmed A1 rating.</w:t>
            </w:r>
          </w:p>
        </w:tc>
      </w:tr>
    </w:tbl>
    <w:tbl>
      <w:tblPr>
        <w:tblW w:w="3580" w:type="dxa"/>
        <w:jc w:val="left"/>
        <w:tblInd w:w="0" w:type="dxa"/>
        <w:tblCellMar>
          <w:top w:w="0" w:type="dxa"/>
          <w:left w:w="0" w:type="dxa"/>
          <w:bottom w:w="0" w:type="dxa"/>
          <w:right w:w="0" w:type="dxa"/>
        </w:tblCellMar>
      </w:tblPr>
      <w:tblGrid>
        <w:gridCol w:w="230"/>
        <w:gridCol w:w="3350"/>
      </w:tblGrid>
      <w:tr>
        <w:trPr/>
        <w:tc>
          <w:tcPr>
            <w:tcW w:w="230"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335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On October 11, 2018, Fitch affirmed A rating.</w:t>
            </w:r>
          </w:p>
        </w:tc>
      </w:tr>
    </w:tbl>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jc w:val="left"/>
        <w:rPr>
          <w:rFonts w:ascii="inherit" w:hAnsi="inherit"/>
          <w:b/>
          <w:sz w:val="17"/>
        </w:rPr>
      </w:pPr>
      <w:bookmarkStart w:id="79" w:name="s93D0886A8F8E5618BB382D01720316CC"/>
      <w:bookmarkEnd w:id="79"/>
      <w:r>
        <w:rPr>
          <w:rFonts w:ascii="inherit" w:hAnsi="inherit"/>
          <w:b/>
          <w:sz w:val="17"/>
        </w:rPr>
        <w:t>Capital Requirements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Capital Expenditures</w:t>
      </w:r>
    </w:p>
    <w:tbl>
      <w:tblPr>
        <w:tblW w:w="9829" w:type="dxa"/>
        <w:jc w:val="left"/>
        <w:tblInd w:w="0" w:type="dxa"/>
        <w:tblCellMar>
          <w:top w:w="0" w:type="dxa"/>
          <w:left w:w="0" w:type="dxa"/>
          <w:bottom w:w="0" w:type="dxa"/>
          <w:right w:w="0" w:type="dxa"/>
        </w:tblCellMar>
      </w:tblPr>
      <w:tblGrid>
        <w:gridCol w:w="2900"/>
        <w:gridCol w:w="835"/>
        <w:gridCol w:w="2247"/>
        <w:gridCol w:w="207"/>
        <w:gridCol w:w="184"/>
        <w:gridCol w:w="495"/>
        <w:gridCol w:w="46"/>
        <w:gridCol w:w="184"/>
        <w:gridCol w:w="495"/>
        <w:gridCol w:w="46"/>
        <w:gridCol w:w="184"/>
        <w:gridCol w:w="495"/>
        <w:gridCol w:w="46"/>
        <w:gridCol w:w="184"/>
        <w:gridCol w:w="495"/>
        <w:gridCol w:w="46"/>
        <w:gridCol w:w="183"/>
        <w:gridCol w:w="490"/>
        <w:gridCol w:w="67"/>
      </w:tblGrid>
      <w:tr>
        <w:trPr/>
        <w:tc>
          <w:tcPr>
            <w:tcW w:w="9829" w:type="dxa"/>
            <w:gridSpan w:val="19"/>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0" w:type="dxa"/>
            <w:tcBorders/>
            <w:shd w:fill="auto" w:val="clear"/>
            <w:vAlign w:val="center"/>
          </w:tcPr>
          <w:p>
            <w:pPr>
              <w:pStyle w:val="TableContents"/>
              <w:spacing w:before="0" w:after="0"/>
              <w:ind w:left="0" w:right="0" w:firstLine="30"/>
              <w:rPr/>
            </w:pPr>
            <w:r>
              <w:rPr/>
              <w:t> </w:t>
            </w:r>
          </w:p>
        </w:tc>
        <w:tc>
          <w:tcPr>
            <w:tcW w:w="3289"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Actual</w:t>
            </w:r>
          </w:p>
        </w:tc>
        <w:tc>
          <w:tcPr>
            <w:tcW w:w="72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Planned</w:t>
            </w:r>
          </w:p>
        </w:tc>
        <w:tc>
          <w:tcPr>
            <w:tcW w:w="72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Planned</w:t>
            </w:r>
          </w:p>
        </w:tc>
        <w:tc>
          <w:tcPr>
            <w:tcW w:w="72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Planned</w:t>
            </w:r>
          </w:p>
        </w:tc>
        <w:tc>
          <w:tcPr>
            <w:tcW w:w="725"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Planned</w:t>
            </w:r>
          </w:p>
        </w:tc>
        <w:tc>
          <w:tcPr>
            <w:tcW w:w="740" w:type="dxa"/>
            <w:gridSpan w:val="3"/>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Planned</w:t>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Capital Expenditures by Segment </w:t>
            </w:r>
          </w:p>
        </w:tc>
        <w:tc>
          <w:tcPr>
            <w:tcW w:w="328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lineRule="auto" w:line="288" w:before="0" w:after="0"/>
              <w:ind w:left="0" w:right="0" w:firstLine="30"/>
              <w:jc w:val="center"/>
              <w:rPr>
                <w:sz w:val="17"/>
              </w:rPr>
            </w:pPr>
            <w:r>
              <w:rPr>
                <w:rFonts w:ascii="inherit" w:hAnsi="inherit"/>
                <w:sz w:val="17"/>
              </w:rPr>
              <w:t xml:space="preserve">Three Months Ended March 31, 2019 </w:t>
            </w:r>
            <w:r>
              <w:rPr>
                <w:rFonts w:ascii="inherit" w:hAnsi="inherit"/>
                <w:sz w:val="12"/>
              </w:rPr>
              <w:t>(a)</w:t>
            </w:r>
          </w:p>
        </w:tc>
        <w:tc>
          <w:tcPr>
            <w:tcW w:w="7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lineRule="auto" w:line="288" w:before="0" w:after="0"/>
              <w:ind w:left="0" w:right="0" w:firstLine="30"/>
              <w:jc w:val="center"/>
              <w:rPr>
                <w:sz w:val="17"/>
              </w:rPr>
            </w:pPr>
            <w:r>
              <w:rPr>
                <w:rFonts w:ascii="inherit" w:hAnsi="inherit"/>
                <w:sz w:val="17"/>
              </w:rPr>
              <w:t>2019</w:t>
            </w:r>
            <w:r>
              <w:rPr>
                <w:sz w:val="17"/>
              </w:rPr>
              <w:t> </w:t>
            </w:r>
            <w:r>
              <w:rPr>
                <w:rFonts w:ascii="inherit" w:hAnsi="inherit"/>
                <w:sz w:val="12"/>
              </w:rPr>
              <w:t>(b)</w:t>
            </w:r>
          </w:p>
        </w:tc>
        <w:tc>
          <w:tcPr>
            <w:tcW w:w="7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2020</w:t>
            </w:r>
          </w:p>
        </w:tc>
        <w:tc>
          <w:tcPr>
            <w:tcW w:w="7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2021</w:t>
            </w:r>
          </w:p>
        </w:tc>
        <w:tc>
          <w:tcPr>
            <w:tcW w:w="7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2022</w:t>
            </w:r>
          </w:p>
        </w:tc>
        <w:tc>
          <w:tcPr>
            <w:tcW w:w="74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2023</w:t>
            </w:r>
          </w:p>
        </w:tc>
      </w:tr>
      <w:tr>
        <w:trPr/>
        <w:tc>
          <w:tcPr>
            <w:tcW w:w="2900" w:type="dxa"/>
            <w:tcBorders/>
            <w:shd w:fill="CEFFE7" w:val="clear"/>
            <w:vAlign w:val="center"/>
          </w:tcPr>
          <w:p>
            <w:pPr>
              <w:pStyle w:val="TableContents"/>
              <w:spacing w:before="0" w:after="0"/>
              <w:ind w:left="0" w:right="0" w:firstLine="30"/>
              <w:jc w:val="left"/>
              <w:rPr>
                <w:rFonts w:ascii="inherit" w:hAnsi="inherit"/>
                <w:i/>
                <w:sz w:val="17"/>
              </w:rPr>
            </w:pPr>
            <w:r>
              <w:rPr>
                <w:rFonts w:ascii="inherit" w:hAnsi="inherit"/>
                <w:i/>
                <w:sz w:val="17"/>
              </w:rPr>
              <w:t>(in millions)</w:t>
            </w:r>
          </w:p>
        </w:tc>
        <w:tc>
          <w:tcPr>
            <w:tcW w:w="3289"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725"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725"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725"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725"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c>
          <w:tcPr>
            <w:tcW w:w="740" w:type="dxa"/>
            <w:gridSpan w:val="3"/>
            <w:tcBorders>
              <w:top w:val="single" w:sz="2" w:space="0" w:color="000000"/>
            </w:tcBorders>
            <w:shd w:fill="CEFFE7" w:val="clear"/>
            <w:tcMar>
              <w:top w:w="30" w:type="dxa"/>
            </w:tcMar>
            <w:vAlign w:val="center"/>
          </w:tcPr>
          <w:p>
            <w:pPr>
              <w:pStyle w:val="TableContents"/>
              <w:spacing w:before="0" w:after="0"/>
              <w:ind w:left="0" w:right="0" w:firstLine="30"/>
              <w:rPr/>
            </w:pPr>
            <w:r>
              <w:rPr/>
              <w:t> </w:t>
            </w:r>
          </w:p>
        </w:tc>
      </w:tr>
      <w:tr>
        <w:trPr/>
        <w:tc>
          <w:tcPr>
            <w:tcW w:w="290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Electric Utilities </w:t>
            </w:r>
            <w:r>
              <w:rPr>
                <w:rFonts w:ascii="inherit" w:hAnsi="inherit"/>
                <w:sz w:val="12"/>
              </w:rPr>
              <w:t>(c)</w:t>
            </w:r>
          </w:p>
        </w:tc>
        <w:tc>
          <w:tcPr>
            <w:tcW w:w="8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2247" w:type="dxa"/>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2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shd w:fill="auto" w:val="clear"/>
            <w:vAlign w:val="center"/>
          </w:tcPr>
          <w:p>
            <w:pPr>
              <w:pStyle w:val="TableContents"/>
              <w:spacing w:before="0" w:after="0"/>
              <w:jc w:val="right"/>
              <w:rPr>
                <w:rFonts w:ascii="inherit" w:hAnsi="inherit"/>
                <w:sz w:val="17"/>
              </w:rPr>
            </w:pPr>
            <w:r>
              <w:rPr>
                <w:rFonts w:ascii="inherit" w:hAnsi="inherit"/>
                <w:sz w:val="17"/>
              </w:rPr>
              <w:t>205</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shd w:fill="auto" w:val="clear"/>
            <w:vAlign w:val="center"/>
          </w:tcPr>
          <w:p>
            <w:pPr>
              <w:pStyle w:val="TableContents"/>
              <w:spacing w:before="0" w:after="0"/>
              <w:jc w:val="right"/>
              <w:rPr>
                <w:rFonts w:ascii="inherit" w:hAnsi="inherit"/>
                <w:sz w:val="17"/>
              </w:rPr>
            </w:pPr>
            <w:r>
              <w:rPr>
                <w:rFonts w:ascii="inherit" w:hAnsi="inherit"/>
                <w:sz w:val="17"/>
              </w:rPr>
              <w:t>221</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shd w:fill="auto" w:val="clear"/>
            <w:vAlign w:val="center"/>
          </w:tcPr>
          <w:p>
            <w:pPr>
              <w:pStyle w:val="TableContents"/>
              <w:spacing w:before="0" w:after="0"/>
              <w:jc w:val="right"/>
              <w:rPr>
                <w:rFonts w:ascii="inherit" w:hAnsi="inherit"/>
                <w:sz w:val="17"/>
              </w:rPr>
            </w:pPr>
            <w:r>
              <w:rPr>
                <w:rFonts w:ascii="inherit" w:hAnsi="inherit"/>
                <w:sz w:val="17"/>
              </w:rPr>
              <w:t>170</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137</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lineRule="auto" w:line="288" w:before="0" w:after="0"/>
              <w:ind w:left="0" w:right="0" w:firstLine="30"/>
              <w:jc w:val="left"/>
              <w:rPr>
                <w:sz w:val="17"/>
              </w:rPr>
            </w:pPr>
            <w:r>
              <w:rPr>
                <w:rFonts w:ascii="inherit" w:hAnsi="inherit"/>
                <w:sz w:val="17"/>
              </w:rPr>
              <w:t xml:space="preserve">Gas Utilities </w:t>
            </w:r>
            <w:r>
              <w:rPr>
                <w:rFonts w:ascii="inherit" w:hAnsi="inherit"/>
                <w:sz w:val="12"/>
              </w:rPr>
              <w:t>(c)</w:t>
            </w:r>
          </w:p>
        </w:tc>
        <w:tc>
          <w:tcPr>
            <w:tcW w:w="3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58</w:t>
            </w:r>
          </w:p>
        </w:tc>
        <w:tc>
          <w:tcPr>
            <w:tcW w:w="20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464</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323</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289</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277</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274</w:t>
            </w:r>
          </w:p>
        </w:tc>
        <w:tc>
          <w:tcPr>
            <w:tcW w:w="6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Power Generation </w:t>
            </w:r>
          </w:p>
        </w:tc>
        <w:tc>
          <w:tcPr>
            <w:tcW w:w="3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2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Mining</w:t>
            </w:r>
          </w:p>
        </w:tc>
        <w:tc>
          <w:tcPr>
            <w:tcW w:w="3082"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4</w:t>
            </w:r>
          </w:p>
        </w:tc>
        <w:tc>
          <w:tcPr>
            <w:tcW w:w="20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8</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11</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10</w:t>
            </w:r>
          </w:p>
        </w:tc>
        <w:tc>
          <w:tcPr>
            <w:tcW w:w="46"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3" w:type="dxa"/>
            <w:gridSpan w:val="2"/>
            <w:tcBorders/>
            <w:shd w:fill="CEFFE7" w:val="clear"/>
            <w:vAlign w:val="center"/>
          </w:tcPr>
          <w:p>
            <w:pPr>
              <w:pStyle w:val="TableContents"/>
              <w:spacing w:before="0" w:after="0"/>
              <w:jc w:val="right"/>
              <w:rPr>
                <w:rFonts w:ascii="inherit" w:hAnsi="inherit"/>
                <w:sz w:val="17"/>
              </w:rPr>
            </w:pPr>
            <w:r>
              <w:rPr>
                <w:rFonts w:ascii="inherit" w:hAnsi="inherit"/>
                <w:sz w:val="17"/>
              </w:rPr>
              <w:t>7</w:t>
            </w:r>
          </w:p>
        </w:tc>
        <w:tc>
          <w:tcPr>
            <w:tcW w:w="67"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and Other</w:t>
            </w:r>
          </w:p>
        </w:tc>
        <w:tc>
          <w:tcPr>
            <w:tcW w:w="30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0" w:type="dxa"/>
            <w:tcBorders/>
            <w:shd w:fill="CEFFE7" w:val="clear"/>
            <w:vAlign w:val="center"/>
          </w:tcPr>
          <w:p>
            <w:pPr>
              <w:pStyle w:val="TableContents"/>
              <w:spacing w:before="0" w:after="0"/>
              <w:ind w:left="0" w:right="0" w:firstLine="30"/>
              <w:rPr/>
            </w:pPr>
            <w:r>
              <w:rPr/>
              <w:t> </w:t>
            </w:r>
          </w:p>
        </w:tc>
        <w:tc>
          <w:tcPr>
            <w:tcW w:w="83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247"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20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777</w:t>
            </w:r>
          </w:p>
        </w:tc>
        <w:tc>
          <w:tcPr>
            <w:tcW w:w="4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582</w:t>
            </w:r>
          </w:p>
        </w:tc>
        <w:tc>
          <w:tcPr>
            <w:tcW w:w="4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519</w:t>
            </w:r>
          </w:p>
        </w:tc>
        <w:tc>
          <w:tcPr>
            <w:tcW w:w="4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5"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472</w:t>
            </w:r>
          </w:p>
        </w:tc>
        <w:tc>
          <w:tcPr>
            <w:tcW w:w="46"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top w:val="single" w:sz="2" w:space="0" w:color="000000"/>
              <w:bottom w:val="double" w:sz="6" w:space="0" w:color="000000"/>
            </w:tcBorders>
            <w:shd w:fill="CEFFE7"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429</w:t>
            </w:r>
          </w:p>
        </w:tc>
        <w:tc>
          <w:tcPr>
            <w:tcW w:w="67" w:type="dxa"/>
            <w:tcBorders>
              <w:top w:val="single" w:sz="2" w:space="0" w:color="000000"/>
              <w:bottom w:val="double" w:sz="6" w:space="0" w:color="000000"/>
            </w:tcBorders>
            <w:shd w:fill="CEFFE7"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360"/>
        <w:jc w:val="left"/>
        <w:rPr>
          <w:rFonts w:ascii="inherit" w:hAnsi="inherit"/>
          <w:sz w:val="15"/>
        </w:rPr>
      </w:pPr>
      <w:r>
        <w:rPr>
          <w:rFonts w:ascii="inherit" w:hAnsi="inherit"/>
          <w:sz w:val="15"/>
        </w:rPr>
        <w:t>__________</w:t>
      </w:r>
    </w:p>
    <w:p>
      <w:pPr>
        <w:pStyle w:val="TextBody"/>
        <w:spacing w:lineRule="auto" w:line="288" w:before="0" w:after="0"/>
        <w:jc w:val="left"/>
        <w:rPr>
          <w:sz w:val="15"/>
        </w:rPr>
      </w:pPr>
      <w:r>
        <w:rPr>
          <w:rFonts w:ascii="inherit" w:hAnsi="inherit"/>
          <w:sz w:val="15"/>
        </w:rPr>
        <w:t>(a)    Expenditures for the three months ended March 31, 2019</w:t>
      </w:r>
      <w:r>
        <w:rPr>
          <w:sz w:val="15"/>
        </w:rPr>
        <w:t xml:space="preserve"> </w:t>
      </w:r>
      <w:r>
        <w:rPr>
          <w:rFonts w:ascii="inherit" w:hAnsi="inherit"/>
          <w:sz w:val="15"/>
        </w:rPr>
        <w:t>include the impact of accruals for property, plant and equipment.</w:t>
      </w:r>
    </w:p>
    <w:p>
      <w:pPr>
        <w:pStyle w:val="TextBody"/>
        <w:spacing w:lineRule="auto" w:line="288" w:before="0" w:after="0"/>
        <w:jc w:val="left"/>
        <w:rPr>
          <w:rFonts w:ascii="inherit" w:hAnsi="inherit"/>
          <w:sz w:val="15"/>
        </w:rPr>
      </w:pPr>
      <w:r>
        <w:rPr>
          <w:rFonts w:ascii="inherit" w:hAnsi="inherit"/>
          <w:sz w:val="15"/>
        </w:rPr>
        <w:t>(b)    Includes actual capital expenditures for the three months ended March 31, 2019.</w:t>
      </w:r>
    </w:p>
    <w:p>
      <w:pPr>
        <w:pStyle w:val="TextBody"/>
        <w:spacing w:lineRule="auto" w:line="288" w:before="0" w:after="0"/>
        <w:jc w:val="left"/>
        <w:rPr>
          <w:rFonts w:ascii="inherit" w:hAnsi="inherit"/>
          <w:sz w:val="15"/>
        </w:rPr>
      </w:pPr>
      <w:r>
        <w:rPr>
          <w:rFonts w:ascii="inherit" w:hAnsi="inherit"/>
          <w:sz w:val="15"/>
        </w:rPr>
        <w:t>(c)    Planned capital expenditures increased for 2019 through 2023 primarily due to increased programmatic integrity spending.</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7"/>
        </w:rPr>
      </w:pPr>
      <w:r>
        <w:rPr>
          <w:rFonts w:ascii="inherit" w:hAnsi="inherit"/>
          <w:sz w:val="17"/>
        </w:rPr>
        <w:t>We continue to evaluate potential future acquisitions and other growth opportunities when they arise. As a result, capital expenditures may vary significantly from the estimates identified above.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80" w:name="s2BD57D7CCBB4538F9AC6DB3DEB8BB9D8"/>
      <w:bookmarkEnd w:id="80"/>
      <w:r>
        <w:rPr>
          <w:rFonts w:ascii="inherit" w:hAnsi="inherit"/>
          <w:b/>
          <w:sz w:val="17"/>
        </w:rPr>
        <w:t>Contractual Obligations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There have been no significant changes in contractual obligations from those previously disclosed in Note 19 of our Notes to the Consolidated Financial Statements in our 2018</w:t>
      </w:r>
      <w:r>
        <w:rPr>
          <w:sz w:val="17"/>
        </w:rPr>
        <w:t xml:space="preserve"> </w:t>
      </w:r>
      <w:r>
        <w:rPr>
          <w:rFonts w:ascii="inherit" w:hAnsi="inherit"/>
          <w:sz w:val="17"/>
        </w:rPr>
        <w:t>Annual Report on Form 10-K.</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81" w:name="s9BF8CBF1F0D35305AD7CDF8C62649B76"/>
      <w:bookmarkEnd w:id="81"/>
      <w:r>
        <w:rPr>
          <w:rFonts w:ascii="inherit" w:hAnsi="inherit"/>
          <w:b/>
          <w:sz w:val="17"/>
        </w:rPr>
        <w:t>Guarantees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There have been no significant changes to guarantees from those previously disclosed in Note 20 of the Notes to the Consolidated Financial Statements in our 2018</w:t>
      </w:r>
      <w:r>
        <w:rPr>
          <w:sz w:val="17"/>
        </w:rPr>
        <w:t xml:space="preserve"> </w:t>
      </w:r>
      <w:r>
        <w:rPr>
          <w:rFonts w:ascii="inherit" w:hAnsi="inherit"/>
          <w:sz w:val="17"/>
        </w:rPr>
        <w:t>Annual Report on Form 10-K.</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jc w:val="right"/>
        <w:rPr>
          <w:rFonts w:ascii="inherit" w:hAnsi="inherit"/>
          <w:sz w:val="17"/>
        </w:rPr>
      </w:pPr>
      <w:r>
        <w:rPr>
          <w:rFonts w:ascii="inherit" w:hAnsi="inherit"/>
          <w:sz w:val="17"/>
        </w:rPr>
      </w:r>
      <w:bookmarkStart w:id="82" w:name="s308A132A8D2D5F369D03ACFAB939C2AC"/>
      <w:bookmarkStart w:id="83" w:name="s308A132A8D2D5F369D03ACFAB939C2AC"/>
      <w:bookmarkEnd w:id="83"/>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New Accounting Pronouncements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Other than the pronouncements reported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 filed with the SEC and those discussed in Note 1</w:t>
      </w:r>
      <w:r>
        <w:rPr>
          <w:sz w:val="17"/>
        </w:rPr>
        <w:t xml:space="preserve"> </w:t>
      </w:r>
      <w:r>
        <w:rPr>
          <w:rFonts w:ascii="inherit" w:hAnsi="inherit"/>
          <w:sz w:val="17"/>
        </w:rPr>
        <w:t>of the Notes to Condensed Consolidated Financial Statements in this Quarterly Report on Form 10-Q, there have been no new accounting pronouncements that are expected to have a material effect on our financial position, results of operations, or cash flows.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84" w:name="s61D9AC23A5375DBF86DA6341759027BA"/>
      <w:bookmarkEnd w:id="84"/>
      <w:r>
        <w:rPr>
          <w:rFonts w:ascii="inherit" w:hAnsi="inherit"/>
          <w:b/>
          <w:sz w:val="17"/>
        </w:rPr>
        <w:t>FORWARD-LOOKING INFORMATION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w:t>
      </w:r>
      <w:r>
        <w:rPr>
          <w:rFonts w:ascii="inherit" w:hAnsi="inherit"/>
          <w:strike w:val="false"/>
          <w:dstrike w:val="false"/>
          <w:color w:val="000000"/>
          <w:sz w:val="17"/>
          <w:u w:val="none"/>
          <w:effect w:val="none"/>
        </w:rPr>
        <w:t>2018</w:t>
      </w:r>
      <w:r>
        <w:rPr>
          <w:sz w:val="17"/>
        </w:rPr>
        <w:t xml:space="preserve"> </w:t>
      </w:r>
      <w:r>
        <w:rPr>
          <w:rFonts w:ascii="inherit" w:hAnsi="inherit"/>
          <w:sz w:val="17"/>
        </w:rPr>
        <w:t xml:space="preserve">Annual Report on Form 10-K including statements contained within Item 1A - Risk Factors of our </w:t>
      </w:r>
      <w:r>
        <w:rPr>
          <w:rFonts w:ascii="inherit" w:hAnsi="inherit"/>
          <w:strike w:val="false"/>
          <w:dstrike w:val="false"/>
          <w:color w:val="000000"/>
          <w:sz w:val="17"/>
          <w:u w:val="none"/>
          <w:effect w:val="none"/>
        </w:rPr>
        <w:t>2018</w:t>
      </w:r>
      <w:r>
        <w:rPr>
          <w:sz w:val="17"/>
        </w:rPr>
        <w:t xml:space="preserve"> </w:t>
      </w:r>
      <w:r>
        <w:rPr>
          <w:rFonts w:ascii="inherit" w:hAnsi="inherit"/>
          <w:sz w:val="17"/>
        </w:rPr>
        <w:t>Annual Report on Form 10-K, Part II, Item 1A of this Quarterly Report on Form 10-Q and other reports that we file with the SEC from time to time.</w:t>
      </w:r>
    </w:p>
    <w:p>
      <w:pPr>
        <w:pStyle w:val="TextBody"/>
        <w:spacing w:lineRule="auto" w:line="288" w:before="0" w:after="0"/>
        <w:jc w:val="left"/>
        <w:rPr>
          <w:rFonts w:ascii="inherit" w:hAnsi="inherit"/>
          <w:sz w:val="17"/>
        </w:rPr>
      </w:pPr>
      <w:r>
        <w:rPr>
          <w:rFonts w:ascii="inherit" w:hAnsi="inherit"/>
          <w:sz w:val="17"/>
        </w:rPr>
      </w:r>
    </w:p>
    <w:p>
      <w:pPr>
        <w:pStyle w:val="Normal"/>
        <w:spacing w:before="0" w:after="0"/>
        <w:rPr>
          <w:sz w:val="4"/>
          <w:szCs w:val="4"/>
        </w:rPr>
      </w:pPr>
      <w:r>
        <w:rPr>
          <w:sz w:val="4"/>
          <w:szCs w:val="4"/>
        </w:rPr>
      </w:r>
      <w:bookmarkStart w:id="85" w:name="s15BC581F268E59A2A5FB04ADBF4A2512"/>
      <w:bookmarkStart w:id="86" w:name="s15BC581F268E59A2A5FB04ADBF4A2512"/>
      <w:bookmarkEnd w:id="86"/>
    </w:p>
    <w:tbl>
      <w:tblPr>
        <w:tblW w:w="7375" w:type="dxa"/>
        <w:jc w:val="left"/>
        <w:tblInd w:w="0" w:type="dxa"/>
        <w:tblCellMar>
          <w:top w:w="0" w:type="dxa"/>
          <w:left w:w="0" w:type="dxa"/>
          <w:bottom w:w="0" w:type="dxa"/>
          <w:right w:w="0" w:type="dxa"/>
        </w:tblCellMar>
      </w:tblPr>
      <w:tblGrid>
        <w:gridCol w:w="740"/>
        <w:gridCol w:w="6635"/>
      </w:tblGrid>
      <w:tr>
        <w:trPr/>
        <w:tc>
          <w:tcPr>
            <w:tcW w:w="740" w:type="dxa"/>
            <w:tcBorders/>
            <w:shd w:fill="auto" w:val="clear"/>
            <w:vAlign w:val="center"/>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740" w:type="dxa"/>
            <w:tcBorders/>
            <w:shd w:fill="auto" w:val="clear"/>
            <w:vAlign w:val="center"/>
          </w:tcPr>
          <w:p>
            <w:pPr>
              <w:pStyle w:val="TableContents"/>
              <w:spacing w:lineRule="auto" w:line="288" w:before="0" w:after="0"/>
              <w:ind w:left="0" w:right="0" w:hanging="0"/>
              <w:rPr>
                <w:rFonts w:ascii="inherit" w:hAnsi="inherit"/>
                <w:b/>
                <w:sz w:val="17"/>
              </w:rPr>
            </w:pPr>
            <w:r>
              <w:rPr>
                <w:rFonts w:ascii="inherit" w:hAnsi="inherit"/>
                <w:b/>
                <w:sz w:val="17"/>
              </w:rPr>
              <w:t>ITEM 3.</w:t>
            </w:r>
          </w:p>
        </w:tc>
        <w:tc>
          <w:tcPr>
            <w:tcW w:w="6635" w:type="dxa"/>
            <w:tcBorders/>
            <w:shd w:fill="auto" w:val="clear"/>
            <w:vAlign w:val="center"/>
          </w:tcPr>
          <w:p>
            <w:pPr>
              <w:pStyle w:val="TableContents"/>
              <w:spacing w:lineRule="auto" w:line="288" w:before="0" w:after="0"/>
              <w:jc w:val="left"/>
              <w:rPr>
                <w:rFonts w:ascii="inherit" w:hAnsi="inherit"/>
                <w:b/>
                <w:sz w:val="17"/>
              </w:rPr>
            </w:pPr>
            <w:r>
              <w:rPr>
                <w:rFonts w:ascii="inherit" w:hAnsi="inherit"/>
                <w:b/>
                <w:sz w:val="17"/>
              </w:rPr>
              <w:t>QUANTITATIVE AND QUALITATIVE DISCLOSURES ABOUT MARKET RISK</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87" w:name="s2D399380586D532DBF826EDEB83CF1BF"/>
      <w:bookmarkEnd w:id="87"/>
      <w:r>
        <w:rPr>
          <w:rFonts w:ascii="inherit" w:hAnsi="inherit"/>
          <w:b/>
          <w:sz w:val="17"/>
        </w:rPr>
        <w:t>Utilities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We also reduce the commodity price risk in the unregulated area of our business by using over-the-counter and exchange traded options and swaps with counterparties in anticipation of forecasted purchases and/or sales. The fair value of our utilities’ derivative contracts is summarized below (in thousands) as of:</w:t>
      </w:r>
    </w:p>
    <w:tbl>
      <w:tblPr>
        <w:tblW w:w="8551" w:type="dxa"/>
        <w:jc w:val="center"/>
        <w:tblInd w:w="0" w:type="dxa"/>
        <w:tblCellMar>
          <w:top w:w="0" w:type="dxa"/>
          <w:left w:w="0" w:type="dxa"/>
          <w:bottom w:w="0" w:type="dxa"/>
          <w:right w:w="0" w:type="dxa"/>
        </w:tblCellMar>
      </w:tblPr>
      <w:tblGrid>
        <w:gridCol w:w="4025"/>
        <w:gridCol w:w="211"/>
        <w:gridCol w:w="924"/>
        <w:gridCol w:w="189"/>
        <w:gridCol w:w="90"/>
        <w:gridCol w:w="269"/>
        <w:gridCol w:w="1176"/>
        <w:gridCol w:w="238"/>
        <w:gridCol w:w="90"/>
        <w:gridCol w:w="170"/>
        <w:gridCol w:w="741"/>
        <w:gridCol w:w="428"/>
      </w:tblGrid>
      <w:tr>
        <w:trPr/>
        <w:tc>
          <w:tcPr>
            <w:tcW w:w="8551" w:type="dxa"/>
            <w:gridSpan w:val="12"/>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5" w:type="dxa"/>
            <w:tcBorders/>
            <w:shd w:fill="auto" w:val="clear"/>
            <w:vAlign w:val="center"/>
          </w:tcPr>
          <w:p>
            <w:pPr>
              <w:pStyle w:val="TableContents"/>
              <w:spacing w:before="0" w:after="0"/>
              <w:ind w:left="0" w:right="0" w:firstLine="30"/>
              <w:rPr/>
            </w:pPr>
            <w:r>
              <w:rPr/>
              <w:t> </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December 31, 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March 31, 2018</w:t>
            </w:r>
          </w:p>
        </w:tc>
      </w:tr>
      <w:tr>
        <w:trPr/>
        <w:tc>
          <w:tcPr>
            <w:tcW w:w="40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Net derivative (liabilities) assets</w:t>
            </w:r>
          </w:p>
        </w:tc>
        <w:tc>
          <w:tcPr>
            <w:tcW w:w="211"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(2,203</w:t>
            </w:r>
          </w:p>
        </w:tc>
        <w:tc>
          <w:tcPr>
            <w:tcW w:w="189"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269"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(2,214</w:t>
            </w:r>
          </w:p>
        </w:tc>
        <w:tc>
          <w:tcPr>
            <w:tcW w:w="238"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EFFE7" w:val="clear"/>
            <w:vAlign w:val="center"/>
          </w:tcPr>
          <w:p>
            <w:pPr>
              <w:pStyle w:val="TableContents"/>
              <w:spacing w:before="0" w:after="0"/>
              <w:ind w:left="0" w:right="0" w:firstLine="30"/>
              <w:rPr/>
            </w:pPr>
            <w:r>
              <w:rPr/>
              <w:t> </w:t>
            </w:r>
          </w:p>
        </w:tc>
        <w:tc>
          <w:tcPr>
            <w:tcW w:w="170" w:type="dxa"/>
            <w:tcBorders>
              <w:top w:val="single" w:sz="2" w:space="0" w:color="000000"/>
            </w:tcBorders>
            <w:shd w:fill="CEFFE7"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41" w:type="dxa"/>
            <w:tcBorders>
              <w:top w:val="single" w:sz="2" w:space="0" w:color="000000"/>
            </w:tcBorders>
            <w:shd w:fill="CEFFE7" w:val="clear"/>
            <w:tcMar>
              <w:top w:w="30" w:type="dxa"/>
            </w:tcMar>
            <w:vAlign w:val="center"/>
          </w:tcPr>
          <w:p>
            <w:pPr>
              <w:pStyle w:val="TableContents"/>
              <w:spacing w:before="0" w:after="0"/>
              <w:jc w:val="right"/>
              <w:rPr>
                <w:rFonts w:ascii="inherit" w:hAnsi="inherit"/>
                <w:sz w:val="17"/>
              </w:rPr>
            </w:pPr>
            <w:r>
              <w:rPr>
                <w:rFonts w:ascii="inherit" w:hAnsi="inherit"/>
                <w:sz w:val="17"/>
              </w:rPr>
              <w:t>(6,002</w:t>
            </w:r>
          </w:p>
        </w:tc>
        <w:tc>
          <w:tcPr>
            <w:tcW w:w="428" w:type="dxa"/>
            <w:tcBorders>
              <w:top w:val="single" w:sz="2" w:space="0" w:color="000000"/>
            </w:tcBorders>
            <w:shd w:fill="CEFFE7"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collateral offset in Derivatives</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3,621</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4,386</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5,078</w:t>
            </w:r>
          </w:p>
        </w:tc>
        <w:tc>
          <w:tcPr>
            <w:tcW w:w="4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CEFFE7" w:val="clear"/>
            <w:vAlign w:val="center"/>
          </w:tcPr>
          <w:p>
            <w:pPr>
              <w:pStyle w:val="TableContents"/>
              <w:spacing w:before="0" w:after="0"/>
              <w:ind w:left="0" w:right="0" w:firstLine="30"/>
              <w:jc w:val="left"/>
              <w:rPr>
                <w:rFonts w:ascii="inherit" w:hAnsi="inherit"/>
                <w:sz w:val="17"/>
              </w:rPr>
            </w:pPr>
            <w:r>
              <w:rPr>
                <w:rFonts w:ascii="inherit" w:hAnsi="inherit"/>
                <w:sz w:val="17"/>
              </w:rPr>
              <w:t>Cash collateral included in Other current assets</w:t>
            </w:r>
          </w:p>
        </w:tc>
        <w:tc>
          <w:tcPr>
            <w:tcW w:w="113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1,717</w:t>
            </w:r>
          </w:p>
        </w:tc>
        <w:tc>
          <w:tcPr>
            <w:tcW w:w="189"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1445"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2,880</w:t>
            </w:r>
          </w:p>
        </w:tc>
        <w:tc>
          <w:tcPr>
            <w:tcW w:w="238" w:type="dxa"/>
            <w:tcBorders>
              <w:bottom w:val="single" w:sz="2" w:space="0" w:color="000000"/>
            </w:tcBorders>
            <w:shd w:fill="CEFFE7"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EFFE7" w:val="clear"/>
            <w:vAlign w:val="center"/>
          </w:tcPr>
          <w:p>
            <w:pPr>
              <w:pStyle w:val="TableContents"/>
              <w:spacing w:before="0" w:after="0"/>
              <w:ind w:left="0" w:right="0" w:firstLine="30"/>
              <w:rPr/>
            </w:pPr>
            <w:r>
              <w:rPr/>
              <w:t> </w:t>
            </w:r>
          </w:p>
        </w:tc>
        <w:tc>
          <w:tcPr>
            <w:tcW w:w="911" w:type="dxa"/>
            <w:gridSpan w:val="2"/>
            <w:tcBorders>
              <w:bottom w:val="single" w:sz="2" w:space="0" w:color="000000"/>
            </w:tcBorders>
            <w:shd w:fill="CEFFE7" w:val="clear"/>
            <w:tcMar>
              <w:bottom w:w="30" w:type="dxa"/>
            </w:tcMar>
            <w:vAlign w:val="center"/>
          </w:tcPr>
          <w:p>
            <w:pPr>
              <w:pStyle w:val="TableContents"/>
              <w:spacing w:before="0" w:after="0"/>
              <w:jc w:val="right"/>
              <w:rPr>
                <w:rFonts w:ascii="inherit" w:hAnsi="inherit"/>
                <w:sz w:val="17"/>
              </w:rPr>
            </w:pPr>
            <w:r>
              <w:rPr>
                <w:rFonts w:ascii="inherit" w:hAnsi="inherit"/>
                <w:sz w:val="17"/>
              </w:rPr>
              <w:t>2,020</w:t>
            </w:r>
          </w:p>
        </w:tc>
        <w:tc>
          <w:tcPr>
            <w:tcW w:w="428" w:type="dxa"/>
            <w:tcBorders>
              <w:bottom w:val="single" w:sz="2" w:space="0" w:color="000000"/>
            </w:tcBorders>
            <w:shd w:fill="CEFFE7"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asset (liability) position</w:t>
            </w:r>
          </w:p>
        </w:tc>
        <w:tc>
          <w:tcPr>
            <w:tcW w:w="2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3,135</w:t>
            </w:r>
          </w:p>
        </w:tc>
        <w:tc>
          <w:tcPr>
            <w:tcW w:w="1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2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5,052</w:t>
            </w:r>
          </w:p>
        </w:tc>
        <w:tc>
          <w:tcPr>
            <w:tcW w:w="2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1,096</w:t>
            </w:r>
          </w:p>
        </w:tc>
        <w:tc>
          <w:tcPr>
            <w:tcW w:w="4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88" w:name="s16E95E8293BE560EA2D09AF67AACAEAB"/>
      <w:bookmarkEnd w:id="88"/>
      <w:r>
        <w:rPr>
          <w:rFonts w:ascii="inherit" w:hAnsi="inherit"/>
          <w:b/>
          <w:sz w:val="17"/>
        </w:rPr>
        <w:t>Financing Activities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From time-to-time, we have entered into floating-to-fixed interest rate swap agreements to reduce our exposure to interest rate fluctuations associated with our floating rate debt obligations and anticipated debt refinancings. At March 31, 2019, December 31, 2018</w:t>
      </w:r>
      <w:r>
        <w:rPr>
          <w:sz w:val="17"/>
        </w:rPr>
        <w:t xml:space="preserve"> </w:t>
      </w:r>
      <w:r>
        <w:rPr>
          <w:rFonts w:ascii="inherit" w:hAnsi="inherit"/>
          <w:sz w:val="17"/>
        </w:rPr>
        <w:t>and March 31, 2018, we had no outstanding interest rate swap agreements.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jc w:val="right"/>
        <w:rPr>
          <w:rFonts w:ascii="inherit" w:hAnsi="inherit"/>
          <w:sz w:val="17"/>
        </w:rPr>
      </w:pPr>
      <w:r>
        <w:rPr>
          <w:rFonts w:ascii="inherit" w:hAnsi="inherit"/>
          <w:sz w:val="17"/>
        </w:rPr>
      </w:r>
      <w:bookmarkStart w:id="89" w:name="sA25BEDE13A2952F9A1D1727A642BF46F"/>
      <w:bookmarkStart w:id="90" w:name="sA25BEDE13A2952F9A1D1727A642BF46F"/>
      <w:bookmarkEnd w:id="90"/>
    </w:p>
    <w:p>
      <w:pPr>
        <w:pStyle w:val="TextBody"/>
        <w:spacing w:before="0" w:after="0"/>
        <w:rPr/>
      </w:pPr>
      <w:r>
        <w:rPr/>
      </w:r>
    </w:p>
    <w:p>
      <w:pPr>
        <w:pStyle w:val="TextBody"/>
        <w:spacing w:lineRule="auto" w:line="288" w:before="0" w:after="0"/>
        <w:jc w:val="left"/>
        <w:rPr>
          <w:sz w:val="17"/>
        </w:rPr>
      </w:pPr>
      <w:r>
        <w:rPr>
          <w:rFonts w:ascii="inherit" w:hAnsi="inherit"/>
          <w:b/>
          <w:sz w:val="17"/>
        </w:rPr>
        <w:t>ITEM 4.</w:t>
      </w:r>
      <w:r>
        <w:rPr>
          <w:sz w:val="17"/>
        </w:rPr>
        <w:t>    </w:t>
      </w:r>
      <w:r>
        <w:rPr>
          <w:rFonts w:ascii="inherit" w:hAnsi="inherit"/>
          <w:b/>
          <w:sz w:val="17"/>
        </w:rPr>
        <w:t>CONTROLS AND PROCEDURES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Chief Executive Officer and Chief Financial Officer evaluated the effectiveness of our disclosure controls and procedures (as defined in Rules 13a-15(e) and 15d-15(e) of the Securities Exchange Act of 1934) as of March 31, 2019. Based on their evaluation, they have concluded that our disclosure controls and procedures were effective at March 31, 2019.</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Changes in Internal Control over Financial Reporting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During the quarter ended March 31, 2019, there have been no changes in our internal control over financial reporting that have materially affected or are reasonably likely to materially affect our internal control over financial reporting.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bookmarkStart w:id="91" w:name="sD2B6939509565A0D9A9E85068A1F057B"/>
      <w:bookmarkEnd w:id="91"/>
      <w:r>
        <w:rPr>
          <w:rFonts w:ascii="inherit" w:hAnsi="inherit"/>
          <w:sz w:val="17"/>
        </w:rPr>
        <w:t>BLACK HILLS CORPORATION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Part II — Other Information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Normal"/>
        <w:spacing w:before="0" w:after="0"/>
        <w:rPr>
          <w:sz w:val="4"/>
          <w:szCs w:val="4"/>
        </w:rPr>
      </w:pPr>
      <w:r>
        <w:rPr>
          <w:sz w:val="4"/>
          <w:szCs w:val="4"/>
        </w:rPr>
      </w:r>
      <w:bookmarkStart w:id="92" w:name="s72C154120E6652929F311924DE7D1111"/>
      <w:bookmarkStart w:id="93" w:name="s72C154120E6652929F311924DE7D1111"/>
      <w:bookmarkEnd w:id="93"/>
    </w:p>
    <w:tbl>
      <w:tblPr>
        <w:tblW w:w="2185" w:type="dxa"/>
        <w:jc w:val="left"/>
        <w:tblInd w:w="0" w:type="dxa"/>
        <w:tblCellMar>
          <w:top w:w="0" w:type="dxa"/>
          <w:left w:w="0" w:type="dxa"/>
          <w:bottom w:w="0" w:type="dxa"/>
          <w:right w:w="0" w:type="dxa"/>
        </w:tblCellMar>
      </w:tblPr>
      <w:tblGrid>
        <w:gridCol w:w="620"/>
        <w:gridCol w:w="1565"/>
      </w:tblGrid>
      <w:tr>
        <w:trPr/>
        <w:tc>
          <w:tcPr>
            <w:tcW w:w="62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lineRule="auto" w:line="240" w:before="0" w:after="0"/>
              <w:ind w:left="0" w:right="0" w:hanging="0"/>
              <w:rPr>
                <w:rFonts w:ascii="inherit" w:hAnsi="inherit"/>
                <w:sz w:val="17"/>
              </w:rPr>
            </w:pPr>
            <w:r>
              <w:rPr>
                <w:rFonts w:ascii="inherit" w:hAnsi="inherit"/>
                <w:sz w:val="17"/>
              </w:rPr>
              <w:t>ITEM 1.</w:t>
            </w:r>
          </w:p>
        </w:tc>
        <w:tc>
          <w:tcPr>
            <w:tcW w:w="1565" w:type="dxa"/>
            <w:tcBorders/>
            <w:shd w:fill="auto" w:val="clear"/>
            <w:vAlign w:val="center"/>
          </w:tcPr>
          <w:p>
            <w:pPr>
              <w:pStyle w:val="TableContents"/>
              <w:spacing w:lineRule="auto" w:line="240" w:before="0" w:after="0"/>
              <w:jc w:val="left"/>
              <w:rPr>
                <w:rFonts w:ascii="inherit" w:hAnsi="inherit"/>
                <w:sz w:val="17"/>
                <w:u w:val="single"/>
              </w:rPr>
            </w:pPr>
            <w:r>
              <w:rPr>
                <w:rFonts w:ascii="inherit" w:hAnsi="inherit"/>
                <w:sz w:val="17"/>
                <w:u w:val="single"/>
              </w:rPr>
              <w:t>Legal Proceedings</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For information regarding legal proceedings, see Note 19 in Item 8 of our </w:t>
      </w:r>
      <w:r>
        <w:rPr>
          <w:rFonts w:ascii="inherit" w:hAnsi="inherit"/>
          <w:strike w:val="false"/>
          <w:dstrike w:val="false"/>
          <w:color w:val="000000"/>
          <w:sz w:val="17"/>
          <w:u w:val="none"/>
          <w:effect w:val="none"/>
        </w:rPr>
        <w:t>2018</w:t>
      </w:r>
      <w:r>
        <w:rPr>
          <w:sz w:val="17"/>
        </w:rPr>
        <w:t xml:space="preserve"> </w:t>
      </w:r>
      <w:r>
        <w:rPr>
          <w:rFonts w:ascii="inherit" w:hAnsi="inherit"/>
          <w:sz w:val="17"/>
        </w:rPr>
        <w:t xml:space="preserve">Annual Report on Form 10-K and Note </w:t>
      </w:r>
      <w:r>
        <w:rPr>
          <w:rFonts w:ascii="inherit" w:hAnsi="inherit"/>
          <w:strike w:val="false"/>
          <w:dstrike w:val="false"/>
          <w:color w:val="000000"/>
          <w:sz w:val="17"/>
          <w:u w:val="none"/>
          <w:effect w:val="none"/>
        </w:rPr>
        <w:t>16</w:t>
      </w:r>
      <w:r>
        <w:rPr>
          <w:sz w:val="17"/>
        </w:rPr>
        <w:t xml:space="preserve"> </w:t>
      </w:r>
      <w:r>
        <w:rPr>
          <w:rFonts w:ascii="inherit" w:hAnsi="inherit"/>
          <w:sz w:val="17"/>
        </w:rPr>
        <w:t xml:space="preserve">in Item 1 of Part I of this Quarterly Report on Form 10-Q, which information from Note </w:t>
      </w:r>
      <w:r>
        <w:rPr>
          <w:rFonts w:ascii="inherit" w:hAnsi="inherit"/>
          <w:strike w:val="false"/>
          <w:dstrike w:val="false"/>
          <w:color w:val="000000"/>
          <w:sz w:val="17"/>
          <w:u w:val="none"/>
          <w:effect w:val="none"/>
        </w:rPr>
        <w:t>16</w:t>
      </w:r>
      <w:r>
        <w:rPr>
          <w:sz w:val="17"/>
        </w:rPr>
        <w:t xml:space="preserve"> </w:t>
      </w:r>
      <w:r>
        <w:rPr>
          <w:rFonts w:ascii="inherit" w:hAnsi="inherit"/>
          <w:sz w:val="17"/>
        </w:rPr>
        <w:t>is incorporated by reference into this item.</w:t>
      </w:r>
    </w:p>
    <w:p>
      <w:pPr>
        <w:pStyle w:val="TextBody"/>
        <w:spacing w:lineRule="auto" w:line="288" w:before="0" w:after="0"/>
        <w:rPr>
          <w:rFonts w:ascii="inherit" w:hAnsi="inherit"/>
          <w:sz w:val="17"/>
        </w:rPr>
      </w:pPr>
      <w:r>
        <w:rPr>
          <w:rFonts w:ascii="inherit" w:hAnsi="inherit"/>
          <w:sz w:val="17"/>
        </w:rPr>
      </w:r>
    </w:p>
    <w:p>
      <w:pPr>
        <w:pStyle w:val="Normal"/>
        <w:spacing w:before="0" w:after="0"/>
        <w:rPr>
          <w:sz w:val="4"/>
          <w:szCs w:val="4"/>
        </w:rPr>
      </w:pPr>
      <w:r>
        <w:rPr>
          <w:sz w:val="4"/>
          <w:szCs w:val="4"/>
        </w:rPr>
      </w:r>
      <w:bookmarkStart w:id="94" w:name="s967AAF27A248584DA5D61A6E6333D653"/>
      <w:bookmarkStart w:id="95" w:name="s967AAF27A248584DA5D61A6E6333D653"/>
      <w:bookmarkEnd w:id="95"/>
    </w:p>
    <w:tbl>
      <w:tblPr>
        <w:tblW w:w="1780" w:type="dxa"/>
        <w:jc w:val="left"/>
        <w:tblInd w:w="0" w:type="dxa"/>
        <w:tblCellMar>
          <w:top w:w="0" w:type="dxa"/>
          <w:left w:w="0" w:type="dxa"/>
          <w:bottom w:w="0" w:type="dxa"/>
          <w:right w:w="0" w:type="dxa"/>
        </w:tblCellMar>
      </w:tblPr>
      <w:tblGrid>
        <w:gridCol w:w="740"/>
        <w:gridCol w:w="1040"/>
      </w:tblGrid>
      <w:tr>
        <w:trPr/>
        <w:tc>
          <w:tcPr>
            <w:tcW w:w="7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740" w:type="dxa"/>
            <w:tcBorders/>
            <w:shd w:fill="auto" w:val="clear"/>
            <w:vAlign w:val="center"/>
          </w:tcPr>
          <w:p>
            <w:pPr>
              <w:pStyle w:val="TableContents"/>
              <w:spacing w:lineRule="auto" w:line="240" w:before="0" w:after="0"/>
              <w:ind w:left="0" w:right="0" w:hanging="0"/>
              <w:rPr>
                <w:rFonts w:ascii="inherit" w:hAnsi="inherit"/>
                <w:sz w:val="17"/>
              </w:rPr>
            </w:pPr>
            <w:r>
              <w:rPr>
                <w:rFonts w:ascii="inherit" w:hAnsi="inherit"/>
                <w:sz w:val="17"/>
              </w:rPr>
              <w:t>ITEM 1A.</w:t>
            </w:r>
          </w:p>
        </w:tc>
        <w:tc>
          <w:tcPr>
            <w:tcW w:w="1040" w:type="dxa"/>
            <w:tcBorders/>
            <w:shd w:fill="auto" w:val="clear"/>
            <w:vAlign w:val="center"/>
          </w:tcPr>
          <w:p>
            <w:pPr>
              <w:pStyle w:val="TableContents"/>
              <w:spacing w:lineRule="auto" w:line="240" w:before="0" w:after="0"/>
              <w:jc w:val="left"/>
              <w:rPr>
                <w:rFonts w:ascii="inherit" w:hAnsi="inherit"/>
                <w:sz w:val="17"/>
                <w:u w:val="single"/>
              </w:rPr>
            </w:pPr>
            <w:r>
              <w:rPr>
                <w:rFonts w:ascii="inherit" w:hAnsi="inherit"/>
                <w:sz w:val="17"/>
                <w:u w:val="single"/>
              </w:rPr>
              <w:t>Risk Factors</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There are no material changes to the risk factors previously disclosed in Item 1A of Part I in our 2018</w:t>
      </w:r>
      <w:r>
        <w:rPr>
          <w:sz w:val="17"/>
        </w:rPr>
        <w:t xml:space="preserve"> </w:t>
      </w:r>
      <w:r>
        <w:rPr>
          <w:rFonts w:ascii="inherit" w:hAnsi="inherit"/>
          <w:sz w:val="17"/>
        </w:rPr>
        <w:t>Annual Report on Form 10-K filed with the SEC.</w:t>
      </w:r>
    </w:p>
    <w:p>
      <w:pPr>
        <w:pStyle w:val="TextBody"/>
        <w:spacing w:lineRule="auto" w:line="288" w:before="0" w:after="0"/>
        <w:jc w:val="left"/>
        <w:rPr>
          <w:rFonts w:ascii="inherit" w:hAnsi="inherit"/>
          <w:sz w:val="17"/>
        </w:rPr>
      </w:pPr>
      <w:r>
        <w:rPr>
          <w:rFonts w:ascii="inherit" w:hAnsi="inherit"/>
          <w:sz w:val="17"/>
        </w:rPr>
      </w:r>
    </w:p>
    <w:p>
      <w:pPr>
        <w:pStyle w:val="Normal"/>
        <w:spacing w:before="0" w:after="0"/>
        <w:rPr>
          <w:sz w:val="4"/>
          <w:szCs w:val="4"/>
        </w:rPr>
      </w:pPr>
      <w:r>
        <w:rPr>
          <w:sz w:val="4"/>
          <w:szCs w:val="4"/>
        </w:rPr>
      </w:r>
      <w:bookmarkStart w:id="96" w:name="s0DE26D1812B7597EA68722CF0B5443AE"/>
      <w:bookmarkStart w:id="97" w:name="s0DE26D1812B7597EA68722CF0B5443AE"/>
      <w:bookmarkEnd w:id="97"/>
    </w:p>
    <w:tbl>
      <w:tblPr>
        <w:tblW w:w="5650" w:type="dxa"/>
        <w:jc w:val="left"/>
        <w:tblInd w:w="0" w:type="dxa"/>
        <w:tblCellMar>
          <w:top w:w="0" w:type="dxa"/>
          <w:left w:w="0" w:type="dxa"/>
          <w:bottom w:w="0" w:type="dxa"/>
          <w:right w:w="0" w:type="dxa"/>
        </w:tblCellMar>
      </w:tblPr>
      <w:tblGrid>
        <w:gridCol w:w="620"/>
        <w:gridCol w:w="5030"/>
      </w:tblGrid>
      <w:tr>
        <w:trPr/>
        <w:tc>
          <w:tcPr>
            <w:tcW w:w="620" w:type="dxa"/>
            <w:tcBorders/>
            <w:shd w:fill="auto" w:val="clear"/>
            <w:vAlign w:val="center"/>
          </w:tcPr>
          <w:p>
            <w:pPr>
              <w:pStyle w:val="TableContents"/>
              <w:spacing w:before="0" w:after="283"/>
              <w:rPr>
                <w:sz w:val="4"/>
                <w:szCs w:val="4"/>
              </w:rPr>
            </w:pPr>
            <w:r>
              <w:rPr>
                <w:sz w:val="4"/>
                <w:szCs w:val="4"/>
              </w:rPr>
            </w:r>
          </w:p>
        </w:tc>
        <w:tc>
          <w:tcPr>
            <w:tcW w:w="5030"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lineRule="auto" w:line="240" w:before="0" w:after="0"/>
              <w:ind w:left="0" w:right="0" w:hanging="0"/>
              <w:rPr>
                <w:rFonts w:ascii="inherit" w:hAnsi="inherit"/>
                <w:sz w:val="17"/>
              </w:rPr>
            </w:pPr>
            <w:r>
              <w:rPr>
                <w:rFonts w:ascii="inherit" w:hAnsi="inherit"/>
                <w:sz w:val="17"/>
              </w:rPr>
              <w:t>ITEM 2.</w:t>
            </w:r>
          </w:p>
        </w:tc>
        <w:tc>
          <w:tcPr>
            <w:tcW w:w="5030" w:type="dxa"/>
            <w:tcBorders/>
            <w:shd w:fill="auto" w:val="clear"/>
            <w:vAlign w:val="center"/>
          </w:tcPr>
          <w:p>
            <w:pPr>
              <w:pStyle w:val="TableContents"/>
              <w:spacing w:lineRule="auto" w:line="240" w:before="0" w:after="0"/>
              <w:jc w:val="left"/>
              <w:rPr>
                <w:rFonts w:ascii="inherit" w:hAnsi="inherit"/>
                <w:sz w:val="17"/>
                <w:u w:val="single"/>
              </w:rPr>
            </w:pPr>
            <w:r>
              <w:rPr>
                <w:rFonts w:ascii="inherit" w:hAnsi="inherit"/>
                <w:sz w:val="17"/>
                <w:u w:val="single"/>
              </w:rPr>
              <w:t>Unregistered Sales of Equity Securities and Use of Proceeds</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t>There were no unregistered securities sold during the three months ended March 31, 2019.</w:t>
      </w:r>
    </w:p>
    <w:tbl>
      <w:tblPr>
        <w:tblW w:w="810" w:type="dxa"/>
        <w:jc w:val="center"/>
        <w:tblInd w:w="0" w:type="dxa"/>
        <w:tblCellMar>
          <w:top w:w="0" w:type="dxa"/>
          <w:left w:w="0" w:type="dxa"/>
          <w:bottom w:w="0" w:type="dxa"/>
          <w:right w:w="0" w:type="dxa"/>
        </w:tblCellMar>
      </w:tblPr>
      <w:tblGrid>
        <w:gridCol w:w="105"/>
        <w:gridCol w:w="90"/>
        <w:gridCol w:w="90"/>
        <w:gridCol w:w="90"/>
        <w:gridCol w:w="90"/>
        <w:gridCol w:w="90"/>
        <w:gridCol w:w="90"/>
        <w:gridCol w:w="90"/>
        <w:gridCol w:w="75"/>
      </w:tblGrid>
      <w:tr>
        <w:trPr/>
        <w:tc>
          <w:tcPr>
            <w:tcW w:w="810" w:type="dxa"/>
            <w:gridSpan w:val="9"/>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40" w:before="0" w:after="0"/>
        <w:jc w:val="left"/>
        <w:rPr>
          <w:rFonts w:ascii="inherit" w:hAnsi="inherit"/>
          <w:sz w:val="17"/>
        </w:rPr>
      </w:pPr>
      <w:r>
        <w:rPr>
          <w:rFonts w:ascii="inherit" w:hAnsi="inherit"/>
          <w:sz w:val="17"/>
        </w:rPr>
      </w:r>
    </w:p>
    <w:p>
      <w:pPr>
        <w:pStyle w:val="Normal"/>
        <w:spacing w:before="0" w:after="0"/>
        <w:rPr>
          <w:sz w:val="4"/>
          <w:szCs w:val="4"/>
        </w:rPr>
      </w:pPr>
      <w:r>
        <w:rPr>
          <w:sz w:val="4"/>
          <w:szCs w:val="4"/>
        </w:rPr>
      </w:r>
      <w:bookmarkStart w:id="98" w:name="sAC358EABC5E9555BB4725FBE9487D9DA"/>
      <w:bookmarkStart w:id="99" w:name="sAC358EABC5E9555BB4725FBE9487D9DA"/>
      <w:bookmarkEnd w:id="99"/>
    </w:p>
    <w:tbl>
      <w:tblPr>
        <w:tblW w:w="2635" w:type="dxa"/>
        <w:jc w:val="left"/>
        <w:tblInd w:w="0" w:type="dxa"/>
        <w:tblCellMar>
          <w:top w:w="0" w:type="dxa"/>
          <w:left w:w="0" w:type="dxa"/>
          <w:bottom w:w="0" w:type="dxa"/>
          <w:right w:w="0" w:type="dxa"/>
        </w:tblCellMar>
      </w:tblPr>
      <w:tblGrid>
        <w:gridCol w:w="620"/>
        <w:gridCol w:w="2015"/>
      </w:tblGrid>
      <w:tr>
        <w:trPr/>
        <w:tc>
          <w:tcPr>
            <w:tcW w:w="620"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ITEM 4.</w:t>
            </w:r>
          </w:p>
        </w:tc>
        <w:tc>
          <w:tcPr>
            <w:tcW w:w="2015" w:type="dxa"/>
            <w:tcBorders/>
            <w:shd w:fill="auto" w:val="clear"/>
            <w:vAlign w:val="center"/>
          </w:tcPr>
          <w:p>
            <w:pPr>
              <w:pStyle w:val="TableContents"/>
              <w:spacing w:lineRule="auto" w:line="288" w:before="0" w:after="0"/>
              <w:jc w:val="left"/>
              <w:rPr>
                <w:rFonts w:ascii="inherit" w:hAnsi="inherit"/>
                <w:sz w:val="17"/>
                <w:u w:val="single"/>
              </w:rPr>
            </w:pPr>
            <w:r>
              <w:rPr>
                <w:rFonts w:ascii="inherit" w:hAnsi="inherit"/>
                <w:sz w:val="17"/>
                <w:u w:val="single"/>
              </w:rPr>
              <w:t>Mine Safety Disclosures</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Information concerning mine safety violations or other regulatory matters required by Sections 1503(a) of Dodd-Frank is included in Exhibit 95 of this Quarterly Report on Form 10-Q.</w:t>
      </w:r>
    </w:p>
    <w:p>
      <w:pPr>
        <w:pStyle w:val="TextBody"/>
        <w:spacing w:lineRule="auto" w:line="288" w:before="0" w:after="0"/>
        <w:rPr>
          <w:rFonts w:ascii="inherit" w:hAnsi="inherit"/>
          <w:sz w:val="17"/>
        </w:rPr>
      </w:pPr>
      <w:r>
        <w:rPr>
          <w:rFonts w:ascii="inherit" w:hAnsi="inherit"/>
          <w:sz w:val="17"/>
        </w:rPr>
      </w:r>
    </w:p>
    <w:p>
      <w:pPr>
        <w:pStyle w:val="Normal"/>
        <w:spacing w:before="0" w:after="0"/>
        <w:rPr>
          <w:sz w:val="4"/>
          <w:szCs w:val="4"/>
        </w:rPr>
      </w:pPr>
      <w:r>
        <w:rPr>
          <w:sz w:val="4"/>
          <w:szCs w:val="4"/>
        </w:rPr>
      </w:r>
      <w:bookmarkStart w:id="100" w:name="s65B6BEE8B37859DA81B4A67C41C79017"/>
      <w:bookmarkStart w:id="101" w:name="s65B6BEE8B37859DA81B4A67C41C79017"/>
      <w:bookmarkEnd w:id="101"/>
    </w:p>
    <w:tbl>
      <w:tblPr>
        <w:tblW w:w="2155" w:type="dxa"/>
        <w:jc w:val="left"/>
        <w:tblInd w:w="0" w:type="dxa"/>
        <w:tblCellMar>
          <w:top w:w="0" w:type="dxa"/>
          <w:left w:w="0" w:type="dxa"/>
          <w:bottom w:w="0" w:type="dxa"/>
          <w:right w:w="0" w:type="dxa"/>
        </w:tblCellMar>
      </w:tblPr>
      <w:tblGrid>
        <w:gridCol w:w="620"/>
        <w:gridCol w:w="1535"/>
      </w:tblGrid>
      <w:tr>
        <w:trPr/>
        <w:tc>
          <w:tcPr>
            <w:tcW w:w="62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ITEM 5.</w:t>
            </w:r>
          </w:p>
        </w:tc>
        <w:tc>
          <w:tcPr>
            <w:tcW w:w="1535" w:type="dxa"/>
            <w:tcBorders/>
            <w:shd w:fill="auto" w:val="clear"/>
            <w:vAlign w:val="center"/>
          </w:tcPr>
          <w:p>
            <w:pPr>
              <w:pStyle w:val="TableContents"/>
              <w:spacing w:lineRule="auto" w:line="288" w:before="0" w:after="0"/>
              <w:rPr>
                <w:rFonts w:ascii="inherit" w:hAnsi="inherit"/>
                <w:sz w:val="17"/>
                <w:u w:val="single"/>
              </w:rPr>
            </w:pPr>
            <w:r>
              <w:rPr>
                <w:rFonts w:ascii="inherit" w:hAnsi="inherit"/>
                <w:sz w:val="17"/>
                <w:u w:val="single"/>
              </w:rPr>
              <w:t>Other Information</w:t>
            </w:r>
          </w:p>
        </w:tc>
      </w:tr>
    </w:tbl>
    <w:p>
      <w:pPr>
        <w:pStyle w:val="TextBody"/>
        <w:spacing w:lineRule="auto" w:line="288" w:before="0" w:after="0"/>
        <w:ind w:left="0" w:right="0" w:hanging="108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None.</w:t>
      </w:r>
    </w:p>
    <w:p>
      <w:pPr>
        <w:pStyle w:val="TextBody"/>
        <w:spacing w:lineRule="auto" w:line="288" w:before="0" w:after="0"/>
        <w:ind w:left="0" w:right="0" w:firstLine="10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before="0" w:after="0"/>
        <w:rPr/>
      </w:pPr>
      <w:r>
        <w:rPr/>
      </w:r>
      <w:bookmarkStart w:id="102" w:name="s9696EEC7C6F05D6EA5C222FFC0D88B05"/>
      <w:bookmarkStart w:id="103" w:name="s9696EEC7C6F05D6EA5C222FFC0D88B05"/>
      <w:bookmarkEnd w:id="103"/>
    </w:p>
    <w:tbl>
      <w:tblPr>
        <w:tblW w:w="1315" w:type="dxa"/>
        <w:jc w:val="left"/>
        <w:tblInd w:w="0" w:type="dxa"/>
        <w:tblCellMar>
          <w:top w:w="0" w:type="dxa"/>
          <w:left w:w="0" w:type="dxa"/>
          <w:bottom w:w="0" w:type="dxa"/>
          <w:right w:w="0" w:type="dxa"/>
        </w:tblCellMar>
      </w:tblPr>
      <w:tblGrid>
        <w:gridCol w:w="620"/>
        <w:gridCol w:w="695"/>
      </w:tblGrid>
      <w:tr>
        <w:trPr/>
        <w:tc>
          <w:tcPr>
            <w:tcW w:w="62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lineRule="auto" w:line="240" w:before="0" w:after="0"/>
              <w:ind w:left="0" w:right="0" w:hanging="0"/>
              <w:rPr>
                <w:rFonts w:ascii="inherit" w:hAnsi="inherit"/>
                <w:sz w:val="17"/>
              </w:rPr>
            </w:pPr>
            <w:r>
              <w:rPr>
                <w:rFonts w:ascii="inherit" w:hAnsi="inherit"/>
                <w:sz w:val="17"/>
              </w:rPr>
              <w:t>ITEM 6.</w:t>
            </w:r>
          </w:p>
        </w:tc>
        <w:tc>
          <w:tcPr>
            <w:tcW w:w="695" w:type="dxa"/>
            <w:tcBorders/>
            <w:shd w:fill="auto" w:val="clear"/>
            <w:vAlign w:val="center"/>
          </w:tcPr>
          <w:p>
            <w:pPr>
              <w:pStyle w:val="TableContents"/>
              <w:spacing w:lineRule="auto" w:line="240" w:before="0" w:after="0"/>
              <w:jc w:val="left"/>
              <w:rPr>
                <w:rFonts w:ascii="inherit" w:hAnsi="inherit"/>
                <w:sz w:val="17"/>
                <w:u w:val="single"/>
              </w:rPr>
            </w:pPr>
            <w:r>
              <w:rPr>
                <w:rFonts w:ascii="inherit" w:hAnsi="inherit"/>
                <w:sz w:val="17"/>
                <w:u w:val="single"/>
              </w:rPr>
              <w:t>Exhibits</w:t>
            </w:r>
          </w:p>
        </w:tc>
      </w:tr>
    </w:tbl>
    <w:p>
      <w:pPr>
        <w:pStyle w:val="TextBody"/>
        <w:spacing w:lineRule="auto" w:line="240" w:before="0" w:after="0"/>
        <w:ind w:left="0" w:right="0" w:hanging="108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008"/>
        <w:gridCol w:w="919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008" w:type="dxa"/>
            <w:tcBorders/>
            <w:shd w:fill="auto" w:val="clear"/>
            <w:vAlign w:val="center"/>
          </w:tcPr>
          <w:p>
            <w:pPr>
              <w:pStyle w:val="TableContents"/>
              <w:spacing w:before="0" w:after="283"/>
              <w:rPr>
                <w:sz w:val="4"/>
                <w:szCs w:val="4"/>
              </w:rPr>
            </w:pPr>
            <w:r>
              <w:rPr>
                <w:sz w:val="4"/>
                <w:szCs w:val="4"/>
              </w:rPr>
            </w:r>
          </w:p>
        </w:tc>
        <w:tc>
          <w:tcPr>
            <w:tcW w:w="91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0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Exhibit Number</w:t>
            </w:r>
          </w:p>
        </w:tc>
        <w:tc>
          <w:tcPr>
            <w:tcW w:w="919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Description</w:t>
            </w:r>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3.1*</w:t>
            </w:r>
          </w:p>
        </w:tc>
        <w:tc>
          <w:tcPr>
            <w:tcW w:w="9197" w:type="dxa"/>
            <w:tcBorders/>
            <w:shd w:fill="auto" w:val="clear"/>
            <w:vAlign w:val="center"/>
          </w:tcPr>
          <w:p>
            <w:pPr>
              <w:pStyle w:val="TableContents"/>
              <w:spacing w:before="0" w:after="0"/>
              <w:ind w:left="0" w:right="0" w:firstLine="30"/>
              <w:jc w:val="left"/>
              <w:rPr/>
            </w:pPr>
            <w:hyperlink r:id="rId2">
              <w:r>
                <w:rPr>
                  <w:rStyle w:val="InternetLink"/>
                  <w:rFonts w:ascii="inherit" w:hAnsi="inherit"/>
                  <w:color w:val="0000FF"/>
                  <w:sz w:val="17"/>
                  <w:u w:val="single"/>
                </w:rPr>
                <w:t>Restated Articles of Incorporation of the Registrant dated January 30, 2018 (filed as Exhibit 3 to the Registrant’s Form 8-K filed on February 5, 2018).</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3.2*</w:t>
            </w:r>
          </w:p>
        </w:tc>
        <w:tc>
          <w:tcPr>
            <w:tcW w:w="9197" w:type="dxa"/>
            <w:tcBorders/>
            <w:shd w:fill="auto" w:val="clear"/>
            <w:vAlign w:val="center"/>
          </w:tcPr>
          <w:p>
            <w:pPr>
              <w:pStyle w:val="TableContents"/>
              <w:spacing w:before="0" w:after="0"/>
              <w:ind w:left="0" w:right="0" w:firstLine="30"/>
              <w:jc w:val="left"/>
              <w:rPr/>
            </w:pPr>
            <w:hyperlink r:id="rId3">
              <w:r>
                <w:rPr>
                  <w:rStyle w:val="InternetLink"/>
                  <w:rFonts w:ascii="inherit" w:hAnsi="inherit"/>
                  <w:color w:val="0000FF"/>
                  <w:sz w:val="17"/>
                  <w:u w:val="single"/>
                </w:rPr>
                <w:t>Amended and Restated Bylaws of the Registrant dated April 24, 2017 (filed as Exhibit 3 to the Registrant’s Form 8-K filed on April 28, 2017).</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4.1*</w:t>
            </w:r>
          </w:p>
        </w:tc>
        <w:tc>
          <w:tcPr>
            <w:tcW w:w="9197" w:type="dxa"/>
            <w:tcBorders/>
            <w:shd w:fill="auto" w:val="clear"/>
            <w:vAlign w:val="center"/>
          </w:tcPr>
          <w:p>
            <w:pPr>
              <w:pStyle w:val="TableContents"/>
              <w:spacing w:before="0" w:after="0"/>
              <w:ind w:left="0" w:right="0" w:firstLine="30"/>
              <w:jc w:val="left"/>
              <w:rPr/>
            </w:pPr>
            <w:hyperlink r:id="rId4">
              <w:r>
                <w:rPr>
                  <w:rStyle w:val="InternetLink"/>
                  <w:rFonts w:ascii="inherit" w:hAnsi="inherit"/>
                  <w:color w:val="0000FF"/>
                  <w:sz w:val="17"/>
                  <w:u w:val="single"/>
                </w:rPr>
                <w:t>Indenture dated as of May 21, 2003 between the Registrant and Wells Fargo Bank, National Association (as successor to LaSalle Bank National Association), as Trustee (filed as Exhibit 4.1 to the Registrant’s Form 10-Q for the quarterly period ended June 30, 2003).</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jc w:val="left"/>
              <w:rPr/>
            </w:pPr>
            <w:hyperlink r:id="rId5">
              <w:r>
                <w:rPr>
                  <w:rStyle w:val="InternetLink"/>
                  <w:rFonts w:ascii="inherit" w:hAnsi="inherit"/>
                  <w:color w:val="0000FF"/>
                  <w:sz w:val="17"/>
                  <w:u w:val="single"/>
                </w:rPr>
                <w:t>First Supplemental Indenture dated as of May 21, 2003 (filed as Exhibit 4.2 to the Registrant’s Form 10-Q for the quarterly period ended June 30, 2003).</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jc w:val="left"/>
              <w:rPr/>
            </w:pPr>
            <w:hyperlink r:id="rId6">
              <w:r>
                <w:rPr>
                  <w:rStyle w:val="InternetLink"/>
                  <w:rFonts w:ascii="inherit" w:hAnsi="inherit"/>
                  <w:color w:val="0000FF"/>
                  <w:sz w:val="17"/>
                  <w:u w:val="single"/>
                </w:rPr>
                <w:t>Second Supplemental Indenture dated as of May 14, 2009 (filed as Exhibit 4 to the Registrant’s Form 8-K filed on May 14, 2009).</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jc w:val="left"/>
              <w:rPr/>
            </w:pPr>
            <w:hyperlink r:id="rId7">
              <w:r>
                <w:rPr>
                  <w:rStyle w:val="InternetLink"/>
                  <w:rFonts w:ascii="inherit" w:hAnsi="inherit"/>
                  <w:color w:val="0000FF"/>
                  <w:sz w:val="17"/>
                  <w:u w:val="single"/>
                </w:rPr>
                <w:t>Third Supplemental Indenture dated as of July 16, 2010 (filed as Exhibit 4 to Registrant’s Form 8-K filed on July 15, 2010).</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jc w:val="left"/>
              <w:rPr/>
            </w:pPr>
            <w:hyperlink r:id="rId8">
              <w:r>
                <w:rPr>
                  <w:rStyle w:val="InternetLink"/>
                  <w:rFonts w:ascii="inherit" w:hAnsi="inherit"/>
                  <w:color w:val="0000FF"/>
                  <w:sz w:val="17"/>
                  <w:u w:val="single"/>
                </w:rPr>
                <w:t>Fourth Supplemental Indenture dated as of November 19, 2013 (filed as Exhibit 4 to the Registrant’s Form 8-K filed on November 18, 2013).</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9">
              <w:r>
                <w:rPr>
                  <w:rStyle w:val="InternetLink"/>
                  <w:rFonts w:ascii="inherit" w:hAnsi="inherit"/>
                  <w:color w:val="0000FF"/>
                  <w:sz w:val="17"/>
                  <w:u w:val="single"/>
                </w:rPr>
                <w:t>Fifth Supplemental Indenture dated as of January 13, 2016 (filed as Exhibit 4.1 to the Registrant’s Form 8-K filed on January 13, 2016).</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0">
              <w:r>
                <w:rPr>
                  <w:rStyle w:val="InternetLink"/>
                  <w:rFonts w:ascii="inherit" w:hAnsi="inherit"/>
                  <w:color w:val="0000FF"/>
                  <w:sz w:val="17"/>
                  <w:u w:val="single"/>
                </w:rPr>
                <w:t>Sixth Supplemental Indenture dated as of August 19, 2016 (filed as Exhibit 4.1 to the Registrant’s Form 8-K filed on August 19, 2016).</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1">
              <w:r>
                <w:rPr>
                  <w:rStyle w:val="InternetLink"/>
                  <w:rFonts w:ascii="inherit" w:hAnsi="inherit"/>
                  <w:color w:val="0000FF"/>
                  <w:sz w:val="17"/>
                  <w:u w:val="single"/>
                </w:rPr>
                <w:t>Seventh Supplemental Indenture dated as of August 17, 2018 (filed as Exhibit 4.2 to the Registrant’s Form 8-K filed on August 17, 2018).</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4.2*</w:t>
            </w:r>
          </w:p>
        </w:tc>
        <w:tc>
          <w:tcPr>
            <w:tcW w:w="9197" w:type="dxa"/>
            <w:tcBorders/>
            <w:shd w:fill="auto" w:val="clear"/>
            <w:vAlign w:val="center"/>
          </w:tcPr>
          <w:p>
            <w:pPr>
              <w:pStyle w:val="TableContents"/>
              <w:spacing w:before="0" w:after="0"/>
              <w:ind w:left="0" w:right="0" w:firstLine="30"/>
              <w:jc w:val="left"/>
              <w:rPr/>
            </w:pPr>
            <w:hyperlink r:id="rId12">
              <w:r>
                <w:rPr>
                  <w:rStyle w:val="InternetLink"/>
                  <w:rFonts w:ascii="inherit" w:hAnsi="inherit"/>
                  <w:color w:val="0000FF"/>
                  <w:sz w:val="17"/>
                  <w:u w:val="single"/>
                </w:rPr>
                <w:t>Restated and Amended Indenture of Mortgage and Deed of Trust of Black Hills Corporation (now called Black Hills Power, Inc.) dated as of September 1, 1999 (filed as Exhibit 4.19 to the Registrant’s Post-Effective Amendment No. 1 to the Registrant’s Registration Statement on Form S-3 (No. 333-150669)).</w:t>
              </w:r>
            </w:hyperlink>
            <w:r>
              <w:rPr>
                <w:sz w:val="17"/>
              </w:rPr>
              <w:t> </w:t>
            </w:r>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3">
              <w:r>
                <w:rPr>
                  <w:rStyle w:val="InternetLink"/>
                  <w:rFonts w:ascii="inherit" w:hAnsi="inherit"/>
                  <w:color w:val="0000FF"/>
                  <w:sz w:val="17"/>
                  <w:u w:val="single"/>
                </w:rPr>
                <w:t>First Supplemental Indenture, dated as of August 13, 2002, between Black Hills Power, Inc. and The Bank of New York Mellon (as successor to JPMorgan Chase Bank), as Trustee (filed as Exhibit 4.20 to the Registrant’s Post-Effective Amendment No. 1 to the Registrant’s Registration Statement on Form S</w:t>
                <w:noBreakHyphen/>
                <w:t>3 (No. 333</w:t>
                <w:noBreakHyphen/>
                <w:t>150669)).</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4">
              <w:r>
                <w:rPr>
                  <w:rStyle w:val="InternetLink"/>
                  <w:rFonts w:ascii="inherit" w:hAnsi="inherit"/>
                  <w:color w:val="0000FF"/>
                  <w:sz w:val="17"/>
                  <w:u w:val="single"/>
                </w:rPr>
                <w:t>Second Supplemental Indenture, dated as of October 27, 2009, between Black Hills Power, Inc. and The Bank of New York Mellon (filed as Exhibit 4.21 to the Registrant’s Post-Effective Amendment No. 2 to the Registrant’s Registration Statement on Form S-3 (No. 333-150669)).</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5">
              <w:r>
                <w:rPr>
                  <w:rStyle w:val="InternetLink"/>
                  <w:rFonts w:ascii="inherit" w:hAnsi="inherit"/>
                  <w:color w:val="0000FF"/>
                  <w:sz w:val="17"/>
                  <w:u w:val="single"/>
                </w:rPr>
                <w:t>Third Supplemental Indenture, dated as of October 1, 2014, between Black Hills Power, Inc. and The Bank of New York Mellon (filed as Exhibit 10.1 to the Registrant’s Form 8-K filed on October 2, 2014).</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4.3*</w:t>
            </w:r>
          </w:p>
        </w:tc>
        <w:tc>
          <w:tcPr>
            <w:tcW w:w="9197" w:type="dxa"/>
            <w:tcBorders/>
            <w:shd w:fill="auto" w:val="clear"/>
            <w:vAlign w:val="center"/>
          </w:tcPr>
          <w:p>
            <w:pPr>
              <w:pStyle w:val="TableContents"/>
              <w:spacing w:before="0" w:after="0"/>
              <w:ind w:left="0" w:right="0" w:firstLine="30"/>
              <w:jc w:val="left"/>
              <w:rPr/>
            </w:pPr>
            <w:hyperlink r:id="rId16">
              <w:r>
                <w:rPr>
                  <w:rStyle w:val="InternetLink"/>
                  <w:rFonts w:ascii="inherit" w:hAnsi="inherit"/>
                  <w:color w:val="0000FF"/>
                  <w:sz w:val="17"/>
                  <w:u w:val="single"/>
                </w:rPr>
                <w:t>Restated Indenture of Mortgage, Deed of Trust, Security Agreement and Financing Statement, amended and restated as of November 20, 2007, between Cheyenne Light, Fuel and Power Company and Wells Fargo Bank, National Association (filed as Exhibit 10.2 to the Registrant’s Form 8-K filed on October 2, 2014).</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7">
              <w:r>
                <w:rPr>
                  <w:rStyle w:val="InternetLink"/>
                  <w:rFonts w:ascii="inherit" w:hAnsi="inherit"/>
                  <w:color w:val="0000FF"/>
                  <w:sz w:val="17"/>
                  <w:u w:val="single"/>
                </w:rPr>
                <w:t>First Supplemental Indenture, dated as of September 3, 2009, between Cheyenne Light, Fuel and Power Company and Wells Fargo Bank, National Association (filed as Exhibit 10.3 to the Registrant’s Form 8-K filed on October 2, 2014).</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hyperlink r:id="rId18">
              <w:r>
                <w:rPr>
                  <w:rStyle w:val="InternetLink"/>
                  <w:rFonts w:ascii="inherit" w:hAnsi="inherit"/>
                  <w:color w:val="0000FF"/>
                  <w:sz w:val="17"/>
                  <w:u w:val="single"/>
                </w:rPr>
                <w:t>Second Supplemental Indenture, dated as of October 1, 2014, between Cheyenne Light, Fuel and Power Company and Wells Fargo Bank, National Association (filed as Exhibit 10.4 to the Registrant’s Form 8-K filed on October 2, 2014).</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4.4*</w:t>
            </w:r>
          </w:p>
        </w:tc>
        <w:tc>
          <w:tcPr>
            <w:tcW w:w="9197" w:type="dxa"/>
            <w:tcBorders/>
            <w:shd w:fill="auto" w:val="clear"/>
            <w:vAlign w:val="center"/>
          </w:tcPr>
          <w:p>
            <w:pPr>
              <w:pStyle w:val="TableContents"/>
              <w:spacing w:before="0" w:after="0"/>
              <w:ind w:left="0" w:right="0" w:firstLine="30"/>
              <w:jc w:val="left"/>
              <w:rPr/>
            </w:pPr>
            <w:hyperlink r:id="rId19">
              <w:r>
                <w:rPr>
                  <w:rStyle w:val="InternetLink"/>
                  <w:rFonts w:ascii="inherit" w:hAnsi="inherit"/>
                  <w:color w:val="0000FF"/>
                  <w:sz w:val="17"/>
                  <w:u w:val="single"/>
                </w:rPr>
                <w:t>Form of Stock Certificate for Common Stock, Par Value $1.00 Per Share (filed as Exhibit 4.2 to the Registrant’s Form 10-K for 2000).</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ind w:left="0" w:right="0" w:firstLine="30"/>
              <w:rPr/>
            </w:pPr>
            <w:r>
              <w:rPr/>
              <w:t> </w:t>
            </w:r>
          </w:p>
        </w:tc>
      </w:tr>
      <w:tr>
        <w:trPr/>
        <w:tc>
          <w:tcPr>
            <w:tcW w:w="10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31.1</w:t>
            </w:r>
          </w:p>
        </w:tc>
        <w:tc>
          <w:tcPr>
            <w:tcW w:w="9197" w:type="dxa"/>
            <w:tcBorders/>
            <w:shd w:fill="auto" w:val="clear"/>
            <w:vAlign w:val="center"/>
          </w:tcPr>
          <w:p>
            <w:pPr>
              <w:pStyle w:val="TableContents"/>
              <w:spacing w:before="0" w:after="0"/>
              <w:ind w:left="0" w:right="0" w:firstLine="30"/>
              <w:jc w:val="left"/>
              <w:rPr/>
            </w:pPr>
            <w:hyperlink w:anchor="bkhex-311q12019.htm">
              <w:r>
                <w:rPr>
                  <w:rStyle w:val="InternetLink"/>
                  <w:rFonts w:ascii="inherit" w:hAnsi="inherit"/>
                  <w:color w:val="0000FF"/>
                  <w:sz w:val="17"/>
                  <w:u w:val="single"/>
                </w:rPr>
                <w:t>Certification of Chief Executive Officer pursuant to Rule 13a - 14(a) of the Securities Exchange Act of 1934, as adopted pursuant to Section 302 of the Sarbanes - Oxley Act of 2002.</w:t>
              </w:r>
            </w:hyperlink>
          </w:p>
        </w:tc>
      </w:tr>
      <w:tr>
        <w:trPr/>
        <w:tc>
          <w:tcPr>
            <w:tcW w:w="1008" w:type="dxa"/>
            <w:tcBorders/>
            <w:shd w:fill="auto" w:val="clear"/>
            <w:vAlign w:val="center"/>
          </w:tcPr>
          <w:p>
            <w:pPr>
              <w:pStyle w:val="TableContents"/>
              <w:spacing w:before="0" w:after="0"/>
              <w:ind w:left="0" w:right="0" w:firstLine="30"/>
              <w:rPr/>
            </w:pPr>
            <w:r>
              <w:rPr/>
              <w:t> </w:t>
            </w:r>
          </w:p>
        </w:tc>
        <w:tc>
          <w:tcPr>
            <w:tcW w:w="9197"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874"/>
        <w:gridCol w:w="933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31.2</w:t>
            </w:r>
          </w:p>
        </w:tc>
        <w:tc>
          <w:tcPr>
            <w:tcW w:w="9331" w:type="dxa"/>
            <w:tcBorders/>
            <w:shd w:fill="auto" w:val="clear"/>
            <w:vAlign w:val="center"/>
          </w:tcPr>
          <w:p>
            <w:pPr>
              <w:pStyle w:val="TableContents"/>
              <w:spacing w:before="0" w:after="0"/>
              <w:ind w:left="0" w:right="0" w:firstLine="30"/>
              <w:jc w:val="left"/>
              <w:rPr/>
            </w:pPr>
            <w:hyperlink w:anchor="bkhex-312q12019.htm">
              <w:r>
                <w:rPr>
                  <w:rStyle w:val="InternetLink"/>
                  <w:rFonts w:ascii="inherit" w:hAnsi="inherit"/>
                  <w:color w:val="0000FF"/>
                  <w:sz w:val="17"/>
                  <w:u w:val="single"/>
                </w:rPr>
                <w:t>Certification of Chief Financial Officer pursuant to Rule 13a - 14(a) of the Securities Exchange Act of 1934, as adopted pursuant to Section 302 of the Sarbanes - Oxley Act of 2002.</w:t>
              </w:r>
            </w:hyperlink>
          </w:p>
        </w:tc>
      </w:tr>
      <w:tr>
        <w:trPr/>
        <w:tc>
          <w:tcPr>
            <w:tcW w:w="874" w:type="dxa"/>
            <w:tcBorders/>
            <w:shd w:fill="auto" w:val="clear"/>
            <w:vAlign w:val="center"/>
          </w:tcPr>
          <w:p>
            <w:pPr>
              <w:pStyle w:val="TableContents"/>
              <w:spacing w:before="0" w:after="0"/>
              <w:ind w:left="0" w:right="0" w:firstLine="30"/>
              <w:rPr/>
            </w:pPr>
            <w:r>
              <w:rPr/>
              <w:t> </w:t>
            </w:r>
          </w:p>
        </w:tc>
        <w:tc>
          <w:tcPr>
            <w:tcW w:w="9331" w:type="dxa"/>
            <w:tcBorders/>
            <w:shd w:fill="auto" w:val="clear"/>
            <w:vAlign w:val="center"/>
          </w:tcPr>
          <w:p>
            <w:pPr>
              <w:pStyle w:val="TableContents"/>
              <w:spacing w:before="0" w:after="0"/>
              <w:ind w:left="0" w:right="0" w:firstLine="30"/>
              <w:rPr/>
            </w:pPr>
            <w:r>
              <w:rPr/>
              <w:t> </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32.1</w:t>
            </w:r>
          </w:p>
        </w:tc>
        <w:tc>
          <w:tcPr>
            <w:tcW w:w="9331" w:type="dxa"/>
            <w:tcBorders/>
            <w:shd w:fill="auto" w:val="clear"/>
            <w:vAlign w:val="center"/>
          </w:tcPr>
          <w:p>
            <w:pPr>
              <w:pStyle w:val="TableContents"/>
              <w:spacing w:before="0" w:after="0"/>
              <w:ind w:left="0" w:right="0" w:firstLine="30"/>
              <w:jc w:val="left"/>
              <w:rPr/>
            </w:pPr>
            <w:hyperlink w:anchor="bkhex-321q12019.htm">
              <w:r>
                <w:rPr>
                  <w:rStyle w:val="InternetLink"/>
                  <w:rFonts w:ascii="inherit" w:hAnsi="inherit"/>
                  <w:color w:val="0000FF"/>
                  <w:sz w:val="17"/>
                  <w:u w:val="single"/>
                </w:rPr>
                <w:t>Certification of Chief Executive Officer pursuant to 18 U.S.C. Section 1350, as adopted pursuant to Section 906 of the Sarbanes - Oxley Act of 2002.</w:t>
              </w:r>
            </w:hyperlink>
          </w:p>
        </w:tc>
      </w:tr>
      <w:tr>
        <w:trPr/>
        <w:tc>
          <w:tcPr>
            <w:tcW w:w="874" w:type="dxa"/>
            <w:tcBorders/>
            <w:shd w:fill="auto" w:val="clear"/>
            <w:vAlign w:val="center"/>
          </w:tcPr>
          <w:p>
            <w:pPr>
              <w:pStyle w:val="TableContents"/>
              <w:spacing w:before="0" w:after="0"/>
              <w:ind w:left="0" w:right="0" w:firstLine="30"/>
              <w:rPr/>
            </w:pPr>
            <w:r>
              <w:rPr/>
              <w:t> </w:t>
            </w:r>
          </w:p>
        </w:tc>
        <w:tc>
          <w:tcPr>
            <w:tcW w:w="9331" w:type="dxa"/>
            <w:tcBorders/>
            <w:shd w:fill="auto" w:val="clear"/>
            <w:vAlign w:val="center"/>
          </w:tcPr>
          <w:p>
            <w:pPr>
              <w:pStyle w:val="TableContents"/>
              <w:spacing w:before="0" w:after="0"/>
              <w:ind w:left="0" w:right="0" w:firstLine="30"/>
              <w:rPr/>
            </w:pPr>
            <w:r>
              <w:rPr/>
              <w:t> </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32.2</w:t>
            </w:r>
          </w:p>
        </w:tc>
        <w:tc>
          <w:tcPr>
            <w:tcW w:w="9331" w:type="dxa"/>
            <w:tcBorders/>
            <w:shd w:fill="auto" w:val="clear"/>
            <w:vAlign w:val="center"/>
          </w:tcPr>
          <w:p>
            <w:pPr>
              <w:pStyle w:val="TableContents"/>
              <w:spacing w:before="0" w:after="0"/>
              <w:ind w:left="0" w:right="0" w:firstLine="30"/>
              <w:jc w:val="left"/>
              <w:rPr/>
            </w:pPr>
            <w:hyperlink w:anchor="bkhex-322q12019.htm">
              <w:r>
                <w:rPr>
                  <w:rStyle w:val="InternetLink"/>
                  <w:rFonts w:ascii="inherit" w:hAnsi="inherit"/>
                  <w:color w:val="0000FF"/>
                  <w:sz w:val="17"/>
                  <w:u w:val="single"/>
                </w:rPr>
                <w:t>Certification of Chief Financial Officer pursuant to 18 U.S.C. Section 1350, as adopted pursuant to Section 906 of the Sarbanes - Oxley Act of 2002.</w:t>
              </w:r>
            </w:hyperlink>
          </w:p>
        </w:tc>
      </w:tr>
      <w:tr>
        <w:trPr/>
        <w:tc>
          <w:tcPr>
            <w:tcW w:w="874" w:type="dxa"/>
            <w:tcBorders/>
            <w:shd w:fill="auto" w:val="clear"/>
            <w:vAlign w:val="center"/>
          </w:tcPr>
          <w:p>
            <w:pPr>
              <w:pStyle w:val="TableContents"/>
              <w:spacing w:before="0" w:after="0"/>
              <w:ind w:left="0" w:right="0" w:firstLine="30"/>
              <w:rPr/>
            </w:pPr>
            <w:r>
              <w:rPr/>
              <w:t> </w:t>
            </w:r>
          </w:p>
        </w:tc>
        <w:tc>
          <w:tcPr>
            <w:tcW w:w="9331" w:type="dxa"/>
            <w:tcBorders/>
            <w:shd w:fill="auto" w:val="clear"/>
            <w:vAlign w:val="center"/>
          </w:tcPr>
          <w:p>
            <w:pPr>
              <w:pStyle w:val="TableContents"/>
              <w:spacing w:before="0" w:after="0"/>
              <w:ind w:left="0" w:right="0" w:firstLine="30"/>
              <w:rPr/>
            </w:pPr>
            <w:r>
              <w:rPr/>
              <w:t> </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Exhibit 95</w:t>
            </w:r>
          </w:p>
        </w:tc>
        <w:tc>
          <w:tcPr>
            <w:tcW w:w="9331" w:type="dxa"/>
            <w:tcBorders/>
            <w:shd w:fill="auto" w:val="clear"/>
            <w:vAlign w:val="center"/>
          </w:tcPr>
          <w:p>
            <w:pPr>
              <w:pStyle w:val="TableContents"/>
              <w:spacing w:before="0" w:after="0"/>
              <w:ind w:left="0" w:right="0" w:firstLine="30"/>
              <w:rPr/>
            </w:pPr>
            <w:hyperlink w:anchor="bkhex-95q12019.htm">
              <w:r>
                <w:rPr>
                  <w:rStyle w:val="InternetLink"/>
                  <w:rFonts w:ascii="inherit" w:hAnsi="inherit"/>
                  <w:color w:val="0000FF"/>
                  <w:sz w:val="17"/>
                  <w:u w:val="single"/>
                </w:rPr>
                <w:t>Mine Safety and Health Administration Safety Data.</w:t>
              </w:r>
            </w:hyperlink>
          </w:p>
        </w:tc>
      </w:tr>
      <w:tr>
        <w:trPr/>
        <w:tc>
          <w:tcPr>
            <w:tcW w:w="874" w:type="dxa"/>
            <w:tcBorders/>
            <w:shd w:fill="auto" w:val="clear"/>
            <w:vAlign w:val="center"/>
          </w:tcPr>
          <w:p>
            <w:pPr>
              <w:pStyle w:val="TableContents"/>
              <w:spacing w:before="0" w:after="0"/>
              <w:ind w:left="0" w:right="0" w:firstLine="30"/>
              <w:rPr/>
            </w:pPr>
            <w:r>
              <w:rPr/>
              <w:t> </w:t>
            </w:r>
          </w:p>
        </w:tc>
        <w:tc>
          <w:tcPr>
            <w:tcW w:w="9331" w:type="dxa"/>
            <w:tcBorders/>
            <w:shd w:fill="auto" w:val="clear"/>
            <w:vAlign w:val="center"/>
          </w:tcPr>
          <w:p>
            <w:pPr>
              <w:pStyle w:val="TableContents"/>
              <w:spacing w:before="0" w:after="0"/>
              <w:ind w:left="0" w:right="0" w:firstLine="30"/>
              <w:rPr/>
            </w:pPr>
            <w:r>
              <w:rPr/>
              <w:t> </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 - the instance document does not appear in the Interactive Data File because its XBRL tags are embedded within the Inline XBRL document</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r>
      <w:tr>
        <w:trPr/>
        <w:tc>
          <w:tcPr>
            <w:tcW w:w="8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9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Presentation Linkbase Document</w:t>
            </w:r>
          </w:p>
        </w:tc>
      </w:tr>
      <w:tr>
        <w:trPr/>
        <w:tc>
          <w:tcPr>
            <w:tcW w:w="874" w:type="dxa"/>
            <w:tcBorders/>
            <w:shd w:fill="auto" w:val="clear"/>
            <w:vAlign w:val="center"/>
          </w:tcPr>
          <w:p>
            <w:pPr>
              <w:pStyle w:val="TableContents"/>
              <w:spacing w:before="0" w:after="0"/>
              <w:ind w:left="0" w:right="0" w:firstLine="30"/>
              <w:rPr/>
            </w:pPr>
            <w:r>
              <w:rPr/>
              <w:t> </w:t>
            </w:r>
          </w:p>
        </w:tc>
        <w:tc>
          <w:tcPr>
            <w:tcW w:w="9331"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360"/>
        <w:jc w:val="left"/>
        <w:rPr>
          <w:rFonts w:ascii="inherit" w:hAnsi="inherit"/>
          <w:sz w:val="17"/>
        </w:rPr>
      </w:pPr>
      <w:r>
        <w:rPr>
          <w:rFonts w:ascii="inherit" w:hAnsi="inherit"/>
          <w:sz w:val="17"/>
        </w:rPr>
        <w:t>__________</w:t>
      </w:r>
    </w:p>
    <w:tbl>
      <w:tblPr>
        <w:tblW w:w="6250" w:type="dxa"/>
        <w:jc w:val="left"/>
        <w:tblInd w:w="0" w:type="dxa"/>
        <w:tblCellMar>
          <w:top w:w="0" w:type="dxa"/>
          <w:left w:w="0" w:type="dxa"/>
          <w:bottom w:w="0" w:type="dxa"/>
          <w:right w:w="0" w:type="dxa"/>
        </w:tblCellMar>
      </w:tblPr>
      <w:tblGrid>
        <w:gridCol w:w="110"/>
        <w:gridCol w:w="6140"/>
      </w:tblGrid>
      <w:tr>
        <w:trPr/>
        <w:tc>
          <w:tcPr>
            <w:tcW w:w="110" w:type="dxa"/>
            <w:tcBorders/>
            <w:shd w:fill="auto" w:val="clear"/>
            <w:vAlign w:val="center"/>
          </w:tcPr>
          <w:p>
            <w:pPr>
              <w:pStyle w:val="TableContents"/>
              <w:spacing w:before="0" w:after="283"/>
              <w:rPr>
                <w:sz w:val="4"/>
                <w:szCs w:val="4"/>
              </w:rPr>
            </w:pPr>
            <w:r>
              <w:rPr>
                <w:sz w:val="4"/>
                <w:szCs w:val="4"/>
              </w:rPr>
            </w:r>
          </w:p>
        </w:tc>
        <w:tc>
          <w:tcPr>
            <w:tcW w:w="6140"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w:t>
            </w:r>
          </w:p>
        </w:tc>
        <w:tc>
          <w:tcPr>
            <w:tcW w:w="614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Previously filed as part of the filing indicated and incorporated by reference herein.</w:t>
            </w:r>
          </w:p>
        </w:tc>
      </w:tr>
    </w:tbl>
    <w:p>
      <w:pPr>
        <w:pStyle w:val="TextBody"/>
        <w:spacing w:lineRule="auto" w:line="288" w:before="0" w:after="0"/>
        <w:ind w:left="0" w:right="0" w:hanging="360"/>
        <w:jc w:val="left"/>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jc w:val="right"/>
        <w:rPr>
          <w:rFonts w:ascii="inherit" w:hAnsi="inherit"/>
          <w:sz w:val="17"/>
        </w:rPr>
      </w:pPr>
      <w:r>
        <w:rPr>
          <w:rFonts w:ascii="inherit" w:hAnsi="inherit"/>
          <w:sz w:val="17"/>
        </w:rPr>
      </w:r>
      <w:bookmarkStart w:id="104" w:name="sE1CDB694A7E7586CB8C059378BAA50A7"/>
      <w:bookmarkStart w:id="105" w:name="sE1CDB694A7E7586CB8C059378BAA50A7"/>
      <w:bookmarkEnd w:id="105"/>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SIGNATURES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580"/>
        <w:jc w:val="left"/>
        <w:rPr>
          <w:rFonts w:ascii="inherit" w:hAnsi="inherit"/>
          <w:sz w:val="17"/>
        </w:rPr>
      </w:pPr>
      <w:r>
        <w:rPr>
          <w:rFonts w:ascii="inherit" w:hAnsi="inherit"/>
          <w:sz w:val="17"/>
        </w:rPr>
        <w:t>BLACK HILLS CORPORATION</w:t>
      </w:r>
    </w:p>
    <w:tbl>
      <w:tblPr>
        <w:tblW w:w="5520" w:type="dxa"/>
        <w:jc w:val="center"/>
        <w:tblInd w:w="0" w:type="dxa"/>
        <w:tblCellMar>
          <w:top w:w="0" w:type="dxa"/>
          <w:left w:w="0" w:type="dxa"/>
          <w:bottom w:w="0" w:type="dxa"/>
          <w:right w:w="0" w:type="dxa"/>
        </w:tblCellMar>
      </w:tblPr>
      <w:tblGrid>
        <w:gridCol w:w="620"/>
        <w:gridCol w:w="1055"/>
        <w:gridCol w:w="3845"/>
      </w:tblGrid>
      <w:tr>
        <w:trPr/>
        <w:tc>
          <w:tcPr>
            <w:tcW w:w="5520" w:type="dxa"/>
            <w:gridSpan w:val="3"/>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Linden R. Evans</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Linden R. Evans, President and</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jc w:val="left"/>
              <w:rPr/>
            </w:pPr>
            <w:r>
              <w:rPr/>
              <w:t>  </w:t>
            </w:r>
            <w:r>
              <w:rPr>
                <w:rFonts w:ascii="inherit" w:hAnsi="inherit"/>
                <w:sz w:val="17"/>
              </w:rPr>
              <w:t>Chief Executive Officer</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rPr/>
            </w:pPr>
            <w:r>
              <w:rPr/>
              <w:t> </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Richard W. Kinzley</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Richard W. Kinzley, Senior Vice President and</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jc w:val="left"/>
              <w:rPr/>
            </w:pPr>
            <w:r>
              <w:rPr/>
              <w:t>  </w:t>
            </w:r>
            <w:r>
              <w:rPr>
                <w:rFonts w:ascii="inherit" w:hAnsi="inherit"/>
                <w:sz w:val="17"/>
              </w:rPr>
              <w:t>Chief Financial Officer</w:t>
            </w:r>
          </w:p>
        </w:tc>
      </w:tr>
      <w:tr>
        <w:trPr/>
        <w:tc>
          <w:tcPr>
            <w:tcW w:w="62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845" w:type="dxa"/>
            <w:tcBorders/>
            <w:shd w:fill="auto" w:val="clear"/>
            <w:vAlign w:val="center"/>
          </w:tcPr>
          <w:p>
            <w:pPr>
              <w:pStyle w:val="TableContents"/>
              <w:spacing w:before="0" w:after="0"/>
              <w:ind w:left="0" w:right="0" w:firstLine="30"/>
              <w:rPr/>
            </w:pPr>
            <w:r>
              <w:rPr/>
              <w:t> </w:t>
            </w:r>
          </w:p>
        </w:tc>
      </w:tr>
      <w:tr>
        <w:trPr/>
        <w:tc>
          <w:tcPr>
            <w:tcW w:w="6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Dated:</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3, 2019</w:t>
            </w:r>
          </w:p>
        </w:tc>
        <w:tc>
          <w:tcPr>
            <w:tcW w:w="3845" w:type="dxa"/>
            <w:tcBorders/>
            <w:shd w:fill="auto" w:val="clear"/>
            <w:vAlign w:val="center"/>
          </w:tcPr>
          <w:p>
            <w:pPr>
              <w:pStyle w:val="TableContents"/>
              <w:spacing w:before="0" w:after="0"/>
              <w:rPr/>
            </w:pPr>
            <w:r>
              <w:rPr/>
              <w:t> </w:t>
            </w:r>
          </w:p>
        </w:tc>
      </w:tr>
    </w:tbl>
    <w:p>
      <w:pPr>
        <w:pStyle w:val="TextBody"/>
        <w:spacing w:lineRule="auto" w:line="240"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rFonts w:ascii="inherit" w:hAnsi="inherit"/>
          <w:sz w:val="17"/>
        </w:rPr>
      </w:pPr>
      <w:r>
        <w:rPr>
          <w:rFonts w:ascii="inherit" w:hAnsi="inherit"/>
          <w:sz w:val="17"/>
        </w:rPr>
      </w:r>
      <w:bookmarkStart w:id="106" w:name="sF865A75CCDEF5F819478202E73E70F0E"/>
      <w:bookmarkStart w:id="107" w:name="bkhex-311q12019.htm"/>
      <w:bookmarkStart w:id="108" w:name="ksbkhex311q12019"/>
      <w:bookmarkStart w:id="109" w:name="sF865A75CCDEF5F819478202E73E70F0E"/>
      <w:bookmarkStart w:id="110" w:name="bkhex-311q12019.htm"/>
      <w:bookmarkStart w:id="111" w:name="ksbkhex311q12019"/>
      <w:bookmarkEnd w:id="109"/>
      <w:bookmarkEnd w:id="110"/>
      <w:bookmarkEnd w:id="111"/>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jc w:val="left"/>
        <w:rPr>
          <w:rFonts w:ascii="inherit" w:hAnsi="inherit"/>
          <w:b/>
          <w:sz w:val="17"/>
        </w:rPr>
      </w:pPr>
      <w:r>
        <w:rPr>
          <w:rFonts w:ascii="inherit" w:hAnsi="inherit"/>
          <w:b/>
          <w:sz w:val="17"/>
        </w:rPr>
        <w:t>CERTIFICATION</w:t>
      </w:r>
    </w:p>
    <w:p>
      <w:pPr>
        <w:pStyle w:val="TextBody"/>
        <w:spacing w:lineRule="auto" w:line="288" w:before="0" w:after="0"/>
        <w:rPr>
          <w:rFonts w:ascii="inherit" w:hAnsi="inherit"/>
          <w:sz w:val="17"/>
        </w:rPr>
      </w:pPr>
      <w:r>
        <w:rPr>
          <w:rFonts w:ascii="inherit" w:hAnsi="inherit"/>
          <w:sz w:val="17"/>
        </w:rPr>
        <w:t>I, Linden R. Evans, certify that:</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83"/>
        <w:gridCol w:w="172"/>
        <w:gridCol w:w="985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8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 have reviewed this Quarterly Report on Form 10-Q of Black Hills Corporation;</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rPr/>
            </w:pPr>
            <w:r>
              <w:rPr/>
              <w:t> </w:t>
            </w:r>
          </w:p>
        </w:tc>
      </w:tr>
    </w:tbl>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sz w:val="17"/>
        </w:rPr>
      </w:pPr>
      <w:r>
        <w:rPr>
          <w:rFonts w:ascii="inherit" w:hAnsi="inherit"/>
          <w:sz w:val="17"/>
        </w:rPr>
      </w:r>
    </w:p>
    <w:tbl>
      <w:tblPr>
        <w:tblW w:w="4845" w:type="dxa"/>
        <w:jc w:val="center"/>
        <w:tblInd w:w="0" w:type="dxa"/>
        <w:tblCellMar>
          <w:top w:w="0" w:type="dxa"/>
          <w:left w:w="0" w:type="dxa"/>
          <w:bottom w:w="0" w:type="dxa"/>
          <w:right w:w="0" w:type="dxa"/>
        </w:tblCellMar>
      </w:tblPr>
      <w:tblGrid>
        <w:gridCol w:w="515"/>
        <w:gridCol w:w="1055"/>
        <w:gridCol w:w="3170"/>
        <w:gridCol w:w="105"/>
      </w:tblGrid>
      <w:tr>
        <w:trPr/>
        <w:tc>
          <w:tcPr>
            <w:tcW w:w="484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3, 2019</w:t>
            </w:r>
          </w:p>
        </w:tc>
        <w:tc>
          <w:tcPr>
            <w:tcW w:w="31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LINDEN R. EVANS</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Linden R. Evans</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12" w:name="sB58CB0F2E7C8588499548ADB8DD59F4B"/>
      <w:bookmarkStart w:id="113" w:name="bkhex-312q12019.htm"/>
      <w:bookmarkStart w:id="114" w:name="ksbkhex312q12019"/>
      <w:bookmarkStart w:id="115" w:name="sB58CB0F2E7C8588499548ADB8DD59F4B"/>
      <w:bookmarkStart w:id="116" w:name="bkhex-312q12019.htm"/>
      <w:bookmarkStart w:id="117" w:name="ksbkhex312q12019"/>
      <w:bookmarkEnd w:id="115"/>
      <w:bookmarkEnd w:id="116"/>
      <w:bookmarkEnd w:id="117"/>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jc w:val="left"/>
        <w:rPr>
          <w:rFonts w:ascii="inherit" w:hAnsi="inherit"/>
          <w:b/>
          <w:sz w:val="17"/>
        </w:rPr>
      </w:pPr>
      <w:r>
        <w:rPr>
          <w:rFonts w:ascii="inherit" w:hAnsi="inherit"/>
          <w:b/>
          <w:sz w:val="17"/>
        </w:rPr>
        <w:t>CERTIFICATION</w:t>
      </w:r>
    </w:p>
    <w:p>
      <w:pPr>
        <w:pStyle w:val="TextBody"/>
        <w:spacing w:lineRule="auto" w:line="288" w:before="0" w:after="0"/>
        <w:rPr>
          <w:rFonts w:ascii="inherit" w:hAnsi="inherit"/>
          <w:sz w:val="17"/>
        </w:rPr>
      </w:pPr>
      <w:r>
        <w:rPr>
          <w:rFonts w:ascii="inherit" w:hAnsi="inherit"/>
          <w:sz w:val="17"/>
        </w:rPr>
        <w:t>I, Richard W. Kinzley, certify that:</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83"/>
        <w:gridCol w:w="172"/>
        <w:gridCol w:w="985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8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 have reviewed this Quarterly Report on Form 10-Q of Black Hills Corporation;</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22"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ind w:left="0" w:right="0" w:firstLine="30"/>
              <w:rPr/>
            </w:pPr>
            <w:r>
              <w:rPr/>
              <w:t> </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8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r>
        <w:trPr/>
        <w:tc>
          <w:tcPr>
            <w:tcW w:w="183"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9850"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tbl>
      <w:tblPr>
        <w:tblW w:w="5745" w:type="dxa"/>
        <w:jc w:val="left"/>
        <w:tblInd w:w="0" w:type="dxa"/>
        <w:tblCellMar>
          <w:top w:w="0" w:type="dxa"/>
          <w:left w:w="0" w:type="dxa"/>
          <w:bottom w:w="0" w:type="dxa"/>
          <w:right w:w="0" w:type="dxa"/>
        </w:tblCellMar>
      </w:tblPr>
      <w:tblGrid>
        <w:gridCol w:w="515"/>
        <w:gridCol w:w="1055"/>
        <w:gridCol w:w="4070"/>
        <w:gridCol w:w="105"/>
      </w:tblGrid>
      <w:tr>
        <w:trPr/>
        <w:tc>
          <w:tcPr>
            <w:tcW w:w="574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3, 2019</w:t>
            </w:r>
          </w:p>
        </w:tc>
        <w:tc>
          <w:tcPr>
            <w:tcW w:w="40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RICHARD W. KINZLEY</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Richard W. Kinzley</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Financial Officer</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18" w:name="s8F04E48527E0541DB66DAB853CD24233"/>
      <w:bookmarkStart w:id="119" w:name="bkhex-321q12019.htm"/>
      <w:bookmarkStart w:id="120" w:name="ksbkhex321q12019"/>
      <w:bookmarkStart w:id="121" w:name="s8F04E48527E0541DB66DAB853CD24233"/>
      <w:bookmarkStart w:id="122" w:name="bkhex-321q12019.htm"/>
      <w:bookmarkStart w:id="123" w:name="ksbkhex321q12019"/>
      <w:bookmarkEnd w:id="121"/>
      <w:bookmarkEnd w:id="122"/>
      <w:bookmarkEnd w:id="123"/>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32.1</w:t>
      </w:r>
    </w:p>
    <w:p>
      <w:pPr>
        <w:pStyle w:val="TextBody"/>
        <w:spacing w:lineRule="auto" w:line="288" w:before="0" w:after="0"/>
        <w:jc w:val="center"/>
        <w:rPr>
          <w:rFonts w:ascii="inherit" w:hAnsi="inherit"/>
          <w:sz w:val="17"/>
        </w:rPr>
      </w:pPr>
      <w:r>
        <w:rPr>
          <w:rFonts w:ascii="inherit" w:hAnsi="inherit"/>
          <w:sz w:val="17"/>
        </w:rPr>
        <w:t>CERTIFICATION PURSUANT TO</w:t>
      </w:r>
    </w:p>
    <w:p>
      <w:pPr>
        <w:pStyle w:val="TextBody"/>
        <w:spacing w:lineRule="auto" w:line="288" w:before="0" w:after="0"/>
        <w:jc w:val="center"/>
        <w:rPr>
          <w:rFonts w:ascii="inherit" w:hAnsi="inherit"/>
          <w:sz w:val="17"/>
        </w:rPr>
      </w:pPr>
      <w:r>
        <w:rPr>
          <w:rFonts w:ascii="inherit" w:hAnsi="inherit"/>
          <w:sz w:val="17"/>
        </w:rPr>
        <w:t>18 U.S.C. SECTION 1350,</w:t>
      </w:r>
    </w:p>
    <w:p>
      <w:pPr>
        <w:pStyle w:val="TextBody"/>
        <w:spacing w:lineRule="auto" w:line="288" w:before="0" w:after="0"/>
        <w:jc w:val="center"/>
        <w:rPr>
          <w:rFonts w:ascii="inherit" w:hAnsi="inherit"/>
          <w:sz w:val="17"/>
        </w:rPr>
      </w:pPr>
      <w:r>
        <w:rPr>
          <w:rFonts w:ascii="inherit" w:hAnsi="inherit"/>
          <w:sz w:val="17"/>
        </w:rPr>
        <w:t>AS ADOPTED PURSUANT TO</w:t>
      </w:r>
    </w:p>
    <w:p>
      <w:pPr>
        <w:pStyle w:val="TextBody"/>
        <w:spacing w:lineRule="auto" w:line="288" w:before="0" w:after="0"/>
        <w:jc w:val="center"/>
        <w:rPr>
          <w:rFonts w:ascii="inherit" w:hAnsi="inherit"/>
          <w:sz w:val="17"/>
        </w:rPr>
      </w:pPr>
      <w:r>
        <w:rPr>
          <w:rFonts w:ascii="inherit" w:hAnsi="inherit"/>
          <w:sz w:val="17"/>
        </w:rPr>
        <w:t>SECTION 906 OF THE SARBANES-OXLEY ACT OF 2002</w:t>
      </w:r>
    </w:p>
    <w:p>
      <w:pPr>
        <w:pStyle w:val="TextBody"/>
        <w:spacing w:lineRule="auto" w:line="288" w:before="0" w:after="0"/>
        <w:jc w:val="left"/>
        <w:rPr>
          <w:sz w:val="17"/>
        </w:rPr>
      </w:pPr>
      <w:r>
        <w:rPr>
          <w:rFonts w:ascii="inherit" w:hAnsi="inherit"/>
          <w:sz w:val="17"/>
        </w:rPr>
        <w:t xml:space="preserve">In connection with the Quarterly Report of Black Hills Corporation (the “Company”) on Form 10-Q for the period ended </w:t>
      </w:r>
      <w:r>
        <w:rPr>
          <w:rFonts w:ascii="inherit" w:hAnsi="inherit"/>
          <w:strike w:val="false"/>
          <w:dstrike w:val="false"/>
          <w:color w:val="000000"/>
          <w:sz w:val="17"/>
          <w:u w:val="none"/>
          <w:effect w:val="none"/>
        </w:rPr>
        <w:t>March 31, 2019</w:t>
      </w:r>
      <w:r>
        <w:rPr>
          <w:sz w:val="17"/>
        </w:rPr>
        <w:t xml:space="preserve"> </w:t>
      </w:r>
      <w:r>
        <w:rPr>
          <w:rFonts w:ascii="inherit" w:hAnsi="inherit"/>
          <w:sz w:val="17"/>
        </w:rPr>
        <w:t>as filed with the Securities and Exchange Commission on the date hereof (the “Report”), I, Linden R. Evans, President and Chief Executive Officer of the Company, certify, pursuant to 18 U.S.C. ss. 1350, as adopted pursuant to ss. 906 of the Sarbanes-Oxley Act of 2002, that:</w:t>
      </w:r>
    </w:p>
    <w:tbl>
      <w:tblPr>
        <w:tblW w:w="10205" w:type="dxa"/>
        <w:jc w:val="left"/>
        <w:tblInd w:w="0" w:type="dxa"/>
        <w:tblCellMar>
          <w:top w:w="0" w:type="dxa"/>
          <w:left w:w="0" w:type="dxa"/>
          <w:bottom w:w="0" w:type="dxa"/>
          <w:right w:w="0" w:type="dxa"/>
        </w:tblCellMar>
      </w:tblPr>
      <w:tblGrid>
        <w:gridCol w:w="105"/>
        <w:gridCol w:w="262"/>
        <w:gridCol w:w="983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8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98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Report fully complies with the requirements of Section 13 (a) or 15 (d) of the Securities Exchange Act of 1934; and</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rPr/>
            </w:pPr>
            <w:r>
              <w:rPr/>
              <w:t> </w:t>
            </w:r>
          </w:p>
        </w:tc>
        <w:tc>
          <w:tcPr>
            <w:tcW w:w="9838"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98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information contained in the Report fairly presents, in all material respects, the financial condition and results of operations of the Company.</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rPr/>
            </w:pPr>
            <w:r>
              <w:rPr/>
              <w:t> </w:t>
            </w:r>
          </w:p>
        </w:tc>
        <w:tc>
          <w:tcPr>
            <w:tcW w:w="9838" w:type="dxa"/>
            <w:tcBorders/>
            <w:shd w:fill="auto" w:val="clear"/>
            <w:vAlign w:val="center"/>
          </w:tcPr>
          <w:p>
            <w:pPr>
              <w:pStyle w:val="TableContents"/>
              <w:spacing w:before="0" w:after="0"/>
              <w:rPr/>
            </w:pPr>
            <w:r>
              <w:rPr/>
              <w:t> </w:t>
            </w:r>
          </w:p>
        </w:tc>
      </w:tr>
    </w:tbl>
    <w:tbl>
      <w:tblPr>
        <w:tblW w:w="4845" w:type="dxa"/>
        <w:jc w:val="left"/>
        <w:tblInd w:w="0" w:type="dxa"/>
        <w:tblCellMar>
          <w:top w:w="0" w:type="dxa"/>
          <w:left w:w="0" w:type="dxa"/>
          <w:bottom w:w="0" w:type="dxa"/>
          <w:right w:w="0" w:type="dxa"/>
        </w:tblCellMar>
      </w:tblPr>
      <w:tblGrid>
        <w:gridCol w:w="515"/>
        <w:gridCol w:w="1055"/>
        <w:gridCol w:w="3170"/>
        <w:gridCol w:w="105"/>
      </w:tblGrid>
      <w:tr>
        <w:trPr/>
        <w:tc>
          <w:tcPr>
            <w:tcW w:w="484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3, 2019</w:t>
            </w:r>
          </w:p>
        </w:tc>
        <w:tc>
          <w:tcPr>
            <w:tcW w:w="31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LINDEN R. EVANS</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Linden R. Evans</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10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24" w:name="s2D8DDC25DEB35587869D861FB2BEE59B"/>
      <w:bookmarkStart w:id="125" w:name="bkhex-322q12019.htm"/>
      <w:bookmarkStart w:id="126" w:name="ksbkhex322q12019"/>
      <w:bookmarkStart w:id="127" w:name="s2D8DDC25DEB35587869D861FB2BEE59B"/>
      <w:bookmarkStart w:id="128" w:name="bkhex-322q12019.htm"/>
      <w:bookmarkStart w:id="129" w:name="ksbkhex322q12019"/>
      <w:bookmarkEnd w:id="127"/>
      <w:bookmarkEnd w:id="128"/>
      <w:bookmarkEnd w:id="129"/>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32.2</w:t>
      </w:r>
    </w:p>
    <w:p>
      <w:pPr>
        <w:pStyle w:val="TextBody"/>
        <w:spacing w:lineRule="auto" w:line="288" w:before="0" w:after="0"/>
        <w:jc w:val="center"/>
        <w:rPr>
          <w:rFonts w:ascii="inherit" w:hAnsi="inherit"/>
          <w:sz w:val="17"/>
        </w:rPr>
      </w:pPr>
      <w:r>
        <w:rPr>
          <w:rFonts w:ascii="inherit" w:hAnsi="inherit"/>
          <w:sz w:val="17"/>
        </w:rPr>
        <w:t>CERTIFICATION PURSUANT TO</w:t>
      </w:r>
    </w:p>
    <w:p>
      <w:pPr>
        <w:pStyle w:val="TextBody"/>
        <w:spacing w:lineRule="auto" w:line="288" w:before="0" w:after="0"/>
        <w:jc w:val="center"/>
        <w:rPr>
          <w:rFonts w:ascii="inherit" w:hAnsi="inherit"/>
          <w:sz w:val="17"/>
        </w:rPr>
      </w:pPr>
      <w:r>
        <w:rPr>
          <w:rFonts w:ascii="inherit" w:hAnsi="inherit"/>
          <w:sz w:val="17"/>
        </w:rPr>
        <w:t>18 U.S.C. SECTION 1350,</w:t>
      </w:r>
    </w:p>
    <w:p>
      <w:pPr>
        <w:pStyle w:val="TextBody"/>
        <w:spacing w:lineRule="auto" w:line="288" w:before="0" w:after="0"/>
        <w:jc w:val="center"/>
        <w:rPr>
          <w:rFonts w:ascii="inherit" w:hAnsi="inherit"/>
          <w:sz w:val="17"/>
        </w:rPr>
      </w:pPr>
      <w:r>
        <w:rPr>
          <w:rFonts w:ascii="inherit" w:hAnsi="inherit"/>
          <w:sz w:val="17"/>
        </w:rPr>
        <w:t>AS ADOPTED PURSUANT TO</w:t>
      </w:r>
    </w:p>
    <w:p>
      <w:pPr>
        <w:pStyle w:val="TextBody"/>
        <w:spacing w:lineRule="auto" w:line="288" w:before="0" w:after="0"/>
        <w:jc w:val="center"/>
        <w:rPr>
          <w:rFonts w:ascii="inherit" w:hAnsi="inherit"/>
          <w:sz w:val="17"/>
        </w:rPr>
      </w:pPr>
      <w:r>
        <w:rPr>
          <w:rFonts w:ascii="inherit" w:hAnsi="inherit"/>
          <w:sz w:val="17"/>
        </w:rPr>
        <w:t>SECTION 906 OF THE SARBANES-OXLEY ACT OF 2002</w:t>
      </w:r>
    </w:p>
    <w:p>
      <w:pPr>
        <w:pStyle w:val="TextBody"/>
        <w:spacing w:lineRule="auto" w:line="288" w:before="0" w:after="0"/>
        <w:jc w:val="left"/>
        <w:rPr>
          <w:sz w:val="17"/>
        </w:rPr>
      </w:pPr>
      <w:r>
        <w:rPr>
          <w:rFonts w:ascii="inherit" w:hAnsi="inherit"/>
          <w:sz w:val="17"/>
        </w:rPr>
        <w:t xml:space="preserve">In connection with the Quarterly Report of Black Hills Corporation (the “Company”) on Form 10-Q for the period ended </w:t>
      </w:r>
      <w:r>
        <w:rPr>
          <w:rFonts w:ascii="inherit" w:hAnsi="inherit"/>
          <w:strike w:val="false"/>
          <w:dstrike w:val="false"/>
          <w:color w:val="000000"/>
          <w:sz w:val="17"/>
          <w:u w:val="none"/>
          <w:effect w:val="none"/>
        </w:rPr>
        <w:t>March 31, 2019</w:t>
      </w:r>
      <w:r>
        <w:rPr>
          <w:sz w:val="17"/>
        </w:rPr>
        <w:t xml:space="preserve"> </w:t>
      </w:r>
      <w:r>
        <w:rPr>
          <w:rFonts w:ascii="inherit" w:hAnsi="inherit"/>
          <w:sz w:val="17"/>
        </w:rPr>
        <w:t>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tbl>
      <w:tblPr>
        <w:tblW w:w="10205" w:type="dxa"/>
        <w:jc w:val="left"/>
        <w:tblInd w:w="0" w:type="dxa"/>
        <w:tblCellMar>
          <w:top w:w="0" w:type="dxa"/>
          <w:left w:w="0" w:type="dxa"/>
          <w:bottom w:w="0" w:type="dxa"/>
          <w:right w:w="0" w:type="dxa"/>
        </w:tblCellMar>
      </w:tblPr>
      <w:tblGrid>
        <w:gridCol w:w="105"/>
        <w:gridCol w:w="262"/>
        <w:gridCol w:w="983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8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98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Report fully complies with the requirements of Section 13 (a) or 15 (d) of the Securities Exchange Act of 1934; and</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rPr/>
            </w:pPr>
            <w:r>
              <w:rPr/>
              <w:t> </w:t>
            </w:r>
          </w:p>
        </w:tc>
        <w:tc>
          <w:tcPr>
            <w:tcW w:w="9838"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98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information contained in the Report fairly presents, in all material respects, the financial condition and results of operations of the Company.</w:t>
            </w:r>
          </w:p>
        </w:tc>
      </w:tr>
      <w:tr>
        <w:trPr/>
        <w:tc>
          <w:tcPr>
            <w:tcW w:w="105" w:type="dxa"/>
            <w:tcBorders/>
            <w:shd w:fill="auto" w:val="clear"/>
            <w:vAlign w:val="center"/>
          </w:tcPr>
          <w:p>
            <w:pPr>
              <w:pStyle w:val="TableContents"/>
              <w:spacing w:before="0" w:after="0"/>
              <w:ind w:left="0" w:right="0" w:firstLine="30"/>
              <w:rPr/>
            </w:pPr>
            <w:r>
              <w:rPr/>
              <w:t> </w:t>
            </w:r>
          </w:p>
        </w:tc>
        <w:tc>
          <w:tcPr>
            <w:tcW w:w="262" w:type="dxa"/>
            <w:tcBorders/>
            <w:shd w:fill="auto" w:val="clear"/>
            <w:vAlign w:val="center"/>
          </w:tcPr>
          <w:p>
            <w:pPr>
              <w:pStyle w:val="TableContents"/>
              <w:spacing w:before="0" w:after="0"/>
              <w:ind w:left="0" w:right="0" w:firstLine="30"/>
              <w:rPr/>
            </w:pPr>
            <w:r>
              <w:rPr/>
              <w:t> </w:t>
            </w:r>
          </w:p>
        </w:tc>
        <w:tc>
          <w:tcPr>
            <w:tcW w:w="9838" w:type="dxa"/>
            <w:tcBorders/>
            <w:shd w:fill="auto" w:val="clear"/>
            <w:vAlign w:val="center"/>
          </w:tcPr>
          <w:p>
            <w:pPr>
              <w:pStyle w:val="TableContents"/>
              <w:spacing w:before="0" w:after="0"/>
              <w:rPr/>
            </w:pPr>
            <w:r>
              <w:rPr/>
              <w:t> </w:t>
            </w:r>
          </w:p>
        </w:tc>
      </w:tr>
    </w:tbl>
    <w:tbl>
      <w:tblPr>
        <w:tblW w:w="5745" w:type="dxa"/>
        <w:jc w:val="center"/>
        <w:tblInd w:w="0" w:type="dxa"/>
        <w:tblCellMar>
          <w:top w:w="0" w:type="dxa"/>
          <w:left w:w="0" w:type="dxa"/>
          <w:bottom w:w="0" w:type="dxa"/>
          <w:right w:w="0" w:type="dxa"/>
        </w:tblCellMar>
      </w:tblPr>
      <w:tblGrid>
        <w:gridCol w:w="515"/>
        <w:gridCol w:w="1055"/>
        <w:gridCol w:w="4070"/>
        <w:gridCol w:w="105"/>
      </w:tblGrid>
      <w:tr>
        <w:trPr/>
        <w:tc>
          <w:tcPr>
            <w:tcW w:w="574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3, 2019</w:t>
            </w:r>
          </w:p>
        </w:tc>
        <w:tc>
          <w:tcPr>
            <w:tcW w:w="40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RICHARD W. KINZLEY</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Richard W. Kinzley</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Financial Officer</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30" w:name="s6C4BAE9FBC0058C4AF56F33BBCFFB2D8"/>
      <w:bookmarkStart w:id="131" w:name="bkhex-95q12019.htm"/>
      <w:bookmarkStart w:id="132" w:name="ksbkhex95q12019"/>
      <w:bookmarkStart w:id="133" w:name="s6C4BAE9FBC0058C4AF56F33BBCFFB2D8"/>
      <w:bookmarkStart w:id="134" w:name="bkhex-95q12019.htm"/>
      <w:bookmarkStart w:id="135" w:name="ksbkhex95q12019"/>
      <w:bookmarkEnd w:id="133"/>
      <w:bookmarkEnd w:id="134"/>
      <w:bookmarkEnd w:id="135"/>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95</w:t>
      </w:r>
    </w:p>
    <w:p>
      <w:pPr>
        <w:pStyle w:val="TextBody"/>
        <w:spacing w:lineRule="auto" w:line="288" w:before="0" w:after="0"/>
        <w:jc w:val="left"/>
        <w:rPr>
          <w:rFonts w:ascii="inherit" w:hAnsi="inherit"/>
          <w:sz w:val="17"/>
        </w:rPr>
      </w:pPr>
      <w:r>
        <w:rPr>
          <w:rFonts w:ascii="inherit" w:hAnsi="inherit"/>
          <w:sz w:val="17"/>
        </w:rPr>
        <w:t>Information concerning mine safety violations or other regulatory matters required by Sections 1503(a) of Dodd-Frank is included below.</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Mine Safety and Health Administration Safety Data</w:t>
      </w:r>
    </w:p>
    <w:p>
      <w:pPr>
        <w:pStyle w:val="TextBody"/>
        <w:spacing w:lineRule="auto" w:line="288" w:before="0" w:after="0"/>
        <w:jc w:val="left"/>
        <w:rPr>
          <w:rFonts w:ascii="inherit" w:hAnsi="inherit"/>
          <w:sz w:val="17"/>
        </w:rPr>
      </w:pPr>
      <w:r>
        <w:rPr>
          <w:rFonts w:ascii="inherit" w:hAnsi="inherit"/>
          <w:sz w:val="17"/>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2019.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tc>
      </w:tr>
    </w:tbl>
    <w:p>
      <w:pPr>
        <w:pStyle w:val="TextBody"/>
        <w:spacing w:lineRule="auto" w:line="288" w:before="0" w:after="0"/>
        <w:jc w:val="left"/>
        <w:rPr>
          <w:rFonts w:ascii="inherit" w:hAnsi="inherit"/>
          <w:sz w:val="17"/>
        </w:rPr>
      </w:pPr>
      <w:r>
        <w:rPr>
          <w:rFonts w:ascii="inherit" w:hAnsi="inherit"/>
          <w:sz w:val="17"/>
        </w:rPr>
      </w:r>
    </w:p>
    <w:tbl>
      <w:tblPr>
        <w:tblW w:w="6145" w:type="dxa"/>
        <w:jc w:val="left"/>
        <w:tblInd w:w="0" w:type="dxa"/>
        <w:tblCellMar>
          <w:top w:w="0" w:type="dxa"/>
          <w:left w:w="0" w:type="dxa"/>
          <w:bottom w:w="0" w:type="dxa"/>
          <w:right w:w="0" w:type="dxa"/>
        </w:tblCellMar>
      </w:tblPr>
      <w:tblGrid>
        <w:gridCol w:w="485"/>
        <w:gridCol w:w="5660"/>
      </w:tblGrid>
      <w:tr>
        <w:trPr/>
        <w:tc>
          <w:tcPr>
            <w:tcW w:w="485" w:type="dxa"/>
            <w:tcBorders/>
            <w:shd w:fill="auto" w:val="clear"/>
            <w:vAlign w:val="center"/>
          </w:tcPr>
          <w:p>
            <w:pPr>
              <w:pStyle w:val="TableContents"/>
              <w:spacing w:before="0" w:after="283"/>
              <w:rPr>
                <w:sz w:val="4"/>
                <w:szCs w:val="4"/>
              </w:rPr>
            </w:pPr>
            <w:r>
              <w:rPr>
                <w:sz w:val="4"/>
                <w:szCs w:val="4"/>
              </w:rPr>
            </w:r>
          </w:p>
        </w:tc>
        <w:tc>
          <w:tcPr>
            <w:tcW w:w="56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6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number of orders issued under section 104(b) of the Mine Act;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number of citations and orders for unwarrantable failure of the mine operator to comply with mandatory health and safety standards under section 104(d) of the Mine Act;</w:t>
            </w:r>
          </w:p>
        </w:tc>
      </w:tr>
    </w:tbl>
    <w:p>
      <w:pPr>
        <w:pStyle w:val="TextBody"/>
        <w:spacing w:lineRule="auto" w:line="288" w:before="0" w:after="0"/>
        <w:jc w:val="left"/>
        <w:rPr>
          <w:rFonts w:ascii="inherit" w:hAnsi="inherit"/>
          <w:sz w:val="17"/>
        </w:rPr>
      </w:pPr>
      <w:r>
        <w:rPr>
          <w:rFonts w:ascii="inherit" w:hAnsi="inherit"/>
          <w:sz w:val="17"/>
        </w:rPr>
      </w:r>
    </w:p>
    <w:tbl>
      <w:tblPr>
        <w:tblW w:w="7990" w:type="dxa"/>
        <w:jc w:val="left"/>
        <w:tblInd w:w="0" w:type="dxa"/>
        <w:tblCellMar>
          <w:top w:w="0" w:type="dxa"/>
          <w:left w:w="0" w:type="dxa"/>
          <w:bottom w:w="0" w:type="dxa"/>
          <w:right w:w="0" w:type="dxa"/>
        </w:tblCellMar>
      </w:tblPr>
      <w:tblGrid>
        <w:gridCol w:w="485"/>
        <w:gridCol w:w="7505"/>
      </w:tblGrid>
      <w:tr>
        <w:trPr/>
        <w:tc>
          <w:tcPr>
            <w:tcW w:w="485" w:type="dxa"/>
            <w:tcBorders/>
            <w:shd w:fill="auto" w:val="clear"/>
            <w:vAlign w:val="center"/>
          </w:tcPr>
          <w:p>
            <w:pPr>
              <w:pStyle w:val="TableContents"/>
              <w:spacing w:before="0" w:after="283"/>
              <w:rPr>
                <w:sz w:val="4"/>
                <w:szCs w:val="4"/>
              </w:rPr>
            </w:pPr>
            <w:r>
              <w:rPr>
                <w:sz w:val="4"/>
                <w:szCs w:val="4"/>
              </w:rPr>
            </w:r>
          </w:p>
        </w:tc>
        <w:tc>
          <w:tcPr>
            <w:tcW w:w="7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5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number of imminent danger orders issued under section 107(a) of the Mine Act; and</w:t>
            </w:r>
          </w:p>
        </w:tc>
      </w:tr>
    </w:tbl>
    <w:p>
      <w:pPr>
        <w:pStyle w:val="TextBody"/>
        <w:spacing w:lineRule="auto" w:line="288" w:before="0" w:after="0"/>
        <w:jc w:val="left"/>
        <w:rPr>
          <w:rFonts w:ascii="inherit" w:hAnsi="inherit"/>
          <w:sz w:val="17"/>
        </w:rPr>
      </w:pPr>
      <w:r>
        <w:rPr>
          <w:rFonts w:ascii="inherit" w:hAnsi="inherit"/>
          <w:sz w:val="17"/>
        </w:rPr>
      </w:r>
    </w:p>
    <w:tbl>
      <w:tblPr>
        <w:tblW w:w="6790" w:type="dxa"/>
        <w:jc w:val="left"/>
        <w:tblInd w:w="0" w:type="dxa"/>
        <w:tblCellMar>
          <w:top w:w="0" w:type="dxa"/>
          <w:left w:w="0" w:type="dxa"/>
          <w:bottom w:w="0" w:type="dxa"/>
          <w:right w:w="0" w:type="dxa"/>
        </w:tblCellMar>
      </w:tblPr>
      <w:tblGrid>
        <w:gridCol w:w="485"/>
        <w:gridCol w:w="6305"/>
      </w:tblGrid>
      <w:tr>
        <w:trPr/>
        <w:tc>
          <w:tcPr>
            <w:tcW w:w="485" w:type="dxa"/>
            <w:tcBorders/>
            <w:shd w:fill="auto" w:val="clear"/>
            <w:vAlign w:val="center"/>
          </w:tcPr>
          <w:p>
            <w:pPr>
              <w:pStyle w:val="TableContents"/>
              <w:spacing w:before="0" w:after="283"/>
              <w:rPr>
                <w:sz w:val="4"/>
                <w:szCs w:val="4"/>
              </w:rPr>
            </w:pPr>
            <w:r>
              <w:rPr>
                <w:sz w:val="4"/>
                <w:szCs w:val="4"/>
              </w:rPr>
            </w:r>
          </w:p>
        </w:tc>
        <w:tc>
          <w:tcPr>
            <w:tcW w:w="63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3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dollar value of proposed assessments from MSHA under the Mine Act.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The table below sets forth the total number of citations and/or orders issued by MSHA to WRDC under the indicated provisions of the Mine Act, together with the total dollar value of proposed MSHA assessments received during the three months ended March 31, 2019</w:t>
      </w:r>
      <w:r>
        <w:rPr>
          <w:sz w:val="17"/>
        </w:rPr>
        <w:t xml:space="preserve"> </w:t>
      </w:r>
      <w:r>
        <w:rPr>
          <w:rFonts w:ascii="inherit" w:hAnsi="inherit"/>
          <w:sz w:val="17"/>
        </w:rPr>
        <w:t>and legal actions pending before the Federal Mine Safety and Health Review Commission, together with the Administrative Law Judges thereof, for WRDC, our only mining complex. All citations were abated within 24 hours of issue.</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098"/>
        <w:gridCol w:w="1005"/>
        <w:gridCol w:w="655"/>
        <w:gridCol w:w="709"/>
        <w:gridCol w:w="850"/>
        <w:gridCol w:w="724"/>
        <w:gridCol w:w="458"/>
        <w:gridCol w:w="573"/>
        <w:gridCol w:w="59"/>
        <w:gridCol w:w="829"/>
        <w:gridCol w:w="893"/>
        <w:gridCol w:w="693"/>
        <w:gridCol w:w="81"/>
        <w:gridCol w:w="670"/>
        <w:gridCol w:w="77"/>
        <w:gridCol w:w="701"/>
        <w:gridCol w:w="130"/>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98"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98"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MSHA</w:t>
            </w:r>
          </w:p>
        </w:tc>
        <w:tc>
          <w:tcPr>
            <w:tcW w:w="100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Act Section 104 S&amp;S Citations issued during three months ended</w:t>
            </w:r>
          </w:p>
        </w:tc>
        <w:tc>
          <w:tcPr>
            <w:tcW w:w="65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Act Section 104(b)</w:t>
            </w:r>
          </w:p>
        </w:tc>
        <w:tc>
          <w:tcPr>
            <w:tcW w:w="709"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Act Section 104(d) Citations and</w:t>
            </w:r>
          </w:p>
        </w:tc>
        <w:tc>
          <w:tcPr>
            <w:tcW w:w="85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Act Section 110(b)(2)</w:t>
            </w:r>
          </w:p>
        </w:tc>
        <w:tc>
          <w:tcPr>
            <w:tcW w:w="724"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Mine Act Section 107(a) Imminent Danger</w:t>
            </w:r>
          </w:p>
        </w:tc>
        <w:tc>
          <w:tcPr>
            <w:tcW w:w="10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 Dollar Value of Proposed MSHA</w:t>
            </w:r>
          </w:p>
        </w:tc>
        <w:tc>
          <w:tcPr>
            <w:tcW w:w="829"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 Number of Mining Related</w:t>
            </w:r>
          </w:p>
        </w:tc>
        <w:tc>
          <w:tcPr>
            <w:tcW w:w="893"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Received Notice of Potential to Have Pattern Under</w:t>
            </w:r>
          </w:p>
        </w:tc>
        <w:tc>
          <w:tcPr>
            <w:tcW w:w="774"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Legal Actions Pending as of Last Day of</w:t>
            </w:r>
          </w:p>
        </w:tc>
        <w:tc>
          <w:tcPr>
            <w:tcW w:w="747"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Legal Actions Initiated During</w:t>
            </w:r>
          </w:p>
        </w:tc>
        <w:tc>
          <w:tcPr>
            <w:tcW w:w="831"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Legal Actions Resolved During</w:t>
            </w:r>
          </w:p>
        </w:tc>
      </w:tr>
      <w:tr>
        <w:trPr/>
        <w:tc>
          <w:tcPr>
            <w:tcW w:w="109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Identification Number</w:t>
            </w:r>
          </w:p>
        </w:tc>
        <w:tc>
          <w:tcPr>
            <w:tcW w:w="100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c>
          <w:tcPr>
            <w:tcW w:w="65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Orders (#)</w:t>
            </w:r>
          </w:p>
        </w:tc>
        <w:tc>
          <w:tcPr>
            <w:tcW w:w="70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Orders (#)</w:t>
            </w:r>
          </w:p>
        </w:tc>
        <w:tc>
          <w:tcPr>
            <w:tcW w:w="8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Violations (#)</w:t>
            </w:r>
          </w:p>
        </w:tc>
        <w:tc>
          <w:tcPr>
            <w:tcW w:w="72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Orders (#)</w:t>
            </w:r>
          </w:p>
        </w:tc>
        <w:tc>
          <w:tcPr>
            <w:tcW w:w="10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Assessments</w:t>
            </w:r>
          </w:p>
        </w:tc>
        <w:tc>
          <w:tcPr>
            <w:tcW w:w="82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Fatalities (#)</w:t>
            </w:r>
          </w:p>
        </w:tc>
        <w:tc>
          <w:tcPr>
            <w:tcW w:w="89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Section 104(e) (yes/no)</w:t>
            </w:r>
          </w:p>
        </w:tc>
        <w:tc>
          <w:tcPr>
            <w:tcW w:w="77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Period (#) (a)</w:t>
            </w:r>
          </w:p>
        </w:tc>
        <w:tc>
          <w:tcPr>
            <w:tcW w:w="74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Period (#)</w:t>
            </w:r>
          </w:p>
        </w:tc>
        <w:tc>
          <w:tcPr>
            <w:tcW w:w="83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Period (#)</w:t>
            </w:r>
          </w:p>
        </w:tc>
      </w:tr>
      <w:tr>
        <w:trPr/>
        <w:tc>
          <w:tcPr>
            <w:tcW w:w="109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Wyodak Coal Mine - 4800083</w:t>
            </w:r>
          </w:p>
        </w:tc>
        <w:tc>
          <w:tcPr>
            <w:tcW w:w="1005" w:type="dxa"/>
            <w:tcBorders>
              <w:top w:val="single" w:sz="2" w:space="0" w:color="000000"/>
            </w:tcBorders>
            <w:shd w:fill="auto" w:val="clear"/>
            <w:tcMar>
              <w:top w:w="30" w:type="dxa"/>
            </w:tcMar>
            <w:vAlign w:val="center"/>
          </w:tcPr>
          <w:p>
            <w:pPr>
              <w:pStyle w:val="TableContents"/>
              <w:spacing w:before="0" w:after="0"/>
              <w:ind w:left="0" w:right="0" w:firstLine="30"/>
              <w:jc w:val="center"/>
              <w:rPr/>
            </w:pPr>
            <w:r>
              <w:rPr/>
              <w:t>—</w:t>
            </w:r>
          </w:p>
        </w:tc>
        <w:tc>
          <w:tcPr>
            <w:tcW w:w="655" w:type="dxa"/>
            <w:tcBorders/>
            <w:shd w:fill="auto" w:val="clear"/>
            <w:vAlign w:val="center"/>
          </w:tcPr>
          <w:p>
            <w:pPr>
              <w:pStyle w:val="TableContents"/>
              <w:spacing w:before="0" w:after="0"/>
              <w:ind w:left="0" w:right="0" w:firstLine="30"/>
              <w:jc w:val="center"/>
              <w:rPr/>
            </w:pPr>
            <w:r>
              <w:rPr/>
              <w:t>—</w:t>
            </w:r>
          </w:p>
        </w:tc>
        <w:tc>
          <w:tcPr>
            <w:tcW w:w="709" w:type="dxa"/>
            <w:tcBorders/>
            <w:shd w:fill="auto" w:val="clear"/>
            <w:vAlign w:val="center"/>
          </w:tcPr>
          <w:p>
            <w:pPr>
              <w:pStyle w:val="TableContents"/>
              <w:spacing w:before="0" w:after="0"/>
              <w:ind w:left="0" w:right="0" w:firstLine="30"/>
              <w:jc w:val="center"/>
              <w:rPr/>
            </w:pPr>
            <w:r>
              <w:rPr/>
              <w:t>—</w:t>
            </w:r>
          </w:p>
        </w:tc>
        <w:tc>
          <w:tcPr>
            <w:tcW w:w="850" w:type="dxa"/>
            <w:tcBorders/>
            <w:shd w:fill="auto" w:val="clear"/>
            <w:vAlign w:val="center"/>
          </w:tcPr>
          <w:p>
            <w:pPr>
              <w:pStyle w:val="TableContents"/>
              <w:spacing w:before="0" w:after="0"/>
              <w:ind w:left="0" w:right="0" w:firstLine="30"/>
              <w:jc w:val="center"/>
              <w:rPr/>
            </w:pPr>
            <w:r>
              <w:rPr/>
              <w:t>—</w:t>
            </w:r>
          </w:p>
        </w:tc>
        <w:tc>
          <w:tcPr>
            <w:tcW w:w="724" w:type="dxa"/>
            <w:tcBorders/>
            <w:shd w:fill="auto" w:val="clear"/>
            <w:vAlign w:val="center"/>
          </w:tcPr>
          <w:p>
            <w:pPr>
              <w:pStyle w:val="TableContents"/>
              <w:spacing w:before="0" w:after="0"/>
              <w:ind w:left="0" w:right="0" w:firstLine="30"/>
              <w:jc w:val="center"/>
              <w:rPr/>
            </w:pPr>
            <w:r>
              <w:rPr/>
              <w:t>—</w:t>
            </w:r>
          </w:p>
        </w:tc>
        <w:tc>
          <w:tcPr>
            <w:tcW w:w="4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573" w:type="dxa"/>
            <w:tcBorders/>
            <w:shd w:fill="auto" w:val="clear"/>
            <w:vAlign w:val="center"/>
          </w:tcPr>
          <w:p>
            <w:pPr>
              <w:pStyle w:val="TableContents"/>
              <w:spacing w:before="0" w:after="0"/>
              <w:jc w:val="right"/>
              <w:rPr>
                <w:rFonts w:ascii="inherit" w:hAnsi="inherit"/>
                <w:sz w:val="13"/>
              </w:rPr>
            </w:pPr>
            <w:r>
              <w:rPr>
                <w:rFonts w:ascii="inherit" w:hAnsi="inherit"/>
                <w:sz w:val="13"/>
              </w:rPr>
              <w:t>181</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29" w:type="dxa"/>
            <w:tcBorders/>
            <w:shd w:fill="auto" w:val="clear"/>
            <w:vAlign w:val="center"/>
          </w:tcPr>
          <w:p>
            <w:pPr>
              <w:pStyle w:val="TableContents"/>
              <w:spacing w:before="0" w:after="0"/>
              <w:ind w:left="0" w:right="0" w:firstLine="30"/>
              <w:jc w:val="center"/>
              <w:rPr/>
            </w:pPr>
            <w:r>
              <w:rPr/>
              <w:t>—</w:t>
            </w:r>
          </w:p>
        </w:tc>
        <w:tc>
          <w:tcPr>
            <w:tcW w:w="89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No</w:t>
            </w:r>
          </w:p>
        </w:tc>
        <w:tc>
          <w:tcPr>
            <w:tcW w:w="693" w:type="dxa"/>
            <w:tcBorders/>
            <w:shd w:fill="auto" w:val="clear"/>
            <w:vAlign w:val="center"/>
          </w:tcPr>
          <w:p>
            <w:pPr>
              <w:pStyle w:val="TableContents"/>
              <w:spacing w:before="0" w:after="0"/>
              <w:jc w:val="right"/>
              <w:rPr/>
            </w:pPr>
            <w:r>
              <w:rPr/>
              <w:t>—</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70" w:type="dxa"/>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01" w:type="dxa"/>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________________________</w:t>
      </w:r>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sz w:val="4"/>
                <w:szCs w:val="4"/>
              </w:rPr>
            </w:pPr>
            <w:r>
              <w:rPr>
                <w:sz w:val="4"/>
                <w:szCs w:val="4"/>
              </w:rPr>
            </w:r>
          </w:p>
        </w:tc>
        <w:tc>
          <w:tcPr>
            <w:tcW w:w="10000"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1000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30464/000113046418000007/bhcamendedarticles.htm" TargetMode="External"/><Relationship Id="rId3" Type="http://schemas.openxmlformats.org/officeDocument/2006/relationships/hyperlink" Target="http://www.sec.gov/Archives/edgar/data/1130464/000113046417000016/bkhexh3-amdrestatedbylawso.htm" TargetMode="External"/><Relationship Id="rId4" Type="http://schemas.openxmlformats.org/officeDocument/2006/relationships/hyperlink" Target="http://www.sec.gov/Archives/edgar/data/1130464/000113046403000214/ex4-1_10q603.htm" TargetMode="External"/><Relationship Id="rId5" Type="http://schemas.openxmlformats.org/officeDocument/2006/relationships/hyperlink" Target="http://www.sec.gov/Archives/edgar/data/1130464/000113046403000214/ex4-2_10q603.htm" TargetMode="External"/><Relationship Id="rId6" Type="http://schemas.openxmlformats.org/officeDocument/2006/relationships/hyperlink" Target="http://www.sec.gov/Archives/edgar/data/1130464/000110465909032244/a09-13238_3ex4.htm" TargetMode="External"/><Relationship Id="rId7" Type="http://schemas.openxmlformats.org/officeDocument/2006/relationships/hyperlink" Target="http://www.sec.gov/Archives/edgar/data/1130464/000110465910038202/a10-11184_5ex4.htm" TargetMode="External"/><Relationship Id="rId8" Type="http://schemas.openxmlformats.org/officeDocument/2006/relationships/hyperlink" Target="http://www.sec.gov/Archives/edgar/data/1130464/000110465913085420/a13-24110_4ex4.htm" TargetMode="External"/><Relationship Id="rId9" Type="http://schemas.openxmlformats.org/officeDocument/2006/relationships/hyperlink" Target="http://www.sec.gov/Archives/edgar/data/1130464/000110465916089656/a16-1059_4ex4d1.htm" TargetMode="External"/><Relationship Id="rId10" Type="http://schemas.openxmlformats.org/officeDocument/2006/relationships/hyperlink" Target="http://www.sec.gov/Archives/edgar/data/1130464/000110465916140657/a16-17027_1ex4d1.htm" TargetMode="External"/><Relationship Id="rId11" Type="http://schemas.openxmlformats.org/officeDocument/2006/relationships/hyperlink" Target="http://www.sec.gov/Archives/edgar/data/1130464/000110465918052602/a18-18564_4ex4d2.htm" TargetMode="External"/><Relationship Id="rId12" Type="http://schemas.openxmlformats.org/officeDocument/2006/relationships/hyperlink" Target="http://www.sec.gov/Archives/edgar/data/12400/000104746909009108/a2195001zex-4_19.htm" TargetMode="External"/><Relationship Id="rId13" Type="http://schemas.openxmlformats.org/officeDocument/2006/relationships/hyperlink" Target="http://www.sec.gov/Archives/edgar/data/12400/000093066102002633/dex42.txt" TargetMode="External"/><Relationship Id="rId14" Type="http://schemas.openxmlformats.org/officeDocument/2006/relationships/hyperlink" Target="http://www.sec.gov/Archives/edgar/data/12400/000110465909060487/a09-31821_7ex4d21.htm" TargetMode="External"/><Relationship Id="rId15" Type="http://schemas.openxmlformats.org/officeDocument/2006/relationships/hyperlink" Target="http://www.sec.gov/Archives/edgar/data/12400/000113046414000164/ex_10-1thirdsuppindentureb.htm" TargetMode="External"/><Relationship Id="rId16" Type="http://schemas.openxmlformats.org/officeDocument/2006/relationships/hyperlink" Target="http://www.sec.gov/Archives/edgar/data/12400/000113046414000164/ex_10-2restatedindenture.htm" TargetMode="External"/><Relationship Id="rId17" Type="http://schemas.openxmlformats.org/officeDocument/2006/relationships/hyperlink" Target="http://www.sec.gov/Archives/edgar/data/12400/000113046414000164/ex_10-3clfpfirstsupplement.htm" TargetMode="External"/><Relationship Id="rId18" Type="http://schemas.openxmlformats.org/officeDocument/2006/relationships/hyperlink" Target="http://www.sec.gov/Archives/edgar/data/12400/000113046414000164/ex_10-4clfpsupplementalind.htm" TargetMode="External"/><Relationship Id="rId19" Type="http://schemas.openxmlformats.org/officeDocument/2006/relationships/hyperlink" Target="http://www.sec.gov/Archives/edgar/data/1130464/000001240001000024/0000012400-01-000024-0002.txt"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Pages>
  <Words>23133</Words>
  <CharactersWithSpaces>147290</CharactersWithSpaces>
  <Paragraphs>6392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