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pacing w:after="0" w:line="75" w:lineRule="exact"/>
        <w:rPr>
          <w:sz w:val="24"/>
          <w:szCs w:val="24"/>
          <w:color w:val="auto"/>
        </w:rPr>
      </w:pPr>
    </w:p>
    <w:p>
      <w:pPr>
        <w:ind w:left="2180" w:hanging="166"/>
        <w:spacing w:after="0"/>
        <w:tabs>
          <w:tab w:leader="none" w:pos="2180" w:val="left"/>
        </w:tabs>
        <w:numPr>
          <w:ilvl w:val="0"/>
          <w:numId w:val="1"/>
        </w:numPr>
        <w:rPr>
          <w:rFonts w:ascii="Arial" w:cs="Arial" w:eastAsia="Arial" w:hAnsi="Arial"/>
          <w:sz w:val="14"/>
          <w:szCs w:val="14"/>
          <w:color w:val="auto"/>
        </w:rPr>
      </w:pPr>
      <w:r>
        <w:rPr>
          <w:rFonts w:ascii="Arial" w:cs="Arial" w:eastAsia="Arial" w:hAnsi="Arial"/>
          <w:sz w:val="14"/>
          <w:szCs w:val="14"/>
          <w:color w:val="auto"/>
        </w:rPr>
        <w:t>ANNUAL REPORT PURSUANT TO SECTION 13 OR 15(d) OF THE SECURITIES EXCHANGE ACT OF 1934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 the fiscal year ended December 31,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w:t>
      </w:r>
    </w:p>
    <w:p>
      <w:pPr>
        <w:spacing w:after="0" w:line="68" w:lineRule="exact"/>
        <w:rPr>
          <w:sz w:val="24"/>
          <w:szCs w:val="24"/>
          <w:color w:val="auto"/>
        </w:rPr>
      </w:pPr>
    </w:p>
    <w:p>
      <w:pPr>
        <w:ind w:left="3380" w:right="1860" w:hanging="1510"/>
        <w:spacing w:after="0" w:line="265" w:lineRule="auto"/>
        <w:tabs>
          <w:tab w:leader="none" w:pos="2045" w:val="left"/>
        </w:tabs>
        <w:numPr>
          <w:ilvl w:val="0"/>
          <w:numId w:val="2"/>
        </w:numPr>
        <w:rPr>
          <w:rFonts w:ascii="Arial" w:cs="Arial" w:eastAsia="Arial" w:hAnsi="Arial"/>
          <w:sz w:val="14"/>
          <w:szCs w:val="14"/>
          <w:color w:val="auto"/>
        </w:rPr>
      </w:pPr>
      <w:r>
        <w:rPr>
          <w:rFonts w:ascii="Arial" w:cs="Arial" w:eastAsia="Arial" w:hAnsi="Arial"/>
          <w:sz w:val="14"/>
          <w:szCs w:val="14"/>
          <w:color w:val="auto"/>
        </w:rPr>
        <w:t>TRANSITION REPORT PURSUANT TO SECTION 13 OR 15(d) OF THE SECURITIES EXCHANGE ACT OF 1934 For the transition period from _______________ to _______________</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Commission File Number 001-31303</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ectPr>
          <w:pgSz w:w="11900" w:h="16838" w:orient="portrait"/>
          <w:cols w:equalWidth="0" w:num="1">
            <w:col w:w="11240"/>
          </w:cols>
          <w:pgMar w:left="320" w:top="881" w:right="339" w:bottom="1440" w:gutter="0" w:footer="0" w:header="0"/>
        </w:sectPr>
      </w:pPr>
    </w:p>
    <w:p>
      <w:pPr>
        <w:spacing w:after="0" w:line="91" w:lineRule="exact"/>
        <w:rPr>
          <w:sz w:val="24"/>
          <w:szCs w:val="24"/>
          <w:color w:val="auto"/>
        </w:rPr>
      </w:pPr>
    </w:p>
    <w:p>
      <w:pPr>
        <w:ind w:left="3220"/>
        <w:spacing w:after="0"/>
        <w:rPr>
          <w:sz w:val="20"/>
          <w:szCs w:val="20"/>
          <w:color w:val="auto"/>
        </w:rPr>
      </w:pPr>
      <w:r>
        <w:rPr>
          <w:rFonts w:ascii="Arial" w:cs="Arial" w:eastAsia="Arial" w:hAnsi="Arial"/>
          <w:sz w:val="14"/>
          <w:szCs w:val="14"/>
          <w:b w:val="1"/>
          <w:bCs w:val="1"/>
          <w:color w:val="auto"/>
        </w:rPr>
        <w:t>Incorporated in South Dakota</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IRS Identification Number 46-0458824</w:t>
      </w:r>
    </w:p>
    <w:p>
      <w:pPr>
        <w:spacing w:after="0" w:line="82" w:lineRule="exact"/>
        <w:rPr>
          <w:sz w:val="24"/>
          <w:szCs w:val="24"/>
          <w:color w:val="auto"/>
        </w:rPr>
      </w:pPr>
    </w:p>
    <w:p>
      <w:pPr>
        <w:sectPr>
          <w:pgSz w:w="11900" w:h="16838" w:orient="portrait"/>
          <w:cols w:equalWidth="0" w:num="2">
            <w:col w:w="5240" w:space="220"/>
            <w:col w:w="5780"/>
          </w:cols>
          <w:pgMar w:left="320" w:top="881" w:right="339" w:bottom="1440" w:gutter="0" w:footer="0" w:header="0"/>
          <w:type w:val="continuous"/>
        </w:sectPr>
      </w:pPr>
    </w:p>
    <w:p>
      <w:pPr>
        <w:jc w:val="center"/>
        <w:ind w:right="-19"/>
        <w:spacing w:after="0"/>
        <w:rPr>
          <w:sz w:val="20"/>
          <w:szCs w:val="20"/>
          <w:color w:val="auto"/>
        </w:rPr>
      </w:pPr>
      <w:r>
        <w:rPr>
          <w:rFonts w:ascii="Arial" w:cs="Arial" w:eastAsia="Arial" w:hAnsi="Arial"/>
          <w:sz w:val="14"/>
          <w:szCs w:val="14"/>
          <w:b w:val="1"/>
          <w:bCs w:val="1"/>
          <w:color w:val="auto"/>
        </w:rPr>
        <w:t>7001 Mount Rushmore Road</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Rapid City, South Dakota 57702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(605) 721-1700</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240"/>
          </w:cols>
          <w:pgMar w:left="320" w:top="881" w:right="339" w:bottom="1440" w:gutter="0" w:footer="0" w:header="0"/>
          <w:type w:val="continuous"/>
        </w:sectPr>
      </w:pPr>
    </w:p>
    <w:p>
      <w:pPr>
        <w:spacing w:after="0" w:line="69"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Trading Symbol</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69" w:lineRule="exact"/>
        <w:rPr>
          <w:sz w:val="24"/>
          <w:szCs w:val="24"/>
          <w:color w:val="auto"/>
        </w:rPr>
      </w:pPr>
    </w:p>
    <w:p>
      <w:pPr>
        <w:sectPr>
          <w:pgSz w:w="11900" w:h="16838" w:orient="portrait"/>
          <w:cols w:equalWidth="0" w:num="3">
            <w:col w:w="4560" w:space="720"/>
            <w:col w:w="1540" w:space="720"/>
            <w:col w:w="3700"/>
          </w:cols>
          <w:pgMar w:left="320" w:top="881" w:right="3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3"/>
          <w:szCs w:val="13"/>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9" w:lineRule="exact"/>
        <w:rPr>
          <w:sz w:val="24"/>
          <w:szCs w:val="24"/>
          <w:color w:val="auto"/>
        </w:rPr>
      </w:pPr>
    </w:p>
    <w:p>
      <w:pPr>
        <w:sectPr>
          <w:pgSz w:w="11900" w:h="16838" w:orient="portrait"/>
          <w:cols w:equalWidth="0" w:num="3">
            <w:col w:w="4920" w:space="720"/>
            <w:col w:w="1760" w:space="720"/>
            <w:col w:w="3120"/>
          </w:cols>
          <w:pgMar w:left="320" w:top="881" w:right="339" w:bottom="1440" w:gutter="0" w:footer="0" w:header="0"/>
          <w:type w:val="continuous"/>
        </w:sectPr>
      </w:pPr>
    </w:p>
    <w:p>
      <w:pPr>
        <w:ind w:right="2840"/>
        <w:spacing w:after="0" w:line="226"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100"/>
        <w:spacing w:after="0" w:line="18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520"/>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240"/>
        <w:spacing w:after="0" w:line="27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60" w:type="dxa"/>
        <w:tblCellMar>
          <w:top w:w="0" w:type="dxa"/>
          <w:left w:w="0" w:type="dxa"/>
          <w:bottom w:w="0" w:type="dxa"/>
          <w:right w:w="0" w:type="dxa"/>
        </w:tblCellMar>
      </w:tblPr>
      <w:tr>
        <w:trPr>
          <w:trHeight w:val="242"/>
        </w:trPr>
        <w:tc>
          <w:tcPr>
            <w:tcW w:w="21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445"/>
        </w:trPr>
        <w:tc>
          <w:tcPr>
            <w:tcW w:w="2100" w:type="dxa"/>
            <w:vAlign w:val="bottom"/>
          </w:tcPr>
          <w:p>
            <w:pPr>
              <w:spacing w:after="0"/>
              <w:rPr>
                <w:sz w:val="20"/>
                <w:szCs w:val="20"/>
                <w:color w:val="auto"/>
              </w:rPr>
            </w:pPr>
            <w:r>
              <w:rPr>
                <w:rFonts w:ascii="Arial" w:cs="Arial" w:eastAsia="Arial" w:hAnsi="Arial"/>
                <w:sz w:val="14"/>
                <w:szCs w:val="14"/>
                <w:color w:val="auto"/>
              </w:rPr>
              <w:t>Non-accelerated filer</w:t>
            </w:r>
          </w:p>
        </w:tc>
        <w:tc>
          <w:tcPr>
            <w:tcW w:w="1020" w:type="dxa"/>
            <w:vAlign w:val="bottom"/>
          </w:tcPr>
          <w:p>
            <w:pPr>
              <w:ind w:left="680"/>
              <w:spacing w:after="0" w:line="188" w:lineRule="exact"/>
              <w:rPr>
                <w:sz w:val="20"/>
                <w:szCs w:val="20"/>
                <w:color w:val="auto"/>
              </w:rPr>
            </w:pPr>
            <w:r>
              <w:rPr>
                <w:rFonts w:ascii="Arial Unicode MS" w:cs="Arial Unicode MS" w:eastAsia="Arial Unicode MS" w:hAnsi="Arial Unicode MS"/>
                <w:sz w:val="14"/>
                <w:szCs w:val="14"/>
                <w:color w:val="auto"/>
              </w:rPr>
              <w:t>☐</w:t>
            </w:r>
          </w:p>
        </w:tc>
        <w:tc>
          <w:tcPr>
            <w:tcW w:w="2460" w:type="dxa"/>
            <w:vAlign w:val="bottom"/>
          </w:tcPr>
          <w:p>
            <w:pPr>
              <w:ind w:left="220"/>
              <w:spacing w:after="0"/>
              <w:rPr>
                <w:sz w:val="20"/>
                <w:szCs w:val="20"/>
                <w:color w:val="auto"/>
              </w:rPr>
            </w:pPr>
            <w:r>
              <w:rPr>
                <w:rFonts w:ascii="Arial" w:cs="Arial" w:eastAsia="Arial" w:hAnsi="Arial"/>
                <w:sz w:val="14"/>
                <w:szCs w:val="14"/>
                <w:color w:val="auto"/>
              </w:rPr>
              <w:t>Smaller reporting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r>
        <w:trPr>
          <w:trHeight w:val="446"/>
        </w:trPr>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60" w:type="dxa"/>
            <w:vAlign w:val="bottom"/>
          </w:tcPr>
          <w:p>
            <w:pPr>
              <w:ind w:left="220"/>
              <w:spacing w:after="0"/>
              <w:rPr>
                <w:sz w:val="20"/>
                <w:szCs w:val="20"/>
                <w:color w:val="auto"/>
              </w:rPr>
            </w:pPr>
            <w:r>
              <w:rPr>
                <w:rFonts w:ascii="Arial" w:cs="Arial" w:eastAsia="Arial" w:hAnsi="Arial"/>
                <w:sz w:val="14"/>
                <w:szCs w:val="14"/>
                <w:color w:val="auto"/>
              </w:rPr>
              <w:t>Emerging growth company</w:t>
            </w:r>
          </w:p>
        </w:tc>
        <w:tc>
          <w:tcPr>
            <w:tcW w:w="660" w:type="dxa"/>
            <w:vAlign w:val="bottom"/>
          </w:tcPr>
          <w:p>
            <w:pPr>
              <w:ind w:left="540"/>
              <w:spacing w:after="0" w:line="188" w:lineRule="exact"/>
              <w:rPr>
                <w:sz w:val="20"/>
                <w:szCs w:val="20"/>
                <w:color w:val="auto"/>
              </w:rPr>
            </w:pPr>
            <w:r>
              <w:rPr>
                <w:rFonts w:ascii="Arial Unicode MS" w:cs="Arial Unicode MS" w:eastAsia="Arial Unicode MS" w:hAnsi="Arial Unicode MS"/>
                <w:sz w:val="14"/>
                <w:szCs w:val="14"/>
                <w:color w:val="auto"/>
                <w:w w:val="96"/>
              </w:rPr>
              <w:t>☐</w:t>
            </w:r>
          </w:p>
        </w:tc>
      </w:tr>
    </w:tbl>
    <w:p>
      <w:pPr>
        <w:spacing w:after="0" w:line="60" w:lineRule="exact"/>
        <w:rPr>
          <w:sz w:val="24"/>
          <w:szCs w:val="24"/>
          <w:color w:val="auto"/>
        </w:rPr>
      </w:pPr>
    </w:p>
    <w:p>
      <w:pPr>
        <w:ind w:right="240"/>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420"/>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620"/>
        <w:spacing w:after="0" w:line="186" w:lineRule="exact"/>
        <w:rPr>
          <w:sz w:val="20"/>
          <w:szCs w:val="20"/>
          <w:color w:val="auto"/>
        </w:rPr>
      </w:pPr>
      <w:r>
        <w:rPr>
          <w:rFonts w:ascii="Arial" w:cs="Arial" w:eastAsia="Arial" w:hAnsi="Arial"/>
          <w:sz w:val="14"/>
          <w:szCs w:val="14"/>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460"/>
        <w:spacing w:after="0" w:line="186" w:lineRule="exact"/>
        <w:rPr>
          <w:sz w:val="20"/>
          <w:szCs w:val="20"/>
          <w:color w:val="auto"/>
        </w:rPr>
      </w:pPr>
      <w:r>
        <w:rPr>
          <w:rFonts w:ascii="Arial" w:cs="Arial" w:eastAsia="Arial" w:hAnsi="Arial"/>
          <w:sz w:val="14"/>
          <w:szCs w:val="14"/>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4"/>
          <w:szCs w:val="14"/>
          <w:color w:val="auto"/>
        </w:rPr>
        <w:t>ﬃ</w:t>
      </w:r>
      <w:r>
        <w:rPr>
          <w:rFonts w:ascii="Arial" w:cs="Arial" w:eastAsia="Arial" w:hAnsi="Arial"/>
          <w:sz w:val="14"/>
          <w:szCs w:val="14"/>
          <w:color w:val="auto"/>
        </w:rPr>
        <w:t>cers during the relevant recovery period pursuant to §240.10D-1(b)</w:t>
      </w:r>
      <w:r>
        <w:rPr>
          <w:rFonts w:ascii="Arial" w:cs="Arial" w:eastAsia="Arial" w:hAnsi="Arial"/>
          <w:sz w:val="14"/>
          <w:szCs w:val="14"/>
          <w:color w:val="231F20"/>
        </w:rPr>
        <w:t>.</w:t>
      </w:r>
      <w:r>
        <w:rPr>
          <w:rFonts w:ascii="Arial" w:cs="Arial" w:eastAsia="Arial" w:hAnsi="Arial"/>
          <w:sz w:val="14"/>
          <w:szCs w:val="14"/>
          <w:color w:val="auto"/>
        </w:rPr>
        <w:t xml:space="preserve"> </w:t>
      </w:r>
      <w:r>
        <w:rPr>
          <w:rFonts w:ascii="Arial Unicode MS" w:cs="Arial Unicode MS" w:eastAsia="Arial Unicode MS" w:hAnsi="Arial Unicode MS"/>
          <w:sz w:val="14"/>
          <w:szCs w:val="14"/>
          <w:color w:val="auto"/>
        </w:rPr>
        <w:t>☐</w:t>
      </w:r>
    </w:p>
    <w:p>
      <w:pPr>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34"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The aggregate market value of the voting common equity held by non-affiliates of the registrant on the last business day of the registrant’s most recently completed second fiscal quarter, June 30, 2023, was $4,016,297,084</w:t>
      </w:r>
    </w:p>
    <w:p>
      <w:pPr>
        <w:spacing w:after="0" w:line="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shares outstanding of each of the registrant’s classes of common stock, as of the latest practicable date.</w:t>
      </w:r>
    </w:p>
    <w:p>
      <w:pPr>
        <w:spacing w:after="0" w:line="146" w:lineRule="exact"/>
        <w:rPr>
          <w:sz w:val="24"/>
          <w:szCs w:val="24"/>
          <w:color w:val="auto"/>
        </w:rPr>
      </w:pPr>
    </w:p>
    <w:tbl>
      <w:tblPr>
        <w:tblLayout w:type="fixed"/>
        <w:tblInd w:w="178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Class</w:t>
            </w:r>
          </w:p>
        </w:tc>
        <w:tc>
          <w:tcPr>
            <w:tcW w:w="3260" w:type="dxa"/>
            <w:vAlign w:val="bottom"/>
          </w:tcPr>
          <w:p>
            <w:pPr>
              <w:spacing w:after="0"/>
              <w:rPr>
                <w:sz w:val="14"/>
                <w:szCs w:val="1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Outstanding at January 31, 2024</w:t>
            </w:r>
          </w:p>
        </w:tc>
      </w:tr>
      <w:tr>
        <w:trPr>
          <w:trHeight w:val="283"/>
        </w:trPr>
        <w:tc>
          <w:tcPr>
            <w:tcW w:w="4460" w:type="dxa"/>
            <w:vAlign w:val="bottom"/>
            <w:gridSpan w:val="3"/>
          </w:tcPr>
          <w:p>
            <w:pPr>
              <w:jc w:val="center"/>
              <w:ind w:right="2420"/>
              <w:spacing w:after="0"/>
              <w:rPr>
                <w:sz w:val="20"/>
                <w:szCs w:val="20"/>
                <w:color w:val="auto"/>
              </w:rPr>
            </w:pPr>
            <w:r>
              <w:rPr>
                <w:rFonts w:ascii="Arial" w:cs="Arial" w:eastAsia="Arial" w:hAnsi="Arial"/>
                <w:sz w:val="14"/>
                <w:szCs w:val="14"/>
                <w:color w:val="auto"/>
              </w:rPr>
              <w:t>Common stock, $1.00 par value</w:t>
            </w:r>
          </w:p>
        </w:tc>
        <w:tc>
          <w:tcPr>
            <w:tcW w:w="2100" w:type="dxa"/>
            <w:vAlign w:val="bottom"/>
          </w:tcPr>
          <w:p>
            <w:pPr>
              <w:ind w:left="460"/>
              <w:spacing w:after="0"/>
              <w:rPr>
                <w:sz w:val="20"/>
                <w:szCs w:val="20"/>
                <w:color w:val="auto"/>
              </w:rPr>
            </w:pPr>
            <w:r>
              <w:rPr>
                <w:rFonts w:ascii="Arial" w:cs="Arial" w:eastAsia="Arial" w:hAnsi="Arial"/>
                <w:sz w:val="14"/>
                <w:szCs w:val="14"/>
                <w:color w:val="auto"/>
              </w:rPr>
              <w:t>68,196,551 shares</w:t>
            </w:r>
          </w:p>
        </w:tc>
      </w:tr>
    </w:tbl>
    <w:p>
      <w:pPr>
        <w:spacing w:after="0" w:line="2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5" w:lineRule="exact"/>
        <w:rPr>
          <w:sz w:val="24"/>
          <w:szCs w:val="24"/>
          <w:color w:val="auto"/>
        </w:rPr>
      </w:pPr>
    </w:p>
    <w:p>
      <w:pPr>
        <w:ind w:right="280"/>
        <w:spacing w:after="0" w:line="264" w:lineRule="auto"/>
        <w:rPr>
          <w:sz w:val="20"/>
          <w:szCs w:val="20"/>
          <w:color w:val="auto"/>
        </w:rPr>
      </w:pPr>
      <w:r>
        <w:rPr>
          <w:rFonts w:ascii="Arial" w:cs="Arial" w:eastAsia="Arial" w:hAnsi="Arial"/>
          <w:sz w:val="14"/>
          <w:szCs w:val="14"/>
          <w:color w:val="auto"/>
        </w:rPr>
        <w:t>Portions of the registrant’s Definitive Proxy Statement being prepared for the solicitation of proxies in connection with the 2024 Annual Meeting of Stockholders to be held on April 23, 2024, are incorporated by reference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582295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500" w:type="dxa"/>
            <w:vAlign w:val="bottom"/>
            <w:gridSpan w:val="7"/>
          </w:tcPr>
          <w:p>
            <w:pPr>
              <w:ind w:left="120"/>
              <w:spacing w:after="0"/>
              <w:rPr>
                <w:sz w:val="20"/>
                <w:szCs w:val="20"/>
                <w:color w:val="auto"/>
              </w:rPr>
            </w:pPr>
            <w:r>
              <w:rPr>
                <w:rFonts w:ascii="Arial" w:cs="Arial" w:eastAsia="Arial" w:hAnsi="Arial"/>
                <w:sz w:val="16"/>
                <w:szCs w:val="16"/>
                <w:b w:val="1"/>
                <w:bCs w:val="1"/>
                <w:color w:val="auto"/>
              </w:rPr>
              <w:t>TABLE OF CONTENTS</w:t>
            </w: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5"/>
          </w:tcPr>
          <w:p>
            <w:pPr>
              <w:ind w:left="360"/>
              <w:spacing w:after="0"/>
              <w:rPr>
                <w:sz w:val="20"/>
                <w:szCs w:val="20"/>
                <w:color w:val="auto"/>
              </w:rPr>
            </w:pPr>
            <w:r>
              <w:rPr>
                <w:rFonts w:ascii="Arial" w:cs="Arial" w:eastAsia="Arial" w:hAnsi="Arial"/>
                <w:sz w:val="16"/>
                <w:szCs w:val="16"/>
                <w:color w:val="auto"/>
              </w:rPr>
              <w:t>Page</w:t>
            </w:r>
          </w:p>
        </w:tc>
      </w:tr>
      <w:tr>
        <w:trPr>
          <w:trHeight w:val="29"/>
        </w:trPr>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196"/>
        </w:trPr>
        <w:tc>
          <w:tcPr>
            <w:tcW w:w="120" w:type="dxa"/>
            <w:vAlign w:val="bottom"/>
            <w:shd w:val="clear" w:color="auto" w:fill="CFF0FC"/>
          </w:tcPr>
          <w:p>
            <w:pPr>
              <w:spacing w:after="0"/>
              <w:rPr>
                <w:sz w:val="17"/>
                <w:szCs w:val="17"/>
                <w:color w:val="auto"/>
              </w:rPr>
            </w:pPr>
          </w:p>
        </w:tc>
        <w:tc>
          <w:tcPr>
            <w:tcW w:w="10020" w:type="dxa"/>
            <w:vAlign w:val="bottom"/>
            <w:gridSpan w:val="39"/>
            <w:shd w:val="clear" w:color="auto" w:fill="CFF0FC"/>
          </w:tcPr>
          <w:p>
            <w:pPr>
              <w:spacing w:after="0"/>
              <w:rPr>
                <w:sz w:val="20"/>
                <w:szCs w:val="20"/>
                <w:color w:val="auto"/>
              </w:rPr>
            </w:pPr>
            <w:r>
              <w:rPr>
                <w:rFonts w:ascii="Arial" w:cs="Arial" w:eastAsia="Arial" w:hAnsi="Arial"/>
                <w:sz w:val="16"/>
                <w:szCs w:val="16"/>
                <w:color w:val="0000FF"/>
              </w:rPr>
              <w:t>GLOSSARY OF TERMS AND ABBREVIATIONS</w:t>
            </w:r>
          </w:p>
        </w:tc>
        <w:tc>
          <w:tcPr>
            <w:tcW w:w="640" w:type="dxa"/>
            <w:vAlign w:val="bottom"/>
            <w:gridSpan w:val="4"/>
            <w:shd w:val="clear" w:color="auto" w:fill="CFF0FC"/>
          </w:tcPr>
          <w:p>
            <w:pPr>
              <w:jc w:val="center"/>
              <w:ind w:left="379"/>
              <w:spacing w:after="0"/>
              <w:rPr>
                <w:sz w:val="20"/>
                <w:szCs w:val="20"/>
                <w:color w:val="auto"/>
              </w:rPr>
            </w:pPr>
            <w:r>
              <w:rPr>
                <w:rFonts w:ascii="Arial" w:cs="Arial" w:eastAsia="Arial" w:hAnsi="Arial"/>
                <w:sz w:val="16"/>
                <w:szCs w:val="16"/>
                <w:color w:val="0000FF"/>
              </w:rPr>
              <w:t>4</w:t>
            </w:r>
          </w:p>
        </w:tc>
        <w:tc>
          <w:tcPr>
            <w:tcW w:w="460" w:type="dxa"/>
            <w:vAlign w:val="bottom"/>
            <w:shd w:val="clear" w:color="auto" w:fill="CFF0FC"/>
          </w:tcPr>
          <w:p>
            <w:pPr>
              <w:spacing w:after="0"/>
              <w:rPr>
                <w:sz w:val="17"/>
                <w:szCs w:val="17"/>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04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3480" w:type="dxa"/>
            <w:vAlign w:val="bottom"/>
            <w:gridSpan w:val="21"/>
          </w:tcPr>
          <w:p>
            <w:pPr>
              <w:spacing w:after="0"/>
              <w:rPr>
                <w:sz w:val="20"/>
                <w:szCs w:val="20"/>
                <w:color w:val="auto"/>
              </w:rPr>
            </w:pPr>
            <w:r>
              <w:rPr>
                <w:rFonts w:ascii="Arial" w:cs="Arial" w:eastAsia="Arial" w:hAnsi="Arial"/>
                <w:sz w:val="16"/>
                <w:szCs w:val="16"/>
                <w:color w:val="0000FF"/>
              </w:rPr>
              <w:t>WEBSITE ACCESS TO REPORTS</w:t>
            </w:r>
          </w:p>
        </w:tc>
        <w:tc>
          <w:tcPr>
            <w:tcW w:w="6540" w:type="dxa"/>
            <w:vAlign w:val="bottom"/>
            <w:gridSpan w:val="18"/>
          </w:tcPr>
          <w:p>
            <w:pPr>
              <w:spacing w:after="0"/>
              <w:rPr>
                <w:sz w:val="19"/>
                <w:szCs w:val="19"/>
                <w:color w:val="auto"/>
              </w:rPr>
            </w:pPr>
          </w:p>
        </w:tc>
        <w:tc>
          <w:tcPr>
            <w:tcW w:w="640" w:type="dxa"/>
            <w:vAlign w:val="bottom"/>
            <w:gridSpan w:val="4"/>
          </w:tcPr>
          <w:p>
            <w:pPr>
              <w:jc w:val="center"/>
              <w:ind w:left="379"/>
              <w:spacing w:after="0"/>
              <w:rPr>
                <w:sz w:val="20"/>
                <w:szCs w:val="20"/>
                <w:color w:val="auto"/>
              </w:rPr>
            </w:pPr>
            <w:r>
              <w:rPr>
                <w:rFonts w:ascii="Arial" w:cs="Arial" w:eastAsia="Arial" w:hAnsi="Arial"/>
                <w:sz w:val="16"/>
                <w:szCs w:val="16"/>
                <w:color w:val="0000FF"/>
              </w:rPr>
              <w:t>11</w:t>
            </w:r>
          </w:p>
        </w:tc>
        <w:tc>
          <w:tcPr>
            <w:tcW w:w="46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77"/>
        </w:trPr>
        <w:tc>
          <w:tcPr>
            <w:tcW w:w="120" w:type="dxa"/>
            <w:vAlign w:val="bottom"/>
            <w:shd w:val="clear" w:color="auto" w:fill="CFF0FC"/>
          </w:tcPr>
          <w:p>
            <w:pPr>
              <w:spacing w:after="0"/>
              <w:rPr>
                <w:sz w:val="24"/>
                <w:szCs w:val="24"/>
                <w:color w:val="auto"/>
              </w:rPr>
            </w:pPr>
          </w:p>
        </w:tc>
        <w:tc>
          <w:tcPr>
            <w:tcW w:w="10020" w:type="dxa"/>
            <w:vAlign w:val="bottom"/>
            <w:gridSpan w:val="39"/>
            <w:shd w:val="clear" w:color="auto" w:fill="CFF0FC"/>
          </w:tcPr>
          <w:p>
            <w:pPr>
              <w:spacing w:after="0"/>
              <w:rPr>
                <w:sz w:val="20"/>
                <w:szCs w:val="20"/>
                <w:color w:val="auto"/>
              </w:rPr>
            </w:pPr>
            <w:r>
              <w:rPr>
                <w:rFonts w:ascii="Arial" w:cs="Arial" w:eastAsia="Arial" w:hAnsi="Arial"/>
                <w:sz w:val="16"/>
                <w:szCs w:val="16"/>
                <w:color w:val="0000FF"/>
              </w:rPr>
              <w:t>FORWARD-LOOKING INFORMATION</w:t>
            </w:r>
          </w:p>
        </w:tc>
        <w:tc>
          <w:tcPr>
            <w:tcW w:w="640" w:type="dxa"/>
            <w:vAlign w:val="bottom"/>
            <w:gridSpan w:val="4"/>
            <w:shd w:val="clear" w:color="auto" w:fill="CFF0FC"/>
          </w:tcPr>
          <w:p>
            <w:pPr>
              <w:jc w:val="center"/>
              <w:ind w:left="379"/>
              <w:spacing w:after="0"/>
              <w:rPr>
                <w:sz w:val="20"/>
                <w:szCs w:val="20"/>
                <w:color w:val="auto"/>
              </w:rPr>
            </w:pPr>
            <w:r>
              <w:rPr>
                <w:rFonts w:ascii="Arial" w:cs="Arial" w:eastAsia="Arial" w:hAnsi="Arial"/>
                <w:sz w:val="16"/>
                <w:szCs w:val="16"/>
                <w:color w:val="0000FF"/>
              </w:rPr>
              <w:t>11</w:t>
            </w:r>
          </w:p>
        </w:tc>
        <w:tc>
          <w:tcPr>
            <w:tcW w:w="460" w:type="dxa"/>
            <w:vAlign w:val="bottom"/>
            <w:shd w:val="clear" w:color="auto" w:fill="CFF0FC"/>
          </w:tcPr>
          <w:p>
            <w:pPr>
              <w:spacing w:after="0"/>
              <w:rPr>
                <w:sz w:val="24"/>
                <w:szCs w:val="24"/>
                <w:color w:val="auto"/>
              </w:rPr>
            </w:pPr>
          </w:p>
        </w:tc>
      </w:tr>
      <w:tr>
        <w:trPr>
          <w:trHeight w:val="230"/>
        </w:trPr>
        <w:tc>
          <w:tcPr>
            <w:tcW w:w="120" w:type="dxa"/>
            <w:vAlign w:val="bottom"/>
            <w:tcBorders>
              <w:top w:val="single" w:sz="8" w:color="CFF0FC"/>
            </w:tcBorders>
          </w:tcPr>
          <w:p>
            <w:pPr>
              <w:spacing w:after="0"/>
              <w:rPr>
                <w:sz w:val="19"/>
                <w:szCs w:val="19"/>
                <w:color w:val="auto"/>
              </w:rPr>
            </w:pPr>
          </w:p>
        </w:tc>
        <w:tc>
          <w:tcPr>
            <w:tcW w:w="1720" w:type="dxa"/>
            <w:vAlign w:val="bottom"/>
            <w:tcBorders>
              <w:top w:val="single" w:sz="8" w:color="0000FF"/>
            </w:tcBorders>
            <w:gridSpan w:val="6"/>
          </w:tcPr>
          <w:p>
            <w:pPr>
              <w:spacing w:after="0"/>
              <w:rPr>
                <w:sz w:val="20"/>
                <w:szCs w:val="20"/>
                <w:color w:val="auto"/>
              </w:rPr>
            </w:pPr>
            <w:r>
              <w:rPr>
                <w:rFonts w:ascii="Arial" w:cs="Arial" w:eastAsia="Arial" w:hAnsi="Arial"/>
                <w:sz w:val="16"/>
                <w:szCs w:val="16"/>
                <w:b w:val="1"/>
                <w:bCs w:val="1"/>
                <w:color w:val="0000FF"/>
              </w:rPr>
              <w:t>Part I</w:t>
            </w:r>
          </w:p>
        </w:tc>
        <w:tc>
          <w:tcPr>
            <w:tcW w:w="3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4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8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1600" w:type="dxa"/>
            <w:vAlign w:val="bottom"/>
            <w:tcBorders>
              <w:top w:val="single" w:sz="8" w:color="CFF0FC"/>
            </w:tcBorders>
          </w:tcPr>
          <w:p>
            <w:pPr>
              <w:spacing w:after="0"/>
              <w:rPr>
                <w:sz w:val="19"/>
                <w:szCs w:val="19"/>
                <w:color w:val="auto"/>
              </w:rPr>
            </w:pPr>
          </w:p>
        </w:tc>
        <w:tc>
          <w:tcPr>
            <w:tcW w:w="560" w:type="dxa"/>
            <w:vAlign w:val="bottom"/>
            <w:tcBorders>
              <w:top w:val="single" w:sz="8" w:color="CFF0FC"/>
            </w:tcBorders>
          </w:tcPr>
          <w:p>
            <w:pPr>
              <w:spacing w:after="0"/>
              <w:rPr>
                <w:sz w:val="19"/>
                <w:szCs w:val="19"/>
                <w:color w:val="auto"/>
              </w:rPr>
            </w:pPr>
          </w:p>
        </w:tc>
        <w:tc>
          <w:tcPr>
            <w:tcW w:w="36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60" w:type="dxa"/>
            <w:vAlign w:val="bottom"/>
            <w:tcBorders>
              <w:top w:val="single" w:sz="8" w:color="CFF0FC"/>
            </w:tcBorders>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1.</w:t>
            </w:r>
          </w:p>
        </w:tc>
        <w:tc>
          <w:tcPr>
            <w:tcW w:w="1160" w:type="dxa"/>
            <w:vAlign w:val="bottom"/>
            <w:gridSpan w:val="3"/>
            <w:shd w:val="clear" w:color="auto" w:fill="CFF0FC"/>
          </w:tcPr>
          <w:p>
            <w:pPr>
              <w:spacing w:after="0"/>
              <w:rPr>
                <w:sz w:val="19"/>
                <w:szCs w:val="19"/>
                <w:color w:val="auto"/>
              </w:rPr>
            </w:pPr>
          </w:p>
        </w:tc>
        <w:tc>
          <w:tcPr>
            <w:tcW w:w="820" w:type="dxa"/>
            <w:vAlign w:val="bottom"/>
            <w:gridSpan w:val="4"/>
            <w:shd w:val="clear" w:color="auto" w:fill="CFF0FC"/>
          </w:tcPr>
          <w:p>
            <w:pPr>
              <w:spacing w:after="0"/>
              <w:rPr>
                <w:sz w:val="20"/>
                <w:szCs w:val="20"/>
                <w:color w:val="auto"/>
              </w:rPr>
            </w:pPr>
            <w:r>
              <w:rPr>
                <w:rFonts w:ascii="Arial" w:cs="Arial" w:eastAsia="Arial" w:hAnsi="Arial"/>
                <w:sz w:val="16"/>
                <w:szCs w:val="16"/>
                <w:color w:val="0000FF"/>
                <w:w w:val="98"/>
              </w:rPr>
              <w:t>BUSINESS</w:t>
            </w:r>
          </w:p>
        </w:tc>
        <w:tc>
          <w:tcPr>
            <w:tcW w:w="7480" w:type="dxa"/>
            <w:vAlign w:val="bottom"/>
            <w:gridSpan w:val="29"/>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12</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2"/>
          </w:tcPr>
          <w:p>
            <w:pPr>
              <w:spacing w:after="0"/>
              <w:rPr>
                <w:sz w:val="20"/>
                <w:szCs w:val="20"/>
                <w:color w:val="auto"/>
              </w:rPr>
            </w:pPr>
            <w:r>
              <w:rPr>
                <w:rFonts w:ascii="Arial" w:cs="Arial" w:eastAsia="Arial" w:hAnsi="Arial"/>
                <w:sz w:val="16"/>
                <w:szCs w:val="16"/>
                <w:color w:val="0000FF"/>
              </w:rPr>
              <w:t>History and Organization</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12</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Electric Utilities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12</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gridSpan w:val="10"/>
          </w:tcPr>
          <w:p>
            <w:pPr>
              <w:spacing w:after="0"/>
              <w:rPr>
                <w:sz w:val="20"/>
                <w:szCs w:val="20"/>
                <w:color w:val="auto"/>
              </w:rPr>
            </w:pPr>
            <w:r>
              <w:rPr>
                <w:rFonts w:ascii="Arial" w:cs="Arial" w:eastAsia="Arial" w:hAnsi="Arial"/>
                <w:sz w:val="16"/>
                <w:szCs w:val="16"/>
                <w:color w:val="0000FF"/>
              </w:rPr>
              <w:t>Gas Utilities</w:t>
            </w:r>
          </w:p>
        </w:tc>
        <w:tc>
          <w:tcPr>
            <w:tcW w:w="6880" w:type="dxa"/>
            <w:vAlign w:val="bottom"/>
            <w:gridSpan w:val="22"/>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15</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340" w:type="dxa"/>
            <w:vAlign w:val="bottom"/>
            <w:gridSpan w:val="24"/>
            <w:shd w:val="clear" w:color="auto" w:fill="CFF0FC"/>
          </w:tcPr>
          <w:p>
            <w:pPr>
              <w:spacing w:after="0"/>
              <w:rPr>
                <w:sz w:val="20"/>
                <w:szCs w:val="20"/>
                <w:color w:val="auto"/>
              </w:rPr>
            </w:pPr>
            <w:r>
              <w:rPr>
                <w:rFonts w:ascii="Arial" w:cs="Arial" w:eastAsia="Arial" w:hAnsi="Arial"/>
                <w:sz w:val="16"/>
                <w:szCs w:val="16"/>
                <w:color w:val="0000FF"/>
              </w:rPr>
              <w:t>Utility Regulation Characteristics</w:t>
            </w:r>
          </w:p>
        </w:tc>
        <w:tc>
          <w:tcPr>
            <w:tcW w:w="5640" w:type="dxa"/>
            <w:vAlign w:val="bottom"/>
            <w:gridSpan w:val="8"/>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17</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40" w:type="dxa"/>
            <w:vAlign w:val="bottom"/>
            <w:gridSpan w:val="24"/>
          </w:tcPr>
          <w:p>
            <w:pPr>
              <w:spacing w:after="0"/>
              <w:rPr>
                <w:sz w:val="20"/>
                <w:szCs w:val="20"/>
                <w:color w:val="auto"/>
              </w:rPr>
            </w:pPr>
            <w:r>
              <w:rPr>
                <w:rFonts w:ascii="Arial" w:cs="Arial" w:eastAsia="Arial" w:hAnsi="Arial"/>
                <w:sz w:val="16"/>
                <w:szCs w:val="16"/>
                <w:color w:val="0000FF"/>
              </w:rPr>
              <w:t>Environmental Matters</w:t>
            </w:r>
          </w:p>
        </w:tc>
        <w:tc>
          <w:tcPr>
            <w:tcW w:w="5640" w:type="dxa"/>
            <w:vAlign w:val="bottom"/>
            <w:gridSpan w:val="8"/>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21</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00" w:type="dxa"/>
            <w:vAlign w:val="bottom"/>
            <w:gridSpan w:val="20"/>
            <w:shd w:val="clear" w:color="auto" w:fill="CFF0FC"/>
          </w:tcPr>
          <w:p>
            <w:pPr>
              <w:spacing w:after="0"/>
              <w:rPr>
                <w:sz w:val="20"/>
                <w:szCs w:val="20"/>
                <w:color w:val="auto"/>
              </w:rPr>
            </w:pPr>
            <w:r>
              <w:rPr>
                <w:rFonts w:ascii="Arial" w:cs="Arial" w:eastAsia="Arial" w:hAnsi="Arial"/>
                <w:sz w:val="16"/>
                <w:szCs w:val="16"/>
                <w:color w:val="0000FF"/>
              </w:rPr>
              <w:t>Human Capital Resources</w:t>
            </w:r>
          </w:p>
        </w:tc>
        <w:tc>
          <w:tcPr>
            <w:tcW w:w="6080" w:type="dxa"/>
            <w:vAlign w:val="bottom"/>
            <w:gridSpan w:val="12"/>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22</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6"/>
          </w:tcPr>
          <w:p>
            <w:pPr>
              <w:spacing w:after="0"/>
              <w:rPr>
                <w:sz w:val="20"/>
                <w:szCs w:val="20"/>
                <w:color w:val="auto"/>
              </w:rPr>
            </w:pPr>
            <w:r>
              <w:rPr>
                <w:rFonts w:ascii="Arial" w:cs="Arial" w:eastAsia="Arial" w:hAnsi="Arial"/>
                <w:sz w:val="16"/>
                <w:szCs w:val="16"/>
                <w:color w:val="0000FF"/>
              </w:rPr>
              <w:t>ITEM 1A.</w:t>
            </w:r>
          </w:p>
        </w:tc>
        <w:tc>
          <w:tcPr>
            <w:tcW w:w="8300" w:type="dxa"/>
            <w:vAlign w:val="bottom"/>
            <w:gridSpan w:val="33"/>
          </w:tcPr>
          <w:p>
            <w:pPr>
              <w:spacing w:after="0"/>
              <w:rPr>
                <w:sz w:val="20"/>
                <w:szCs w:val="20"/>
                <w:color w:val="auto"/>
              </w:rPr>
            </w:pPr>
            <w:r>
              <w:rPr>
                <w:rFonts w:ascii="Arial" w:cs="Arial" w:eastAsia="Arial" w:hAnsi="Arial"/>
                <w:sz w:val="16"/>
                <w:szCs w:val="16"/>
                <w:color w:val="0000FF"/>
              </w:rPr>
              <w:t>RISK FACTORS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24</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6"/>
            <w:shd w:val="clear" w:color="auto" w:fill="CFF0FC"/>
          </w:tcPr>
          <w:p>
            <w:pPr>
              <w:spacing w:after="0"/>
              <w:rPr>
                <w:sz w:val="20"/>
                <w:szCs w:val="20"/>
                <w:color w:val="auto"/>
              </w:rPr>
            </w:pPr>
            <w:r>
              <w:rPr>
                <w:rFonts w:ascii="Arial" w:cs="Arial" w:eastAsia="Arial" w:hAnsi="Arial"/>
                <w:sz w:val="16"/>
                <w:szCs w:val="16"/>
                <w:color w:val="0000FF"/>
              </w:rPr>
              <w:t>ITEM 1B.</w:t>
            </w:r>
          </w:p>
        </w:tc>
        <w:tc>
          <w:tcPr>
            <w:tcW w:w="830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UNRESOLVED STAFF COMMENTS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30</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1720" w:type="dxa"/>
            <w:vAlign w:val="bottom"/>
            <w:gridSpan w:val="6"/>
          </w:tcPr>
          <w:p>
            <w:pPr>
              <w:spacing w:after="0"/>
              <w:rPr>
                <w:sz w:val="20"/>
                <w:szCs w:val="20"/>
                <w:color w:val="auto"/>
              </w:rPr>
            </w:pPr>
            <w:r>
              <w:rPr>
                <w:rFonts w:ascii="Arial" w:cs="Arial" w:eastAsia="Arial" w:hAnsi="Arial"/>
                <w:sz w:val="16"/>
                <w:szCs w:val="16"/>
                <w:color w:val="0000FF"/>
              </w:rPr>
              <w:t>ITEM 1C.</w:t>
            </w:r>
          </w:p>
        </w:tc>
        <w:tc>
          <w:tcPr>
            <w:tcW w:w="8300" w:type="dxa"/>
            <w:vAlign w:val="bottom"/>
            <w:gridSpan w:val="33"/>
          </w:tcPr>
          <w:p>
            <w:pPr>
              <w:spacing w:after="0"/>
              <w:rPr>
                <w:sz w:val="20"/>
                <w:szCs w:val="20"/>
                <w:color w:val="auto"/>
              </w:rPr>
            </w:pPr>
            <w:r>
              <w:rPr>
                <w:rFonts w:ascii="Arial" w:cs="Arial" w:eastAsia="Arial" w:hAnsi="Arial"/>
                <w:sz w:val="16"/>
                <w:szCs w:val="16"/>
                <w:color w:val="0000FF"/>
              </w:rPr>
              <w:t>CYBERSECURITY</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30</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2.</w:t>
            </w:r>
          </w:p>
        </w:tc>
        <w:tc>
          <w:tcPr>
            <w:tcW w:w="1160" w:type="dxa"/>
            <w:vAlign w:val="bottom"/>
            <w:gridSpan w:val="3"/>
            <w:shd w:val="clear" w:color="auto" w:fill="CFF0FC"/>
          </w:tcPr>
          <w:p>
            <w:pPr>
              <w:spacing w:after="0"/>
              <w:rPr>
                <w:sz w:val="19"/>
                <w:szCs w:val="19"/>
                <w:color w:val="auto"/>
              </w:rPr>
            </w:pPr>
          </w:p>
        </w:tc>
        <w:tc>
          <w:tcPr>
            <w:tcW w:w="830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PROPERTIES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31</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0000FF"/>
                <w:w w:val="96"/>
              </w:rPr>
              <w:t>ITEM 3.</w:t>
            </w:r>
          </w:p>
        </w:tc>
        <w:tc>
          <w:tcPr>
            <w:tcW w:w="1160" w:type="dxa"/>
            <w:vAlign w:val="bottom"/>
            <w:gridSpan w:val="3"/>
          </w:tcPr>
          <w:p>
            <w:pPr>
              <w:spacing w:after="0"/>
              <w:rPr>
                <w:sz w:val="19"/>
                <w:szCs w:val="19"/>
                <w:color w:val="auto"/>
              </w:rPr>
            </w:pPr>
          </w:p>
        </w:tc>
        <w:tc>
          <w:tcPr>
            <w:tcW w:w="8300" w:type="dxa"/>
            <w:vAlign w:val="bottom"/>
            <w:gridSpan w:val="33"/>
          </w:tcPr>
          <w:p>
            <w:pPr>
              <w:spacing w:after="0"/>
              <w:rPr>
                <w:sz w:val="20"/>
                <w:szCs w:val="20"/>
                <w:color w:val="auto"/>
              </w:rPr>
            </w:pPr>
            <w:r>
              <w:rPr>
                <w:rFonts w:ascii="Arial" w:cs="Arial" w:eastAsia="Arial" w:hAnsi="Arial"/>
                <w:sz w:val="16"/>
                <w:szCs w:val="16"/>
                <w:color w:val="0000FF"/>
              </w:rPr>
              <w:t>LEGAL PROCEEDINGS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31</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4.</w:t>
            </w:r>
          </w:p>
        </w:tc>
        <w:tc>
          <w:tcPr>
            <w:tcW w:w="1160" w:type="dxa"/>
            <w:vAlign w:val="bottom"/>
            <w:gridSpan w:val="3"/>
            <w:shd w:val="clear" w:color="auto" w:fill="CFF0FC"/>
          </w:tcPr>
          <w:p>
            <w:pPr>
              <w:spacing w:after="0"/>
              <w:rPr>
                <w:sz w:val="19"/>
                <w:szCs w:val="19"/>
                <w:color w:val="auto"/>
              </w:rPr>
            </w:pPr>
          </w:p>
        </w:tc>
        <w:tc>
          <w:tcPr>
            <w:tcW w:w="830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MINE SAFETY DISCLOSURES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31</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0020" w:type="dxa"/>
            <w:vAlign w:val="bottom"/>
            <w:gridSpan w:val="39"/>
          </w:tcPr>
          <w:p>
            <w:pPr>
              <w:spacing w:after="0"/>
              <w:rPr>
                <w:sz w:val="20"/>
                <w:szCs w:val="20"/>
                <w:color w:val="auto"/>
              </w:rPr>
            </w:pPr>
            <w:r>
              <w:rPr>
                <w:rFonts w:ascii="Arial" w:cs="Arial" w:eastAsia="Arial" w:hAnsi="Arial"/>
                <w:sz w:val="16"/>
                <w:szCs w:val="16"/>
                <w:color w:val="0000FF"/>
              </w:rPr>
              <w:t>INFORMATION ABOUT OUR EXECUTIVE OFFICERS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32</w:t>
            </w:r>
          </w:p>
        </w:tc>
      </w:tr>
      <w:tr>
        <w:trPr>
          <w:trHeight w:val="48"/>
        </w:trPr>
        <w:tc>
          <w:tcPr>
            <w:tcW w:w="1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6"/>
            <w:shd w:val="clear" w:color="auto" w:fill="CFF0FC"/>
          </w:tcPr>
          <w:p>
            <w:pPr>
              <w:spacing w:after="0"/>
              <w:rPr>
                <w:sz w:val="20"/>
                <w:szCs w:val="20"/>
                <w:color w:val="auto"/>
              </w:rPr>
            </w:pPr>
            <w:r>
              <w:rPr>
                <w:rFonts w:ascii="Arial" w:cs="Arial" w:eastAsia="Arial" w:hAnsi="Arial"/>
                <w:sz w:val="16"/>
                <w:szCs w:val="16"/>
                <w:b w:val="1"/>
                <w:bCs w:val="1"/>
                <w:color w:val="0000FF"/>
              </w:rPr>
              <w:t>Part II</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6"/>
          </w:tcPr>
          <w:p>
            <w:pPr>
              <w:spacing w:after="0"/>
              <w:rPr>
                <w:sz w:val="20"/>
                <w:szCs w:val="20"/>
                <w:color w:val="auto"/>
              </w:rPr>
            </w:pPr>
            <w:r>
              <w:rPr>
                <w:rFonts w:ascii="Arial" w:cs="Arial" w:eastAsia="Arial" w:hAnsi="Arial"/>
                <w:sz w:val="16"/>
                <w:szCs w:val="16"/>
                <w:color w:val="0000FF"/>
              </w:rPr>
              <w:t>ITEM 5.</w:t>
            </w:r>
          </w:p>
        </w:tc>
        <w:tc>
          <w:tcPr>
            <w:tcW w:w="8300" w:type="dxa"/>
            <w:vAlign w:val="bottom"/>
            <w:gridSpan w:val="33"/>
          </w:tcPr>
          <w:p>
            <w:pPr>
              <w:spacing w:after="0"/>
              <w:rPr>
                <w:sz w:val="20"/>
                <w:szCs w:val="20"/>
                <w:color w:val="auto"/>
              </w:rPr>
            </w:pPr>
            <w:r>
              <w:rPr>
                <w:rFonts w:ascii="Arial" w:cs="Arial" w:eastAsia="Arial" w:hAnsi="Arial"/>
                <w:sz w:val="16"/>
                <w:szCs w:val="16"/>
                <w:color w:val="0000FF"/>
              </w:rPr>
              <w:t>MARKET FOR REGISTRANT’S COMMON EQUITY, RELATED STOCKHOLDER MATTERS AND ISSUER</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33</w:t>
            </w:r>
          </w:p>
        </w:tc>
      </w:tr>
      <w:tr>
        <w:trPr>
          <w:trHeight w:val="169"/>
        </w:trPr>
        <w:tc>
          <w:tcPr>
            <w:tcW w:w="12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720" w:type="dxa"/>
            <w:vAlign w:val="bottom"/>
            <w:tcBorders>
              <w:top w:val="single" w:sz="8" w:color="0000FF"/>
            </w:tcBorders>
            <w:gridSpan w:val="31"/>
          </w:tcPr>
          <w:p>
            <w:pPr>
              <w:spacing w:after="0" w:line="169" w:lineRule="exact"/>
              <w:rPr>
                <w:sz w:val="20"/>
                <w:szCs w:val="20"/>
                <w:color w:val="auto"/>
              </w:rPr>
            </w:pPr>
            <w:r>
              <w:rPr>
                <w:rFonts w:ascii="Arial" w:cs="Arial" w:eastAsia="Arial" w:hAnsi="Arial"/>
                <w:sz w:val="16"/>
                <w:szCs w:val="16"/>
                <w:color w:val="0000FF"/>
              </w:rPr>
              <w:t>PURCHASES OF EQUITY SECURITIES</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560" w:type="dxa"/>
            <w:vAlign w:val="bottom"/>
            <w:gridSpan w:val="3"/>
            <w:shd w:val="clear" w:color="auto" w:fill="CFF0FC"/>
          </w:tcPr>
          <w:p>
            <w:pPr>
              <w:spacing w:after="0"/>
              <w:rPr>
                <w:sz w:val="20"/>
                <w:szCs w:val="20"/>
                <w:color w:val="auto"/>
              </w:rPr>
            </w:pPr>
            <w:r>
              <w:rPr>
                <w:rFonts w:ascii="Arial" w:cs="Arial" w:eastAsia="Arial" w:hAnsi="Arial"/>
                <w:sz w:val="16"/>
                <w:szCs w:val="16"/>
                <w:color w:val="0000FF"/>
                <w:w w:val="96"/>
              </w:rPr>
              <w:t>ITEM 6.</w:t>
            </w:r>
          </w:p>
        </w:tc>
        <w:tc>
          <w:tcPr>
            <w:tcW w:w="1160" w:type="dxa"/>
            <w:vAlign w:val="bottom"/>
            <w:gridSpan w:val="3"/>
            <w:shd w:val="clear" w:color="auto" w:fill="CFF0FC"/>
          </w:tcPr>
          <w:p>
            <w:pPr>
              <w:spacing w:after="0"/>
              <w:rPr>
                <w:sz w:val="19"/>
                <w:szCs w:val="19"/>
                <w:color w:val="auto"/>
              </w:rPr>
            </w:pPr>
          </w:p>
        </w:tc>
        <w:tc>
          <w:tcPr>
            <w:tcW w:w="8300" w:type="dxa"/>
            <w:vAlign w:val="bottom"/>
            <w:gridSpan w:val="33"/>
            <w:shd w:val="clear" w:color="auto" w:fill="CFF0FC"/>
          </w:tcPr>
          <w:p>
            <w:pPr>
              <w:spacing w:after="0"/>
              <w:rPr>
                <w:sz w:val="20"/>
                <w:szCs w:val="20"/>
                <w:color w:val="auto"/>
              </w:rPr>
            </w:pPr>
            <w:r>
              <w:rPr>
                <w:rFonts w:ascii="Arial" w:cs="Arial" w:eastAsia="Arial" w:hAnsi="Arial"/>
                <w:sz w:val="16"/>
                <w:szCs w:val="16"/>
                <w:color w:val="0000FF"/>
              </w:rPr>
              <w:t>RESERVED</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34</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560" w:type="dxa"/>
            <w:vAlign w:val="bottom"/>
            <w:gridSpan w:val="3"/>
          </w:tcPr>
          <w:p>
            <w:pPr>
              <w:spacing w:after="0"/>
              <w:rPr>
                <w:sz w:val="20"/>
                <w:szCs w:val="20"/>
                <w:color w:val="auto"/>
              </w:rPr>
            </w:pPr>
            <w:r>
              <w:rPr>
                <w:rFonts w:ascii="Arial" w:cs="Arial" w:eastAsia="Arial" w:hAnsi="Arial"/>
                <w:sz w:val="16"/>
                <w:szCs w:val="16"/>
                <w:color w:val="0000FF"/>
                <w:w w:val="96"/>
              </w:rPr>
              <w:t>ITEM 7.</w:t>
            </w:r>
          </w:p>
        </w:tc>
        <w:tc>
          <w:tcPr>
            <w:tcW w:w="1160" w:type="dxa"/>
            <w:vAlign w:val="bottom"/>
            <w:gridSpan w:val="3"/>
          </w:tcPr>
          <w:p>
            <w:pPr>
              <w:spacing w:after="0"/>
              <w:rPr>
                <w:sz w:val="19"/>
                <w:szCs w:val="19"/>
                <w:color w:val="auto"/>
              </w:rPr>
            </w:pPr>
          </w:p>
        </w:tc>
        <w:tc>
          <w:tcPr>
            <w:tcW w:w="8300" w:type="dxa"/>
            <w:vAlign w:val="bottom"/>
            <w:gridSpan w:val="33"/>
          </w:tcPr>
          <w:p>
            <w:pPr>
              <w:spacing w:after="0"/>
              <w:rPr>
                <w:sz w:val="20"/>
                <w:szCs w:val="20"/>
                <w:color w:val="auto"/>
              </w:rPr>
            </w:pPr>
            <w:r>
              <w:rPr>
                <w:rFonts w:ascii="Arial" w:cs="Arial" w:eastAsia="Arial" w:hAnsi="Arial"/>
                <w:sz w:val="16"/>
                <w:szCs w:val="16"/>
                <w:color w:val="0000FF"/>
              </w:rPr>
              <w:t>MANAGEMENT’S DISCUSSION AND ANALYSIS OF FINANCIAL CONDITION AND RESULTS OF</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34</w:t>
            </w:r>
          </w:p>
        </w:tc>
      </w:tr>
      <w:tr>
        <w:trPr>
          <w:trHeight w:val="169"/>
        </w:trPr>
        <w:tc>
          <w:tcPr>
            <w:tcW w:w="12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160" w:type="dxa"/>
            <w:vAlign w:val="bottom"/>
            <w:tcBorders>
              <w:top w:val="single" w:sz="8" w:color="0000FF"/>
            </w:tcBorders>
            <w:gridSpan w:val="30"/>
          </w:tcPr>
          <w:p>
            <w:pPr>
              <w:spacing w:after="0" w:line="169" w:lineRule="exact"/>
              <w:rPr>
                <w:sz w:val="20"/>
                <w:szCs w:val="20"/>
                <w:color w:val="auto"/>
              </w:rPr>
            </w:pPr>
            <w:r>
              <w:rPr>
                <w:rFonts w:ascii="Arial" w:cs="Arial" w:eastAsia="Arial" w:hAnsi="Arial"/>
                <w:sz w:val="16"/>
                <w:szCs w:val="16"/>
                <w:color w:val="0000FF"/>
              </w:rPr>
              <w:t>OPERATIONS</w:t>
            </w:r>
          </w:p>
        </w:tc>
        <w:tc>
          <w:tcPr>
            <w:tcW w:w="9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40" w:type="dxa"/>
            <w:vAlign w:val="bottom"/>
            <w:gridSpan w:val="12"/>
            <w:shd w:val="clear" w:color="auto" w:fill="CFF0FC"/>
          </w:tcPr>
          <w:p>
            <w:pPr>
              <w:spacing w:after="0"/>
              <w:rPr>
                <w:sz w:val="20"/>
                <w:szCs w:val="20"/>
                <w:color w:val="auto"/>
              </w:rPr>
            </w:pPr>
            <w:r>
              <w:rPr>
                <w:rFonts w:ascii="Arial" w:cs="Arial" w:eastAsia="Arial" w:hAnsi="Arial"/>
                <w:sz w:val="16"/>
                <w:szCs w:val="16"/>
                <w:color w:val="0000FF"/>
                <w:w w:val="99"/>
              </w:rPr>
              <w:t>Executive Summary</w:t>
            </w:r>
          </w:p>
        </w:tc>
        <w:tc>
          <w:tcPr>
            <w:tcW w:w="6860" w:type="dxa"/>
            <w:vAlign w:val="bottom"/>
            <w:gridSpan w:val="21"/>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34</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300" w:type="dxa"/>
            <w:vAlign w:val="bottom"/>
            <w:gridSpan w:val="33"/>
          </w:tcPr>
          <w:p>
            <w:pPr>
              <w:spacing w:after="0"/>
              <w:rPr>
                <w:sz w:val="20"/>
                <w:szCs w:val="20"/>
                <w:color w:val="auto"/>
              </w:rPr>
            </w:pPr>
            <w:r>
              <w:rPr>
                <w:rFonts w:ascii="Arial" w:cs="Arial" w:eastAsia="Arial" w:hAnsi="Arial"/>
                <w:sz w:val="16"/>
                <w:szCs w:val="16"/>
                <w:color w:val="0000FF"/>
              </w:rPr>
              <w:t>Key Elements of our Business Strategy</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35</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0" w:type="dxa"/>
            <w:vAlign w:val="bottom"/>
            <w:gridSpan w:val="13"/>
            <w:shd w:val="clear" w:color="auto" w:fill="CFF0FC"/>
          </w:tcPr>
          <w:p>
            <w:pPr>
              <w:spacing w:after="0"/>
              <w:rPr>
                <w:sz w:val="20"/>
                <w:szCs w:val="20"/>
                <w:color w:val="auto"/>
              </w:rPr>
            </w:pPr>
            <w:r>
              <w:rPr>
                <w:rFonts w:ascii="Arial" w:cs="Arial" w:eastAsia="Arial" w:hAnsi="Arial"/>
                <w:sz w:val="16"/>
                <w:szCs w:val="16"/>
                <w:color w:val="0000FF"/>
              </w:rPr>
              <w:t>Recent Developments</w:t>
            </w:r>
          </w:p>
        </w:tc>
        <w:tc>
          <w:tcPr>
            <w:tcW w:w="6700" w:type="dxa"/>
            <w:vAlign w:val="bottom"/>
            <w:gridSpan w:val="20"/>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38</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300" w:type="dxa"/>
            <w:vAlign w:val="bottom"/>
            <w:gridSpan w:val="33"/>
          </w:tcPr>
          <w:p>
            <w:pPr>
              <w:spacing w:after="0"/>
              <w:rPr>
                <w:sz w:val="20"/>
                <w:szCs w:val="20"/>
                <w:color w:val="auto"/>
              </w:rPr>
            </w:pPr>
            <w:r>
              <w:rPr>
                <w:rFonts w:ascii="Arial" w:cs="Arial" w:eastAsia="Arial" w:hAnsi="Arial"/>
                <w:sz w:val="16"/>
                <w:szCs w:val="16"/>
                <w:color w:val="0000FF"/>
              </w:rPr>
              <w:t>Results of Operations - Consolidated Summary and Overview</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40</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80" w:type="dxa"/>
            <w:vAlign w:val="bottom"/>
            <w:tcBorders>
              <w:top w:val="single" w:sz="8" w:color="0000FF"/>
            </w:tcBorders>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180" w:type="dxa"/>
            <w:vAlign w:val="bottom"/>
            <w:gridSpan w:val="22"/>
            <w:shd w:val="clear" w:color="auto" w:fill="CFF0FC"/>
          </w:tcPr>
          <w:p>
            <w:pPr>
              <w:spacing w:after="0"/>
              <w:rPr>
                <w:sz w:val="20"/>
                <w:szCs w:val="20"/>
                <w:color w:val="auto"/>
              </w:rPr>
            </w:pPr>
            <w:r>
              <w:rPr>
                <w:rFonts w:ascii="Arial" w:cs="Arial" w:eastAsia="Arial" w:hAnsi="Arial"/>
                <w:sz w:val="16"/>
                <w:szCs w:val="16"/>
                <w:color w:val="0000FF"/>
              </w:rPr>
              <w:t>Non-GAAP Financial Measure</w:t>
            </w:r>
          </w:p>
        </w:tc>
        <w:tc>
          <w:tcPr>
            <w:tcW w:w="5800" w:type="dxa"/>
            <w:vAlign w:val="bottom"/>
            <w:gridSpan w:val="10"/>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40</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180" w:type="dxa"/>
            <w:vAlign w:val="bottom"/>
            <w:gridSpan w:val="22"/>
          </w:tcPr>
          <w:p>
            <w:pPr>
              <w:spacing w:after="0"/>
              <w:rPr>
                <w:sz w:val="20"/>
                <w:szCs w:val="20"/>
                <w:color w:val="auto"/>
              </w:rPr>
            </w:pPr>
            <w:r>
              <w:rPr>
                <w:rFonts w:ascii="Arial" w:cs="Arial" w:eastAsia="Arial" w:hAnsi="Arial"/>
                <w:sz w:val="16"/>
                <w:szCs w:val="16"/>
                <w:color w:val="0000FF"/>
              </w:rPr>
              <w:t>Electric Utilities</w:t>
            </w:r>
          </w:p>
        </w:tc>
        <w:tc>
          <w:tcPr>
            <w:tcW w:w="5800" w:type="dxa"/>
            <w:vAlign w:val="bottom"/>
            <w:gridSpan w:val="10"/>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gridSpan w:val="4"/>
          </w:tcPr>
          <w:p>
            <w:pPr>
              <w:jc w:val="center"/>
              <w:ind w:right="460"/>
              <w:spacing w:after="0"/>
              <w:rPr>
                <w:sz w:val="20"/>
                <w:szCs w:val="20"/>
                <w:color w:val="auto"/>
              </w:rPr>
            </w:pPr>
            <w:r>
              <w:rPr>
                <w:rFonts w:ascii="Arial" w:cs="Arial" w:eastAsia="Arial" w:hAnsi="Arial"/>
                <w:sz w:val="16"/>
                <w:szCs w:val="16"/>
                <w:color w:val="0000FF"/>
              </w:rPr>
              <w:t>41</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Gas Utilities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43</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2"/>
          </w:tcPr>
          <w:p>
            <w:pPr>
              <w:spacing w:after="0"/>
              <w:rPr>
                <w:sz w:val="20"/>
                <w:szCs w:val="20"/>
                <w:color w:val="auto"/>
              </w:rPr>
            </w:pPr>
            <w:r>
              <w:rPr>
                <w:rFonts w:ascii="Arial" w:cs="Arial" w:eastAsia="Arial" w:hAnsi="Arial"/>
                <w:sz w:val="16"/>
                <w:szCs w:val="16"/>
                <w:color w:val="0000FF"/>
              </w:rPr>
              <w:t>Corporate and Other</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46</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2"/>
            <w:shd w:val="clear" w:color="auto" w:fill="CFF0FC"/>
          </w:tcPr>
          <w:p>
            <w:pPr>
              <w:spacing w:after="0"/>
              <w:rPr>
                <w:sz w:val="20"/>
                <w:szCs w:val="20"/>
                <w:color w:val="auto"/>
              </w:rPr>
            </w:pPr>
            <w:r>
              <w:rPr>
                <w:rFonts w:ascii="Arial" w:cs="Arial" w:eastAsia="Arial" w:hAnsi="Arial"/>
                <w:sz w:val="16"/>
                <w:szCs w:val="16"/>
                <w:color w:val="0000FF"/>
              </w:rPr>
              <w:t>Consolidated Interest Expense, Impairment of Investment, Other Income (Expense) and Income Tax Benefit</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46</w:t>
            </w:r>
          </w:p>
        </w:tc>
      </w:tr>
      <w:tr>
        <w:trPr>
          <w:trHeight w:val="169"/>
        </w:trPr>
        <w:tc>
          <w:tcPr>
            <w:tcW w:w="120" w:type="dxa"/>
            <w:vAlign w:val="bottom"/>
            <w:tcBorders>
              <w:top w:val="single" w:sz="8" w:color="CFF0FC"/>
            </w:tcBorders>
            <w:shd w:val="clear" w:color="auto" w:fill="CFF0FC"/>
          </w:tcPr>
          <w:p>
            <w:pPr>
              <w:spacing w:after="0"/>
              <w:rPr>
                <w:sz w:val="14"/>
                <w:szCs w:val="14"/>
                <w:color w:val="auto"/>
              </w:rPr>
            </w:pPr>
          </w:p>
        </w:tc>
        <w:tc>
          <w:tcPr>
            <w:tcW w:w="40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040" w:type="dxa"/>
            <w:vAlign w:val="bottom"/>
            <w:tcBorders>
              <w:top w:val="single" w:sz="8" w:color="CFF0FC"/>
            </w:tcBorders>
            <w:shd w:val="clear" w:color="auto" w:fill="CFF0FC"/>
          </w:tcPr>
          <w:p>
            <w:pPr>
              <w:spacing w:after="0"/>
              <w:rPr>
                <w:sz w:val="14"/>
                <w:szCs w:val="14"/>
                <w:color w:val="auto"/>
              </w:rPr>
            </w:pPr>
          </w:p>
        </w:tc>
        <w:tc>
          <w:tcPr>
            <w:tcW w:w="320" w:type="dxa"/>
            <w:vAlign w:val="bottom"/>
            <w:tcBorders>
              <w:top w:val="single" w:sz="8" w:color="CFF0FC"/>
            </w:tcBorders>
            <w:shd w:val="clear" w:color="auto" w:fill="CFF0FC"/>
          </w:tcPr>
          <w:p>
            <w:pPr>
              <w:spacing w:after="0"/>
              <w:rPr>
                <w:sz w:val="14"/>
                <w:szCs w:val="14"/>
                <w:color w:val="auto"/>
              </w:rPr>
            </w:pPr>
          </w:p>
        </w:tc>
        <w:tc>
          <w:tcPr>
            <w:tcW w:w="7760" w:type="dxa"/>
            <w:vAlign w:val="bottom"/>
            <w:tcBorders>
              <w:top w:val="single" w:sz="8" w:color="0000FF"/>
            </w:tcBorders>
            <w:gridSpan w:val="31"/>
            <w:shd w:val="clear" w:color="auto" w:fill="CFF0FC"/>
          </w:tcPr>
          <w:p>
            <w:pPr>
              <w:spacing w:after="0" w:line="169" w:lineRule="exact"/>
              <w:rPr>
                <w:sz w:val="20"/>
                <w:szCs w:val="20"/>
                <w:color w:val="auto"/>
              </w:rPr>
            </w:pPr>
            <w:r>
              <w:rPr>
                <w:rFonts w:ascii="Arial" w:cs="Arial" w:eastAsia="Arial" w:hAnsi="Arial"/>
                <w:sz w:val="16"/>
                <w:szCs w:val="16"/>
                <w:color w:val="0000FF"/>
              </w:rPr>
              <w:t>(Expense)</w:t>
            </w:r>
          </w:p>
        </w:tc>
        <w:tc>
          <w:tcPr>
            <w:tcW w:w="22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460" w:type="dxa"/>
            <w:vAlign w:val="bottom"/>
            <w:tcBorders>
              <w:top w:val="single" w:sz="8" w:color="CFF0FC"/>
            </w:tcBorders>
            <w:shd w:val="clear" w:color="auto" w:fill="CFF0FC"/>
          </w:tcPr>
          <w:p>
            <w:pPr>
              <w:spacing w:after="0"/>
              <w:rPr>
                <w:sz w:val="14"/>
                <w:szCs w:val="14"/>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300" w:type="dxa"/>
            <w:vAlign w:val="bottom"/>
            <w:gridSpan w:val="33"/>
          </w:tcPr>
          <w:p>
            <w:pPr>
              <w:spacing w:after="0"/>
              <w:rPr>
                <w:sz w:val="20"/>
                <w:szCs w:val="20"/>
                <w:color w:val="auto"/>
              </w:rPr>
            </w:pPr>
            <w:r>
              <w:rPr>
                <w:rFonts w:ascii="Arial" w:cs="Arial" w:eastAsia="Arial" w:hAnsi="Arial"/>
                <w:sz w:val="16"/>
                <w:szCs w:val="16"/>
                <w:color w:val="0000FF"/>
              </w:rPr>
              <w:t>Liquidity and Capital Resources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47</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2"/>
            <w:shd w:val="clear" w:color="auto" w:fill="CFF0FC"/>
          </w:tcPr>
          <w:p>
            <w:pPr>
              <w:ind w:left="20"/>
              <w:spacing w:after="0"/>
              <w:rPr>
                <w:sz w:val="20"/>
                <w:szCs w:val="20"/>
                <w:color w:val="auto"/>
              </w:rPr>
            </w:pPr>
            <w:r>
              <w:rPr>
                <w:rFonts w:ascii="Arial" w:cs="Arial" w:eastAsia="Arial" w:hAnsi="Arial"/>
                <w:sz w:val="16"/>
                <w:szCs w:val="16"/>
                <w:color w:val="0000FF"/>
              </w:rPr>
              <w:t>Cash Flow Activities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47</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2"/>
          </w:tcPr>
          <w:p>
            <w:pPr>
              <w:ind w:left="20"/>
              <w:spacing w:after="0"/>
              <w:rPr>
                <w:sz w:val="20"/>
                <w:szCs w:val="20"/>
                <w:color w:val="auto"/>
              </w:rPr>
            </w:pPr>
            <w:r>
              <w:rPr>
                <w:rFonts w:ascii="Arial" w:cs="Arial" w:eastAsia="Arial" w:hAnsi="Arial"/>
                <w:sz w:val="16"/>
                <w:szCs w:val="16"/>
                <w:color w:val="0000FF"/>
              </w:rPr>
              <w:t>Capital Resources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49</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980" w:type="dxa"/>
            <w:vAlign w:val="bottom"/>
            <w:gridSpan w:val="32"/>
            <w:shd w:val="clear" w:color="auto" w:fill="CFF0FC"/>
          </w:tcPr>
          <w:p>
            <w:pPr>
              <w:ind w:left="20"/>
              <w:spacing w:after="0"/>
              <w:rPr>
                <w:sz w:val="20"/>
                <w:szCs w:val="20"/>
                <w:color w:val="auto"/>
              </w:rPr>
            </w:pPr>
            <w:r>
              <w:rPr>
                <w:rFonts w:ascii="Arial" w:cs="Arial" w:eastAsia="Arial" w:hAnsi="Arial"/>
                <w:sz w:val="16"/>
                <w:szCs w:val="16"/>
                <w:color w:val="0000FF"/>
              </w:rPr>
              <w:t>Credit Ratings</w:t>
            </w:r>
          </w:p>
        </w:tc>
        <w:tc>
          <w:tcPr>
            <w:tcW w:w="1100" w:type="dxa"/>
            <w:vAlign w:val="bottom"/>
            <w:gridSpan w:val="5"/>
            <w:shd w:val="clear" w:color="auto" w:fill="CFF0FC"/>
          </w:tcPr>
          <w:p>
            <w:pPr>
              <w:jc w:val="center"/>
              <w:spacing w:after="0"/>
              <w:rPr>
                <w:sz w:val="20"/>
                <w:szCs w:val="20"/>
                <w:color w:val="auto"/>
              </w:rPr>
            </w:pPr>
            <w:r>
              <w:rPr>
                <w:rFonts w:ascii="Arial" w:cs="Arial" w:eastAsia="Arial" w:hAnsi="Arial"/>
                <w:sz w:val="16"/>
                <w:szCs w:val="16"/>
                <w:color w:val="0000FF"/>
              </w:rPr>
              <w:t>50</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980" w:type="dxa"/>
            <w:vAlign w:val="bottom"/>
            <w:gridSpan w:val="32"/>
          </w:tcPr>
          <w:p>
            <w:pPr>
              <w:spacing w:after="0"/>
              <w:rPr>
                <w:sz w:val="20"/>
                <w:szCs w:val="20"/>
                <w:color w:val="auto"/>
              </w:rPr>
            </w:pPr>
            <w:r>
              <w:rPr>
                <w:rFonts w:ascii="Arial" w:cs="Arial" w:eastAsia="Arial" w:hAnsi="Arial"/>
                <w:sz w:val="16"/>
                <w:szCs w:val="16"/>
                <w:color w:val="0000FF"/>
              </w:rPr>
              <w:t>Capital Requirements</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51</w:t>
            </w:r>
          </w:p>
        </w:tc>
      </w:tr>
      <w:tr>
        <w:trPr>
          <w:trHeight w:val="48"/>
        </w:trPr>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100" w:type="dxa"/>
            <w:vAlign w:val="bottom"/>
            <w:gridSpan w:val="20"/>
            <w:shd w:val="clear" w:color="auto" w:fill="CFF0FC"/>
          </w:tcPr>
          <w:p>
            <w:pPr>
              <w:spacing w:after="0"/>
              <w:rPr>
                <w:sz w:val="20"/>
                <w:szCs w:val="20"/>
                <w:color w:val="auto"/>
              </w:rPr>
            </w:pPr>
            <w:r>
              <w:rPr>
                <w:rFonts w:ascii="Arial" w:cs="Arial" w:eastAsia="Arial" w:hAnsi="Arial"/>
                <w:sz w:val="16"/>
                <w:szCs w:val="16"/>
                <w:color w:val="0000FF"/>
              </w:rPr>
              <w:t>Critical Accounting Estimates</w:t>
            </w:r>
          </w:p>
        </w:tc>
        <w:tc>
          <w:tcPr>
            <w:tcW w:w="6200" w:type="dxa"/>
            <w:vAlign w:val="bottom"/>
            <w:gridSpan w:val="13"/>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40" w:type="dxa"/>
            <w:vAlign w:val="bottom"/>
            <w:gridSpan w:val="4"/>
            <w:shd w:val="clear" w:color="auto" w:fill="CFF0FC"/>
          </w:tcPr>
          <w:p>
            <w:pPr>
              <w:jc w:val="center"/>
              <w:ind w:right="460"/>
              <w:spacing w:after="0"/>
              <w:rPr>
                <w:sz w:val="20"/>
                <w:szCs w:val="20"/>
                <w:color w:val="auto"/>
              </w:rPr>
            </w:pPr>
            <w:r>
              <w:rPr>
                <w:rFonts w:ascii="Arial" w:cs="Arial" w:eastAsia="Arial" w:hAnsi="Arial"/>
                <w:sz w:val="16"/>
                <w:szCs w:val="16"/>
                <w:color w:val="0000FF"/>
              </w:rPr>
              <w:t>52</w:t>
            </w: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04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18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1480" w:type="dxa"/>
            <w:vAlign w:val="bottom"/>
            <w:tcBorders>
              <w:top w:val="single" w:sz="8" w:color="CFF0FC"/>
            </w:tcBorders>
            <w:shd w:val="clear" w:color="auto" w:fill="CFF0FC"/>
          </w:tcPr>
          <w:p>
            <w:pPr>
              <w:spacing w:after="0"/>
              <w:rPr>
                <w:sz w:val="4"/>
                <w:szCs w:val="4"/>
                <w:color w:val="auto"/>
              </w:rPr>
            </w:pPr>
          </w:p>
        </w:tc>
        <w:tc>
          <w:tcPr>
            <w:tcW w:w="114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56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1720" w:type="dxa"/>
            <w:vAlign w:val="bottom"/>
            <w:gridSpan w:val="6"/>
          </w:tcPr>
          <w:p>
            <w:pPr>
              <w:spacing w:after="0"/>
              <w:rPr>
                <w:sz w:val="20"/>
                <w:szCs w:val="20"/>
                <w:color w:val="auto"/>
              </w:rPr>
            </w:pPr>
            <w:r>
              <w:rPr>
                <w:rFonts w:ascii="Arial" w:cs="Arial" w:eastAsia="Arial" w:hAnsi="Arial"/>
                <w:sz w:val="16"/>
                <w:szCs w:val="16"/>
                <w:color w:val="0000FF"/>
              </w:rPr>
              <w:t>ITEM 7A.</w:t>
            </w:r>
          </w:p>
        </w:tc>
        <w:tc>
          <w:tcPr>
            <w:tcW w:w="8300" w:type="dxa"/>
            <w:vAlign w:val="bottom"/>
            <w:gridSpan w:val="33"/>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1100" w:type="dxa"/>
            <w:vAlign w:val="bottom"/>
            <w:gridSpan w:val="5"/>
          </w:tcPr>
          <w:p>
            <w:pPr>
              <w:jc w:val="center"/>
              <w:spacing w:after="0"/>
              <w:rPr>
                <w:sz w:val="20"/>
                <w:szCs w:val="20"/>
                <w:color w:val="auto"/>
              </w:rPr>
            </w:pPr>
            <w:r>
              <w:rPr>
                <w:rFonts w:ascii="Arial" w:cs="Arial" w:eastAsia="Arial" w:hAnsi="Arial"/>
                <w:sz w:val="16"/>
                <w:szCs w:val="16"/>
                <w:color w:val="0000FF"/>
              </w:rPr>
              <w:t>54</w:t>
            </w:r>
          </w:p>
        </w:tc>
      </w:tr>
      <w:tr>
        <w:trPr>
          <w:trHeight w:val="680"/>
        </w:trPr>
        <w:tc>
          <w:tcPr>
            <w:tcW w:w="1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20" w:type="dxa"/>
            <w:vAlign w:val="bottom"/>
            <w:tcBorders>
              <w:top w:val="single" w:sz="8" w:color="0000FF"/>
            </w:tcBorders>
            <w:gridSpan w:val="28"/>
          </w:tcPr>
          <w:p>
            <w:pPr>
              <w:ind w:left="3740"/>
              <w:spacing w:after="0"/>
              <w:rPr>
                <w:sz w:val="20"/>
                <w:szCs w:val="20"/>
                <w:color w:val="auto"/>
              </w:rPr>
            </w:pPr>
            <w:r>
              <w:rPr>
                <w:rFonts w:ascii="Arial" w:cs="Arial" w:eastAsia="Arial" w:hAnsi="Arial"/>
                <w:sz w:val="16"/>
                <w:szCs w:val="16"/>
                <w:color w:val="auto"/>
              </w:rPr>
              <w:t>2</w:t>
            </w:r>
          </w:p>
        </w:tc>
        <w:tc>
          <w:tcPr>
            <w:tcW w:w="1140" w:type="dxa"/>
            <w:vAlign w:val="bottom"/>
            <w:tcBorders>
              <w:top w:val="single" w:sz="8" w:color="0000FF"/>
            </w:tcBorders>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 w:name="page3"/>
    <w:bookmarkEnd w:id="2"/>
    <w:p>
      <w:pPr>
        <w:spacing w:after="0" w:line="8"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9.</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4286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8625" cy="8890"/>
                    </a:xfrm>
                    <a:prstGeom prst="rect">
                      <a:avLst/>
                    </a:prstGeom>
                    <a:noFill/>
                  </pic:spPr>
                </pic:pic>
              </a:graphicData>
            </a:graphic>
          </wp:anchor>
        </w:drawing>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9B.</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434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4340" cy="8255"/>
                    </a:xfrm>
                    <a:prstGeom prst="rect">
                      <a:avLst/>
                    </a:prstGeom>
                    <a:noFill/>
                  </pic:spPr>
                </pic:pic>
              </a:graphicData>
            </a:graphic>
          </wp:anchor>
        </w:drawing>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0000FF"/>
        </w:rPr>
        <w:t>Part III</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4171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17195" cy="8890"/>
                    </a:xfrm>
                    <a:prstGeom prst="rect">
                      <a:avLst/>
                    </a:prstGeom>
                    <a:noFill/>
                  </pic:spPr>
                </pic:pic>
              </a:graphicData>
            </a:graphic>
          </wp:anchor>
        </w:drawing>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11.</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u w:val="single" w:color="auto"/>
          <w:color w:val="0000FF"/>
        </w:rPr>
        <w:t>ITEM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-4445</wp:posOffset>
            </wp:positionV>
            <wp:extent cx="4171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71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4220" w:type="dxa"/>
            <w:vAlign w:val="bottom"/>
            <w:gridSpan w:val="25"/>
          </w:tcPr>
          <w:p>
            <w:pPr>
              <w:spacing w:after="0"/>
              <w:rPr>
                <w:sz w:val="20"/>
                <w:szCs w:val="20"/>
                <w:color w:val="auto"/>
              </w:rPr>
            </w:pPr>
            <w:r>
              <w:rPr>
                <w:rFonts w:ascii="Arial" w:cs="Arial" w:eastAsia="Arial" w:hAnsi="Arial"/>
                <w:sz w:val="16"/>
                <w:szCs w:val="16"/>
                <w:color w:val="0000FF"/>
                <w:w w:val="97"/>
              </w:rPr>
              <w:t>FINANCIAL STATEMENTS AND SUPPLEMENTARY DATA</w:t>
            </w:r>
          </w:p>
        </w:tc>
        <w:tc>
          <w:tcPr>
            <w:tcW w:w="3220" w:type="dxa"/>
            <w:vAlign w:val="bottom"/>
            <w:gridSpan w:val="6"/>
          </w:tcPr>
          <w:p>
            <w:pPr>
              <w:spacing w:after="0"/>
              <w:rPr>
                <w:sz w:val="16"/>
                <w:szCs w:val="16"/>
                <w:color w:val="auto"/>
              </w:rPr>
            </w:pPr>
          </w:p>
        </w:tc>
        <w:tc>
          <w:tcPr>
            <w:tcW w:w="1320" w:type="dxa"/>
            <w:vAlign w:val="bottom"/>
            <w:gridSpan w:val="2"/>
          </w:tcPr>
          <w:p>
            <w:pPr>
              <w:spacing w:after="0"/>
              <w:rPr>
                <w:sz w:val="16"/>
                <w:szCs w:val="16"/>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56</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440" w:type="dxa"/>
            <w:vAlign w:val="bottom"/>
            <w:gridSpan w:val="31"/>
          </w:tcPr>
          <w:p>
            <w:pPr>
              <w:spacing w:after="0"/>
              <w:rPr>
                <w:sz w:val="20"/>
                <w:szCs w:val="20"/>
                <w:color w:val="auto"/>
              </w:rPr>
            </w:pPr>
            <w:r>
              <w:rPr>
                <w:rFonts w:ascii="Arial" w:cs="Arial" w:eastAsia="Arial" w:hAnsi="Arial"/>
                <w:sz w:val="16"/>
                <w:szCs w:val="16"/>
                <w:color w:val="0000FF"/>
              </w:rPr>
              <w:t>Management’s Report on Internal Controls Over Financial Reporting</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56</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880" w:type="dxa"/>
            <w:vAlign w:val="bottom"/>
            <w:gridSpan w:val="26"/>
          </w:tcPr>
          <w:p>
            <w:pPr>
              <w:spacing w:after="0"/>
              <w:rPr>
                <w:sz w:val="20"/>
                <w:szCs w:val="20"/>
                <w:color w:val="auto"/>
              </w:rPr>
            </w:pPr>
            <w:r>
              <w:rPr>
                <w:rFonts w:ascii="Arial" w:cs="Arial" w:eastAsia="Arial" w:hAnsi="Arial"/>
                <w:sz w:val="16"/>
                <w:szCs w:val="16"/>
                <w:color w:val="0000FF"/>
              </w:rPr>
              <w:t>Reports of Independent Registered Public Accounting Firm</w:t>
            </w:r>
          </w:p>
        </w:tc>
        <w:tc>
          <w:tcPr>
            <w:tcW w:w="2560" w:type="dxa"/>
            <w:vAlign w:val="bottom"/>
            <w:gridSpan w:val="5"/>
          </w:tcPr>
          <w:p>
            <w:pPr>
              <w:spacing w:after="0"/>
              <w:rPr>
                <w:sz w:val="24"/>
                <w:szCs w:val="24"/>
                <w:color w:val="auto"/>
              </w:rPr>
            </w:pPr>
          </w:p>
        </w:tc>
        <w:tc>
          <w:tcPr>
            <w:tcW w:w="1320" w:type="dxa"/>
            <w:vAlign w:val="bottom"/>
            <w:gridSpan w:val="2"/>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57</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220" w:type="dxa"/>
            <w:vAlign w:val="bottom"/>
            <w:gridSpan w:val="25"/>
          </w:tcPr>
          <w:p>
            <w:pPr>
              <w:spacing w:after="0"/>
              <w:rPr>
                <w:sz w:val="20"/>
                <w:szCs w:val="20"/>
                <w:color w:val="auto"/>
              </w:rPr>
            </w:pPr>
            <w:r>
              <w:rPr>
                <w:rFonts w:ascii="Arial" w:cs="Arial" w:eastAsia="Arial" w:hAnsi="Arial"/>
                <w:sz w:val="16"/>
                <w:szCs w:val="16"/>
                <w:color w:val="0000FF"/>
              </w:rPr>
              <w:t>Consolidated Statements of Income</w:t>
            </w:r>
          </w:p>
        </w:tc>
        <w:tc>
          <w:tcPr>
            <w:tcW w:w="3220" w:type="dxa"/>
            <w:vAlign w:val="bottom"/>
            <w:gridSpan w:val="6"/>
          </w:tcPr>
          <w:p>
            <w:pPr>
              <w:spacing w:after="0"/>
              <w:rPr>
                <w:sz w:val="24"/>
                <w:szCs w:val="24"/>
                <w:color w:val="auto"/>
              </w:rPr>
            </w:pPr>
          </w:p>
        </w:tc>
        <w:tc>
          <w:tcPr>
            <w:tcW w:w="1320" w:type="dxa"/>
            <w:vAlign w:val="bottom"/>
            <w:gridSpan w:val="2"/>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60</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440" w:type="dxa"/>
            <w:vAlign w:val="bottom"/>
            <w:gridSpan w:val="31"/>
          </w:tcPr>
          <w:p>
            <w:pPr>
              <w:spacing w:after="0"/>
              <w:rPr>
                <w:sz w:val="20"/>
                <w:szCs w:val="20"/>
                <w:color w:val="auto"/>
              </w:rPr>
            </w:pPr>
            <w:r>
              <w:rPr>
                <w:rFonts w:ascii="Arial" w:cs="Arial" w:eastAsia="Arial" w:hAnsi="Arial"/>
                <w:sz w:val="16"/>
                <w:szCs w:val="16"/>
                <w:color w:val="0000FF"/>
              </w:rPr>
              <w:t>Consolidated Statements of Comprehensive Income</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61</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740" w:type="dxa"/>
            <w:vAlign w:val="bottom"/>
            <w:gridSpan w:val="24"/>
          </w:tcPr>
          <w:p>
            <w:pPr>
              <w:spacing w:after="0"/>
              <w:rPr>
                <w:sz w:val="20"/>
                <w:szCs w:val="20"/>
                <w:color w:val="auto"/>
              </w:rPr>
            </w:pPr>
            <w:r>
              <w:rPr>
                <w:rFonts w:ascii="Arial" w:cs="Arial" w:eastAsia="Arial" w:hAnsi="Arial"/>
                <w:sz w:val="16"/>
                <w:szCs w:val="16"/>
                <w:color w:val="0000FF"/>
              </w:rPr>
              <w:t>Consolidated Balance Sheets</w:t>
            </w:r>
          </w:p>
        </w:tc>
        <w:tc>
          <w:tcPr>
            <w:tcW w:w="3700" w:type="dxa"/>
            <w:vAlign w:val="bottom"/>
            <w:gridSpan w:val="7"/>
          </w:tcPr>
          <w:p>
            <w:pPr>
              <w:spacing w:after="0"/>
              <w:rPr>
                <w:sz w:val="24"/>
                <w:szCs w:val="24"/>
                <w:color w:val="auto"/>
              </w:rPr>
            </w:pPr>
          </w:p>
        </w:tc>
        <w:tc>
          <w:tcPr>
            <w:tcW w:w="1320" w:type="dxa"/>
            <w:vAlign w:val="bottom"/>
            <w:gridSpan w:val="2"/>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62</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7440" w:type="dxa"/>
            <w:vAlign w:val="bottom"/>
            <w:gridSpan w:val="31"/>
          </w:tcPr>
          <w:p>
            <w:pPr>
              <w:spacing w:after="0"/>
              <w:rPr>
                <w:sz w:val="20"/>
                <w:szCs w:val="20"/>
                <w:color w:val="auto"/>
              </w:rPr>
            </w:pPr>
            <w:r>
              <w:rPr>
                <w:rFonts w:ascii="Arial" w:cs="Arial" w:eastAsia="Arial" w:hAnsi="Arial"/>
                <w:sz w:val="16"/>
                <w:szCs w:val="16"/>
                <w:color w:val="0000FF"/>
              </w:rPr>
              <w:t>Consolidated Statements of Cash Flows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64</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2480" w:type="dxa"/>
            <w:vAlign w:val="bottom"/>
            <w:gridSpan w:val="12"/>
          </w:tcPr>
          <w:p>
            <w:pPr>
              <w:spacing w:after="0"/>
              <w:rPr>
                <w:sz w:val="20"/>
                <w:szCs w:val="20"/>
                <w:color w:val="auto"/>
              </w:rPr>
            </w:pPr>
            <w:r>
              <w:rPr>
                <w:rFonts w:ascii="Arial" w:cs="Arial" w:eastAsia="Arial" w:hAnsi="Arial"/>
                <w:sz w:val="16"/>
                <w:szCs w:val="16"/>
                <w:color w:val="0000FF"/>
                <w:w w:val="99"/>
              </w:rPr>
              <w:t>Consolidated Statements of Equity</w:t>
            </w:r>
          </w:p>
        </w:tc>
        <w:tc>
          <w:tcPr>
            <w:tcW w:w="360" w:type="dxa"/>
            <w:vAlign w:val="bottom"/>
            <w:gridSpan w:val="5"/>
          </w:tcPr>
          <w:p>
            <w:pPr>
              <w:spacing w:after="0"/>
              <w:rPr>
                <w:sz w:val="24"/>
                <w:szCs w:val="24"/>
                <w:color w:val="auto"/>
              </w:rPr>
            </w:pPr>
          </w:p>
        </w:tc>
        <w:tc>
          <w:tcPr>
            <w:tcW w:w="4600" w:type="dxa"/>
            <w:vAlign w:val="bottom"/>
            <w:gridSpan w:val="14"/>
          </w:tcPr>
          <w:p>
            <w:pPr>
              <w:spacing w:after="0"/>
              <w:rPr>
                <w:sz w:val="24"/>
                <w:szCs w:val="24"/>
                <w:color w:val="auto"/>
              </w:rPr>
            </w:pPr>
          </w:p>
        </w:tc>
        <w:tc>
          <w:tcPr>
            <w:tcW w:w="1320" w:type="dxa"/>
            <w:vAlign w:val="bottom"/>
            <w:gridSpan w:val="2"/>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65</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140" w:type="dxa"/>
            <w:vAlign w:val="bottom"/>
            <w:gridSpan w:val="20"/>
          </w:tcPr>
          <w:p>
            <w:pPr>
              <w:spacing w:after="0"/>
              <w:rPr>
                <w:sz w:val="20"/>
                <w:szCs w:val="20"/>
                <w:color w:val="auto"/>
              </w:rPr>
            </w:pPr>
            <w:r>
              <w:rPr>
                <w:rFonts w:ascii="Arial" w:cs="Arial" w:eastAsia="Arial" w:hAnsi="Arial"/>
                <w:sz w:val="16"/>
                <w:szCs w:val="16"/>
                <w:color w:val="0000FF"/>
                <w:w w:val="99"/>
              </w:rPr>
              <w:t>Notes to Consolidated Financial Statements</w:t>
            </w:r>
          </w:p>
        </w:tc>
        <w:tc>
          <w:tcPr>
            <w:tcW w:w="4300" w:type="dxa"/>
            <w:vAlign w:val="bottom"/>
            <w:gridSpan w:val="11"/>
          </w:tcPr>
          <w:p>
            <w:pPr>
              <w:spacing w:after="0"/>
              <w:rPr>
                <w:sz w:val="24"/>
                <w:szCs w:val="24"/>
                <w:color w:val="auto"/>
              </w:rPr>
            </w:pPr>
          </w:p>
        </w:tc>
        <w:tc>
          <w:tcPr>
            <w:tcW w:w="1320" w:type="dxa"/>
            <w:vAlign w:val="bottom"/>
            <w:gridSpan w:val="2"/>
          </w:tcPr>
          <w:p>
            <w:pPr>
              <w:spacing w:after="0"/>
              <w:rPr>
                <w:sz w:val="24"/>
                <w:szCs w:val="24"/>
                <w:color w:val="auto"/>
              </w:rPr>
            </w:pPr>
          </w:p>
        </w:tc>
        <w:tc>
          <w:tcPr>
            <w:tcW w:w="220" w:type="dxa"/>
            <w:vAlign w:val="bottom"/>
            <w:gridSpan w:val="2"/>
          </w:tcPr>
          <w:p>
            <w:pPr>
              <w:jc w:val="center"/>
              <w:ind w:right="40"/>
              <w:spacing w:after="0"/>
              <w:rPr>
                <w:sz w:val="20"/>
                <w:szCs w:val="20"/>
                <w:color w:val="auto"/>
              </w:rPr>
            </w:pPr>
            <w:r>
              <w:rPr>
                <w:rFonts w:ascii="Arial" w:cs="Arial" w:eastAsia="Arial" w:hAnsi="Arial"/>
                <w:sz w:val="16"/>
                <w:szCs w:val="16"/>
                <w:color w:val="0000FF"/>
              </w:rPr>
              <w:t>66</w:t>
            </w:r>
          </w:p>
        </w:tc>
      </w:tr>
      <w:tr>
        <w:trPr>
          <w:trHeight w:val="20"/>
        </w:trPr>
        <w:tc>
          <w:tcPr>
            <w:tcW w:w="36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 Business Description and Significant Accounting Policies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66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760" w:type="dxa"/>
            <w:vAlign w:val="bottom"/>
            <w:tcBorders>
              <w:lef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2. Regulatory Matters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74</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3. Commitments, Contingencies and Guarantees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76</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4. Revenue</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79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5. Property, Plant and Equipment</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6. Jointly Owned Facilities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7. Asset Retirement Obligations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8. Financing</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82</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9. Risk Management and Derivatives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10. Fair Value Measurements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11. Other Comprehensive Income</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89</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12. Variable Interest Entity</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90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13. Employee Benefit Plans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90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4"/>
            <w:shd w:val="clear" w:color="auto" w:fill="0000FF"/>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14. Share-based Compensation Plans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95</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9"/>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15. Income Taxes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rPr>
              <w:t>98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16. Business Segment Information</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100</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20" w:type="dxa"/>
            <w:vAlign w:val="bottom"/>
            <w:tcBorders>
              <w:left w:val="single" w:sz="8" w:color="0000FF"/>
            </w:tcBorders>
            <w:gridSpan w:val="9"/>
            <w:shd w:val="clear" w:color="auto" w:fill="0000FF"/>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7080" w:type="dxa"/>
            <w:vAlign w:val="bottom"/>
            <w:gridSpan w:val="30"/>
          </w:tcPr>
          <w:p>
            <w:pPr>
              <w:spacing w:after="0"/>
              <w:rPr>
                <w:sz w:val="20"/>
                <w:szCs w:val="20"/>
                <w:color w:val="auto"/>
              </w:rPr>
            </w:pPr>
            <w:r>
              <w:rPr>
                <w:rFonts w:ascii="Arial" w:cs="Arial" w:eastAsia="Arial" w:hAnsi="Arial"/>
                <w:sz w:val="16"/>
                <w:szCs w:val="16"/>
                <w:color w:val="0000FF"/>
              </w:rPr>
              <w:t>Note 17. Subsequent Events</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101</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gridSpan w:val="1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77"/>
        </w:trPr>
        <w:tc>
          <w:tcPr>
            <w:tcW w:w="7440" w:type="dxa"/>
            <w:vAlign w:val="bottom"/>
            <w:gridSpan w:val="31"/>
          </w:tcPr>
          <w:p>
            <w:pPr>
              <w:spacing w:after="0"/>
              <w:rPr>
                <w:sz w:val="20"/>
                <w:szCs w:val="20"/>
                <w:color w:val="auto"/>
              </w:rPr>
            </w:pPr>
            <w:r>
              <w:rPr>
                <w:rFonts w:ascii="Arial" w:cs="Arial" w:eastAsia="Arial" w:hAnsi="Arial"/>
                <w:sz w:val="16"/>
                <w:szCs w:val="16"/>
                <w:color w:val="0000FF"/>
              </w:rPr>
              <w:t>CHANGES IN AND DISAGREEMENTS WITH ACCOUNTANTS ON ACCOUNTING AND FINANCIAL</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102</w:t>
            </w:r>
          </w:p>
        </w:tc>
      </w:tr>
      <w:tr>
        <w:trPr>
          <w:trHeight w:val="169"/>
        </w:trPr>
        <w:tc>
          <w:tcPr>
            <w:tcW w:w="1060" w:type="dxa"/>
            <w:vAlign w:val="bottom"/>
            <w:tcBorders>
              <w:top w:val="single" w:sz="8" w:color="0000FF"/>
              <w:bottom w:val="single" w:sz="8" w:color="0000FF"/>
            </w:tcBorders>
            <w:gridSpan w:val="2"/>
          </w:tcPr>
          <w:p>
            <w:pPr>
              <w:spacing w:after="0" w:line="169" w:lineRule="exact"/>
              <w:rPr>
                <w:sz w:val="20"/>
                <w:szCs w:val="20"/>
                <w:color w:val="auto"/>
              </w:rPr>
            </w:pPr>
            <w:r>
              <w:rPr>
                <w:rFonts w:ascii="Arial" w:cs="Arial" w:eastAsia="Arial" w:hAnsi="Arial"/>
                <w:sz w:val="16"/>
                <w:szCs w:val="16"/>
                <w:color w:val="0000FF"/>
                <w:w w:val="99"/>
              </w:rPr>
              <w:t>DISCLOSURE</w:t>
            </w:r>
          </w:p>
        </w:tc>
        <w:tc>
          <w:tcPr>
            <w:tcW w:w="20" w:type="dxa"/>
            <w:vAlign w:val="bottom"/>
            <w:tcBorders>
              <w:top w:val="single" w:sz="8" w:color="0000FF"/>
              <w:bottom w:val="single" w:sz="8" w:color="0000EE"/>
            </w:tcBorders>
          </w:tcPr>
          <w:p>
            <w:pPr>
              <w:spacing w:after="0"/>
              <w:rPr>
                <w:sz w:val="14"/>
                <w:szCs w:val="14"/>
                <w:color w:val="auto"/>
              </w:rPr>
            </w:pPr>
          </w:p>
        </w:tc>
        <w:tc>
          <w:tcPr>
            <w:tcW w:w="6240" w:type="dxa"/>
            <w:vAlign w:val="bottom"/>
            <w:tcBorders>
              <w:top w:val="single" w:sz="8" w:color="0000FF"/>
            </w:tcBorders>
            <w:gridSpan w:val="27"/>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r>
      <w:tr>
        <w:trPr>
          <w:trHeight w:val="277"/>
        </w:trPr>
        <w:tc>
          <w:tcPr>
            <w:tcW w:w="2480" w:type="dxa"/>
            <w:vAlign w:val="bottom"/>
            <w:gridSpan w:val="12"/>
          </w:tcPr>
          <w:p>
            <w:pPr>
              <w:spacing w:after="0"/>
              <w:rPr>
                <w:sz w:val="20"/>
                <w:szCs w:val="20"/>
                <w:color w:val="auto"/>
              </w:rPr>
            </w:pPr>
            <w:r>
              <w:rPr>
                <w:rFonts w:ascii="Arial" w:cs="Arial" w:eastAsia="Arial" w:hAnsi="Arial"/>
                <w:sz w:val="16"/>
                <w:szCs w:val="16"/>
                <w:color w:val="0000FF"/>
                <w:w w:val="99"/>
              </w:rPr>
              <w:t>CONTROLS AND PROCEDURES</w:t>
            </w:r>
          </w:p>
        </w:tc>
        <w:tc>
          <w:tcPr>
            <w:tcW w:w="4960" w:type="dxa"/>
            <w:vAlign w:val="bottom"/>
            <w:gridSpan w:val="19"/>
          </w:tcPr>
          <w:p>
            <w:pPr>
              <w:spacing w:after="0"/>
              <w:rPr>
                <w:sz w:val="24"/>
                <w:szCs w:val="24"/>
                <w:color w:val="auto"/>
              </w:rPr>
            </w:pP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102</w:t>
            </w:r>
          </w:p>
        </w:tc>
      </w:tr>
      <w:tr>
        <w:trPr>
          <w:trHeight w:val="20"/>
        </w:trPr>
        <w:tc>
          <w:tcPr>
            <w:tcW w:w="1760" w:type="dxa"/>
            <w:vAlign w:val="bottom"/>
            <w:tcBorders>
              <w:right w:val="single" w:sz="8" w:color="0000FF"/>
            </w:tcBorders>
            <w:gridSpan w:val="6"/>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2980" w:type="dxa"/>
            <w:vAlign w:val="bottom"/>
            <w:gridSpan w:val="1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77"/>
        </w:trPr>
        <w:tc>
          <w:tcPr>
            <w:tcW w:w="1760" w:type="dxa"/>
            <w:vAlign w:val="bottom"/>
            <w:gridSpan w:val="6"/>
          </w:tcPr>
          <w:p>
            <w:pPr>
              <w:spacing w:after="0"/>
              <w:rPr>
                <w:sz w:val="20"/>
                <w:szCs w:val="20"/>
                <w:color w:val="auto"/>
              </w:rPr>
            </w:pPr>
            <w:r>
              <w:rPr>
                <w:rFonts w:ascii="Arial" w:cs="Arial" w:eastAsia="Arial" w:hAnsi="Arial"/>
                <w:sz w:val="16"/>
                <w:szCs w:val="16"/>
                <w:color w:val="0000FF"/>
                <w:w w:val="99"/>
              </w:rPr>
              <w:t>OTHER INFORMATION</w:t>
            </w:r>
          </w:p>
        </w:tc>
        <w:tc>
          <w:tcPr>
            <w:tcW w:w="720" w:type="dxa"/>
            <w:vAlign w:val="bottom"/>
            <w:gridSpan w:val="6"/>
          </w:tcPr>
          <w:p>
            <w:pPr>
              <w:spacing w:after="0"/>
              <w:rPr>
                <w:sz w:val="24"/>
                <w:szCs w:val="24"/>
                <w:color w:val="auto"/>
              </w:rPr>
            </w:pPr>
          </w:p>
        </w:tc>
        <w:tc>
          <w:tcPr>
            <w:tcW w:w="4960" w:type="dxa"/>
            <w:vAlign w:val="bottom"/>
            <w:gridSpan w:val="19"/>
          </w:tcPr>
          <w:p>
            <w:pPr>
              <w:spacing w:after="0"/>
              <w:rPr>
                <w:sz w:val="24"/>
                <w:szCs w:val="24"/>
                <w:color w:val="auto"/>
              </w:rPr>
            </w:pP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102</w:t>
            </w:r>
          </w:p>
        </w:tc>
      </w:tr>
      <w:tr>
        <w:trPr>
          <w:trHeight w:val="20"/>
        </w:trPr>
        <w:tc>
          <w:tcPr>
            <w:tcW w:w="1760" w:type="dxa"/>
            <w:vAlign w:val="bottom"/>
            <w:tcBorders>
              <w:right w:val="single" w:sz="8" w:color="0000EE"/>
            </w:tcBorders>
            <w:gridSpan w:val="6"/>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180" w:type="dxa"/>
            <w:vAlign w:val="bottom"/>
            <w:gridSpan w:val="1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77"/>
        </w:trPr>
        <w:tc>
          <w:tcPr>
            <w:tcW w:w="6560" w:type="dxa"/>
            <w:vAlign w:val="bottom"/>
            <w:gridSpan w:val="29"/>
          </w:tcPr>
          <w:p>
            <w:pPr>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880" w:type="dxa"/>
            <w:vAlign w:val="bottom"/>
            <w:gridSpan w:val="2"/>
          </w:tcPr>
          <w:p>
            <w:pPr>
              <w:spacing w:after="0"/>
              <w:rPr>
                <w:sz w:val="24"/>
                <w:szCs w:val="24"/>
                <w:color w:val="auto"/>
              </w:rPr>
            </w:pP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102</w:t>
            </w:r>
          </w:p>
        </w:tc>
      </w:tr>
      <w:tr>
        <w:trPr>
          <w:trHeight w:val="20"/>
        </w:trPr>
        <w:tc>
          <w:tcPr>
            <w:tcW w:w="2040" w:type="dxa"/>
            <w:vAlign w:val="bottom"/>
            <w:gridSpan w:val="8"/>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3180" w:type="dxa"/>
            <w:vAlign w:val="bottom"/>
            <w:tcBorders>
              <w:left w:val="single" w:sz="8" w:color="0000FF"/>
            </w:tcBorders>
            <w:gridSpan w:val="18"/>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574"/>
        </w:trPr>
        <w:tc>
          <w:tcPr>
            <w:tcW w:w="6560" w:type="dxa"/>
            <w:vAlign w:val="bottom"/>
            <w:gridSpan w:val="29"/>
          </w:tcPr>
          <w:p>
            <w:pPr>
              <w:spacing w:after="0"/>
              <w:rPr>
                <w:sz w:val="20"/>
                <w:szCs w:val="20"/>
                <w:color w:val="auto"/>
              </w:rPr>
            </w:pPr>
            <w:r>
              <w:rPr>
                <w:rFonts w:ascii="Arial" w:cs="Arial" w:eastAsia="Arial" w:hAnsi="Arial"/>
                <w:sz w:val="16"/>
                <w:szCs w:val="16"/>
                <w:color w:val="0000FF"/>
              </w:rPr>
              <w:t>DIRECTORS, EXECUTIVE OFFICERS AND CORPORATE GOVERNANCE</w:t>
            </w:r>
          </w:p>
        </w:tc>
        <w:tc>
          <w:tcPr>
            <w:tcW w:w="880" w:type="dxa"/>
            <w:vAlign w:val="bottom"/>
            <w:gridSpan w:val="2"/>
          </w:tcPr>
          <w:p>
            <w:pPr>
              <w:spacing w:after="0"/>
              <w:rPr>
                <w:sz w:val="24"/>
                <w:szCs w:val="24"/>
                <w:color w:val="auto"/>
              </w:rPr>
            </w:pP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102</w:t>
            </w:r>
          </w:p>
        </w:tc>
      </w:tr>
      <w:tr>
        <w:trPr>
          <w:trHeight w:val="20"/>
        </w:trPr>
        <w:tc>
          <w:tcPr>
            <w:tcW w:w="2040" w:type="dxa"/>
            <w:vAlign w:val="bottom"/>
            <w:gridSpan w:val="8"/>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3180" w:type="dxa"/>
            <w:vAlign w:val="bottom"/>
            <w:tcBorders>
              <w:left w:val="single" w:sz="8" w:color="0000FF"/>
            </w:tcBorders>
            <w:gridSpan w:val="18"/>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77"/>
        </w:trPr>
        <w:tc>
          <w:tcPr>
            <w:tcW w:w="5460" w:type="dxa"/>
            <w:vAlign w:val="bottom"/>
            <w:gridSpan w:val="28"/>
          </w:tcPr>
          <w:p>
            <w:pPr>
              <w:spacing w:after="0"/>
              <w:rPr>
                <w:sz w:val="20"/>
                <w:szCs w:val="20"/>
                <w:color w:val="auto"/>
              </w:rPr>
            </w:pPr>
            <w:r>
              <w:rPr>
                <w:rFonts w:ascii="Arial" w:cs="Arial" w:eastAsia="Arial" w:hAnsi="Arial"/>
                <w:sz w:val="16"/>
                <w:szCs w:val="16"/>
                <w:color w:val="0000FF"/>
              </w:rPr>
              <w:t>EXECUTIVE COMPENSATION</w:t>
            </w:r>
          </w:p>
        </w:tc>
        <w:tc>
          <w:tcPr>
            <w:tcW w:w="1980" w:type="dxa"/>
            <w:vAlign w:val="bottom"/>
            <w:gridSpan w:val="3"/>
          </w:tcPr>
          <w:p>
            <w:pPr>
              <w:spacing w:after="0"/>
              <w:rPr>
                <w:sz w:val="24"/>
                <w:szCs w:val="24"/>
                <w:color w:val="auto"/>
              </w:rPr>
            </w:pP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102</w:t>
            </w:r>
          </w:p>
        </w:tc>
      </w:tr>
      <w:tr>
        <w:trPr>
          <w:trHeight w:val="20"/>
        </w:trPr>
        <w:tc>
          <w:tcPr>
            <w:tcW w:w="2040" w:type="dxa"/>
            <w:vAlign w:val="bottom"/>
            <w:gridSpan w:val="8"/>
            <w:shd w:val="clear" w:color="auto" w:fill="0000FF"/>
          </w:tcPr>
          <w:p>
            <w:pPr>
              <w:spacing w:after="0" w:line="20" w:lineRule="exact"/>
              <w:rPr>
                <w:sz w:val="1"/>
                <w:szCs w:val="1"/>
                <w:color w:val="auto"/>
              </w:rPr>
            </w:pPr>
          </w:p>
        </w:tc>
        <w:tc>
          <w:tcPr>
            <w:tcW w:w="240" w:type="dxa"/>
            <w:vAlign w:val="bottom"/>
            <w:tcBorders>
              <w:right w:val="single" w:sz="8" w:color="0000EE"/>
            </w:tcBorders>
            <w:gridSpan w:val="2"/>
            <w:shd w:val="clear" w:color="auto" w:fill="0000FF"/>
          </w:tcPr>
          <w:p>
            <w:pPr>
              <w:spacing w:after="0" w:line="20" w:lineRule="exact"/>
              <w:rPr>
                <w:sz w:val="1"/>
                <w:szCs w:val="1"/>
                <w:color w:val="auto"/>
              </w:rPr>
            </w:pPr>
          </w:p>
        </w:tc>
        <w:tc>
          <w:tcPr>
            <w:tcW w:w="5160" w:type="dxa"/>
            <w:vAlign w:val="bottom"/>
            <w:gridSpan w:val="21"/>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r>
      <w:tr>
        <w:trPr>
          <w:trHeight w:val="277"/>
        </w:trPr>
        <w:tc>
          <w:tcPr>
            <w:tcW w:w="7440" w:type="dxa"/>
            <w:vAlign w:val="bottom"/>
            <w:gridSpan w:val="31"/>
          </w:tcPr>
          <w:p>
            <w:pPr>
              <w:spacing w:after="0"/>
              <w:rPr>
                <w:sz w:val="20"/>
                <w:szCs w:val="20"/>
                <w:color w:val="auto"/>
              </w:rPr>
            </w:pPr>
            <w:r>
              <w:rPr>
                <w:rFonts w:ascii="Arial" w:cs="Arial" w:eastAsia="Arial" w:hAnsi="Arial"/>
                <w:sz w:val="16"/>
                <w:szCs w:val="16"/>
                <w:color w:val="0000FF"/>
              </w:rPr>
              <w:t>SECURITY OWNERSHIP OF CERTAIN BENEFICIAL OWNERS AND MANAGEMENT AND RELATED</w:t>
            </w:r>
          </w:p>
        </w:tc>
        <w:tc>
          <w:tcPr>
            <w:tcW w:w="1540" w:type="dxa"/>
            <w:vAlign w:val="bottom"/>
            <w:gridSpan w:val="4"/>
          </w:tcPr>
          <w:p>
            <w:pPr>
              <w:jc w:val="center"/>
              <w:ind w:left="1199"/>
              <w:spacing w:after="0"/>
              <w:rPr>
                <w:sz w:val="20"/>
                <w:szCs w:val="20"/>
                <w:color w:val="auto"/>
              </w:rPr>
            </w:pPr>
            <w:r>
              <w:rPr>
                <w:rFonts w:ascii="Arial" w:cs="Arial" w:eastAsia="Arial" w:hAnsi="Arial"/>
                <w:sz w:val="16"/>
                <w:szCs w:val="16"/>
                <w:color w:val="0000FF"/>
                <w:w w:val="97"/>
              </w:rPr>
              <w:t>103</w:t>
            </w:r>
          </w:p>
        </w:tc>
      </w:tr>
      <w:tr>
        <w:trPr>
          <w:trHeight w:val="169"/>
        </w:trPr>
        <w:tc>
          <w:tcPr>
            <w:tcW w:w="2040" w:type="dxa"/>
            <w:vAlign w:val="bottom"/>
            <w:tcBorders>
              <w:top w:val="single" w:sz="8" w:color="0000FF"/>
              <w:bottom w:val="single" w:sz="8" w:color="0000FF"/>
            </w:tcBorders>
            <w:gridSpan w:val="8"/>
          </w:tcPr>
          <w:p>
            <w:pPr>
              <w:spacing w:after="0" w:line="169" w:lineRule="exact"/>
              <w:rPr>
                <w:sz w:val="20"/>
                <w:szCs w:val="20"/>
                <w:color w:val="auto"/>
              </w:rPr>
            </w:pPr>
            <w:r>
              <w:rPr>
                <w:rFonts w:ascii="Arial" w:cs="Arial" w:eastAsia="Arial" w:hAnsi="Arial"/>
                <w:sz w:val="16"/>
                <w:szCs w:val="16"/>
                <w:color w:val="0000FF"/>
                <w:w w:val="99"/>
              </w:rPr>
              <w:t>STOCKHOLDER MATTERS</w:t>
            </w:r>
          </w:p>
        </w:tc>
        <w:tc>
          <w:tcPr>
            <w:tcW w:w="5400" w:type="dxa"/>
            <w:vAlign w:val="bottom"/>
            <w:tcBorders>
              <w:top w:val="single" w:sz="8" w:color="0000FF"/>
            </w:tcBorders>
            <w:gridSpan w:val="23"/>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-6240145</wp:posOffset>
            </wp:positionV>
            <wp:extent cx="713232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-5862955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-5485765</wp:posOffset>
            </wp:positionV>
            <wp:extent cx="71323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-5108575</wp:posOffset>
            </wp:positionV>
            <wp:extent cx="7132320"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-4731385</wp:posOffset>
            </wp:positionV>
            <wp:extent cx="71323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-4354195</wp:posOffset>
            </wp:positionV>
            <wp:extent cx="71323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-3977005</wp:posOffset>
            </wp:positionV>
            <wp:extent cx="7132320" cy="1885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-3599815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-3222625</wp:posOffset>
            </wp:positionV>
            <wp:extent cx="71323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-2845435</wp:posOffset>
            </wp:positionV>
            <wp:extent cx="7132320" cy="1885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-2468245</wp:posOffset>
            </wp:positionV>
            <wp:extent cx="71323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-2091055</wp:posOffset>
            </wp:positionV>
            <wp:extent cx="713232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-6617335</wp:posOffset>
            </wp:positionV>
            <wp:extent cx="71323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-1713865</wp:posOffset>
            </wp:positionV>
            <wp:extent cx="7132320" cy="308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-1216660</wp:posOffset>
            </wp:positionV>
            <wp:extent cx="71323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-839470</wp:posOffset>
            </wp:positionV>
            <wp:extent cx="7132320"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-1162685</wp:posOffset>
            </wp:positionH>
            <wp:positionV relativeFrom="paragraph">
              <wp:posOffset>-462280</wp:posOffset>
            </wp:positionV>
            <wp:extent cx="71323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1120" w:space="720"/>
            <w:col w:w="9400"/>
          </w:cols>
          <w:pgMar w:left="320" w:top="1279" w:right="339" w:bottom="1440" w:gutter="0" w:footer="0" w:header="0"/>
        </w:sectPr>
      </w:pPr>
    </w:p>
    <w:tbl>
      <w:tblPr>
        <w:tblLayout w:type="fixed"/>
        <w:tblInd w:w="0" w:type="dxa"/>
        <w:tblCellMar>
          <w:top w:w="0" w:type="dxa"/>
          <w:left w:w="0" w:type="dxa"/>
          <w:bottom w:w="0" w:type="dxa"/>
          <w:right w:w="0" w:type="dxa"/>
        </w:tblCellMar>
      </w:tblP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4"/>
            <w:shd w:val="clear" w:color="auto" w:fill="CFF0FC"/>
          </w:tcPr>
          <w:p>
            <w:pPr>
              <w:spacing w:after="0"/>
              <w:rPr>
                <w:sz w:val="20"/>
                <w:szCs w:val="20"/>
                <w:color w:val="auto"/>
              </w:rPr>
            </w:pPr>
            <w:r>
              <w:rPr>
                <w:rFonts w:ascii="Arial" w:cs="Arial" w:eastAsia="Arial" w:hAnsi="Arial"/>
                <w:sz w:val="16"/>
                <w:szCs w:val="16"/>
                <w:color w:val="0000FF"/>
              </w:rPr>
              <w:t>ITEM 13.</w:t>
            </w:r>
          </w:p>
        </w:tc>
        <w:tc>
          <w:tcPr>
            <w:tcW w:w="7120" w:type="dxa"/>
            <w:vAlign w:val="bottom"/>
            <w:gridSpan w:val="3"/>
            <w:shd w:val="clear" w:color="auto" w:fill="CFF0FC"/>
          </w:tcPr>
          <w:p>
            <w:pPr>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0000FF"/>
              </w:rPr>
              <w:t>103</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0000FF"/>
            </w:tcBorders>
            <w:shd w:val="clear" w:color="auto" w:fill="CFF0FC"/>
          </w:tcPr>
          <w:p>
            <w:pPr>
              <w:spacing w:after="0"/>
              <w:rPr>
                <w:sz w:val="4"/>
                <w:szCs w:val="4"/>
                <w:color w:val="auto"/>
              </w:rPr>
            </w:pPr>
          </w:p>
        </w:tc>
        <w:tc>
          <w:tcPr>
            <w:tcW w:w="1980" w:type="dxa"/>
            <w:vAlign w:val="bottom"/>
            <w:tcBorders>
              <w:top w:val="single" w:sz="8" w:color="0000FF"/>
            </w:tcBorders>
            <w:shd w:val="clear" w:color="auto" w:fill="CFF0FC"/>
          </w:tcPr>
          <w:p>
            <w:pPr>
              <w:spacing w:after="0"/>
              <w:rPr>
                <w:sz w:val="4"/>
                <w:szCs w:val="4"/>
                <w:color w:val="auto"/>
              </w:rPr>
            </w:pPr>
          </w:p>
        </w:tc>
        <w:tc>
          <w:tcPr>
            <w:tcW w:w="3400" w:type="dxa"/>
            <w:vAlign w:val="bottom"/>
            <w:tcBorders>
              <w:top w:val="single" w:sz="8" w:color="0000FF"/>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29"/>
        </w:trPr>
        <w:tc>
          <w:tcPr>
            <w:tcW w:w="120" w:type="dxa"/>
            <w:vAlign w:val="bottom"/>
          </w:tcPr>
          <w:p>
            <w:pPr>
              <w:spacing w:after="0"/>
              <w:rPr>
                <w:sz w:val="19"/>
                <w:szCs w:val="19"/>
                <w:color w:val="auto"/>
              </w:rPr>
            </w:pPr>
          </w:p>
        </w:tc>
        <w:tc>
          <w:tcPr>
            <w:tcW w:w="1720" w:type="dxa"/>
            <w:vAlign w:val="bottom"/>
            <w:gridSpan w:val="4"/>
          </w:tcPr>
          <w:p>
            <w:pPr>
              <w:spacing w:after="0"/>
              <w:rPr>
                <w:sz w:val="20"/>
                <w:szCs w:val="20"/>
                <w:color w:val="auto"/>
              </w:rPr>
            </w:pPr>
            <w:r>
              <w:rPr>
                <w:rFonts w:ascii="Arial" w:cs="Arial" w:eastAsia="Arial" w:hAnsi="Arial"/>
                <w:sz w:val="16"/>
                <w:szCs w:val="16"/>
                <w:color w:val="0000FF"/>
              </w:rPr>
              <w:t>ITEM 14.</w:t>
            </w:r>
          </w:p>
        </w:tc>
        <w:tc>
          <w:tcPr>
            <w:tcW w:w="7120" w:type="dxa"/>
            <w:vAlign w:val="bottom"/>
            <w:gridSpan w:val="3"/>
          </w:tcPr>
          <w:p>
            <w:pPr>
              <w:spacing w:after="0"/>
              <w:rPr>
                <w:sz w:val="20"/>
                <w:szCs w:val="20"/>
                <w:color w:val="auto"/>
              </w:rPr>
            </w:pPr>
            <w:r>
              <w:rPr>
                <w:rFonts w:ascii="Arial" w:cs="Arial" w:eastAsia="Arial" w:hAnsi="Arial"/>
                <w:sz w:val="16"/>
                <w:szCs w:val="16"/>
                <w:color w:val="0000FF"/>
              </w:rPr>
              <w:t>PRINCIPAL ACCOUNTANT FEES AND SERVICES</w:t>
            </w:r>
          </w:p>
        </w:tc>
        <w:tc>
          <w:tcPr>
            <w:tcW w:w="1860" w:type="dxa"/>
            <w:vAlign w:val="bottom"/>
            <w:gridSpan w:val="2"/>
          </w:tcPr>
          <w:p>
            <w:pPr>
              <w:jc w:val="right"/>
              <w:spacing w:after="0"/>
              <w:rPr>
                <w:sz w:val="20"/>
                <w:szCs w:val="20"/>
                <w:color w:val="auto"/>
              </w:rPr>
            </w:pPr>
            <w:r>
              <w:rPr>
                <w:rFonts w:ascii="Arial" w:cs="Arial" w:eastAsia="Arial" w:hAnsi="Arial"/>
                <w:sz w:val="16"/>
                <w:szCs w:val="16"/>
                <w:color w:val="0000FF"/>
              </w:rPr>
              <w:t>103</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3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30"/>
        </w:trPr>
        <w:tc>
          <w:tcPr>
            <w:tcW w:w="120" w:type="dxa"/>
            <w:vAlign w:val="bottom"/>
            <w:shd w:val="clear" w:color="auto" w:fill="CFF0FC"/>
          </w:tcPr>
          <w:p>
            <w:pPr>
              <w:spacing w:after="0"/>
              <w:rPr>
                <w:sz w:val="19"/>
                <w:szCs w:val="19"/>
                <w:color w:val="auto"/>
              </w:rPr>
            </w:pPr>
          </w:p>
        </w:tc>
        <w:tc>
          <w:tcPr>
            <w:tcW w:w="1720" w:type="dxa"/>
            <w:vAlign w:val="bottom"/>
            <w:gridSpan w:val="4"/>
            <w:shd w:val="clear" w:color="auto" w:fill="CFF0FC"/>
          </w:tcPr>
          <w:p>
            <w:pPr>
              <w:spacing w:after="0"/>
              <w:rPr>
                <w:sz w:val="20"/>
                <w:szCs w:val="20"/>
                <w:color w:val="auto"/>
              </w:rPr>
            </w:pPr>
            <w:r>
              <w:rPr>
                <w:rFonts w:ascii="Arial" w:cs="Arial" w:eastAsia="Arial" w:hAnsi="Arial"/>
                <w:sz w:val="16"/>
                <w:szCs w:val="16"/>
                <w:b w:val="1"/>
                <w:bCs w:val="1"/>
                <w:color w:val="0000FF"/>
              </w:rPr>
              <w:t>Part IV</w:t>
            </w:r>
          </w:p>
        </w:tc>
        <w:tc>
          <w:tcPr>
            <w:tcW w:w="174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19"/>
                <w:szCs w:val="19"/>
                <w:color w:val="auto"/>
              </w:rPr>
            </w:pPr>
          </w:p>
        </w:tc>
        <w:tc>
          <w:tcPr>
            <w:tcW w:w="340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r>
      <w:tr>
        <w:trPr>
          <w:trHeight w:val="47"/>
        </w:trPr>
        <w:tc>
          <w:tcPr>
            <w:tcW w:w="120" w:type="dxa"/>
            <w:vAlign w:val="bottom"/>
            <w:tcBorders>
              <w:top w:val="single" w:sz="8" w:color="CFF0FC"/>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CFF0FC"/>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CFF0FC"/>
            </w:tcBorders>
            <w:shd w:val="clear" w:color="auto" w:fill="CFF0FC"/>
          </w:tcPr>
          <w:p>
            <w:pPr>
              <w:spacing w:after="0"/>
              <w:rPr>
                <w:sz w:val="4"/>
                <w:szCs w:val="4"/>
                <w:color w:val="auto"/>
              </w:rPr>
            </w:pPr>
          </w:p>
        </w:tc>
        <w:tc>
          <w:tcPr>
            <w:tcW w:w="1980" w:type="dxa"/>
            <w:vAlign w:val="bottom"/>
            <w:tcBorders>
              <w:top w:val="single" w:sz="8" w:color="CFF0FC"/>
            </w:tcBorders>
            <w:shd w:val="clear" w:color="auto" w:fill="CFF0FC"/>
          </w:tcPr>
          <w:p>
            <w:pPr>
              <w:spacing w:after="0"/>
              <w:rPr>
                <w:sz w:val="4"/>
                <w:szCs w:val="4"/>
                <w:color w:val="auto"/>
              </w:rPr>
            </w:pPr>
          </w:p>
        </w:tc>
        <w:tc>
          <w:tcPr>
            <w:tcW w:w="340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4"/>
          </w:tcPr>
          <w:p>
            <w:pPr>
              <w:spacing w:after="0"/>
              <w:rPr>
                <w:sz w:val="20"/>
                <w:szCs w:val="20"/>
                <w:color w:val="auto"/>
              </w:rPr>
            </w:pPr>
            <w:r>
              <w:rPr>
                <w:rFonts w:ascii="Arial" w:cs="Arial" w:eastAsia="Arial" w:hAnsi="Arial"/>
                <w:sz w:val="16"/>
                <w:szCs w:val="16"/>
                <w:color w:val="0000FF"/>
              </w:rPr>
              <w:t>ITEM 15.</w:t>
            </w:r>
          </w:p>
        </w:tc>
        <w:tc>
          <w:tcPr>
            <w:tcW w:w="7120" w:type="dxa"/>
            <w:vAlign w:val="bottom"/>
            <w:gridSpan w:val="3"/>
          </w:tcPr>
          <w:p>
            <w:pPr>
              <w:spacing w:after="0"/>
              <w:rPr>
                <w:sz w:val="20"/>
                <w:szCs w:val="20"/>
                <w:color w:val="auto"/>
              </w:rPr>
            </w:pPr>
            <w:r>
              <w:rPr>
                <w:rFonts w:ascii="Arial" w:cs="Arial" w:eastAsia="Arial" w:hAnsi="Arial"/>
                <w:sz w:val="16"/>
                <w:szCs w:val="16"/>
                <w:color w:val="0000FF"/>
              </w:rPr>
              <w:t>EXHIBITS, FINANCIAL STATEMENT SCHEDULES</w:t>
            </w:r>
          </w:p>
        </w:tc>
        <w:tc>
          <w:tcPr>
            <w:tcW w:w="1860" w:type="dxa"/>
            <w:vAlign w:val="bottom"/>
            <w:gridSpan w:val="2"/>
          </w:tcPr>
          <w:p>
            <w:pPr>
              <w:jc w:val="right"/>
              <w:spacing w:after="0"/>
              <w:rPr>
                <w:sz w:val="20"/>
                <w:szCs w:val="20"/>
                <w:color w:val="auto"/>
              </w:rPr>
            </w:pPr>
            <w:r>
              <w:rPr>
                <w:rFonts w:ascii="Arial" w:cs="Arial" w:eastAsia="Arial" w:hAnsi="Arial"/>
                <w:sz w:val="16"/>
                <w:szCs w:val="16"/>
                <w:color w:val="0000FF"/>
              </w:rPr>
              <w:t>104</w:t>
            </w:r>
          </w:p>
        </w:tc>
        <w:tc>
          <w:tcPr>
            <w:tcW w:w="420" w:type="dxa"/>
            <w:vAlign w:val="bottom"/>
          </w:tcPr>
          <w:p>
            <w:pPr>
              <w:spacing w:after="0"/>
              <w:rPr>
                <w:sz w:val="19"/>
                <w:szCs w:val="19"/>
                <w:color w:val="auto"/>
              </w:rPr>
            </w:pPr>
          </w:p>
        </w:tc>
      </w:tr>
      <w:tr>
        <w:trPr>
          <w:trHeight w:val="48"/>
        </w:trPr>
        <w:tc>
          <w:tcPr>
            <w:tcW w:w="12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740" w:type="dxa"/>
            <w:vAlign w:val="bottom"/>
            <w:tcBorders>
              <w:top w:val="single" w:sz="8" w:color="0000FF"/>
            </w:tcBorders>
          </w:tcPr>
          <w:p>
            <w:pPr>
              <w:spacing w:after="0"/>
              <w:rPr>
                <w:sz w:val="4"/>
                <w:szCs w:val="4"/>
                <w:color w:val="auto"/>
              </w:rPr>
            </w:pPr>
          </w:p>
        </w:tc>
        <w:tc>
          <w:tcPr>
            <w:tcW w:w="1980" w:type="dxa"/>
            <w:vAlign w:val="bottom"/>
            <w:tcBorders>
              <w:top w:val="single" w:sz="8" w:color="0000FF"/>
            </w:tcBorders>
          </w:tcPr>
          <w:p>
            <w:pPr>
              <w:spacing w:after="0"/>
              <w:rPr>
                <w:sz w:val="4"/>
                <w:szCs w:val="4"/>
                <w:color w:val="auto"/>
              </w:rPr>
            </w:pPr>
          </w:p>
        </w:tc>
        <w:tc>
          <w:tcPr>
            <w:tcW w:w="34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r>
      <w:tr>
        <w:trPr>
          <w:trHeight w:val="229"/>
        </w:trPr>
        <w:tc>
          <w:tcPr>
            <w:tcW w:w="120" w:type="dxa"/>
            <w:vAlign w:val="bottom"/>
            <w:shd w:val="clear" w:color="auto" w:fill="CFF0FC"/>
          </w:tcPr>
          <w:p>
            <w:pPr>
              <w:spacing w:after="0"/>
              <w:rPr>
                <w:sz w:val="19"/>
                <w:szCs w:val="19"/>
                <w:color w:val="auto"/>
              </w:rPr>
            </w:pPr>
          </w:p>
        </w:tc>
        <w:tc>
          <w:tcPr>
            <w:tcW w:w="1720" w:type="dxa"/>
            <w:vAlign w:val="bottom"/>
            <w:gridSpan w:val="4"/>
            <w:shd w:val="clear" w:color="auto" w:fill="CFF0FC"/>
          </w:tcPr>
          <w:p>
            <w:pPr>
              <w:spacing w:after="0"/>
              <w:rPr>
                <w:sz w:val="20"/>
                <w:szCs w:val="20"/>
                <w:color w:val="auto"/>
              </w:rPr>
            </w:pPr>
            <w:r>
              <w:rPr>
                <w:rFonts w:ascii="Arial" w:cs="Arial" w:eastAsia="Arial" w:hAnsi="Arial"/>
                <w:sz w:val="16"/>
                <w:szCs w:val="16"/>
                <w:color w:val="0000FF"/>
              </w:rPr>
              <w:t>ITEM 16.</w:t>
            </w:r>
          </w:p>
        </w:tc>
        <w:tc>
          <w:tcPr>
            <w:tcW w:w="7120" w:type="dxa"/>
            <w:vAlign w:val="bottom"/>
            <w:gridSpan w:val="3"/>
            <w:shd w:val="clear" w:color="auto" w:fill="CFF0FC"/>
          </w:tcPr>
          <w:p>
            <w:pPr>
              <w:spacing w:after="0"/>
              <w:rPr>
                <w:sz w:val="20"/>
                <w:szCs w:val="20"/>
                <w:color w:val="auto"/>
              </w:rPr>
            </w:pPr>
            <w:r>
              <w:rPr>
                <w:rFonts w:ascii="Arial" w:cs="Arial" w:eastAsia="Arial" w:hAnsi="Arial"/>
                <w:sz w:val="16"/>
                <w:szCs w:val="16"/>
                <w:color w:val="0000FF"/>
              </w:rPr>
              <w:t>FORM 10-K SUMMARY</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0000FF"/>
              </w:rPr>
              <w:t>107</w:t>
            </w:r>
          </w:p>
        </w:tc>
        <w:tc>
          <w:tcPr>
            <w:tcW w:w="420" w:type="dxa"/>
            <w:vAlign w:val="bottom"/>
            <w:shd w:val="clear" w:color="auto" w:fill="CFF0FC"/>
          </w:tcPr>
          <w:p>
            <w:pPr>
              <w:spacing w:after="0"/>
              <w:rPr>
                <w:sz w:val="19"/>
                <w:szCs w:val="19"/>
                <w:color w:val="auto"/>
              </w:rPr>
            </w:pPr>
          </w:p>
        </w:tc>
      </w:tr>
      <w:tr>
        <w:trPr>
          <w:trHeight w:val="48"/>
        </w:trPr>
        <w:tc>
          <w:tcPr>
            <w:tcW w:w="120" w:type="dxa"/>
            <w:vAlign w:val="bottom"/>
            <w:tcBorders>
              <w:top w:val="single" w:sz="8" w:color="CFF0FC"/>
            </w:tcBorders>
            <w:shd w:val="clear" w:color="auto" w:fill="CFF0FC"/>
          </w:tcPr>
          <w:p>
            <w:pPr>
              <w:spacing w:after="0"/>
              <w:rPr>
                <w:sz w:val="4"/>
                <w:szCs w:val="4"/>
                <w:color w:val="auto"/>
              </w:rPr>
            </w:pPr>
          </w:p>
        </w:tc>
        <w:tc>
          <w:tcPr>
            <w:tcW w:w="50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40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1740" w:type="dxa"/>
            <w:vAlign w:val="bottom"/>
            <w:tcBorders>
              <w:top w:val="single" w:sz="8" w:color="0000FF"/>
            </w:tcBorders>
            <w:shd w:val="clear" w:color="auto" w:fill="CFF0FC"/>
          </w:tcPr>
          <w:p>
            <w:pPr>
              <w:spacing w:after="0"/>
              <w:rPr>
                <w:sz w:val="4"/>
                <w:szCs w:val="4"/>
                <w:color w:val="auto"/>
              </w:rPr>
            </w:pPr>
          </w:p>
        </w:tc>
        <w:tc>
          <w:tcPr>
            <w:tcW w:w="1980" w:type="dxa"/>
            <w:vAlign w:val="bottom"/>
            <w:tcBorders>
              <w:top w:val="single" w:sz="8" w:color="CFF0FC"/>
            </w:tcBorders>
            <w:shd w:val="clear" w:color="auto" w:fill="CFF0FC"/>
          </w:tcPr>
          <w:p>
            <w:pPr>
              <w:spacing w:after="0"/>
              <w:rPr>
                <w:sz w:val="4"/>
                <w:szCs w:val="4"/>
                <w:color w:val="auto"/>
              </w:rPr>
            </w:pPr>
          </w:p>
        </w:tc>
        <w:tc>
          <w:tcPr>
            <w:tcW w:w="3400" w:type="dxa"/>
            <w:vAlign w:val="bottom"/>
            <w:tcBorders>
              <w:top w:val="single" w:sz="8" w:color="CFF0FC"/>
            </w:tcBorders>
            <w:shd w:val="clear" w:color="auto" w:fill="CFF0FC"/>
          </w:tcPr>
          <w:p>
            <w:pPr>
              <w:spacing w:after="0"/>
              <w:rPr>
                <w:sz w:val="4"/>
                <w:szCs w:val="4"/>
                <w:color w:val="auto"/>
              </w:rPr>
            </w:pPr>
          </w:p>
        </w:tc>
        <w:tc>
          <w:tcPr>
            <w:tcW w:w="160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420" w:type="dxa"/>
            <w:vAlign w:val="bottom"/>
            <w:tcBorders>
              <w:top w:val="single" w:sz="8" w:color="CFF0FC"/>
            </w:tcBorders>
            <w:shd w:val="clear" w:color="auto" w:fill="CFF0FC"/>
          </w:tcPr>
          <w:p>
            <w:pPr>
              <w:spacing w:after="0"/>
              <w:rPr>
                <w:sz w:val="4"/>
                <w:szCs w:val="4"/>
                <w:color w:val="auto"/>
              </w:rPr>
            </w:pPr>
          </w:p>
        </w:tc>
      </w:tr>
      <w:tr>
        <w:trPr>
          <w:trHeight w:val="230"/>
        </w:trPr>
        <w:tc>
          <w:tcPr>
            <w:tcW w:w="120" w:type="dxa"/>
            <w:vAlign w:val="bottom"/>
          </w:tcPr>
          <w:p>
            <w:pPr>
              <w:spacing w:after="0"/>
              <w:rPr>
                <w:sz w:val="19"/>
                <w:szCs w:val="19"/>
                <w:color w:val="auto"/>
              </w:rPr>
            </w:pPr>
          </w:p>
        </w:tc>
        <w:tc>
          <w:tcPr>
            <w:tcW w:w="1720" w:type="dxa"/>
            <w:vAlign w:val="bottom"/>
            <w:gridSpan w:val="4"/>
          </w:tcPr>
          <w:p>
            <w:pPr>
              <w:spacing w:after="0"/>
              <w:rPr>
                <w:sz w:val="20"/>
                <w:szCs w:val="20"/>
                <w:color w:val="auto"/>
              </w:rPr>
            </w:pPr>
            <w:r>
              <w:rPr>
                <w:rFonts w:ascii="Arial" w:cs="Arial" w:eastAsia="Arial" w:hAnsi="Arial"/>
                <w:sz w:val="16"/>
                <w:szCs w:val="16"/>
                <w:color w:val="0000FF"/>
              </w:rPr>
              <w:t>SIGNATURES</w:t>
            </w:r>
          </w:p>
        </w:tc>
        <w:tc>
          <w:tcPr>
            <w:tcW w:w="17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0000FF"/>
              </w:rPr>
              <w:t>108</w:t>
            </w:r>
          </w:p>
        </w:tc>
        <w:tc>
          <w:tcPr>
            <w:tcW w:w="420" w:type="dxa"/>
            <w:vAlign w:val="bottom"/>
          </w:tcPr>
          <w:p>
            <w:pPr>
              <w:spacing w:after="0"/>
              <w:rPr>
                <w:sz w:val="19"/>
                <w:szCs w:val="19"/>
                <w:color w:val="auto"/>
              </w:rPr>
            </w:pPr>
          </w:p>
        </w:tc>
      </w:tr>
      <w:tr>
        <w:trPr>
          <w:trHeight w:val="666"/>
        </w:trPr>
        <w:tc>
          <w:tcPr>
            <w:tcW w:w="12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7120" w:type="dxa"/>
            <w:vAlign w:val="bottom"/>
            <w:gridSpan w:val="3"/>
          </w:tcPr>
          <w:p>
            <w:pPr>
              <w:ind w:left="3740"/>
              <w:spacing w:after="0"/>
              <w:rPr>
                <w:sz w:val="20"/>
                <w:szCs w:val="20"/>
                <w:color w:val="auto"/>
              </w:rPr>
            </w:pPr>
            <w:r>
              <w:rPr>
                <w:rFonts w:ascii="Arial" w:cs="Arial" w:eastAsia="Arial" w:hAnsi="Arial"/>
                <w:sz w:val="16"/>
                <w:szCs w:val="16"/>
                <w:color w:val="auto"/>
              </w:rPr>
              <w:t>3</w:t>
            </w:r>
          </w:p>
        </w:tc>
        <w:tc>
          <w:tcPr>
            <w:tcW w:w="1600" w:type="dxa"/>
            <w:vAlign w:val="bottom"/>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r>
      <w:tr>
        <w:trPr>
          <w:trHeight w:val="751"/>
        </w:trPr>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43"/>
        </w:trPr>
        <w:tc>
          <w:tcPr>
            <w:tcW w:w="1360" w:type="dxa"/>
            <w:vAlign w:val="bottom"/>
            <w:tcBorders>
              <w:top w:val="single" w:sz="8" w:color="0000FF"/>
            </w:tcBorders>
          </w:tcPr>
          <w:p>
            <w:pPr>
              <w:spacing w:after="0"/>
              <w:rPr>
                <w:sz w:val="21"/>
                <w:szCs w:val="21"/>
                <w:color w:val="auto"/>
              </w:rPr>
            </w:pPr>
          </w:p>
        </w:tc>
        <w:tc>
          <w:tcPr>
            <w:tcW w:w="1780" w:type="dxa"/>
            <w:vAlign w:val="bottom"/>
          </w:tcPr>
          <w:p>
            <w:pPr>
              <w:spacing w:after="0"/>
              <w:rPr>
                <w:sz w:val="21"/>
                <w:szCs w:val="21"/>
                <w:color w:val="auto"/>
              </w:rPr>
            </w:pPr>
          </w:p>
        </w:tc>
        <w:tc>
          <w:tcPr>
            <w:tcW w:w="8100" w:type="dxa"/>
            <w:vAlign w:val="bottom"/>
          </w:tcPr>
          <w:p>
            <w:pPr>
              <w:ind w:left="700"/>
              <w:spacing w:after="0"/>
              <w:rPr>
                <w:sz w:val="20"/>
                <w:szCs w:val="20"/>
                <w:color w:val="auto"/>
              </w:rPr>
            </w:pPr>
            <w:r>
              <w:rPr>
                <w:rFonts w:ascii="Arial" w:cs="Arial" w:eastAsia="Arial" w:hAnsi="Arial"/>
                <w:sz w:val="16"/>
                <w:szCs w:val="16"/>
                <w:b w:val="1"/>
                <w:bCs w:val="1"/>
                <w:color w:val="auto"/>
              </w:rPr>
              <w:t>GLOSSARY OF TERMS AND ABBREVIATIONS</w:t>
            </w:r>
          </w:p>
        </w:tc>
      </w:tr>
      <w:tr>
        <w:trPr>
          <w:trHeight w:val="397"/>
        </w:trPr>
        <w:tc>
          <w:tcPr>
            <w:tcW w:w="11240" w:type="dxa"/>
            <w:vAlign w:val="bottom"/>
            <w:gridSpan w:val="3"/>
          </w:tcPr>
          <w:p>
            <w:pPr>
              <w:spacing w:after="0"/>
              <w:rPr>
                <w:sz w:val="20"/>
                <w:szCs w:val="20"/>
                <w:color w:val="auto"/>
              </w:rPr>
            </w:pPr>
            <w:r>
              <w:rPr>
                <w:rFonts w:ascii="Arial" w:cs="Arial" w:eastAsia="Arial" w:hAnsi="Arial"/>
                <w:sz w:val="16"/>
                <w:szCs w:val="16"/>
                <w:color w:val="auto"/>
              </w:rPr>
              <w:t>The following terms and abbreviations appear in the text of this report and have the definitions described below:</w:t>
            </w:r>
          </w:p>
        </w:tc>
      </w:tr>
      <w:tr>
        <w:trPr>
          <w:trHeight w:val="178"/>
        </w:trPr>
        <w:tc>
          <w:tcPr>
            <w:tcW w:w="13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100" w:type="dxa"/>
            <w:vAlign w:val="bottom"/>
          </w:tcPr>
          <w:p>
            <w:pPr>
              <w:spacing w:after="0"/>
              <w:rPr>
                <w:sz w:val="15"/>
                <w:szCs w:val="15"/>
                <w:color w:val="auto"/>
              </w:rPr>
            </w:pPr>
          </w:p>
        </w:tc>
      </w:tr>
      <w:tr>
        <w:trPr>
          <w:trHeight w:val="263"/>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AC</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Alternating Current</w:t>
            </w:r>
          </w:p>
        </w:tc>
      </w:tr>
      <w:tr>
        <w:trPr>
          <w:trHeight w:val="254"/>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AFUDC</w:t>
            </w:r>
          </w:p>
        </w:tc>
        <w:tc>
          <w:tcPr>
            <w:tcW w:w="8100" w:type="dxa"/>
            <w:vAlign w:val="bottom"/>
          </w:tcPr>
          <w:p>
            <w:pPr>
              <w:ind w:left="140"/>
              <w:spacing w:after="0"/>
              <w:rPr>
                <w:sz w:val="20"/>
                <w:szCs w:val="20"/>
                <w:color w:val="auto"/>
              </w:rPr>
            </w:pPr>
            <w:r>
              <w:rPr>
                <w:rFonts w:ascii="Arial" w:cs="Arial" w:eastAsia="Arial" w:hAnsi="Arial"/>
                <w:sz w:val="16"/>
                <w:szCs w:val="16"/>
                <w:color w:val="auto"/>
              </w:rPr>
              <w:t>Allowance for Funds Used During Construction</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63"/>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AOCI</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Accumulated Other Comprehensive Income (Loss)</w:t>
            </w:r>
          </w:p>
        </w:tc>
      </w:tr>
      <w:tr>
        <w:trPr>
          <w:trHeight w:val="254"/>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APSC</w:t>
            </w:r>
          </w:p>
        </w:tc>
        <w:tc>
          <w:tcPr>
            <w:tcW w:w="8100" w:type="dxa"/>
            <w:vAlign w:val="bottom"/>
          </w:tcPr>
          <w:p>
            <w:pPr>
              <w:ind w:left="140"/>
              <w:spacing w:after="0"/>
              <w:rPr>
                <w:sz w:val="20"/>
                <w:szCs w:val="20"/>
                <w:color w:val="auto"/>
              </w:rPr>
            </w:pPr>
            <w:r>
              <w:rPr>
                <w:rFonts w:ascii="Arial" w:cs="Arial" w:eastAsia="Arial" w:hAnsi="Arial"/>
                <w:sz w:val="16"/>
                <w:szCs w:val="16"/>
                <w:color w:val="auto"/>
              </w:rPr>
              <w:t>Arkansas Public Service Commission</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8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Black Hills Energy Arkansas, Inc., an indirect, wholly-owned subsidiary of Black Hills Utility Holdings, providing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natural gas services to customers in Arkansas (doing business as Black Hills Energy).</w:t>
            </w:r>
          </w:p>
        </w:tc>
      </w:tr>
      <w:tr>
        <w:trPr>
          <w:trHeight w:val="254"/>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ARO</w:t>
            </w:r>
          </w:p>
        </w:tc>
        <w:tc>
          <w:tcPr>
            <w:tcW w:w="8100" w:type="dxa"/>
            <w:vAlign w:val="bottom"/>
          </w:tcPr>
          <w:p>
            <w:pPr>
              <w:ind w:left="140"/>
              <w:spacing w:after="0"/>
              <w:rPr>
                <w:sz w:val="20"/>
                <w:szCs w:val="20"/>
                <w:color w:val="auto"/>
              </w:rPr>
            </w:pPr>
            <w:r>
              <w:rPr>
                <w:rFonts w:ascii="Arial" w:cs="Arial" w:eastAsia="Arial" w:hAnsi="Arial"/>
                <w:sz w:val="16"/>
                <w:szCs w:val="16"/>
                <w:color w:val="auto"/>
              </w:rPr>
              <w:t>Asset Retirement Obligation</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64"/>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ASC</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Accounting Standards Codification</w:t>
            </w:r>
          </w:p>
        </w:tc>
      </w:tr>
      <w:tr>
        <w:trPr>
          <w:trHeight w:val="254"/>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ASU</w:t>
            </w:r>
          </w:p>
        </w:tc>
        <w:tc>
          <w:tcPr>
            <w:tcW w:w="8100" w:type="dxa"/>
            <w:vAlign w:val="bottom"/>
          </w:tcPr>
          <w:p>
            <w:pPr>
              <w:ind w:left="140"/>
              <w:spacing w:after="0"/>
              <w:rPr>
                <w:sz w:val="20"/>
                <w:szCs w:val="20"/>
                <w:color w:val="auto"/>
              </w:rPr>
            </w:pPr>
            <w:r>
              <w:rPr>
                <w:rFonts w:ascii="Arial" w:cs="Arial" w:eastAsia="Arial" w:hAnsi="Arial"/>
                <w:sz w:val="16"/>
                <w:szCs w:val="16"/>
                <w:color w:val="auto"/>
              </w:rPr>
              <w:t>Accounting Standards Update as issued by the FASB</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63"/>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ATM</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At-the-market equity offering program</w:t>
            </w:r>
          </w:p>
        </w:tc>
      </w:tr>
      <w:tr>
        <w:trPr>
          <w:trHeight w:val="254"/>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Availability</w:t>
            </w:r>
          </w:p>
        </w:tc>
        <w:tc>
          <w:tcPr>
            <w:tcW w:w="8100" w:type="dxa"/>
            <w:vAlign w:val="bottom"/>
          </w:tcPr>
          <w:p>
            <w:pPr>
              <w:ind w:left="140"/>
              <w:spacing w:after="0"/>
              <w:rPr>
                <w:sz w:val="20"/>
                <w:szCs w:val="20"/>
                <w:color w:val="auto"/>
              </w:rPr>
            </w:pPr>
            <w:r>
              <w:rPr>
                <w:rFonts w:ascii="Arial" w:cs="Arial" w:eastAsia="Arial" w:hAnsi="Arial"/>
                <w:sz w:val="16"/>
                <w:szCs w:val="16"/>
                <w:color w:val="auto"/>
              </w:rPr>
              <w:t>The availability factor of a power plant is the percentage of the time that it is available to provide energy.</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63"/>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BHC</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Black Hills Corporation; the Company</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BHSC</w:t>
            </w:r>
          </w:p>
        </w:tc>
        <w:tc>
          <w:tcPr>
            <w:tcW w:w="8100" w:type="dxa"/>
            <w:vAlign w:val="bottom"/>
          </w:tcPr>
          <w:p>
            <w:pPr>
              <w:ind w:left="140"/>
              <w:spacing w:after="0"/>
              <w:rPr>
                <w:sz w:val="20"/>
                <w:szCs w:val="20"/>
                <w:color w:val="auto"/>
              </w:rPr>
            </w:pPr>
            <w:r>
              <w:rPr>
                <w:rFonts w:ascii="Arial" w:cs="Arial" w:eastAsia="Arial" w:hAnsi="Arial"/>
                <w:sz w:val="16"/>
                <w:szCs w:val="16"/>
                <w:color w:val="auto"/>
              </w:rPr>
              <w:t>Black Hills Service Company, LLC, a direct, wholly-owned subsidiary of Black Hills Corporation (doing</w:t>
            </w:r>
          </w:p>
        </w:tc>
      </w:tr>
      <w:tr>
        <w:trPr>
          <w:trHeight w:val="215"/>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6"/>
                <w:szCs w:val="16"/>
                <w:color w:val="auto"/>
              </w:rPr>
              <w:t>business as Black Hills Energy)</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63"/>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Black Hills Colorado IPP</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Black Hills Colorado IPP, LLC, a 50.1% owned subsidiary of Black Hills Electric Generation</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Black Hills Electric Generation</w:t>
            </w:r>
          </w:p>
        </w:tc>
        <w:tc>
          <w:tcPr>
            <w:tcW w:w="8100" w:type="dxa"/>
            <w:vAlign w:val="bottom"/>
          </w:tcPr>
          <w:p>
            <w:pPr>
              <w:ind w:left="140"/>
              <w:spacing w:after="0"/>
              <w:rPr>
                <w:sz w:val="20"/>
                <w:szCs w:val="20"/>
                <w:color w:val="auto"/>
              </w:rPr>
            </w:pPr>
            <w:r>
              <w:rPr>
                <w:rFonts w:ascii="Arial" w:cs="Arial" w:eastAsia="Arial" w:hAnsi="Arial"/>
                <w:sz w:val="16"/>
                <w:szCs w:val="16"/>
                <w:color w:val="auto"/>
              </w:rPr>
              <w:t>Black Hills Electric Generation, LLC, a direct, wholly-owned subsidiary of Black Hills Non-regulated Holdings,</w:t>
            </w:r>
          </w:p>
        </w:tc>
      </w:tr>
      <w:tr>
        <w:trPr>
          <w:trHeight w:val="215"/>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6"/>
                <w:szCs w:val="16"/>
                <w:color w:val="auto"/>
              </w:rPr>
              <w:t>providing wholesale electric capacity and energy primarily to our affiliate utilities.</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64"/>
        </w:trPr>
        <w:tc>
          <w:tcPr>
            <w:tcW w:w="31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Black Hills Energy</w:t>
            </w: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The name used to conduct the business of our Utilities</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Black Hills Energy Renewable Resources</w:t>
            </w:r>
          </w:p>
        </w:tc>
        <w:tc>
          <w:tcPr>
            <w:tcW w:w="8100" w:type="dxa"/>
            <w:vAlign w:val="bottom"/>
          </w:tcPr>
          <w:p>
            <w:pPr>
              <w:ind w:left="140"/>
              <w:spacing w:after="0"/>
              <w:rPr>
                <w:sz w:val="20"/>
                <w:szCs w:val="20"/>
                <w:color w:val="auto"/>
              </w:rPr>
            </w:pPr>
            <w:r>
              <w:rPr>
                <w:rFonts w:ascii="Arial" w:cs="Arial" w:eastAsia="Arial" w:hAnsi="Arial"/>
                <w:sz w:val="16"/>
                <w:szCs w:val="16"/>
                <w:color w:val="auto"/>
              </w:rPr>
              <w:t>Black Hills Energy Renewable Resources, LLC, a direct, wholly-owned subsidiary of Black Hills Non-regulated</w:t>
            </w:r>
          </w:p>
        </w:tc>
      </w:tr>
      <w:tr>
        <w:trPr>
          <w:trHeight w:val="215"/>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(BHERR)</w:t>
            </w:r>
          </w:p>
        </w:tc>
        <w:tc>
          <w:tcPr>
            <w:tcW w:w="8100" w:type="dxa"/>
            <w:vAlign w:val="bottom"/>
          </w:tcPr>
          <w:p>
            <w:pPr>
              <w:ind w:left="140"/>
              <w:spacing w:after="0"/>
              <w:rPr>
                <w:sz w:val="20"/>
                <w:szCs w:val="20"/>
                <w:color w:val="auto"/>
              </w:rPr>
            </w:pPr>
            <w:r>
              <w:rPr>
                <w:rFonts w:ascii="Arial" w:cs="Arial" w:eastAsia="Arial" w:hAnsi="Arial"/>
                <w:sz w:val="16"/>
                <w:szCs w:val="16"/>
                <w:color w:val="auto"/>
              </w:rPr>
              <w:t>Holdings</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Black Hills Energy Services</w:t>
            </w:r>
          </w:p>
        </w:tc>
        <w:tc>
          <w:tcPr>
            <w:tcW w:w="8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Black Hills Energy Services Company, an indirect, wholly-owned subsidiary of Black Hills Utility Holdings,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providing natural gas commodity supply for the Choice Gas Programs (doing business as Black Hills Energy).</w:t>
            </w:r>
          </w:p>
        </w:tc>
      </w:tr>
      <w:tr>
        <w:trPr>
          <w:trHeight w:val="255"/>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Black Hills Non-regulated Holdings</w:t>
            </w:r>
          </w:p>
        </w:tc>
        <w:tc>
          <w:tcPr>
            <w:tcW w:w="8100" w:type="dxa"/>
            <w:vAlign w:val="bottom"/>
          </w:tcPr>
          <w:p>
            <w:pPr>
              <w:ind w:left="140"/>
              <w:spacing w:after="0"/>
              <w:rPr>
                <w:sz w:val="20"/>
                <w:szCs w:val="20"/>
                <w:color w:val="auto"/>
              </w:rPr>
            </w:pPr>
            <w:r>
              <w:rPr>
                <w:rFonts w:ascii="Arial" w:cs="Arial" w:eastAsia="Arial" w:hAnsi="Arial"/>
                <w:sz w:val="16"/>
                <w:szCs w:val="16"/>
                <w:color w:val="auto"/>
              </w:rPr>
              <w:t>Black Hills Non-regulated Holdings, LLC, a direct, wholly-owned subsidiary of Black Hills Corporation</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Black Hills Power</w:t>
            </w:r>
          </w:p>
        </w:tc>
        <w:tc>
          <w:tcPr>
            <w:tcW w:w="8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Black Hills Power, Inc., a direct, wholly-owned subsidiary of Black Hills Corporation (doing business as Black</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780" w:type="dxa"/>
            <w:vAlign w:val="bottom"/>
            <w:tcBorders>
              <w:bottom w:val="single" w:sz="8" w:color="CFF0FC"/>
            </w:tcBorders>
            <w:shd w:val="clear" w:color="auto" w:fill="CFF0FC"/>
          </w:tcPr>
          <w:p>
            <w:pPr>
              <w:spacing w:after="0"/>
              <w:rPr>
                <w:sz w:val="19"/>
                <w:szCs w:val="19"/>
                <w:color w:val="auto"/>
              </w:rPr>
            </w:pPr>
          </w:p>
        </w:tc>
        <w:tc>
          <w:tcPr>
            <w:tcW w:w="81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Hills Energy). Also known as South Dakota Electric.</w:t>
            </w:r>
          </w:p>
        </w:tc>
      </w:tr>
      <w:tr>
        <w:trPr>
          <w:trHeight w:val="229"/>
        </w:trPr>
        <w:tc>
          <w:tcPr>
            <w:tcW w:w="3140" w:type="dxa"/>
            <w:vAlign w:val="bottom"/>
            <w:gridSpan w:val="2"/>
          </w:tcPr>
          <w:p>
            <w:pPr>
              <w:ind w:left="20"/>
              <w:spacing w:after="0"/>
              <w:rPr>
                <w:sz w:val="20"/>
                <w:szCs w:val="20"/>
                <w:color w:val="auto"/>
              </w:rPr>
            </w:pPr>
            <w:r>
              <w:rPr>
                <w:rFonts w:ascii="Arial" w:cs="Arial" w:eastAsia="Arial" w:hAnsi="Arial"/>
                <w:sz w:val="16"/>
                <w:szCs w:val="16"/>
                <w:color w:val="auto"/>
              </w:rPr>
              <w:t>Black Hills Utility Holdings</w:t>
            </w:r>
          </w:p>
        </w:tc>
        <w:tc>
          <w:tcPr>
            <w:tcW w:w="8100" w:type="dxa"/>
            <w:vAlign w:val="bottom"/>
          </w:tcPr>
          <w:p>
            <w:pPr>
              <w:ind w:left="140"/>
              <w:spacing w:after="0"/>
              <w:rPr>
                <w:sz w:val="20"/>
                <w:szCs w:val="20"/>
                <w:color w:val="auto"/>
              </w:rPr>
            </w:pPr>
            <w:r>
              <w:rPr>
                <w:rFonts w:ascii="Arial" w:cs="Arial" w:eastAsia="Arial" w:hAnsi="Arial"/>
                <w:sz w:val="16"/>
                <w:szCs w:val="16"/>
                <w:color w:val="auto"/>
              </w:rPr>
              <w:t>Black Hills Utility Holdings, Inc., a direct, wholly-owned subsidiary of Black Hills Corporation (doing business</w:t>
            </w:r>
          </w:p>
        </w:tc>
      </w:tr>
      <w:tr>
        <w:trPr>
          <w:trHeight w:val="215"/>
        </w:trPr>
        <w:tc>
          <w:tcPr>
            <w:tcW w:w="1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100" w:type="dxa"/>
            <w:vAlign w:val="bottom"/>
          </w:tcPr>
          <w:p>
            <w:pPr>
              <w:ind w:left="140"/>
              <w:spacing w:after="0"/>
              <w:rPr>
                <w:sz w:val="20"/>
                <w:szCs w:val="20"/>
                <w:color w:val="auto"/>
              </w:rPr>
            </w:pPr>
            <w:r>
              <w:rPr>
                <w:rFonts w:ascii="Arial" w:cs="Arial" w:eastAsia="Arial" w:hAnsi="Arial"/>
                <w:sz w:val="16"/>
                <w:szCs w:val="16"/>
                <w:color w:val="auto"/>
              </w:rPr>
              <w:t>as Black Hills Energy)</w:t>
            </w:r>
          </w:p>
        </w:tc>
      </w:tr>
      <w:tr>
        <w:trPr>
          <w:trHeight w:val="29"/>
        </w:trPr>
        <w:tc>
          <w:tcPr>
            <w:tcW w:w="13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5"/>
        </w:trPr>
        <w:tc>
          <w:tcPr>
            <w:tcW w:w="31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Black Hills Wyoming</w:t>
            </w:r>
          </w:p>
        </w:tc>
        <w:tc>
          <w:tcPr>
            <w:tcW w:w="81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Black Hills Wyoming, LLC, a direct, wholly-owned subsidiary of Black Hills Electric Generation</w:t>
            </w:r>
          </w:p>
        </w:tc>
      </w:tr>
      <w:tr>
        <w:trPr>
          <w:trHeight w:val="29"/>
        </w:trPr>
        <w:tc>
          <w:tcPr>
            <w:tcW w:w="136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8100" w:type="dxa"/>
            <w:vAlign w:val="bottom"/>
            <w:shd w:val="clear" w:color="auto" w:fill="CFF0FC"/>
          </w:tcPr>
          <w:p>
            <w:pPr>
              <w:spacing w:after="0"/>
              <w:rPr>
                <w:sz w:val="2"/>
                <w:szCs w:val="2"/>
                <w:color w:val="auto"/>
              </w:rPr>
            </w:pPr>
          </w:p>
        </w:tc>
      </w:tr>
    </w:tbl>
    <w:p>
      <w:pPr>
        <w:spacing w:after="0" w:line="40" w:lineRule="exact"/>
        <w:rPr>
          <w:sz w:val="20"/>
          <w:szCs w:val="20"/>
          <w:color w:val="auto"/>
        </w:rPr>
      </w:pPr>
    </w:p>
    <w:p>
      <w:pPr>
        <w:ind w:left="3280" w:right="20" w:hanging="3266"/>
        <w:spacing w:after="0" w:line="254" w:lineRule="auto"/>
        <w:rPr>
          <w:sz w:val="20"/>
          <w:szCs w:val="20"/>
          <w:color w:val="auto"/>
        </w:rPr>
      </w:pPr>
      <w:r>
        <w:rPr>
          <w:rFonts w:ascii="Arial" w:cs="Arial" w:eastAsia="Arial" w:hAnsi="Arial"/>
          <w:sz w:val="16"/>
          <w:szCs w:val="16"/>
          <w:color w:val="auto"/>
        </w:rPr>
        <w:t>Blockchain Interruptible Service (BCIS) Tariff A WPSC-approved tariff applicable to prospective new Wyoming Electric blockchain customers. The tariff allows customers to negotiate rates and terms and conditions for interruptible electric utility service of 10 MW or greater that would be interconnected with Wyoming Electric’s system. Agreements under the BCIS tariff must be filed with the WPSC prior to the first customer billing, be at least 2 years in duration and include specific pricing for all electricity purchased (with pricing terms subject to renegotiation every three years). BCIS customers shall not participate in the PCA to the extent of service received under the tariff.</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Btu</w:t>
            </w:r>
          </w:p>
        </w:tc>
        <w:tc>
          <w:tcPr>
            <w:tcW w:w="9040" w:type="dxa"/>
            <w:vAlign w:val="bottom"/>
            <w:tcBorders>
              <w:bottom w:val="single" w:sz="8" w:color="CFF0FC"/>
            </w:tcBorders>
            <w:shd w:val="clear" w:color="auto" w:fill="CFF0FC"/>
          </w:tcPr>
          <w:p>
            <w:pPr>
              <w:ind w:left="1080"/>
              <w:spacing w:after="0"/>
              <w:rPr>
                <w:sz w:val="20"/>
                <w:szCs w:val="20"/>
                <w:color w:val="auto"/>
              </w:rPr>
            </w:pPr>
            <w:r>
              <w:rPr>
                <w:rFonts w:ascii="Arial" w:cs="Arial" w:eastAsia="Arial" w:hAnsi="Arial"/>
                <w:sz w:val="16"/>
                <w:szCs w:val="16"/>
                <w:color w:val="auto"/>
              </w:rPr>
              <w:t>British thermal unit</w:t>
            </w:r>
          </w:p>
        </w:tc>
      </w:tr>
      <w:tr>
        <w:trPr>
          <w:trHeight w:val="229"/>
        </w:trPr>
        <w:tc>
          <w:tcPr>
            <w:tcW w:w="2200" w:type="dxa"/>
            <w:vAlign w:val="bottom"/>
          </w:tcPr>
          <w:p>
            <w:pPr>
              <w:ind w:left="20"/>
              <w:spacing w:after="0"/>
              <w:rPr>
                <w:sz w:val="20"/>
                <w:szCs w:val="20"/>
                <w:color w:val="auto"/>
              </w:rPr>
            </w:pPr>
            <w:r>
              <w:rPr>
                <w:rFonts w:ascii="Arial" w:cs="Arial" w:eastAsia="Arial" w:hAnsi="Arial"/>
                <w:sz w:val="16"/>
                <w:szCs w:val="16"/>
                <w:color w:val="auto"/>
              </w:rPr>
              <w:t>Busch Ranch I</w:t>
            </w:r>
          </w:p>
        </w:tc>
        <w:tc>
          <w:tcPr>
            <w:tcW w:w="9040" w:type="dxa"/>
            <w:vAlign w:val="bottom"/>
          </w:tcPr>
          <w:p>
            <w:pPr>
              <w:ind w:left="1080"/>
              <w:spacing w:after="0"/>
              <w:rPr>
                <w:sz w:val="20"/>
                <w:szCs w:val="20"/>
                <w:color w:val="auto"/>
              </w:rPr>
            </w:pPr>
            <w:r>
              <w:rPr>
                <w:rFonts w:ascii="Arial" w:cs="Arial" w:eastAsia="Arial" w:hAnsi="Arial"/>
                <w:sz w:val="16"/>
                <w:szCs w:val="16"/>
                <w:color w:val="auto"/>
              </w:rPr>
              <w:t>The 29 MW wind farm near Pueblo, Colorado, jointly owned by Colorado Electric and Black Hills Electric</w:t>
            </w:r>
          </w:p>
        </w:tc>
      </w:tr>
      <w:tr>
        <w:trPr>
          <w:trHeight w:val="189"/>
        </w:trPr>
        <w:tc>
          <w:tcPr>
            <w:tcW w:w="2200" w:type="dxa"/>
            <w:vAlign w:val="bottom"/>
          </w:tcPr>
          <w:p>
            <w:pPr>
              <w:spacing w:after="0"/>
              <w:rPr>
                <w:sz w:val="16"/>
                <w:szCs w:val="16"/>
                <w:color w:val="auto"/>
              </w:rPr>
            </w:pPr>
          </w:p>
        </w:tc>
        <w:tc>
          <w:tcPr>
            <w:tcW w:w="9040" w:type="dxa"/>
            <w:vAlign w:val="bottom"/>
          </w:tcPr>
          <w:p>
            <w:pPr>
              <w:ind w:left="1080"/>
              <w:spacing w:after="0"/>
              <w:rPr>
                <w:sz w:val="20"/>
                <w:szCs w:val="20"/>
                <w:color w:val="auto"/>
              </w:rPr>
            </w:pPr>
            <w:r>
              <w:rPr>
                <w:rFonts w:ascii="Arial" w:cs="Arial" w:eastAsia="Arial" w:hAnsi="Arial"/>
                <w:sz w:val="16"/>
                <w:szCs w:val="16"/>
                <w:color w:val="auto"/>
              </w:rPr>
              <w:t>Generation. Colorado Electric and Black Hills Electric Generation each have a 50% ownership interest in the</w:t>
            </w:r>
          </w:p>
        </w:tc>
      </w:tr>
      <w:tr>
        <w:trPr>
          <w:trHeight w:val="189"/>
        </w:trPr>
        <w:tc>
          <w:tcPr>
            <w:tcW w:w="2200" w:type="dxa"/>
            <w:vAlign w:val="bottom"/>
          </w:tcPr>
          <w:p>
            <w:pPr>
              <w:spacing w:after="0"/>
              <w:rPr>
                <w:sz w:val="16"/>
                <w:szCs w:val="16"/>
                <w:color w:val="auto"/>
              </w:rPr>
            </w:pPr>
          </w:p>
        </w:tc>
        <w:tc>
          <w:tcPr>
            <w:tcW w:w="9040" w:type="dxa"/>
            <w:vAlign w:val="bottom"/>
          </w:tcPr>
          <w:p>
            <w:pPr>
              <w:ind w:left="1080"/>
              <w:spacing w:after="0"/>
              <w:rPr>
                <w:sz w:val="20"/>
                <w:szCs w:val="20"/>
                <w:color w:val="auto"/>
              </w:rPr>
            </w:pPr>
            <w:r>
              <w:rPr>
                <w:rFonts w:ascii="Arial" w:cs="Arial" w:eastAsia="Arial" w:hAnsi="Arial"/>
                <w:sz w:val="16"/>
                <w:szCs w:val="16"/>
                <w:color w:val="auto"/>
              </w:rPr>
              <w:t>wind farm. Black Hills Electric Generation provides its share of energy from the wind farm to Colorado Electric</w:t>
            </w:r>
          </w:p>
        </w:tc>
      </w:tr>
      <w:tr>
        <w:trPr>
          <w:trHeight w:val="215"/>
        </w:trPr>
        <w:tc>
          <w:tcPr>
            <w:tcW w:w="2200" w:type="dxa"/>
            <w:vAlign w:val="bottom"/>
          </w:tcPr>
          <w:p>
            <w:pPr>
              <w:spacing w:after="0"/>
              <w:rPr>
                <w:sz w:val="18"/>
                <w:szCs w:val="18"/>
                <w:color w:val="auto"/>
              </w:rPr>
            </w:pPr>
          </w:p>
        </w:tc>
        <w:tc>
          <w:tcPr>
            <w:tcW w:w="9040" w:type="dxa"/>
            <w:vAlign w:val="bottom"/>
          </w:tcPr>
          <w:p>
            <w:pPr>
              <w:ind w:left="1080"/>
              <w:spacing w:after="0"/>
              <w:rPr>
                <w:sz w:val="20"/>
                <w:szCs w:val="20"/>
                <w:color w:val="auto"/>
              </w:rPr>
            </w:pPr>
            <w:r>
              <w:rPr>
                <w:rFonts w:ascii="Arial" w:cs="Arial" w:eastAsia="Arial" w:hAnsi="Arial"/>
                <w:sz w:val="16"/>
                <w:szCs w:val="16"/>
                <w:color w:val="auto"/>
              </w:rPr>
              <w:t>through a PPA, which expires in October 2037.</w:t>
            </w:r>
          </w:p>
        </w:tc>
      </w:tr>
      <w:tr>
        <w:trPr>
          <w:trHeight w:val="29"/>
        </w:trPr>
        <w:tc>
          <w:tcPr>
            <w:tcW w:w="2200" w:type="dxa"/>
            <w:vAlign w:val="bottom"/>
          </w:tcPr>
          <w:p>
            <w:pPr>
              <w:spacing w:after="0"/>
              <w:rPr>
                <w:sz w:val="2"/>
                <w:szCs w:val="2"/>
                <w:color w:val="auto"/>
              </w:rPr>
            </w:pPr>
          </w:p>
        </w:tc>
        <w:tc>
          <w:tcPr>
            <w:tcW w:w="9040" w:type="dxa"/>
            <w:vAlign w:val="bottom"/>
          </w:tcPr>
          <w:p>
            <w:pPr>
              <w:spacing w:after="0"/>
              <w:rPr>
                <w:sz w:val="2"/>
                <w:szCs w:val="2"/>
                <w:color w:val="auto"/>
              </w:rPr>
            </w:pPr>
          </w:p>
        </w:tc>
      </w:tr>
      <w:tr>
        <w:trPr>
          <w:trHeight w:val="229"/>
        </w:trPr>
        <w:tc>
          <w:tcPr>
            <w:tcW w:w="2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Busch Ranch II</w:t>
            </w:r>
          </w:p>
        </w:tc>
        <w:tc>
          <w:tcPr>
            <w:tcW w:w="9040" w:type="dxa"/>
            <w:vAlign w:val="bottom"/>
            <w:shd w:val="clear" w:color="auto" w:fill="CFF0FC"/>
          </w:tcPr>
          <w:p>
            <w:pPr>
              <w:ind w:left="1080"/>
              <w:spacing w:after="0"/>
              <w:rPr>
                <w:sz w:val="20"/>
                <w:szCs w:val="20"/>
                <w:color w:val="auto"/>
              </w:rPr>
            </w:pPr>
            <w:r>
              <w:rPr>
                <w:rFonts w:ascii="Arial" w:cs="Arial" w:eastAsia="Arial" w:hAnsi="Arial"/>
                <w:sz w:val="16"/>
                <w:szCs w:val="16"/>
                <w:color w:val="auto"/>
              </w:rPr>
              <w:t>The 59.4 MW wind farm near Pueblo, Colorado owned by Black Hills Electric Generation to provide wind</w:t>
            </w:r>
          </w:p>
        </w:tc>
      </w:tr>
      <w:tr>
        <w:trPr>
          <w:trHeight w:val="224"/>
        </w:trPr>
        <w:tc>
          <w:tcPr>
            <w:tcW w:w="2200" w:type="dxa"/>
            <w:vAlign w:val="bottom"/>
            <w:tcBorders>
              <w:bottom w:val="single" w:sz="8" w:color="CFF0FC"/>
            </w:tcBorders>
            <w:shd w:val="clear" w:color="auto" w:fill="CFF0FC"/>
          </w:tcPr>
          <w:p>
            <w:pPr>
              <w:spacing w:after="0"/>
              <w:rPr>
                <w:sz w:val="19"/>
                <w:szCs w:val="19"/>
                <w:color w:val="auto"/>
              </w:rPr>
            </w:pPr>
          </w:p>
        </w:tc>
        <w:tc>
          <w:tcPr>
            <w:tcW w:w="9040" w:type="dxa"/>
            <w:vAlign w:val="bottom"/>
            <w:tcBorders>
              <w:bottom w:val="single" w:sz="8" w:color="CFF0FC"/>
            </w:tcBorders>
            <w:shd w:val="clear" w:color="auto" w:fill="CFF0FC"/>
          </w:tcPr>
          <w:p>
            <w:pPr>
              <w:ind w:left="1080"/>
              <w:spacing w:after="0"/>
              <w:rPr>
                <w:sz w:val="20"/>
                <w:szCs w:val="20"/>
                <w:color w:val="auto"/>
              </w:rPr>
            </w:pPr>
            <w:r>
              <w:rPr>
                <w:rFonts w:ascii="Arial" w:cs="Arial" w:eastAsia="Arial" w:hAnsi="Arial"/>
                <w:sz w:val="16"/>
                <w:szCs w:val="16"/>
                <w:color w:val="auto"/>
              </w:rPr>
              <w:t>energy to Colorado Electric through a PPA expiring in November 2044.</w:t>
            </w:r>
          </w:p>
        </w:tc>
      </w:tr>
      <w:tr>
        <w:trPr>
          <w:trHeight w:val="215"/>
        </w:trPr>
        <w:tc>
          <w:tcPr>
            <w:tcW w:w="2200" w:type="dxa"/>
            <w:vAlign w:val="bottom"/>
          </w:tcPr>
          <w:p>
            <w:pPr>
              <w:spacing w:after="0"/>
              <w:rPr>
                <w:sz w:val="18"/>
                <w:szCs w:val="18"/>
                <w:color w:val="auto"/>
              </w:rPr>
            </w:pPr>
          </w:p>
        </w:tc>
        <w:tc>
          <w:tcPr>
            <w:tcW w:w="9040" w:type="dxa"/>
            <w:vAlign w:val="bottom"/>
          </w:tcPr>
          <w:p>
            <w:pPr>
              <w:ind w:left="3380"/>
              <w:spacing w:after="0"/>
              <w:rPr>
                <w:sz w:val="20"/>
                <w:szCs w:val="20"/>
                <w:color w:val="auto"/>
              </w:rPr>
            </w:pPr>
            <w:r>
              <w:rPr>
                <w:rFonts w:ascii="Arial" w:cs="Arial" w:eastAsia="Arial" w:hAnsi="Arial"/>
                <w:sz w:val="16"/>
                <w:szCs w:val="16"/>
                <w:color w:val="auto"/>
              </w:rPr>
              <w:t>4</w:t>
            </w:r>
          </w:p>
        </w:tc>
      </w:tr>
      <w:tr>
        <w:trPr>
          <w:trHeight w:val="737"/>
        </w:trPr>
        <w:tc>
          <w:tcPr>
            <w:tcW w:w="2200" w:type="dxa"/>
            <w:vAlign w:val="bottom"/>
            <w:tcBorders>
              <w:bottom w:val="single" w:sz="8" w:color="9A9A9A"/>
            </w:tcBorders>
          </w:tcPr>
          <w:p>
            <w:pPr>
              <w:spacing w:after="0"/>
              <w:rPr>
                <w:sz w:val="24"/>
                <w:szCs w:val="24"/>
                <w:color w:val="auto"/>
              </w:rPr>
            </w:pPr>
          </w:p>
        </w:tc>
        <w:tc>
          <w:tcPr>
            <w:tcW w:w="9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31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12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r>
      <w:tr>
        <w:trPr>
          <w:trHeight w:val="236"/>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CACJA Adjustment</w:t>
            </w:r>
          </w:p>
        </w:tc>
        <w:tc>
          <w:tcPr>
            <w:tcW w:w="8120" w:type="dxa"/>
            <w:vAlign w:val="bottom"/>
          </w:tcPr>
          <w:p>
            <w:pPr>
              <w:ind w:left="160"/>
              <w:spacing w:after="0"/>
              <w:rPr>
                <w:sz w:val="20"/>
                <w:szCs w:val="20"/>
                <w:color w:val="auto"/>
              </w:rPr>
            </w:pPr>
            <w:r>
              <w:rPr>
                <w:rFonts w:ascii="Arial" w:cs="Arial" w:eastAsia="Arial" w:hAnsi="Arial"/>
                <w:sz w:val="16"/>
                <w:szCs w:val="16"/>
                <w:color w:val="auto"/>
              </w:rPr>
              <w:t>Clean Air Clean Jobs Act Adjustment is an adjustment mechanism that allows Colorado Electric to collect from</w:t>
            </w:r>
          </w:p>
        </w:tc>
      </w:tr>
      <w:tr>
        <w:trPr>
          <w:trHeight w:val="215"/>
        </w:trPr>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customers the capital costs related to Pueblo Airport Generation CT #6.</w:t>
            </w:r>
          </w:p>
        </w:tc>
      </w:tr>
      <w:tr>
        <w:trPr>
          <w:trHeight w:val="29"/>
        </w:trPr>
        <w:tc>
          <w:tcPr>
            <w:tcW w:w="1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63"/>
        </w:trPr>
        <w:tc>
          <w:tcPr>
            <w:tcW w:w="3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CFTC</w:t>
            </w:r>
          </w:p>
        </w:tc>
        <w:tc>
          <w:tcPr>
            <w:tcW w:w="8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United States Commodity Futures Trading Commission</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Cheyenne Light</w:t>
            </w:r>
          </w:p>
        </w:tc>
        <w:tc>
          <w:tcPr>
            <w:tcW w:w="8120" w:type="dxa"/>
            <w:vAlign w:val="bottom"/>
          </w:tcPr>
          <w:p>
            <w:pPr>
              <w:ind w:left="16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providing electric service in the Cheyenne, Wyoming area (doing business as Black Hills Energy). Also known</w:t>
            </w:r>
          </w:p>
        </w:tc>
      </w:tr>
      <w:tr>
        <w:trPr>
          <w:trHeight w:val="215"/>
        </w:trPr>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as Wyoming Electric.</w:t>
            </w:r>
          </w:p>
        </w:tc>
      </w:tr>
      <w:tr>
        <w:trPr>
          <w:trHeight w:val="29"/>
        </w:trPr>
        <w:tc>
          <w:tcPr>
            <w:tcW w:w="1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29"/>
        </w:trPr>
        <w:tc>
          <w:tcPr>
            <w:tcW w:w="3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Cheyenne Prairie</w:t>
            </w: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Cheyenne Prairie Generating Station located in Cheyenne, Wyoming serves the utility customers of South</w:t>
            </w:r>
          </w:p>
        </w:tc>
      </w:tr>
      <w:tr>
        <w:trPr>
          <w:trHeight w:val="189"/>
        </w:trPr>
        <w:tc>
          <w:tcPr>
            <w:tcW w:w="1380" w:type="dxa"/>
            <w:vAlign w:val="bottom"/>
            <w:tcBorders>
              <w:right w:val="single" w:sz="8" w:color="CFF0FC"/>
            </w:tcBorders>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Dakota Electric and Wyoming Electric. The facility includes one simple-cycle, 40 MW combustion turbine that</w:t>
            </w:r>
          </w:p>
        </w:tc>
      </w:tr>
      <w:tr>
        <w:trPr>
          <w:trHeight w:val="189"/>
        </w:trPr>
        <w:tc>
          <w:tcPr>
            <w:tcW w:w="1380" w:type="dxa"/>
            <w:vAlign w:val="bottom"/>
            <w:tcBorders>
              <w:right w:val="single" w:sz="8" w:color="CFF0FC"/>
            </w:tcBorders>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is wholly-owned by Wyoming Electric and one combined-cycle, 100 MW unit that is jointly-owned by Wyoming</w:t>
            </w:r>
          </w:p>
        </w:tc>
      </w:tr>
      <w:tr>
        <w:trPr>
          <w:trHeight w:val="224"/>
        </w:trPr>
        <w:tc>
          <w:tcPr>
            <w:tcW w:w="1380" w:type="dxa"/>
            <w:vAlign w:val="bottom"/>
            <w:tcBorders>
              <w:bottom w:val="single" w:sz="8" w:color="CFF0FC"/>
              <w:right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8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Electric (42 MW) and South Dakota Electric (58 MW).</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Choice Gas Program</w:t>
            </w:r>
          </w:p>
        </w:tc>
        <w:tc>
          <w:tcPr>
            <w:tcW w:w="8120" w:type="dxa"/>
            <w:vAlign w:val="bottom"/>
          </w:tcPr>
          <w:p>
            <w:pPr>
              <w:ind w:left="160"/>
              <w:spacing w:after="0"/>
              <w:rPr>
                <w:sz w:val="20"/>
                <w:szCs w:val="20"/>
                <w:color w:val="auto"/>
              </w:rPr>
            </w:pPr>
            <w:r>
              <w:rPr>
                <w:rFonts w:ascii="Arial" w:cs="Arial" w:eastAsia="Arial" w:hAnsi="Arial"/>
                <w:sz w:val="16"/>
                <w:szCs w:val="16"/>
                <w:color w:val="auto"/>
              </w:rPr>
              <w:t>Regulator-approved programs in Wyoming and Nebraska that allow certain utility customers to select their</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natural gas commodity supplier, providing the unbundling of the commodity service from the distribution</w:t>
            </w:r>
          </w:p>
        </w:tc>
      </w:tr>
      <w:tr>
        <w:trPr>
          <w:trHeight w:val="215"/>
        </w:trPr>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delivery service.</w:t>
            </w:r>
          </w:p>
        </w:tc>
      </w:tr>
      <w:tr>
        <w:trPr>
          <w:trHeight w:val="29"/>
        </w:trPr>
        <w:tc>
          <w:tcPr>
            <w:tcW w:w="1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63"/>
        </w:trPr>
        <w:tc>
          <w:tcPr>
            <w:tcW w:w="3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City of Gillette</w:t>
            </w:r>
          </w:p>
        </w:tc>
        <w:tc>
          <w:tcPr>
            <w:tcW w:w="8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Gillette, Wyoming</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Clean Energy Plan</w:t>
            </w:r>
          </w:p>
        </w:tc>
        <w:tc>
          <w:tcPr>
            <w:tcW w:w="8120" w:type="dxa"/>
            <w:vAlign w:val="bottom"/>
          </w:tcPr>
          <w:p>
            <w:pPr>
              <w:ind w:left="160"/>
              <w:spacing w:after="0"/>
              <w:rPr>
                <w:sz w:val="20"/>
                <w:szCs w:val="20"/>
                <w:color w:val="auto"/>
              </w:rPr>
            </w:pPr>
            <w:r>
              <w:rPr>
                <w:rFonts w:ascii="Arial" w:cs="Arial" w:eastAsia="Arial" w:hAnsi="Arial"/>
                <w:sz w:val="16"/>
                <w:szCs w:val="16"/>
                <w:color w:val="auto"/>
              </w:rPr>
              <w:t>2030 Ready Plan that establishes a roadmap and preferred resource portfolio for Colorado Electric to cost-</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effectively achieve the State of Colorado’s requirement calling upon electric utilities to reduce GHG emissions</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by a minimum of 80% from 2005 levels by 2030. Based on initial modeling, the preferred resource portfolio</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proposes the addition of approximately 400 MW of clean energy resources (100 MW of wind, 200-250 MW of</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solar and 50 MW of battery storage) to Colorado Electric's system. The final mix of resources will be</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determined by the results of a competitive solicitation that was issued in July 2023. Colorado legislation allows</w:t>
            </w:r>
          </w:p>
        </w:tc>
      </w:tr>
      <w:tr>
        <w:trPr>
          <w:trHeight w:val="189"/>
        </w:trPr>
        <w:tc>
          <w:tcPr>
            <w:tcW w:w="13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electric utilities to own up to 50% of the renewable generation assets added to comply with the Clean Energy</w:t>
            </w:r>
          </w:p>
        </w:tc>
      </w:tr>
      <w:tr>
        <w:trPr>
          <w:trHeight w:val="215"/>
        </w:trPr>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Plan.</w:t>
            </w:r>
          </w:p>
        </w:tc>
      </w:tr>
      <w:tr>
        <w:trPr>
          <w:trHeight w:val="29"/>
        </w:trPr>
        <w:tc>
          <w:tcPr>
            <w:tcW w:w="1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63"/>
        </w:trPr>
        <w:tc>
          <w:tcPr>
            <w:tcW w:w="3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CO</w:t>
            </w:r>
            <w:r>
              <w:rPr>
                <w:rFonts w:ascii="Arial" w:cs="Arial" w:eastAsia="Arial" w:hAnsi="Arial"/>
                <w:sz w:val="10"/>
                <w:szCs w:val="10"/>
                <w:color w:val="auto"/>
              </w:rPr>
              <w:t>2</w:t>
            </w:r>
          </w:p>
        </w:tc>
        <w:tc>
          <w:tcPr>
            <w:tcW w:w="8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Carbon dioxide</w:t>
            </w:r>
          </w:p>
        </w:tc>
      </w:tr>
      <w:tr>
        <w:trPr>
          <w:trHeight w:val="254"/>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Chief Operating Decision Maker (CODM)</w:t>
            </w:r>
          </w:p>
        </w:tc>
        <w:tc>
          <w:tcPr>
            <w:tcW w:w="8120" w:type="dxa"/>
            <w:vAlign w:val="bottom"/>
          </w:tcPr>
          <w:p>
            <w:pPr>
              <w:ind w:left="160"/>
              <w:spacing w:after="0"/>
              <w:rPr>
                <w:sz w:val="20"/>
                <w:szCs w:val="20"/>
                <w:color w:val="auto"/>
              </w:rPr>
            </w:pPr>
            <w:r>
              <w:rPr>
                <w:rFonts w:ascii="Arial" w:cs="Arial" w:eastAsia="Arial" w:hAnsi="Arial"/>
                <w:sz w:val="16"/>
                <w:szCs w:val="16"/>
                <w:color w:val="auto"/>
              </w:rPr>
              <w:t>Chief Executive Officer</w:t>
            </w:r>
          </w:p>
        </w:tc>
      </w:tr>
      <w:tr>
        <w:trPr>
          <w:trHeight w:val="29"/>
        </w:trPr>
        <w:tc>
          <w:tcPr>
            <w:tcW w:w="1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29"/>
        </w:trPr>
        <w:tc>
          <w:tcPr>
            <w:tcW w:w="3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Black Hills Colorado Electric, LLC, a direct, wholly-owned subsidiary of Black Hills Electric Parent Holdings,</w:t>
            </w:r>
          </w:p>
        </w:tc>
      </w:tr>
      <w:tr>
        <w:trPr>
          <w:trHeight w:val="224"/>
        </w:trPr>
        <w:tc>
          <w:tcPr>
            <w:tcW w:w="1380" w:type="dxa"/>
            <w:vAlign w:val="bottom"/>
            <w:tcBorders>
              <w:bottom w:val="single" w:sz="8" w:color="CFF0FC"/>
              <w:right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81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6"/>
                <w:szCs w:val="16"/>
                <w:color w:val="auto"/>
              </w:rPr>
              <w:t>providing electric service to customers in Colorado (doing business as Black Hills Energy).</w:t>
            </w: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8120" w:type="dxa"/>
            <w:vAlign w:val="bottom"/>
          </w:tcPr>
          <w:p>
            <w:pPr>
              <w:ind w:left="160"/>
              <w:spacing w:after="0"/>
              <w:rPr>
                <w:sz w:val="20"/>
                <w:szCs w:val="20"/>
                <w:color w:val="auto"/>
              </w:rPr>
            </w:pPr>
            <w:r>
              <w:rPr>
                <w:rFonts w:ascii="Arial" w:cs="Arial" w:eastAsia="Arial" w:hAnsi="Arial"/>
                <w:sz w:val="16"/>
                <w:szCs w:val="16"/>
                <w:color w:val="auto"/>
              </w:rPr>
              <w:t>Black Hills Colorado Gas, Inc., an indirect, wholly-owned subsidiary of Black Hills Utility Holdings, providing</w:t>
            </w:r>
          </w:p>
        </w:tc>
      </w:tr>
      <w:tr>
        <w:trPr>
          <w:trHeight w:val="215"/>
        </w:trPr>
        <w:tc>
          <w:tcPr>
            <w:tcW w:w="1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6"/>
                <w:szCs w:val="16"/>
                <w:color w:val="auto"/>
              </w:rPr>
              <w:t>natural gas services to customers in Colorado (doing business as Black Hills Energy).</w:t>
            </w:r>
          </w:p>
        </w:tc>
      </w:tr>
      <w:tr>
        <w:trPr>
          <w:trHeight w:val="29"/>
        </w:trPr>
        <w:tc>
          <w:tcPr>
            <w:tcW w:w="13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120" w:type="dxa"/>
            <w:vAlign w:val="bottom"/>
          </w:tcPr>
          <w:p>
            <w:pPr>
              <w:spacing w:after="0"/>
              <w:rPr>
                <w:sz w:val="2"/>
                <w:szCs w:val="2"/>
                <w:color w:val="auto"/>
              </w:rPr>
            </w:pPr>
          </w:p>
        </w:tc>
      </w:tr>
      <w:tr>
        <w:trPr>
          <w:trHeight w:val="229"/>
        </w:trPr>
        <w:tc>
          <w:tcPr>
            <w:tcW w:w="31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Use System</w:t>
            </w: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The Common Use System is a jointly operated transmission system we participate in with Basin Electric Power</w:t>
            </w:r>
          </w:p>
        </w:tc>
      </w:tr>
      <w:tr>
        <w:trPr>
          <w:trHeight w:val="189"/>
        </w:trPr>
        <w:tc>
          <w:tcPr>
            <w:tcW w:w="1380" w:type="dxa"/>
            <w:vAlign w:val="bottom"/>
            <w:tcBorders>
              <w:right w:val="single" w:sz="8" w:color="CFF0FC"/>
            </w:tcBorders>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Cooperative and Powder River Energy Corporation. The Common Use System provides transmission service</w:t>
            </w:r>
          </w:p>
        </w:tc>
      </w:tr>
      <w:tr>
        <w:trPr>
          <w:trHeight w:val="189"/>
        </w:trPr>
        <w:tc>
          <w:tcPr>
            <w:tcW w:w="1380" w:type="dxa"/>
            <w:vAlign w:val="bottom"/>
            <w:tcBorders>
              <w:right w:val="single" w:sz="8" w:color="CFF0FC"/>
            </w:tcBorders>
            <w:shd w:val="clear" w:color="auto" w:fill="CFF0FC"/>
          </w:tcPr>
          <w:p>
            <w:pPr>
              <w:spacing w:after="0"/>
              <w:rPr>
                <w:sz w:val="16"/>
                <w:szCs w:val="16"/>
                <w:color w:val="auto"/>
              </w:rPr>
            </w:pPr>
          </w:p>
        </w:tc>
        <w:tc>
          <w:tcPr>
            <w:tcW w:w="1740" w:type="dxa"/>
            <w:vAlign w:val="bottom"/>
            <w:shd w:val="clear" w:color="auto" w:fill="CFF0FC"/>
          </w:tcPr>
          <w:p>
            <w:pPr>
              <w:spacing w:after="0"/>
              <w:rPr>
                <w:sz w:val="16"/>
                <w:szCs w:val="16"/>
                <w:color w:val="auto"/>
              </w:rPr>
            </w:pP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over these utilities' combined 230-kilovolt (kV) and limited 69-kV transmission facilities within areas of</w:t>
            </w:r>
          </w:p>
        </w:tc>
      </w:tr>
      <w:tr>
        <w:trPr>
          <w:trHeight w:val="215"/>
        </w:trPr>
        <w:tc>
          <w:tcPr>
            <w:tcW w:w="1380" w:type="dxa"/>
            <w:vAlign w:val="bottom"/>
            <w:tcBorders>
              <w:right w:val="single" w:sz="8" w:color="CFF0FC"/>
            </w:tcBorders>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8120" w:type="dxa"/>
            <w:vAlign w:val="bottom"/>
            <w:shd w:val="clear" w:color="auto" w:fill="CFF0FC"/>
          </w:tcPr>
          <w:p>
            <w:pPr>
              <w:ind w:left="160"/>
              <w:spacing w:after="0"/>
              <w:rPr>
                <w:sz w:val="20"/>
                <w:szCs w:val="20"/>
                <w:color w:val="auto"/>
              </w:rPr>
            </w:pPr>
            <w:r>
              <w:rPr>
                <w:rFonts w:ascii="Arial" w:cs="Arial" w:eastAsia="Arial" w:hAnsi="Arial"/>
                <w:sz w:val="16"/>
                <w:szCs w:val="16"/>
                <w:color w:val="auto"/>
              </w:rPr>
              <w:t>southwestern South Dakota and northeastern Wyoming.</w:t>
            </w:r>
          </w:p>
        </w:tc>
      </w:tr>
      <w:tr>
        <w:trPr>
          <w:trHeight w:val="29"/>
        </w:trPr>
        <w:tc>
          <w:tcPr>
            <w:tcW w:w="1380" w:type="dxa"/>
            <w:vAlign w:val="bottom"/>
            <w:tcBorders>
              <w:right w:val="single" w:sz="8" w:color="CFF0FC"/>
            </w:tcBorders>
            <w:shd w:val="clear" w:color="auto" w:fill="CFF0FC"/>
          </w:tcPr>
          <w:p>
            <w:pPr>
              <w:spacing w:after="0"/>
              <w:rPr>
                <w:sz w:val="2"/>
                <w:szCs w:val="2"/>
                <w:color w:val="auto"/>
              </w:rPr>
            </w:pPr>
          </w:p>
        </w:tc>
        <w:tc>
          <w:tcPr>
            <w:tcW w:w="1740" w:type="dxa"/>
            <w:vAlign w:val="bottom"/>
            <w:shd w:val="clear" w:color="auto" w:fill="CFF0FC"/>
          </w:tcPr>
          <w:p>
            <w:pPr>
              <w:spacing w:after="0"/>
              <w:rPr>
                <w:sz w:val="2"/>
                <w:szCs w:val="2"/>
                <w:color w:val="auto"/>
              </w:rPr>
            </w:pPr>
          </w:p>
        </w:tc>
        <w:tc>
          <w:tcPr>
            <w:tcW w:w="8120" w:type="dxa"/>
            <w:vAlign w:val="bottom"/>
            <w:shd w:val="clear" w:color="auto" w:fill="CFF0FC"/>
          </w:tcPr>
          <w:p>
            <w:pPr>
              <w:spacing w:after="0"/>
              <w:rPr>
                <w:sz w:val="2"/>
                <w:szCs w:val="2"/>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Consolidated Indebtedness to Capitalization Any Indebtedness outstanding at such time, divided by capital at such time. Capital being consolidated net-</w:t>
      </w:r>
    </w:p>
    <w:p>
      <w:pPr>
        <w:spacing w:after="0" w:line="21" w:lineRule="exact"/>
        <w:rPr>
          <w:sz w:val="20"/>
          <w:szCs w:val="20"/>
          <w:color w:val="auto"/>
        </w:rPr>
      </w:pPr>
    </w:p>
    <w:p>
      <w:pPr>
        <w:ind w:left="3280" w:right="40" w:hanging="3259"/>
        <w:spacing w:after="0" w:line="265" w:lineRule="auto"/>
        <w:tabs>
          <w:tab w:leader="none" w:pos="3260" w:val="left"/>
        </w:tabs>
        <w:rPr>
          <w:sz w:val="20"/>
          <w:szCs w:val="20"/>
          <w:color w:val="auto"/>
        </w:rPr>
      </w:pPr>
      <w:r>
        <w:rPr>
          <w:rFonts w:ascii="Arial" w:cs="Arial" w:eastAsia="Arial" w:hAnsi="Arial"/>
          <w:sz w:val="16"/>
          <w:szCs w:val="16"/>
          <w:color w:val="auto"/>
        </w:rPr>
        <w:t>Ratio</w:t>
      </w:r>
      <w:r>
        <w:rPr>
          <w:sz w:val="20"/>
          <w:szCs w:val="20"/>
          <w:color w:val="auto"/>
        </w:rPr>
        <w:tab/>
      </w:r>
      <w:r>
        <w:rPr>
          <w:rFonts w:ascii="Arial" w:cs="Arial" w:eastAsia="Arial" w:hAnsi="Arial"/>
          <w:sz w:val="16"/>
          <w:szCs w:val="16"/>
          <w:color w:val="auto"/>
        </w:rPr>
        <w:t>worth (excluding non-controlling interest) plus consolidated indebtedness (including letters of credit and certain guarantees issued) as defined within the current Revolving Credit Facility.</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Cooling Degree Day</w:t>
            </w:r>
          </w:p>
        </w:tc>
        <w:tc>
          <w:tcPr>
            <w:tcW w:w="8860" w:type="dxa"/>
            <w:vAlign w:val="bottom"/>
            <w:shd w:val="clear" w:color="auto" w:fill="CFF0FC"/>
          </w:tcPr>
          <w:p>
            <w:pPr>
              <w:ind w:left="900"/>
              <w:spacing w:after="0"/>
              <w:rPr>
                <w:sz w:val="20"/>
                <w:szCs w:val="20"/>
                <w:color w:val="auto"/>
              </w:rPr>
            </w:pPr>
            <w:r>
              <w:rPr>
                <w:rFonts w:ascii="Arial" w:cs="Arial" w:eastAsia="Arial" w:hAnsi="Arial"/>
                <w:sz w:val="16"/>
                <w:szCs w:val="16"/>
                <w:color w:val="auto"/>
              </w:rPr>
              <w:t>A cooling degree day is equivalent to each degree that the average of the high and low temperature for a day</w:t>
            </w:r>
          </w:p>
        </w:tc>
      </w:tr>
      <w:tr>
        <w:trPr>
          <w:trHeight w:val="189"/>
        </w:trPr>
        <w:tc>
          <w:tcPr>
            <w:tcW w:w="2380" w:type="dxa"/>
            <w:vAlign w:val="bottom"/>
            <w:shd w:val="clear" w:color="auto" w:fill="CFF0FC"/>
          </w:tcPr>
          <w:p>
            <w:pPr>
              <w:spacing w:after="0"/>
              <w:rPr>
                <w:sz w:val="16"/>
                <w:szCs w:val="16"/>
                <w:color w:val="auto"/>
              </w:rPr>
            </w:pPr>
          </w:p>
        </w:tc>
        <w:tc>
          <w:tcPr>
            <w:tcW w:w="8860" w:type="dxa"/>
            <w:vAlign w:val="bottom"/>
            <w:shd w:val="clear" w:color="auto" w:fill="CFF0FC"/>
          </w:tcPr>
          <w:p>
            <w:pPr>
              <w:ind w:left="900"/>
              <w:spacing w:after="0"/>
              <w:rPr>
                <w:sz w:val="20"/>
                <w:szCs w:val="20"/>
                <w:color w:val="auto"/>
              </w:rPr>
            </w:pPr>
            <w:r>
              <w:rPr>
                <w:rFonts w:ascii="Arial" w:cs="Arial" w:eastAsia="Arial" w:hAnsi="Arial"/>
                <w:sz w:val="16"/>
                <w:szCs w:val="16"/>
                <w:color w:val="auto"/>
              </w:rPr>
              <w:t>is above 65 degrees. The warmer the climate, the greater the number of cooling degree days. Cooling degree</w:t>
            </w:r>
          </w:p>
        </w:tc>
      </w:tr>
      <w:tr>
        <w:trPr>
          <w:trHeight w:val="189"/>
        </w:trPr>
        <w:tc>
          <w:tcPr>
            <w:tcW w:w="2380" w:type="dxa"/>
            <w:vAlign w:val="bottom"/>
            <w:shd w:val="clear" w:color="auto" w:fill="CFF0FC"/>
          </w:tcPr>
          <w:p>
            <w:pPr>
              <w:spacing w:after="0"/>
              <w:rPr>
                <w:sz w:val="16"/>
                <w:szCs w:val="16"/>
                <w:color w:val="auto"/>
              </w:rPr>
            </w:pPr>
          </w:p>
        </w:tc>
        <w:tc>
          <w:tcPr>
            <w:tcW w:w="8860" w:type="dxa"/>
            <w:vAlign w:val="bottom"/>
            <w:shd w:val="clear" w:color="auto" w:fill="CFF0FC"/>
          </w:tcPr>
          <w:p>
            <w:pPr>
              <w:ind w:left="900"/>
              <w:spacing w:after="0"/>
              <w:rPr>
                <w:sz w:val="20"/>
                <w:szCs w:val="20"/>
                <w:color w:val="auto"/>
              </w:rPr>
            </w:pPr>
            <w:r>
              <w:rPr>
                <w:rFonts w:ascii="Arial" w:cs="Arial" w:eastAsia="Arial" w:hAnsi="Arial"/>
                <w:sz w:val="16"/>
                <w:szCs w:val="16"/>
                <w:color w:val="auto"/>
              </w:rPr>
              <w:t>days are used in the utility industry to measure the relative warmth of weather and to compare relative</w:t>
            </w:r>
          </w:p>
        </w:tc>
      </w:tr>
      <w:tr>
        <w:trPr>
          <w:trHeight w:val="189"/>
        </w:trPr>
        <w:tc>
          <w:tcPr>
            <w:tcW w:w="2380" w:type="dxa"/>
            <w:vAlign w:val="bottom"/>
            <w:shd w:val="clear" w:color="auto" w:fill="CFF0FC"/>
          </w:tcPr>
          <w:p>
            <w:pPr>
              <w:spacing w:after="0"/>
              <w:rPr>
                <w:sz w:val="16"/>
                <w:szCs w:val="16"/>
                <w:color w:val="auto"/>
              </w:rPr>
            </w:pPr>
          </w:p>
        </w:tc>
        <w:tc>
          <w:tcPr>
            <w:tcW w:w="8860" w:type="dxa"/>
            <w:vAlign w:val="bottom"/>
            <w:shd w:val="clear" w:color="auto" w:fill="CFF0FC"/>
          </w:tcPr>
          <w:p>
            <w:pPr>
              <w:ind w:left="900"/>
              <w:spacing w:after="0"/>
              <w:rPr>
                <w:sz w:val="20"/>
                <w:szCs w:val="20"/>
                <w:color w:val="auto"/>
              </w:rPr>
            </w:pPr>
            <w:r>
              <w:rPr>
                <w:rFonts w:ascii="Arial" w:cs="Arial" w:eastAsia="Arial" w:hAnsi="Arial"/>
                <w:sz w:val="16"/>
                <w:szCs w:val="16"/>
                <w:color w:val="auto"/>
              </w:rPr>
              <w:t>temperatures between one geographic area and another. Normal degree days are based on the National</w:t>
            </w:r>
          </w:p>
        </w:tc>
      </w:tr>
      <w:tr>
        <w:trPr>
          <w:trHeight w:val="224"/>
        </w:trPr>
        <w:tc>
          <w:tcPr>
            <w:tcW w:w="2380" w:type="dxa"/>
            <w:vAlign w:val="bottom"/>
            <w:tcBorders>
              <w:bottom w:val="single" w:sz="8" w:color="CFF0FC"/>
            </w:tcBorders>
            <w:shd w:val="clear" w:color="auto" w:fill="CFF0FC"/>
          </w:tcPr>
          <w:p>
            <w:pPr>
              <w:spacing w:after="0"/>
              <w:rPr>
                <w:sz w:val="19"/>
                <w:szCs w:val="19"/>
                <w:color w:val="auto"/>
              </w:rPr>
            </w:pPr>
          </w:p>
        </w:tc>
        <w:tc>
          <w:tcPr>
            <w:tcW w:w="886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6"/>
                <w:szCs w:val="16"/>
                <w:color w:val="auto"/>
              </w:rPr>
              <w:t>Weather Service data for selected locations.</w:t>
            </w:r>
          </w:p>
        </w:tc>
      </w:tr>
      <w:tr>
        <w:trPr>
          <w:trHeight w:val="229"/>
        </w:trPr>
        <w:tc>
          <w:tcPr>
            <w:tcW w:w="2380" w:type="dxa"/>
            <w:vAlign w:val="bottom"/>
          </w:tcPr>
          <w:p>
            <w:pPr>
              <w:ind w:left="20"/>
              <w:spacing w:after="0"/>
              <w:rPr>
                <w:sz w:val="20"/>
                <w:szCs w:val="20"/>
                <w:color w:val="auto"/>
              </w:rPr>
            </w:pPr>
            <w:r>
              <w:rPr>
                <w:rFonts w:ascii="Arial" w:cs="Arial" w:eastAsia="Arial" w:hAnsi="Arial"/>
                <w:sz w:val="16"/>
                <w:szCs w:val="16"/>
                <w:color w:val="auto"/>
              </w:rPr>
              <w:t>Corriedale</w:t>
            </w:r>
          </w:p>
        </w:tc>
        <w:tc>
          <w:tcPr>
            <w:tcW w:w="8860" w:type="dxa"/>
            <w:vAlign w:val="bottom"/>
          </w:tcPr>
          <w:p>
            <w:pPr>
              <w:ind w:left="900"/>
              <w:spacing w:after="0"/>
              <w:rPr>
                <w:sz w:val="20"/>
                <w:szCs w:val="20"/>
                <w:color w:val="auto"/>
              </w:rPr>
            </w:pPr>
            <w:r>
              <w:rPr>
                <w:rFonts w:ascii="Arial" w:cs="Arial" w:eastAsia="Arial" w:hAnsi="Arial"/>
                <w:sz w:val="16"/>
                <w:szCs w:val="16"/>
                <w:color w:val="auto"/>
              </w:rPr>
              <w:t>The 52.5 MW wind farm near Cheyenne, Wyoming, jointly owned by South Dakota Electric (32.5 MW) and</w:t>
            </w:r>
          </w:p>
        </w:tc>
      </w:tr>
      <w:tr>
        <w:trPr>
          <w:trHeight w:val="189"/>
        </w:trPr>
        <w:tc>
          <w:tcPr>
            <w:tcW w:w="2380" w:type="dxa"/>
            <w:vAlign w:val="bottom"/>
          </w:tcPr>
          <w:p>
            <w:pPr>
              <w:spacing w:after="0"/>
              <w:rPr>
                <w:sz w:val="16"/>
                <w:szCs w:val="16"/>
                <w:color w:val="auto"/>
              </w:rPr>
            </w:pPr>
          </w:p>
        </w:tc>
        <w:tc>
          <w:tcPr>
            <w:tcW w:w="8860" w:type="dxa"/>
            <w:vAlign w:val="bottom"/>
          </w:tcPr>
          <w:p>
            <w:pPr>
              <w:ind w:left="900"/>
              <w:spacing w:after="0"/>
              <w:rPr>
                <w:sz w:val="20"/>
                <w:szCs w:val="20"/>
                <w:color w:val="auto"/>
              </w:rPr>
            </w:pPr>
            <w:r>
              <w:rPr>
                <w:rFonts w:ascii="Arial" w:cs="Arial" w:eastAsia="Arial" w:hAnsi="Arial"/>
                <w:sz w:val="16"/>
                <w:szCs w:val="16"/>
                <w:color w:val="auto"/>
              </w:rPr>
              <w:t>Wyoming Electric (20 MW), serving as the dedicated wind energy supply to the Renewable Ready program,</w:t>
            </w:r>
          </w:p>
        </w:tc>
      </w:tr>
      <w:tr>
        <w:trPr>
          <w:trHeight w:val="189"/>
        </w:trPr>
        <w:tc>
          <w:tcPr>
            <w:tcW w:w="2380" w:type="dxa"/>
            <w:vAlign w:val="bottom"/>
          </w:tcPr>
          <w:p>
            <w:pPr>
              <w:spacing w:after="0"/>
              <w:rPr>
                <w:sz w:val="16"/>
                <w:szCs w:val="16"/>
                <w:color w:val="auto"/>
              </w:rPr>
            </w:pPr>
          </w:p>
        </w:tc>
        <w:tc>
          <w:tcPr>
            <w:tcW w:w="8860" w:type="dxa"/>
            <w:vAlign w:val="bottom"/>
          </w:tcPr>
          <w:p>
            <w:pPr>
              <w:ind w:left="900"/>
              <w:spacing w:after="0"/>
              <w:rPr>
                <w:sz w:val="20"/>
                <w:szCs w:val="20"/>
                <w:color w:val="auto"/>
              </w:rPr>
            </w:pPr>
            <w:r>
              <w:rPr>
                <w:rFonts w:ascii="Arial" w:cs="Arial" w:eastAsia="Arial" w:hAnsi="Arial"/>
                <w:sz w:val="16"/>
                <w:szCs w:val="16"/>
                <w:color w:val="auto"/>
              </w:rPr>
              <w:t>which is a voluntary renewable energy subscription program for large commercial, industrial and governmental</w:t>
            </w:r>
          </w:p>
        </w:tc>
      </w:tr>
      <w:tr>
        <w:trPr>
          <w:trHeight w:val="215"/>
        </w:trPr>
        <w:tc>
          <w:tcPr>
            <w:tcW w:w="2380" w:type="dxa"/>
            <w:vAlign w:val="bottom"/>
          </w:tcPr>
          <w:p>
            <w:pPr>
              <w:spacing w:after="0"/>
              <w:rPr>
                <w:sz w:val="18"/>
                <w:szCs w:val="18"/>
                <w:color w:val="auto"/>
              </w:rPr>
            </w:pPr>
          </w:p>
        </w:tc>
        <w:tc>
          <w:tcPr>
            <w:tcW w:w="8860" w:type="dxa"/>
            <w:vAlign w:val="bottom"/>
          </w:tcPr>
          <w:p>
            <w:pPr>
              <w:ind w:left="900"/>
              <w:spacing w:after="0"/>
              <w:rPr>
                <w:sz w:val="20"/>
                <w:szCs w:val="20"/>
                <w:color w:val="auto"/>
              </w:rPr>
            </w:pPr>
            <w:r>
              <w:rPr>
                <w:rFonts w:ascii="Arial" w:cs="Arial" w:eastAsia="Arial" w:hAnsi="Arial"/>
                <w:sz w:val="16"/>
                <w:szCs w:val="16"/>
                <w:color w:val="auto"/>
              </w:rPr>
              <w:t>customers in South Dakota and Wyoming.</w:t>
            </w:r>
          </w:p>
        </w:tc>
      </w:tr>
      <w:tr>
        <w:trPr>
          <w:trHeight w:val="29"/>
        </w:trPr>
        <w:tc>
          <w:tcPr>
            <w:tcW w:w="238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63"/>
        </w:trPr>
        <w:tc>
          <w:tcPr>
            <w:tcW w:w="2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CP Program</w:t>
            </w:r>
          </w:p>
        </w:tc>
        <w:tc>
          <w:tcPr>
            <w:tcW w:w="886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6"/>
                <w:szCs w:val="16"/>
                <w:color w:val="auto"/>
              </w:rPr>
              <w:t>Commercial Paper Program</w:t>
            </w:r>
          </w:p>
        </w:tc>
      </w:tr>
      <w:tr>
        <w:trPr>
          <w:trHeight w:val="255"/>
        </w:trPr>
        <w:tc>
          <w:tcPr>
            <w:tcW w:w="2380" w:type="dxa"/>
            <w:vAlign w:val="bottom"/>
          </w:tcPr>
          <w:p>
            <w:pPr>
              <w:ind w:left="20"/>
              <w:spacing w:after="0"/>
              <w:rPr>
                <w:sz w:val="20"/>
                <w:szCs w:val="20"/>
                <w:color w:val="auto"/>
              </w:rPr>
            </w:pPr>
            <w:r>
              <w:rPr>
                <w:rFonts w:ascii="Arial" w:cs="Arial" w:eastAsia="Arial" w:hAnsi="Arial"/>
                <w:sz w:val="16"/>
                <w:szCs w:val="16"/>
                <w:color w:val="auto"/>
              </w:rPr>
              <w:t>CPCN</w:t>
            </w:r>
          </w:p>
        </w:tc>
        <w:tc>
          <w:tcPr>
            <w:tcW w:w="8860" w:type="dxa"/>
            <w:vAlign w:val="bottom"/>
          </w:tcPr>
          <w:p>
            <w:pPr>
              <w:ind w:left="900"/>
              <w:spacing w:after="0"/>
              <w:rPr>
                <w:sz w:val="20"/>
                <w:szCs w:val="20"/>
                <w:color w:val="auto"/>
              </w:rPr>
            </w:pPr>
            <w:r>
              <w:rPr>
                <w:rFonts w:ascii="Arial" w:cs="Arial" w:eastAsia="Arial" w:hAnsi="Arial"/>
                <w:sz w:val="16"/>
                <w:szCs w:val="16"/>
                <w:color w:val="auto"/>
              </w:rPr>
              <w:t>Certificate of Public Convenience and Necessity</w:t>
            </w:r>
          </w:p>
        </w:tc>
      </w:tr>
      <w:tr>
        <w:trPr>
          <w:trHeight w:val="29"/>
        </w:trPr>
        <w:tc>
          <w:tcPr>
            <w:tcW w:w="2380" w:type="dxa"/>
            <w:vAlign w:val="bottom"/>
          </w:tcPr>
          <w:p>
            <w:pPr>
              <w:spacing w:after="0"/>
              <w:rPr>
                <w:sz w:val="2"/>
                <w:szCs w:val="2"/>
                <w:color w:val="auto"/>
              </w:rPr>
            </w:pPr>
          </w:p>
        </w:tc>
        <w:tc>
          <w:tcPr>
            <w:tcW w:w="8860" w:type="dxa"/>
            <w:vAlign w:val="bottom"/>
          </w:tcPr>
          <w:p>
            <w:pPr>
              <w:spacing w:after="0"/>
              <w:rPr>
                <w:sz w:val="2"/>
                <w:szCs w:val="2"/>
                <w:color w:val="auto"/>
              </w:rPr>
            </w:pPr>
          </w:p>
        </w:tc>
      </w:tr>
      <w:tr>
        <w:trPr>
          <w:trHeight w:val="263"/>
        </w:trPr>
        <w:tc>
          <w:tcPr>
            <w:tcW w:w="2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CPUC</w:t>
            </w:r>
          </w:p>
        </w:tc>
        <w:tc>
          <w:tcPr>
            <w:tcW w:w="8860" w:type="dxa"/>
            <w:vAlign w:val="bottom"/>
            <w:tcBorders>
              <w:bottom w:val="single" w:sz="8" w:color="CFF0FC"/>
            </w:tcBorders>
            <w:shd w:val="clear" w:color="auto" w:fill="CFF0FC"/>
          </w:tcPr>
          <w:p>
            <w:pPr>
              <w:ind w:left="900"/>
              <w:spacing w:after="0"/>
              <w:rPr>
                <w:sz w:val="20"/>
                <w:szCs w:val="20"/>
                <w:color w:val="auto"/>
              </w:rPr>
            </w:pPr>
            <w:r>
              <w:rPr>
                <w:rFonts w:ascii="Arial" w:cs="Arial" w:eastAsia="Arial" w:hAnsi="Arial"/>
                <w:sz w:val="16"/>
                <w:szCs w:val="16"/>
                <w:color w:val="auto"/>
              </w:rPr>
              <w:t>Colorado Public Utilities Commission</w:t>
            </w:r>
          </w:p>
        </w:tc>
      </w:tr>
      <w:tr>
        <w:trPr>
          <w:trHeight w:val="255"/>
        </w:trPr>
        <w:tc>
          <w:tcPr>
            <w:tcW w:w="2380" w:type="dxa"/>
            <w:vAlign w:val="bottom"/>
          </w:tcPr>
          <w:p>
            <w:pPr>
              <w:ind w:left="20"/>
              <w:spacing w:after="0"/>
              <w:rPr>
                <w:sz w:val="20"/>
                <w:szCs w:val="20"/>
                <w:color w:val="auto"/>
              </w:rPr>
            </w:pPr>
            <w:r>
              <w:rPr>
                <w:rFonts w:ascii="Arial" w:cs="Arial" w:eastAsia="Arial" w:hAnsi="Arial"/>
                <w:sz w:val="16"/>
                <w:szCs w:val="16"/>
                <w:color w:val="auto"/>
              </w:rPr>
              <w:t>CSAPR</w:t>
            </w:r>
          </w:p>
        </w:tc>
        <w:tc>
          <w:tcPr>
            <w:tcW w:w="8860" w:type="dxa"/>
            <w:vAlign w:val="bottom"/>
          </w:tcPr>
          <w:p>
            <w:pPr>
              <w:ind w:left="900"/>
              <w:spacing w:after="0"/>
              <w:rPr>
                <w:sz w:val="20"/>
                <w:szCs w:val="20"/>
                <w:color w:val="auto"/>
              </w:rPr>
            </w:pPr>
            <w:r>
              <w:rPr>
                <w:rFonts w:ascii="Arial" w:cs="Arial" w:eastAsia="Arial" w:hAnsi="Arial"/>
                <w:sz w:val="16"/>
                <w:szCs w:val="16"/>
                <w:color w:val="auto"/>
              </w:rPr>
              <w:t>The United States Environmental Protection Agency's Cross-State Air Pollution Rule</w:t>
            </w:r>
          </w:p>
        </w:tc>
      </w:tr>
      <w:tr>
        <w:trPr>
          <w:trHeight w:val="230"/>
        </w:trPr>
        <w:tc>
          <w:tcPr>
            <w:tcW w:w="2380" w:type="dxa"/>
            <w:vAlign w:val="bottom"/>
          </w:tcPr>
          <w:p>
            <w:pPr>
              <w:spacing w:after="0"/>
              <w:rPr>
                <w:sz w:val="19"/>
                <w:szCs w:val="19"/>
                <w:color w:val="auto"/>
              </w:rPr>
            </w:pPr>
          </w:p>
        </w:tc>
        <w:tc>
          <w:tcPr>
            <w:tcW w:w="8860" w:type="dxa"/>
            <w:vAlign w:val="bottom"/>
          </w:tcPr>
          <w:p>
            <w:pPr>
              <w:ind w:left="3200"/>
              <w:spacing w:after="0"/>
              <w:rPr>
                <w:sz w:val="20"/>
                <w:szCs w:val="20"/>
                <w:color w:val="auto"/>
              </w:rPr>
            </w:pPr>
            <w:r>
              <w:rPr>
                <w:rFonts w:ascii="Arial" w:cs="Arial" w:eastAsia="Arial" w:hAnsi="Arial"/>
                <w:sz w:val="16"/>
                <w:szCs w:val="16"/>
                <w:color w:val="auto"/>
              </w:rPr>
              <w:t>5</w:t>
            </w:r>
          </w:p>
        </w:tc>
      </w:tr>
      <w:tr>
        <w:trPr>
          <w:trHeight w:val="751"/>
        </w:trPr>
        <w:tc>
          <w:tcPr>
            <w:tcW w:w="238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71"/>
        </w:trPr>
        <w:tc>
          <w:tcPr>
            <w:tcW w:w="1360" w:type="dxa"/>
            <w:vAlign w:val="bottom"/>
            <w:tcBorders>
              <w:top w:val="single" w:sz="8" w:color="0000FF"/>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CT</w:t>
            </w:r>
          </w:p>
        </w:tc>
        <w:tc>
          <w:tcPr>
            <w:tcW w:w="1540" w:type="dxa"/>
            <w:vAlign w:val="bottom"/>
            <w:tcBorders>
              <w:bottom w:val="single" w:sz="8" w:color="CFF0FC"/>
            </w:tcBorders>
            <w:shd w:val="clear" w:color="auto" w:fill="CFF0FC"/>
          </w:tcPr>
          <w:p>
            <w:pPr>
              <w:spacing w:after="0"/>
              <w:rPr>
                <w:sz w:val="23"/>
                <w:szCs w:val="23"/>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Combustion Turbine</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Cushion Gas</w:t>
            </w:r>
          </w:p>
        </w:tc>
        <w:tc>
          <w:tcPr>
            <w:tcW w:w="8340" w:type="dxa"/>
            <w:vAlign w:val="bottom"/>
          </w:tcPr>
          <w:p>
            <w:pPr>
              <w:ind w:left="380"/>
              <w:spacing w:after="0"/>
              <w:rPr>
                <w:sz w:val="20"/>
                <w:szCs w:val="20"/>
                <w:color w:val="auto"/>
              </w:rPr>
            </w:pPr>
            <w:r>
              <w:rPr>
                <w:rFonts w:ascii="Arial" w:cs="Arial" w:eastAsia="Arial" w:hAnsi="Arial"/>
                <w:sz w:val="16"/>
                <w:szCs w:val="16"/>
                <w:color w:val="auto"/>
              </w:rPr>
              <w:t>The portion of natural gas necessary to force saleable gas from a storage field into the transmission system</w:t>
            </w:r>
          </w:p>
        </w:tc>
      </w:tr>
      <w:tr>
        <w:trPr>
          <w:trHeight w:val="189"/>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and for system balancing, representing a permanent investment necessary to use storage facilities and</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maintain reliability.</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Cybersecurity incident</w:t>
            </w: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An unauthorized occurrence, or a series of related unauthorized occurrences, on or conducted through a</w:t>
            </w:r>
          </w:p>
        </w:tc>
      </w:tr>
      <w:tr>
        <w:trPr>
          <w:trHeight w:val="189"/>
        </w:trPr>
        <w:tc>
          <w:tcPr>
            <w:tcW w:w="1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registrant’s information systems that jeopardizes the confidentiality, integrity, or availability of a registrant’s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information systems or any information residing therein.</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Cybersecurity threat</w:t>
            </w:r>
          </w:p>
        </w:tc>
        <w:tc>
          <w:tcPr>
            <w:tcW w:w="8340" w:type="dxa"/>
            <w:vAlign w:val="bottom"/>
          </w:tcPr>
          <w:p>
            <w:pPr>
              <w:ind w:left="380"/>
              <w:spacing w:after="0"/>
              <w:rPr>
                <w:sz w:val="20"/>
                <w:szCs w:val="20"/>
                <w:color w:val="auto"/>
              </w:rPr>
            </w:pPr>
            <w:r>
              <w:rPr>
                <w:rFonts w:ascii="Arial" w:cs="Arial" w:eastAsia="Arial" w:hAnsi="Arial"/>
                <w:sz w:val="16"/>
                <w:szCs w:val="16"/>
                <w:color w:val="auto"/>
              </w:rPr>
              <w:t>Any potential unauthorized occurrence on or conducted through a registrant’s information systems that may</w:t>
            </w:r>
          </w:p>
        </w:tc>
      </w:tr>
      <w:tr>
        <w:trPr>
          <w:trHeight w:val="189"/>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result in adverse effects on the confidentiality, integrity or availability of a registrant’s information systems or</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any information residing therein.</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DC</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Direct Current</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Dividend Payout Ratio</w:t>
            </w:r>
          </w:p>
        </w:tc>
        <w:tc>
          <w:tcPr>
            <w:tcW w:w="8340" w:type="dxa"/>
            <w:vAlign w:val="bottom"/>
          </w:tcPr>
          <w:p>
            <w:pPr>
              <w:ind w:left="380"/>
              <w:spacing w:after="0"/>
              <w:rPr>
                <w:sz w:val="20"/>
                <w:szCs w:val="20"/>
                <w:color w:val="auto"/>
              </w:rPr>
            </w:pPr>
            <w:r>
              <w:rPr>
                <w:rFonts w:ascii="Arial" w:cs="Arial" w:eastAsia="Arial" w:hAnsi="Arial"/>
                <w:sz w:val="16"/>
                <w:szCs w:val="16"/>
                <w:color w:val="auto"/>
              </w:rPr>
              <w:t>Annual dividends paid on common stock divided by net income from continuing operations available for</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common stock</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DRSPP</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Dividend Reinvestment and Stock Purchase Plan</w:t>
            </w:r>
          </w:p>
        </w:tc>
      </w:tr>
      <w:tr>
        <w:trPr>
          <w:trHeight w:val="254"/>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DSM</w:t>
            </w:r>
          </w:p>
        </w:tc>
        <w:tc>
          <w:tcPr>
            <w:tcW w:w="8340" w:type="dxa"/>
            <w:vAlign w:val="bottom"/>
          </w:tcPr>
          <w:p>
            <w:pPr>
              <w:ind w:left="380"/>
              <w:spacing w:after="0"/>
              <w:rPr>
                <w:sz w:val="20"/>
                <w:szCs w:val="20"/>
                <w:color w:val="auto"/>
              </w:rPr>
            </w:pPr>
            <w:r>
              <w:rPr>
                <w:rFonts w:ascii="Arial" w:cs="Arial" w:eastAsia="Arial" w:hAnsi="Arial"/>
                <w:sz w:val="16"/>
                <w:szCs w:val="16"/>
                <w:color w:val="auto"/>
              </w:rPr>
              <w:t>Demand Side Management</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Dth</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Dekatherm. A unit of energy equal to 10 therms or one million British thermal units (MMBtu).</w:t>
            </w:r>
          </w:p>
        </w:tc>
      </w:tr>
      <w:tr>
        <w:trPr>
          <w:trHeight w:val="254"/>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EBITDA</w:t>
            </w:r>
          </w:p>
        </w:tc>
        <w:tc>
          <w:tcPr>
            <w:tcW w:w="8340" w:type="dxa"/>
            <w:vAlign w:val="bottom"/>
          </w:tcPr>
          <w:p>
            <w:pPr>
              <w:ind w:left="380"/>
              <w:spacing w:after="0"/>
              <w:rPr>
                <w:sz w:val="20"/>
                <w:szCs w:val="20"/>
                <w:color w:val="auto"/>
              </w:rPr>
            </w:pPr>
            <w:r>
              <w:rPr>
                <w:rFonts w:ascii="Arial" w:cs="Arial" w:eastAsia="Arial" w:hAnsi="Arial"/>
                <w:sz w:val="16"/>
                <w:szCs w:val="16"/>
                <w:color w:val="auto"/>
              </w:rPr>
              <w:t>Earnings before interest, taxes, depreciation and amortization, a non-GAAP measure.</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ECA</w:t>
            </w: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Energy Cost Adjustment is an adjustment that allows us to pass the prudently-incurred cost of fuel and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purchased energy through to customers.</w:t>
            </w:r>
          </w:p>
        </w:tc>
      </w:tr>
      <w:tr>
        <w:trPr>
          <w:trHeight w:val="254"/>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Economy Energy</w:t>
            </w:r>
          </w:p>
        </w:tc>
        <w:tc>
          <w:tcPr>
            <w:tcW w:w="8340" w:type="dxa"/>
            <w:vAlign w:val="bottom"/>
          </w:tcPr>
          <w:p>
            <w:pPr>
              <w:ind w:left="380"/>
              <w:spacing w:after="0"/>
              <w:rPr>
                <w:sz w:val="20"/>
                <w:szCs w:val="20"/>
                <w:color w:val="auto"/>
              </w:rPr>
            </w:pPr>
            <w:r>
              <w:rPr>
                <w:rFonts w:ascii="Arial" w:cs="Arial" w:eastAsia="Arial" w:hAnsi="Arial"/>
                <w:sz w:val="16"/>
                <w:szCs w:val="16"/>
                <w:color w:val="auto"/>
              </w:rPr>
              <w:t>Purchased energy that costs less than that produced with the utilities’ owned generation.</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EECR</w:t>
            </w: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Energy Efficiency Cost Recovery is an adjustment mechanism that allows us to recover from customers the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costs associated with providing energy efficiency programs.</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EIA</w:t>
            </w:r>
          </w:p>
        </w:tc>
        <w:tc>
          <w:tcPr>
            <w:tcW w:w="8340" w:type="dxa"/>
            <w:vAlign w:val="bottom"/>
          </w:tcPr>
          <w:p>
            <w:pPr>
              <w:ind w:left="380"/>
              <w:spacing w:after="0"/>
              <w:rPr>
                <w:sz w:val="20"/>
                <w:szCs w:val="20"/>
                <w:color w:val="auto"/>
              </w:rPr>
            </w:pPr>
            <w:r>
              <w:rPr>
                <w:rFonts w:ascii="Arial" w:cs="Arial" w:eastAsia="Arial" w:hAnsi="Arial"/>
                <w:sz w:val="16"/>
                <w:szCs w:val="16"/>
                <w:color w:val="auto"/>
              </w:rPr>
              <w:t>Environmental Improvement Adjustment is an annual adjustment mechanism that allows us to recover from</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customers eligible investments in, and expense related to, new environmental measures.</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EGU</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Electric generating unit</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Energy Assistance Benefit Charge</w:t>
            </w:r>
          </w:p>
        </w:tc>
        <w:tc>
          <w:tcPr>
            <w:tcW w:w="8340" w:type="dxa"/>
            <w:vAlign w:val="bottom"/>
          </w:tcPr>
          <w:p>
            <w:pPr>
              <w:ind w:left="380"/>
              <w:spacing w:after="0"/>
              <w:rPr>
                <w:sz w:val="20"/>
                <w:szCs w:val="20"/>
                <w:color w:val="auto"/>
              </w:rPr>
            </w:pPr>
            <w:r>
              <w:rPr>
                <w:rFonts w:ascii="Arial" w:cs="Arial" w:eastAsia="Arial" w:hAnsi="Arial"/>
                <w:sz w:val="16"/>
                <w:szCs w:val="16"/>
                <w:color w:val="auto"/>
              </w:rPr>
              <w:t>Energy Assistance Benefit Charge is a Colorado statutory-created surcharge to provide additional funding for</w:t>
            </w:r>
          </w:p>
        </w:tc>
      </w:tr>
      <w:tr>
        <w:trPr>
          <w:trHeight w:val="189"/>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bill assistance and weatherization for income-qualified customers. We collect these funds and remit them to a</w:t>
            </w:r>
          </w:p>
        </w:tc>
      </w:tr>
      <w:tr>
        <w:trPr>
          <w:trHeight w:val="189"/>
        </w:trPr>
        <w:tc>
          <w:tcPr>
            <w:tcW w:w="1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Colorado non-profit organization that assists low-income residents with utility bills, repairs, and energy</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efficiency upgrades.</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Energy Transition</w:t>
            </w: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The global energy sector’s shift from fossil-based systems of energy production and consumption, including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oil, natural gas and coal to renewable energy sources like wind and solar, as well as battery storage solutions.</w:t>
            </w:r>
          </w:p>
        </w:tc>
      </w:tr>
      <w:tr>
        <w:trPr>
          <w:trHeight w:val="255"/>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EPA</w:t>
            </w:r>
          </w:p>
        </w:tc>
        <w:tc>
          <w:tcPr>
            <w:tcW w:w="8340" w:type="dxa"/>
            <w:vAlign w:val="bottom"/>
          </w:tcPr>
          <w:p>
            <w:pPr>
              <w:ind w:left="380"/>
              <w:spacing w:after="0"/>
              <w:rPr>
                <w:sz w:val="20"/>
                <w:szCs w:val="20"/>
                <w:color w:val="auto"/>
              </w:rPr>
            </w:pPr>
            <w:r>
              <w:rPr>
                <w:rFonts w:ascii="Arial" w:cs="Arial" w:eastAsia="Arial" w:hAnsi="Arial"/>
                <w:sz w:val="16"/>
                <w:szCs w:val="16"/>
                <w:color w:val="auto"/>
              </w:rPr>
              <w:t>United States Environmental Protection Agency</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ESG</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Environmental, Social and Governance</w:t>
            </w:r>
          </w:p>
        </w:tc>
      </w:tr>
      <w:tr>
        <w:trPr>
          <w:trHeight w:val="255"/>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EV</w:t>
            </w:r>
          </w:p>
        </w:tc>
        <w:tc>
          <w:tcPr>
            <w:tcW w:w="8340" w:type="dxa"/>
            <w:vAlign w:val="bottom"/>
          </w:tcPr>
          <w:p>
            <w:pPr>
              <w:ind w:left="380"/>
              <w:spacing w:after="0"/>
              <w:rPr>
                <w:sz w:val="20"/>
                <w:szCs w:val="20"/>
                <w:color w:val="auto"/>
              </w:rPr>
            </w:pPr>
            <w:r>
              <w:rPr>
                <w:rFonts w:ascii="Arial" w:cs="Arial" w:eastAsia="Arial" w:hAnsi="Arial"/>
                <w:sz w:val="16"/>
                <w:szCs w:val="16"/>
                <w:color w:val="auto"/>
              </w:rPr>
              <w:t>Electric Vehicle</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4"/>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EWG</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Exempt Wholesale Generator</w:t>
            </w:r>
          </w:p>
        </w:tc>
      </w:tr>
      <w:tr>
        <w:trPr>
          <w:trHeight w:val="255"/>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FASB</w:t>
            </w:r>
          </w:p>
        </w:tc>
        <w:tc>
          <w:tcPr>
            <w:tcW w:w="8340" w:type="dxa"/>
            <w:vAlign w:val="bottom"/>
          </w:tcPr>
          <w:p>
            <w:pPr>
              <w:ind w:left="380"/>
              <w:spacing w:after="0"/>
              <w:rPr>
                <w:sz w:val="20"/>
                <w:szCs w:val="20"/>
                <w:color w:val="auto"/>
              </w:rPr>
            </w:pPr>
            <w:r>
              <w:rPr>
                <w:rFonts w:ascii="Arial" w:cs="Arial" w:eastAsia="Arial" w:hAnsi="Arial"/>
                <w:sz w:val="16"/>
                <w:szCs w:val="16"/>
                <w:color w:val="auto"/>
              </w:rPr>
              <w:t>Financial Accounting Standards Board</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FERC</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United States Department of Energy's Federal Energy Regulatory Commission</w:t>
            </w:r>
          </w:p>
        </w:tc>
      </w:tr>
      <w:tr>
        <w:trPr>
          <w:trHeight w:val="255"/>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Fitch</w:t>
            </w:r>
          </w:p>
        </w:tc>
        <w:tc>
          <w:tcPr>
            <w:tcW w:w="8340" w:type="dxa"/>
            <w:vAlign w:val="bottom"/>
          </w:tcPr>
          <w:p>
            <w:pPr>
              <w:ind w:left="380"/>
              <w:spacing w:after="0"/>
              <w:rPr>
                <w:sz w:val="20"/>
                <w:szCs w:val="20"/>
                <w:color w:val="auto"/>
              </w:rPr>
            </w:pPr>
            <w:r>
              <w:rPr>
                <w:rFonts w:ascii="Arial" w:cs="Arial" w:eastAsia="Arial" w:hAnsi="Arial"/>
                <w:sz w:val="16"/>
                <w:szCs w:val="16"/>
                <w:color w:val="auto"/>
              </w:rPr>
              <w:t>Fitch Ratings Inc.</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63"/>
        </w:trPr>
        <w:tc>
          <w:tcPr>
            <w:tcW w:w="29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GAAP</w:t>
            </w: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Accounting principles generally accepted in the United States of America</w:t>
            </w:r>
          </w:p>
        </w:tc>
      </w:tr>
      <w:tr>
        <w:trPr>
          <w:trHeight w:val="229"/>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Gas Price Risk Management Rider</w:t>
            </w:r>
          </w:p>
        </w:tc>
        <w:tc>
          <w:tcPr>
            <w:tcW w:w="8340" w:type="dxa"/>
            <w:vAlign w:val="bottom"/>
          </w:tcPr>
          <w:p>
            <w:pPr>
              <w:ind w:left="380"/>
              <w:spacing w:after="0"/>
              <w:rPr>
                <w:sz w:val="20"/>
                <w:szCs w:val="20"/>
                <w:color w:val="auto"/>
              </w:rPr>
            </w:pPr>
            <w:r>
              <w:rPr>
                <w:rFonts w:ascii="Arial" w:cs="Arial" w:eastAsia="Arial" w:hAnsi="Arial"/>
                <w:sz w:val="16"/>
                <w:szCs w:val="16"/>
                <w:color w:val="auto"/>
              </w:rPr>
              <w:t>Gas Price Risk Management Rider is a mechanism that is similar to GCA but designed to also provide a price</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380"/>
              <w:spacing w:after="0"/>
              <w:rPr>
                <w:sz w:val="20"/>
                <w:szCs w:val="20"/>
                <w:color w:val="auto"/>
              </w:rPr>
            </w:pPr>
            <w:r>
              <w:rPr>
                <w:rFonts w:ascii="Arial" w:cs="Arial" w:eastAsia="Arial" w:hAnsi="Arial"/>
                <w:sz w:val="16"/>
                <w:szCs w:val="16"/>
                <w:color w:val="auto"/>
              </w:rPr>
              <w:t>floor and price ceiling.</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GCA</w:t>
            </w: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Gas Cost Adjustment is an adjustment that allows us to pass the prudently-incurred cost of gas and certain</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services through to customers.</w:t>
            </w:r>
          </w:p>
        </w:tc>
      </w:tr>
      <w:tr>
        <w:trPr>
          <w:trHeight w:val="255"/>
        </w:trPr>
        <w:tc>
          <w:tcPr>
            <w:tcW w:w="2900" w:type="dxa"/>
            <w:vAlign w:val="bottom"/>
            <w:gridSpan w:val="2"/>
          </w:tcPr>
          <w:p>
            <w:pPr>
              <w:ind w:left="20"/>
              <w:spacing w:after="0"/>
              <w:rPr>
                <w:sz w:val="20"/>
                <w:szCs w:val="20"/>
                <w:color w:val="auto"/>
              </w:rPr>
            </w:pPr>
            <w:r>
              <w:rPr>
                <w:rFonts w:ascii="Arial" w:cs="Arial" w:eastAsia="Arial" w:hAnsi="Arial"/>
                <w:sz w:val="16"/>
                <w:szCs w:val="16"/>
                <w:color w:val="auto"/>
              </w:rPr>
              <w:t>GHG</w:t>
            </w:r>
          </w:p>
        </w:tc>
        <w:tc>
          <w:tcPr>
            <w:tcW w:w="8340" w:type="dxa"/>
            <w:vAlign w:val="bottom"/>
          </w:tcPr>
          <w:p>
            <w:pPr>
              <w:ind w:left="380"/>
              <w:spacing w:after="0"/>
              <w:rPr>
                <w:sz w:val="20"/>
                <w:szCs w:val="20"/>
                <w:color w:val="auto"/>
              </w:rPr>
            </w:pPr>
            <w:r>
              <w:rPr>
                <w:rFonts w:ascii="Arial" w:cs="Arial" w:eastAsia="Arial" w:hAnsi="Arial"/>
                <w:sz w:val="16"/>
                <w:szCs w:val="16"/>
                <w:color w:val="auto"/>
              </w:rPr>
              <w:t>Greenhouse gases</w:t>
            </w:r>
          </w:p>
        </w:tc>
      </w:tr>
      <w:tr>
        <w:trPr>
          <w:trHeight w:val="29"/>
        </w:trPr>
        <w:tc>
          <w:tcPr>
            <w:tcW w:w="1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340" w:type="dxa"/>
            <w:vAlign w:val="bottom"/>
          </w:tcPr>
          <w:p>
            <w:pPr>
              <w:spacing w:after="0"/>
              <w:rPr>
                <w:sz w:val="2"/>
                <w:szCs w:val="2"/>
                <w:color w:val="auto"/>
              </w:rPr>
            </w:pPr>
          </w:p>
        </w:tc>
      </w:tr>
      <w:tr>
        <w:trPr>
          <w:trHeight w:val="229"/>
        </w:trPr>
        <w:tc>
          <w:tcPr>
            <w:tcW w:w="2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Gillette Energy Complex</w:t>
            </w: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The Gillette Energy Complex located in Gillette, Wyoming includes 793 MW of coal-fired generating facilities</w:t>
            </w:r>
          </w:p>
        </w:tc>
      </w:tr>
      <w:tr>
        <w:trPr>
          <w:trHeight w:val="189"/>
        </w:trPr>
        <w:tc>
          <w:tcPr>
            <w:tcW w:w="1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(Neil Simpson II, Wygen I, Wygen II, Wygen III, Wyodak Plant) which are supplied by WRDC and a 40 MW</w:t>
            </w:r>
          </w:p>
        </w:tc>
      </w:tr>
      <w:tr>
        <w:trPr>
          <w:trHeight w:val="189"/>
        </w:trPr>
        <w:tc>
          <w:tcPr>
            <w:tcW w:w="13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834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gas-fired generation facility (Neil Simpson CT). We operate and own majority interests in five of the six facilities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CFF0FC"/>
            </w:tcBorders>
            <w:shd w:val="clear" w:color="auto" w:fill="CFF0FC"/>
          </w:tcPr>
          <w:p>
            <w:pPr>
              <w:spacing w:after="0"/>
              <w:rPr>
                <w:sz w:val="19"/>
                <w:szCs w:val="19"/>
                <w:color w:val="auto"/>
              </w:rPr>
            </w:pPr>
          </w:p>
        </w:tc>
        <w:tc>
          <w:tcPr>
            <w:tcW w:w="83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and own 20% of Wyodak Plant.</w:t>
            </w:r>
          </w:p>
        </w:tc>
      </w:tr>
      <w:tr>
        <w:trPr>
          <w:trHeight w:val="215"/>
        </w:trPr>
        <w:tc>
          <w:tcPr>
            <w:tcW w:w="1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340" w:type="dxa"/>
            <w:vAlign w:val="bottom"/>
          </w:tcPr>
          <w:p>
            <w:pPr>
              <w:ind w:left="2680"/>
              <w:spacing w:after="0"/>
              <w:rPr>
                <w:sz w:val="20"/>
                <w:szCs w:val="20"/>
                <w:color w:val="auto"/>
              </w:rPr>
            </w:pPr>
            <w:r>
              <w:rPr>
                <w:rFonts w:ascii="Arial" w:cs="Arial" w:eastAsia="Arial" w:hAnsi="Arial"/>
                <w:sz w:val="16"/>
                <w:szCs w:val="16"/>
                <w:color w:val="auto"/>
              </w:rPr>
              <w:t>6</w:t>
            </w:r>
          </w:p>
        </w:tc>
      </w:tr>
      <w:tr>
        <w:trPr>
          <w:trHeight w:val="737"/>
        </w:trPr>
        <w:tc>
          <w:tcPr>
            <w:tcW w:w="13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244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800" w:type="dxa"/>
            <w:vAlign w:val="bottom"/>
          </w:tcPr>
          <w:p>
            <w:pPr>
              <w:spacing w:after="0"/>
              <w:rPr>
                <w:sz w:val="16"/>
                <w:szCs w:val="16"/>
                <w:color w:val="auto"/>
              </w:rPr>
            </w:pPr>
          </w:p>
        </w:tc>
      </w:tr>
      <w:tr>
        <w:trPr>
          <w:trHeight w:val="236"/>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Global Settlement</w:t>
            </w:r>
          </w:p>
        </w:tc>
        <w:tc>
          <w:tcPr>
            <w:tcW w:w="1080" w:type="dxa"/>
            <w:vAlign w:val="bottom"/>
          </w:tcPr>
          <w:p>
            <w:pPr>
              <w:spacing w:after="0"/>
              <w:rPr>
                <w:sz w:val="20"/>
                <w:szCs w:val="20"/>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Settlement with a utility’s commission where the revenue requirement is agreed upon, but the specific</w:t>
            </w:r>
          </w:p>
        </w:tc>
      </w:tr>
      <w:tr>
        <w:trPr>
          <w:trHeight w:val="215"/>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adjustments used by each party to arrive at the amount are not specified in public rate orders.</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GWh</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Gigawatt Hours</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Heating Degree Day</w:t>
            </w:r>
          </w:p>
        </w:tc>
        <w:tc>
          <w:tcPr>
            <w:tcW w:w="8800" w:type="dxa"/>
            <w:vAlign w:val="bottom"/>
          </w:tcPr>
          <w:p>
            <w:pPr>
              <w:ind w:left="840"/>
              <w:spacing w:after="0"/>
              <w:rPr>
                <w:sz w:val="20"/>
                <w:szCs w:val="20"/>
                <w:color w:val="auto"/>
              </w:rPr>
            </w:pPr>
            <w:r>
              <w:rPr>
                <w:rFonts w:ascii="Arial" w:cs="Arial" w:eastAsia="Arial" w:hAnsi="Arial"/>
                <w:sz w:val="16"/>
                <w:szCs w:val="16"/>
                <w:color w:val="auto"/>
              </w:rPr>
              <w:t>A heating degree day is equivalent to each degree that the average of the high and the low temperatures for a</w:t>
            </w:r>
          </w:p>
        </w:tc>
      </w:tr>
      <w:tr>
        <w:trPr>
          <w:trHeight w:val="189"/>
        </w:trPr>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day is below 65 degrees. The colder the climate, the greater the number of heating degree days. Heating</w:t>
            </w:r>
          </w:p>
        </w:tc>
      </w:tr>
      <w:tr>
        <w:trPr>
          <w:trHeight w:val="189"/>
        </w:trPr>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degree days are used in the utility industry to measure the relative coldness of weather and to compare</w:t>
            </w:r>
          </w:p>
        </w:tc>
      </w:tr>
      <w:tr>
        <w:trPr>
          <w:trHeight w:val="189"/>
        </w:trPr>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relative temperatures between one geographic area and another. Normal degree days are based on the</w:t>
            </w:r>
          </w:p>
        </w:tc>
      </w:tr>
      <w:tr>
        <w:trPr>
          <w:trHeight w:val="215"/>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National Weather Service data for selected locations.</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29"/>
        </w:trPr>
        <w:tc>
          <w:tcPr>
            <w:tcW w:w="2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HomeServe</w:t>
            </w:r>
          </w:p>
        </w:tc>
        <w:tc>
          <w:tcPr>
            <w:tcW w:w="8800" w:type="dxa"/>
            <w:vAlign w:val="bottom"/>
            <w:shd w:val="clear" w:color="auto" w:fill="CFF0FC"/>
          </w:tcPr>
          <w:p>
            <w:pPr>
              <w:ind w:left="840"/>
              <w:spacing w:after="0"/>
              <w:rPr>
                <w:sz w:val="20"/>
                <w:szCs w:val="20"/>
                <w:color w:val="auto"/>
              </w:rPr>
            </w:pPr>
            <w:r>
              <w:rPr>
                <w:rFonts w:ascii="Arial" w:cs="Arial" w:eastAsia="Arial" w:hAnsi="Arial"/>
                <w:sz w:val="16"/>
                <w:szCs w:val="16"/>
                <w:color w:val="auto"/>
              </w:rPr>
              <w:t>We offer HomeServe products to our natural gas residential customers interested in purchasing additional</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home repair service plans.</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Information systems</w:t>
            </w:r>
          </w:p>
        </w:tc>
        <w:tc>
          <w:tcPr>
            <w:tcW w:w="8800" w:type="dxa"/>
            <w:vAlign w:val="bottom"/>
          </w:tcPr>
          <w:p>
            <w:pPr>
              <w:ind w:left="840"/>
              <w:spacing w:after="0"/>
              <w:rPr>
                <w:sz w:val="20"/>
                <w:szCs w:val="20"/>
                <w:color w:val="auto"/>
              </w:rPr>
            </w:pPr>
            <w:r>
              <w:rPr>
                <w:rFonts w:ascii="Arial" w:cs="Arial" w:eastAsia="Arial" w:hAnsi="Arial"/>
                <w:sz w:val="16"/>
                <w:szCs w:val="16"/>
                <w:color w:val="auto"/>
              </w:rPr>
              <w:t>Electronic information resources, owned or used by the registrant, including physical or virtual infrastructure</w:t>
            </w:r>
          </w:p>
        </w:tc>
      </w:tr>
      <w:tr>
        <w:trPr>
          <w:trHeight w:val="189"/>
        </w:trPr>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controlled by such information resources, or components thereof, organized for the collection, processing,</w:t>
            </w:r>
          </w:p>
        </w:tc>
      </w:tr>
      <w:tr>
        <w:trPr>
          <w:trHeight w:val="189"/>
        </w:trPr>
        <w:tc>
          <w:tcPr>
            <w:tcW w:w="1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maintenance, use, sharing, dissemination, or disposition of the registrant’s information to maintain or support</w:t>
            </w:r>
          </w:p>
        </w:tc>
      </w:tr>
      <w:tr>
        <w:trPr>
          <w:trHeight w:val="215"/>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the registrant’s operations.</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29"/>
        </w:trPr>
        <w:tc>
          <w:tcPr>
            <w:tcW w:w="2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Integrated Generation</w:t>
            </w:r>
          </w:p>
        </w:tc>
        <w:tc>
          <w:tcPr>
            <w:tcW w:w="8800" w:type="dxa"/>
            <w:vAlign w:val="bottom"/>
            <w:shd w:val="clear" w:color="auto" w:fill="CFF0FC"/>
          </w:tcPr>
          <w:p>
            <w:pPr>
              <w:ind w:left="840"/>
              <w:spacing w:after="0"/>
              <w:rPr>
                <w:sz w:val="20"/>
                <w:szCs w:val="20"/>
                <w:color w:val="auto"/>
              </w:rPr>
            </w:pPr>
            <w:r>
              <w:rPr>
                <w:rFonts w:ascii="Arial" w:cs="Arial" w:eastAsia="Arial" w:hAnsi="Arial"/>
                <w:sz w:val="16"/>
                <w:szCs w:val="16"/>
                <w:color w:val="auto"/>
              </w:rPr>
              <w:t>Non-regulated power generation and mining businesses (Black Hills Electric Generation and WRDC) that are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vertically integrated within our Electric Utilities segment.</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Iowa Gas</w:t>
            </w:r>
          </w:p>
        </w:tc>
        <w:tc>
          <w:tcPr>
            <w:tcW w:w="8800" w:type="dxa"/>
            <w:vAlign w:val="bottom"/>
          </w:tcPr>
          <w:p>
            <w:pPr>
              <w:ind w:left="840"/>
              <w:spacing w:after="0"/>
              <w:rPr>
                <w:sz w:val="20"/>
                <w:szCs w:val="20"/>
                <w:color w:val="auto"/>
              </w:rPr>
            </w:pPr>
            <w:r>
              <w:rPr>
                <w:rFonts w:ascii="Arial" w:cs="Arial" w:eastAsia="Arial" w:hAnsi="Arial"/>
                <w:sz w:val="16"/>
                <w:szCs w:val="16"/>
                <w:color w:val="auto"/>
              </w:rPr>
              <w:t>Black Hills Iowa Gas Utility Company, LLC, a direct, wholly-owned subsidiary of Black Hills Utility Holdings,</w:t>
            </w:r>
          </w:p>
        </w:tc>
      </w:tr>
      <w:tr>
        <w:trPr>
          <w:trHeight w:val="215"/>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providing natural gas services to customers in Iowa (doing business as Black Hills Energy).</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IPP</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Independent Power Producer</w:t>
            </w:r>
          </w:p>
        </w:tc>
      </w:tr>
      <w:tr>
        <w:trPr>
          <w:trHeight w:val="254"/>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IRA</w:t>
            </w:r>
          </w:p>
        </w:tc>
        <w:tc>
          <w:tcPr>
            <w:tcW w:w="8800" w:type="dxa"/>
            <w:vAlign w:val="bottom"/>
          </w:tcPr>
          <w:p>
            <w:pPr>
              <w:ind w:left="840"/>
              <w:spacing w:after="0"/>
              <w:rPr>
                <w:sz w:val="20"/>
                <w:szCs w:val="20"/>
                <w:color w:val="auto"/>
              </w:rPr>
            </w:pPr>
            <w:r>
              <w:rPr>
                <w:rFonts w:ascii="Arial" w:cs="Arial" w:eastAsia="Arial" w:hAnsi="Arial"/>
                <w:sz w:val="16"/>
                <w:szCs w:val="16"/>
                <w:color w:val="auto"/>
              </w:rPr>
              <w:t>Inflation Reduction Act of 2022</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IRC</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Internal Revenue Code</w:t>
            </w:r>
          </w:p>
        </w:tc>
      </w:tr>
      <w:tr>
        <w:trPr>
          <w:trHeight w:val="254"/>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IRP</w:t>
            </w:r>
          </w:p>
        </w:tc>
        <w:tc>
          <w:tcPr>
            <w:tcW w:w="8800" w:type="dxa"/>
            <w:vAlign w:val="bottom"/>
          </w:tcPr>
          <w:p>
            <w:pPr>
              <w:ind w:left="840"/>
              <w:spacing w:after="0"/>
              <w:rPr>
                <w:sz w:val="20"/>
                <w:szCs w:val="20"/>
                <w:color w:val="auto"/>
              </w:rPr>
            </w:pPr>
            <w:r>
              <w:rPr>
                <w:rFonts w:ascii="Arial" w:cs="Arial" w:eastAsia="Arial" w:hAnsi="Arial"/>
                <w:sz w:val="16"/>
                <w:szCs w:val="16"/>
                <w:color w:val="auto"/>
              </w:rPr>
              <w:t>Integrated Resource Plan</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4"/>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IRS</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United States Internal Revenue Service</w:t>
            </w:r>
          </w:p>
        </w:tc>
      </w:tr>
      <w:tr>
        <w:trPr>
          <w:trHeight w:val="254"/>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ITC</w:t>
            </w:r>
          </w:p>
        </w:tc>
        <w:tc>
          <w:tcPr>
            <w:tcW w:w="8800" w:type="dxa"/>
            <w:vAlign w:val="bottom"/>
          </w:tcPr>
          <w:p>
            <w:pPr>
              <w:ind w:left="840"/>
              <w:spacing w:after="0"/>
              <w:rPr>
                <w:sz w:val="20"/>
                <w:szCs w:val="20"/>
                <w:color w:val="auto"/>
              </w:rPr>
            </w:pPr>
            <w:r>
              <w:rPr>
                <w:rFonts w:ascii="Arial" w:cs="Arial" w:eastAsia="Arial" w:hAnsi="Arial"/>
                <w:sz w:val="16"/>
                <w:szCs w:val="16"/>
                <w:color w:val="auto"/>
              </w:rPr>
              <w:t>Investment Tax Credit</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29"/>
        </w:trPr>
        <w:tc>
          <w:tcPr>
            <w:tcW w:w="2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Kansas Gas</w:t>
            </w:r>
          </w:p>
        </w:tc>
        <w:tc>
          <w:tcPr>
            <w:tcW w:w="8800" w:type="dxa"/>
            <w:vAlign w:val="bottom"/>
            <w:shd w:val="clear" w:color="auto" w:fill="CFF0FC"/>
          </w:tcPr>
          <w:p>
            <w:pPr>
              <w:ind w:left="840"/>
              <w:spacing w:after="0"/>
              <w:rPr>
                <w:sz w:val="20"/>
                <w:szCs w:val="20"/>
                <w:color w:val="auto"/>
              </w:rPr>
            </w:pPr>
            <w:r>
              <w:rPr>
                <w:rFonts w:ascii="Arial" w:cs="Arial" w:eastAsia="Arial" w:hAnsi="Arial"/>
                <w:sz w:val="16"/>
                <w:szCs w:val="16"/>
                <w:color w:val="auto"/>
              </w:rPr>
              <w:t>Black Hills Kansas Gas Utility Company, LLC, a direct, wholly-owned subsidiary of Black Hills Utility Holdings,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providing natural gas services to customers in Kansas (doing business as Black Hills Energy).</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kV</w:t>
            </w:r>
          </w:p>
        </w:tc>
        <w:tc>
          <w:tcPr>
            <w:tcW w:w="8800" w:type="dxa"/>
            <w:vAlign w:val="bottom"/>
          </w:tcPr>
          <w:p>
            <w:pPr>
              <w:ind w:left="840"/>
              <w:spacing w:after="0"/>
              <w:rPr>
                <w:sz w:val="20"/>
                <w:szCs w:val="20"/>
                <w:color w:val="auto"/>
              </w:rPr>
            </w:pPr>
            <w:r>
              <w:rPr>
                <w:rFonts w:ascii="Arial" w:cs="Arial" w:eastAsia="Arial" w:hAnsi="Arial"/>
                <w:sz w:val="16"/>
                <w:szCs w:val="16"/>
                <w:color w:val="auto"/>
              </w:rPr>
              <w:t>Kilovolt</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LIBOR</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London Interbank Offered Rate</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Mcf</w:t>
            </w:r>
          </w:p>
        </w:tc>
        <w:tc>
          <w:tcPr>
            <w:tcW w:w="8800" w:type="dxa"/>
            <w:vAlign w:val="bottom"/>
          </w:tcPr>
          <w:p>
            <w:pPr>
              <w:ind w:left="840"/>
              <w:spacing w:after="0"/>
              <w:rPr>
                <w:sz w:val="20"/>
                <w:szCs w:val="20"/>
                <w:color w:val="auto"/>
              </w:rPr>
            </w:pPr>
            <w:r>
              <w:rPr>
                <w:rFonts w:ascii="Arial" w:cs="Arial" w:eastAsia="Arial" w:hAnsi="Arial"/>
                <w:sz w:val="16"/>
                <w:szCs w:val="16"/>
                <w:color w:val="auto"/>
              </w:rPr>
              <w:t>Thousand cubic feet</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4"/>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Mcfd</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Thousand cubic feet per day</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MDU</w:t>
            </w:r>
          </w:p>
        </w:tc>
        <w:tc>
          <w:tcPr>
            <w:tcW w:w="8800" w:type="dxa"/>
            <w:vAlign w:val="bottom"/>
          </w:tcPr>
          <w:p>
            <w:pPr>
              <w:ind w:left="840"/>
              <w:spacing w:after="0"/>
              <w:rPr>
                <w:sz w:val="20"/>
                <w:szCs w:val="20"/>
                <w:color w:val="auto"/>
              </w:rPr>
            </w:pPr>
            <w:r>
              <w:rPr>
                <w:rFonts w:ascii="Arial" w:cs="Arial" w:eastAsia="Arial" w:hAnsi="Arial"/>
                <w:sz w:val="16"/>
                <w:szCs w:val="16"/>
                <w:color w:val="auto"/>
              </w:rPr>
              <w:t>Montana-Dakota Utilities Co., a subsidiary of MDU Resources Group, Inc.</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MEAN</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Municipal Energy Agency of Nebraska</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MMBtu</w:t>
            </w:r>
          </w:p>
        </w:tc>
        <w:tc>
          <w:tcPr>
            <w:tcW w:w="8800" w:type="dxa"/>
            <w:vAlign w:val="bottom"/>
          </w:tcPr>
          <w:p>
            <w:pPr>
              <w:ind w:left="840"/>
              <w:spacing w:after="0"/>
              <w:rPr>
                <w:sz w:val="20"/>
                <w:szCs w:val="20"/>
                <w:color w:val="auto"/>
              </w:rPr>
            </w:pPr>
            <w:r>
              <w:rPr>
                <w:rFonts w:ascii="Arial" w:cs="Arial" w:eastAsia="Arial" w:hAnsi="Arial"/>
                <w:sz w:val="16"/>
                <w:szCs w:val="16"/>
                <w:color w:val="auto"/>
              </w:rPr>
              <w:t>Million British thermal units</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Moody’s</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Moody’s Investors Service, Inc.</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MSHA</w:t>
            </w:r>
          </w:p>
        </w:tc>
        <w:tc>
          <w:tcPr>
            <w:tcW w:w="8800" w:type="dxa"/>
            <w:vAlign w:val="bottom"/>
          </w:tcPr>
          <w:p>
            <w:pPr>
              <w:ind w:left="840"/>
              <w:spacing w:after="0"/>
              <w:rPr>
                <w:sz w:val="20"/>
                <w:szCs w:val="20"/>
                <w:color w:val="auto"/>
              </w:rPr>
            </w:pPr>
            <w:r>
              <w:rPr>
                <w:rFonts w:ascii="Arial" w:cs="Arial" w:eastAsia="Arial" w:hAnsi="Arial"/>
                <w:sz w:val="16"/>
                <w:szCs w:val="16"/>
                <w:color w:val="auto"/>
              </w:rPr>
              <w:t>United States Department of Labor’s Mine Safety and Health Administration</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4"/>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MW</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Megawatts</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MWh</w:t>
            </w:r>
          </w:p>
        </w:tc>
        <w:tc>
          <w:tcPr>
            <w:tcW w:w="8800" w:type="dxa"/>
            <w:vAlign w:val="bottom"/>
          </w:tcPr>
          <w:p>
            <w:pPr>
              <w:ind w:left="840"/>
              <w:spacing w:after="0"/>
              <w:rPr>
                <w:sz w:val="20"/>
                <w:szCs w:val="20"/>
                <w:color w:val="auto"/>
              </w:rPr>
            </w:pPr>
            <w:r>
              <w:rPr>
                <w:rFonts w:ascii="Arial" w:cs="Arial" w:eastAsia="Arial" w:hAnsi="Arial"/>
                <w:sz w:val="16"/>
                <w:szCs w:val="16"/>
                <w:color w:val="auto"/>
              </w:rPr>
              <w:t>Megawatt-hours</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N/A</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Not Applicable</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NAAQS</w:t>
            </w:r>
          </w:p>
        </w:tc>
        <w:tc>
          <w:tcPr>
            <w:tcW w:w="8800" w:type="dxa"/>
            <w:vAlign w:val="bottom"/>
          </w:tcPr>
          <w:p>
            <w:pPr>
              <w:ind w:left="840"/>
              <w:spacing w:after="0"/>
              <w:rPr>
                <w:sz w:val="20"/>
                <w:szCs w:val="20"/>
                <w:color w:val="auto"/>
              </w:rPr>
            </w:pPr>
            <w:r>
              <w:rPr>
                <w:rFonts w:ascii="Arial" w:cs="Arial" w:eastAsia="Arial" w:hAnsi="Arial"/>
                <w:sz w:val="16"/>
                <w:szCs w:val="16"/>
                <w:color w:val="auto"/>
              </w:rPr>
              <w:t>National Ambient Air Quality Standards</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NAV</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Net Asset Value</w:t>
            </w:r>
          </w:p>
        </w:tc>
      </w:tr>
      <w:tr>
        <w:trPr>
          <w:trHeight w:val="229"/>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Nebraska Gas</w:t>
            </w:r>
          </w:p>
        </w:tc>
        <w:tc>
          <w:tcPr>
            <w:tcW w:w="8800" w:type="dxa"/>
            <w:vAlign w:val="bottom"/>
          </w:tcPr>
          <w:p>
            <w:pPr>
              <w:ind w:left="840"/>
              <w:spacing w:after="0"/>
              <w:rPr>
                <w:sz w:val="20"/>
                <w:szCs w:val="20"/>
                <w:color w:val="auto"/>
              </w:rPr>
            </w:pPr>
            <w:r>
              <w:rPr>
                <w:rFonts w:ascii="Arial" w:cs="Arial" w:eastAsia="Arial" w:hAnsi="Arial"/>
                <w:sz w:val="16"/>
                <w:szCs w:val="16"/>
                <w:color w:val="auto"/>
              </w:rPr>
              <w:t>Black Hills Nebraska Gas, LLC, an indirect, wholly-owned subsidiary of Black Hills Utility Holdings, providing</w:t>
            </w:r>
          </w:p>
        </w:tc>
      </w:tr>
      <w:tr>
        <w:trPr>
          <w:trHeight w:val="215"/>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840"/>
              <w:spacing w:after="0"/>
              <w:rPr>
                <w:sz w:val="20"/>
                <w:szCs w:val="20"/>
                <w:color w:val="auto"/>
              </w:rPr>
            </w:pPr>
            <w:r>
              <w:rPr>
                <w:rFonts w:ascii="Arial" w:cs="Arial" w:eastAsia="Arial" w:hAnsi="Arial"/>
                <w:sz w:val="16"/>
                <w:szCs w:val="16"/>
                <w:color w:val="auto"/>
              </w:rPr>
              <w:t>natural gas services to customers in Nebraska (doing business as Black Hills Energy).</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29"/>
        </w:trPr>
        <w:tc>
          <w:tcPr>
            <w:tcW w:w="24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Neil Simpson II</w:t>
            </w:r>
          </w:p>
        </w:tc>
        <w:tc>
          <w:tcPr>
            <w:tcW w:w="8800" w:type="dxa"/>
            <w:vAlign w:val="bottom"/>
            <w:shd w:val="clear" w:color="auto" w:fill="CFF0FC"/>
          </w:tcPr>
          <w:p>
            <w:pPr>
              <w:ind w:left="840"/>
              <w:spacing w:after="0"/>
              <w:rPr>
                <w:sz w:val="20"/>
                <w:szCs w:val="20"/>
                <w:color w:val="auto"/>
              </w:rPr>
            </w:pPr>
            <w:r>
              <w:rPr>
                <w:rFonts w:ascii="Arial" w:cs="Arial" w:eastAsia="Arial" w:hAnsi="Arial"/>
                <w:sz w:val="16"/>
                <w:szCs w:val="16"/>
                <w:color w:val="auto"/>
              </w:rPr>
              <w:t>A mine-mouth, coal-fired power plant owned and operated by South Dakota Electric with a total capacity of 90</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MW located at our Gillette Energy Complex.</w:t>
            </w:r>
          </w:p>
        </w:tc>
      </w:tr>
      <w:tr>
        <w:trPr>
          <w:trHeight w:val="255"/>
        </w:trPr>
        <w:tc>
          <w:tcPr>
            <w:tcW w:w="2440" w:type="dxa"/>
            <w:vAlign w:val="bottom"/>
            <w:gridSpan w:val="2"/>
          </w:tcPr>
          <w:p>
            <w:pPr>
              <w:ind w:left="20"/>
              <w:spacing w:after="0"/>
              <w:rPr>
                <w:sz w:val="20"/>
                <w:szCs w:val="20"/>
                <w:color w:val="auto"/>
              </w:rPr>
            </w:pPr>
            <w:r>
              <w:rPr>
                <w:rFonts w:ascii="Arial" w:cs="Arial" w:eastAsia="Arial" w:hAnsi="Arial"/>
                <w:sz w:val="16"/>
                <w:szCs w:val="16"/>
                <w:color w:val="auto"/>
              </w:rPr>
              <w:t>NERC</w:t>
            </w:r>
          </w:p>
        </w:tc>
        <w:tc>
          <w:tcPr>
            <w:tcW w:w="8800" w:type="dxa"/>
            <w:vAlign w:val="bottom"/>
          </w:tcPr>
          <w:p>
            <w:pPr>
              <w:ind w:left="840"/>
              <w:spacing w:after="0"/>
              <w:rPr>
                <w:sz w:val="20"/>
                <w:szCs w:val="20"/>
                <w:color w:val="auto"/>
              </w:rPr>
            </w:pPr>
            <w:r>
              <w:rPr>
                <w:rFonts w:ascii="Arial" w:cs="Arial" w:eastAsia="Arial" w:hAnsi="Arial"/>
                <w:sz w:val="16"/>
                <w:szCs w:val="16"/>
                <w:color w:val="auto"/>
              </w:rPr>
              <w:t>North American Electric Reliability Corporation</w:t>
            </w:r>
          </w:p>
        </w:tc>
      </w:tr>
      <w:tr>
        <w:trPr>
          <w:trHeight w:val="29"/>
        </w:trPr>
        <w:tc>
          <w:tcPr>
            <w:tcW w:w="1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800" w:type="dxa"/>
            <w:vAlign w:val="bottom"/>
          </w:tcPr>
          <w:p>
            <w:pPr>
              <w:spacing w:after="0"/>
              <w:rPr>
                <w:sz w:val="2"/>
                <w:szCs w:val="2"/>
                <w:color w:val="auto"/>
              </w:rPr>
            </w:pPr>
          </w:p>
        </w:tc>
      </w:tr>
      <w:tr>
        <w:trPr>
          <w:trHeight w:val="263"/>
        </w:trPr>
        <w:tc>
          <w:tcPr>
            <w:tcW w:w="24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NO</w:t>
            </w:r>
            <w:r>
              <w:rPr>
                <w:rFonts w:ascii="Arial" w:cs="Arial" w:eastAsia="Arial" w:hAnsi="Arial"/>
                <w:sz w:val="10"/>
                <w:szCs w:val="10"/>
                <w:color w:val="auto"/>
              </w:rPr>
              <w:t>X</w:t>
            </w:r>
          </w:p>
        </w:tc>
        <w:tc>
          <w:tcPr>
            <w:tcW w:w="8800" w:type="dxa"/>
            <w:vAlign w:val="bottom"/>
            <w:tcBorders>
              <w:bottom w:val="single" w:sz="8" w:color="CFF0FC"/>
            </w:tcBorders>
            <w:shd w:val="clear" w:color="auto" w:fill="CFF0FC"/>
          </w:tcPr>
          <w:p>
            <w:pPr>
              <w:ind w:left="840"/>
              <w:spacing w:after="0"/>
              <w:rPr>
                <w:sz w:val="20"/>
                <w:szCs w:val="20"/>
                <w:color w:val="auto"/>
              </w:rPr>
            </w:pPr>
            <w:r>
              <w:rPr>
                <w:rFonts w:ascii="Arial" w:cs="Arial" w:eastAsia="Arial" w:hAnsi="Arial"/>
                <w:sz w:val="16"/>
                <w:szCs w:val="16"/>
                <w:color w:val="auto"/>
              </w:rPr>
              <w:t>Nitrogen oxide</w:t>
            </w:r>
          </w:p>
        </w:tc>
      </w:tr>
      <w:tr>
        <w:trPr>
          <w:trHeight w:val="215"/>
        </w:trPr>
        <w:tc>
          <w:tcPr>
            <w:tcW w:w="1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800" w:type="dxa"/>
            <w:vAlign w:val="bottom"/>
          </w:tcPr>
          <w:p>
            <w:pPr>
              <w:ind w:left="3140"/>
              <w:spacing w:after="0"/>
              <w:rPr>
                <w:sz w:val="20"/>
                <w:szCs w:val="20"/>
                <w:color w:val="auto"/>
              </w:rPr>
            </w:pPr>
            <w:r>
              <w:rPr>
                <w:rFonts w:ascii="Arial" w:cs="Arial" w:eastAsia="Arial" w:hAnsi="Arial"/>
                <w:sz w:val="16"/>
                <w:szCs w:val="16"/>
                <w:color w:val="auto"/>
              </w:rPr>
              <w:t>7</w:t>
            </w:r>
          </w:p>
        </w:tc>
      </w:tr>
      <w:tr>
        <w:trPr>
          <w:trHeight w:val="737"/>
        </w:trPr>
        <w:tc>
          <w:tcPr>
            <w:tcW w:w="13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4"/>
        </w:trPr>
        <w:tc>
          <w:tcPr>
            <w:tcW w:w="26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580" w:type="dxa"/>
            <w:vAlign w:val="bottom"/>
          </w:tcPr>
          <w:p>
            <w:pPr>
              <w:spacing w:after="0"/>
              <w:rPr>
                <w:sz w:val="16"/>
                <w:szCs w:val="16"/>
                <w:color w:val="auto"/>
              </w:rPr>
            </w:pPr>
          </w:p>
        </w:tc>
      </w:tr>
      <w:tr>
        <w:trPr>
          <w:trHeight w:val="262"/>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NOL</w:t>
            </w:r>
          </w:p>
        </w:tc>
        <w:tc>
          <w:tcPr>
            <w:tcW w:w="1300" w:type="dxa"/>
            <w:vAlign w:val="bottom"/>
          </w:tcPr>
          <w:p>
            <w:pPr>
              <w:spacing w:after="0"/>
              <w:rPr>
                <w:sz w:val="22"/>
                <w:szCs w:val="22"/>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Net Operating Loss</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Northern Iowa Windpower</w:t>
            </w: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Northern Iowa Windpower, LLC, a 87.1 MW wind farm located near Joice, Iowa, previously owned by Black</w:t>
            </w:r>
          </w:p>
        </w:tc>
      </w:tr>
      <w:tr>
        <w:trPr>
          <w:trHeight w:val="189"/>
        </w:trPr>
        <w:tc>
          <w:tcPr>
            <w:tcW w:w="1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Hills Electric Generation. In March 2023, Black Hills Electric Generation completed the sale of Northern Iowa</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Windpower assets to a third-party.</w:t>
            </w:r>
          </w:p>
        </w:tc>
      </w:tr>
      <w:tr>
        <w:trPr>
          <w:trHeight w:val="254"/>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OCI</w:t>
            </w:r>
          </w:p>
        </w:tc>
        <w:tc>
          <w:tcPr>
            <w:tcW w:w="8580" w:type="dxa"/>
            <w:vAlign w:val="bottom"/>
          </w:tcPr>
          <w:p>
            <w:pPr>
              <w:ind w:left="620"/>
              <w:spacing w:after="0"/>
              <w:rPr>
                <w:sz w:val="20"/>
                <w:szCs w:val="20"/>
                <w:color w:val="auto"/>
              </w:rPr>
            </w:pPr>
            <w:r>
              <w:rPr>
                <w:rFonts w:ascii="Arial" w:cs="Arial" w:eastAsia="Arial" w:hAnsi="Arial"/>
                <w:sz w:val="16"/>
                <w:szCs w:val="16"/>
                <w:color w:val="auto"/>
              </w:rPr>
              <w:t>Other Comprehensive Income</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3"/>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OPEB</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Other Post-Employment Benefits</w:t>
            </w:r>
          </w:p>
        </w:tc>
      </w:tr>
      <w:tr>
        <w:trPr>
          <w:trHeight w:val="254"/>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OSHA</w:t>
            </w:r>
          </w:p>
        </w:tc>
        <w:tc>
          <w:tcPr>
            <w:tcW w:w="8580" w:type="dxa"/>
            <w:vAlign w:val="bottom"/>
          </w:tcPr>
          <w:p>
            <w:pPr>
              <w:ind w:left="620"/>
              <w:spacing w:after="0"/>
              <w:rPr>
                <w:sz w:val="20"/>
                <w:szCs w:val="20"/>
                <w:color w:val="auto"/>
              </w:rPr>
            </w:pPr>
            <w:r>
              <w:rPr>
                <w:rFonts w:ascii="Arial" w:cs="Arial" w:eastAsia="Arial" w:hAnsi="Arial"/>
                <w:sz w:val="16"/>
                <w:szCs w:val="16"/>
                <w:color w:val="auto"/>
              </w:rPr>
              <w:t>United States Department of Labor’s Occupational Safety &amp; Health Administration</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3"/>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OSM</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United States Department of the Interior’s Office of Surface Mining</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PacifiCorp</w:t>
            </w:r>
          </w:p>
        </w:tc>
        <w:tc>
          <w:tcPr>
            <w:tcW w:w="8580" w:type="dxa"/>
            <w:vAlign w:val="bottom"/>
          </w:tcPr>
          <w:p>
            <w:pPr>
              <w:ind w:left="620"/>
              <w:spacing w:after="0"/>
              <w:rPr>
                <w:sz w:val="20"/>
                <w:szCs w:val="20"/>
                <w:color w:val="auto"/>
              </w:rPr>
            </w:pPr>
            <w:r>
              <w:rPr>
                <w:rFonts w:ascii="Arial" w:cs="Arial" w:eastAsia="Arial" w:hAnsi="Arial"/>
                <w:sz w:val="16"/>
                <w:szCs w:val="16"/>
                <w:color w:val="auto"/>
              </w:rPr>
              <w:t>PacifiCorp, a wholly owned subsidiary of MidAmerican Energy Holdings Company, itself an affiliate of</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Berkshire Hathaway.</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PCA</w:t>
            </w: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Power Cost Adjustment is an annual adjustment mechanism that allows us to pass a portion of prudently-</w:t>
            </w:r>
          </w:p>
        </w:tc>
      </w:tr>
      <w:tr>
        <w:trPr>
          <w:trHeight w:val="189"/>
        </w:trPr>
        <w:tc>
          <w:tcPr>
            <w:tcW w:w="1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incurred delivered power costs, including fuel, purchased capacity and energy, and transmission costs,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through to customers.</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PCCA</w:t>
            </w:r>
          </w:p>
        </w:tc>
        <w:tc>
          <w:tcPr>
            <w:tcW w:w="8580" w:type="dxa"/>
            <w:vAlign w:val="bottom"/>
          </w:tcPr>
          <w:p>
            <w:pPr>
              <w:ind w:left="620"/>
              <w:spacing w:after="0"/>
              <w:rPr>
                <w:sz w:val="20"/>
                <w:szCs w:val="20"/>
                <w:color w:val="auto"/>
              </w:rPr>
            </w:pPr>
            <w:r>
              <w:rPr>
                <w:rFonts w:ascii="Arial" w:cs="Arial" w:eastAsia="Arial" w:hAnsi="Arial"/>
                <w:sz w:val="16"/>
                <w:szCs w:val="16"/>
                <w:color w:val="auto"/>
              </w:rPr>
              <w:t>Power Capacity Cost Adjustment is an annual adjustment that allows us to pass the prudently-incurred</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purchased capacity costs, incremental to costs included in base rates, through to customers.</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3"/>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Peak View</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The 60.8 MW wind farm owned by Colorado Electric.</w:t>
            </w:r>
          </w:p>
        </w:tc>
      </w:tr>
      <w:tr>
        <w:trPr>
          <w:trHeight w:val="254"/>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PHMSA</w:t>
            </w:r>
          </w:p>
        </w:tc>
        <w:tc>
          <w:tcPr>
            <w:tcW w:w="8580" w:type="dxa"/>
            <w:vAlign w:val="bottom"/>
          </w:tcPr>
          <w:p>
            <w:pPr>
              <w:ind w:left="620"/>
              <w:spacing w:after="0"/>
              <w:rPr>
                <w:sz w:val="20"/>
                <w:szCs w:val="20"/>
                <w:color w:val="auto"/>
              </w:rPr>
            </w:pPr>
            <w:r>
              <w:rPr>
                <w:rFonts w:ascii="Arial" w:cs="Arial" w:eastAsia="Arial" w:hAnsi="Arial"/>
                <w:sz w:val="16"/>
                <w:szCs w:val="16"/>
                <w:color w:val="auto"/>
              </w:rPr>
              <w:t>United States Department of Transportation's Pipeline and Hazardous Materials Safety Administration</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4"/>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PPA</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Power Purchase Agreement</w:t>
            </w:r>
          </w:p>
        </w:tc>
      </w:tr>
      <w:tr>
        <w:trPr>
          <w:trHeight w:val="254"/>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PSA</w:t>
            </w:r>
          </w:p>
        </w:tc>
        <w:tc>
          <w:tcPr>
            <w:tcW w:w="8580" w:type="dxa"/>
            <w:vAlign w:val="bottom"/>
          </w:tcPr>
          <w:p>
            <w:pPr>
              <w:ind w:left="620"/>
              <w:spacing w:after="0"/>
              <w:rPr>
                <w:sz w:val="20"/>
                <w:szCs w:val="20"/>
                <w:color w:val="auto"/>
              </w:rPr>
            </w:pPr>
            <w:r>
              <w:rPr>
                <w:rFonts w:ascii="Arial" w:cs="Arial" w:eastAsia="Arial" w:hAnsi="Arial"/>
                <w:sz w:val="16"/>
                <w:szCs w:val="16"/>
                <w:color w:val="auto"/>
              </w:rPr>
              <w:t>Power Sales Agreement</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3"/>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PTC</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Production Tax Credit</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Pueblo Airport Generation</w:t>
            </w:r>
          </w:p>
        </w:tc>
        <w:tc>
          <w:tcPr>
            <w:tcW w:w="8580" w:type="dxa"/>
            <w:vAlign w:val="bottom"/>
          </w:tcPr>
          <w:p>
            <w:pPr>
              <w:ind w:left="620"/>
              <w:spacing w:after="0"/>
              <w:rPr>
                <w:sz w:val="20"/>
                <w:szCs w:val="20"/>
                <w:color w:val="auto"/>
              </w:rPr>
            </w:pPr>
            <w:r>
              <w:rPr>
                <w:rFonts w:ascii="Arial" w:cs="Arial" w:eastAsia="Arial" w:hAnsi="Arial"/>
                <w:sz w:val="16"/>
                <w:szCs w:val="16"/>
                <w:color w:val="auto"/>
              </w:rPr>
              <w:t>Pueblo Airport Generating Station located in Pueblo, Colorado includes 440 MW of combined cycle gas-fired</w:t>
            </w:r>
          </w:p>
        </w:tc>
      </w:tr>
      <w:tr>
        <w:trPr>
          <w:trHeight w:val="189"/>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power generation plants jointly owned by Colorado Electric (240 MW) and Black Hills Colorado IPP (200 MW).</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Black Hills Colorado IPP owns and operates this facility. The plants commenced operation on January 1, 2012.</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4"/>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PUHCA 2005</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Public Utility Holding Company Act of 2005</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6"/>
                <w:szCs w:val="16"/>
                <w:i w:val="1"/>
                <w:iCs w:val="1"/>
                <w:color w:val="auto"/>
              </w:rPr>
              <w:t>Ready</w:t>
            </w:r>
          </w:p>
        </w:tc>
        <w:tc>
          <w:tcPr>
            <w:tcW w:w="8580" w:type="dxa"/>
            <w:vAlign w:val="bottom"/>
          </w:tcPr>
          <w:p>
            <w:pPr>
              <w:ind w:left="620"/>
              <w:spacing w:after="0"/>
              <w:rPr>
                <w:sz w:val="20"/>
                <w:szCs w:val="20"/>
                <w:color w:val="auto"/>
              </w:rPr>
            </w:pPr>
            <w:r>
              <w:rPr>
                <w:rFonts w:ascii="Arial" w:cs="Arial" w:eastAsia="Arial" w:hAnsi="Arial"/>
                <w:sz w:val="16"/>
                <w:szCs w:val="16"/>
                <w:color w:val="auto"/>
              </w:rPr>
              <w:t>The Company’s branding platform which emphasizes that we will 1) prioritize our customers; 2) act as a</w:t>
            </w:r>
          </w:p>
        </w:tc>
      </w:tr>
      <w:tr>
        <w:trPr>
          <w:trHeight w:val="189"/>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thoughtful, responsible leader; 3) listen first and lead with a focus on relationships; and 4) be creative in our</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approach to solutions.</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6"/>
                <w:szCs w:val="16"/>
                <w:i w:val="1"/>
                <w:iCs w:val="1"/>
                <w:color w:val="auto"/>
              </w:rPr>
              <w:t>Ready Wyoming</w:t>
            </w: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 260-mile, multi-phase transmission expansion project in Wyoming. This transmission project is expected to</w:t>
            </w:r>
          </w:p>
        </w:tc>
      </w:tr>
      <w:tr>
        <w:trPr>
          <w:trHeight w:val="189"/>
        </w:trPr>
        <w:tc>
          <w:tcPr>
            <w:tcW w:w="1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serve the growing needs of customers by enhancing resiliency of Wyoming Electric’s overall electric system</w:t>
            </w:r>
          </w:p>
        </w:tc>
      </w:tr>
      <w:tr>
        <w:trPr>
          <w:trHeight w:val="189"/>
        </w:trPr>
        <w:tc>
          <w:tcPr>
            <w:tcW w:w="1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and expanding access to power markets and renewable resources. The project is expected to help Wyoming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Electric maintain top-quartile reliability and enable economic development in the Cheyenne, Wyoming region.</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RESA</w:t>
            </w:r>
          </w:p>
        </w:tc>
        <w:tc>
          <w:tcPr>
            <w:tcW w:w="8580" w:type="dxa"/>
            <w:vAlign w:val="bottom"/>
          </w:tcPr>
          <w:p>
            <w:pPr>
              <w:ind w:left="620"/>
              <w:spacing w:after="0"/>
              <w:rPr>
                <w:sz w:val="20"/>
                <w:szCs w:val="20"/>
                <w:color w:val="auto"/>
              </w:rPr>
            </w:pPr>
            <w:r>
              <w:rPr>
                <w:rFonts w:ascii="Arial" w:cs="Arial" w:eastAsia="Arial" w:hAnsi="Arial"/>
                <w:sz w:val="16"/>
                <w:szCs w:val="16"/>
                <w:color w:val="auto"/>
              </w:rPr>
              <w:t>Renewable Energy Standard Adjustment is an incremental retail rate limited to 2% for Colorado Electric</w:t>
            </w:r>
          </w:p>
        </w:tc>
      </w:tr>
      <w:tr>
        <w:trPr>
          <w:trHeight w:val="189"/>
        </w:trPr>
        <w:tc>
          <w:tcPr>
            <w:tcW w:w="13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customers that provides funding for renewable energy projects and programs to comply with Colorado’s</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Renewable Energy Standard.</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Revolving Credit Facility</w:t>
            </w: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Our $750 million credit facility used to fund working capital needs, letters of credit and other corporate</w:t>
            </w:r>
          </w:p>
        </w:tc>
      </w:tr>
      <w:tr>
        <w:trPr>
          <w:trHeight w:val="189"/>
        </w:trPr>
        <w:tc>
          <w:tcPr>
            <w:tcW w:w="1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purposes, which was amended on May 9, 2023 and will terminate on July 19, 2026. This facility includes an</w:t>
            </w:r>
          </w:p>
        </w:tc>
      </w:tr>
      <w:tr>
        <w:trPr>
          <w:trHeight w:val="189"/>
        </w:trPr>
        <w:tc>
          <w:tcPr>
            <w:tcW w:w="13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accordion feature that allows us to increase total commitments up to $1.0 billion with the consent of the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administrative agent, the issuing agents and each bank increasing or providing a new commitment.</w:t>
            </w:r>
          </w:p>
        </w:tc>
      </w:tr>
      <w:tr>
        <w:trPr>
          <w:trHeight w:val="229"/>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RMNG</w:t>
            </w:r>
          </w:p>
        </w:tc>
        <w:tc>
          <w:tcPr>
            <w:tcW w:w="8580" w:type="dxa"/>
            <w:vAlign w:val="bottom"/>
          </w:tcPr>
          <w:p>
            <w:pPr>
              <w:ind w:left="620"/>
              <w:spacing w:after="0"/>
              <w:rPr>
                <w:sz w:val="20"/>
                <w:szCs w:val="20"/>
                <w:color w:val="auto"/>
              </w:rPr>
            </w:pPr>
            <w:r>
              <w:rPr>
                <w:rFonts w:ascii="Arial" w:cs="Arial" w:eastAsia="Arial" w:hAnsi="Arial"/>
                <w:sz w:val="16"/>
                <w:szCs w:val="16"/>
                <w:color w:val="auto"/>
              </w:rPr>
              <w:t>Rocky Mountain Natural Gas LLC, an indirect, wholly-owned subsidiary of Black Hills Utility Holdings, providing</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620"/>
              <w:spacing w:after="0"/>
              <w:rPr>
                <w:sz w:val="20"/>
                <w:szCs w:val="20"/>
                <w:color w:val="auto"/>
              </w:rPr>
            </w:pPr>
            <w:r>
              <w:rPr>
                <w:rFonts w:ascii="Arial" w:cs="Arial" w:eastAsia="Arial" w:hAnsi="Arial"/>
                <w:sz w:val="16"/>
                <w:szCs w:val="16"/>
                <w:color w:val="auto"/>
              </w:rPr>
              <w:t>natural gas transmission and wholesale services in western Colorado (doing business as Black Hills Energy).</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3"/>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RNG</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Renewable natural gas</w:t>
            </w:r>
          </w:p>
        </w:tc>
      </w:tr>
      <w:tr>
        <w:trPr>
          <w:trHeight w:val="25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RTO</w:t>
            </w:r>
          </w:p>
        </w:tc>
        <w:tc>
          <w:tcPr>
            <w:tcW w:w="8580" w:type="dxa"/>
            <w:vAlign w:val="bottom"/>
          </w:tcPr>
          <w:p>
            <w:pPr>
              <w:ind w:left="620"/>
              <w:spacing w:after="0"/>
              <w:rPr>
                <w:sz w:val="20"/>
                <w:szCs w:val="20"/>
                <w:color w:val="auto"/>
              </w:rPr>
            </w:pPr>
            <w:r>
              <w:rPr>
                <w:rFonts w:ascii="Arial" w:cs="Arial" w:eastAsia="Arial" w:hAnsi="Arial"/>
                <w:sz w:val="16"/>
                <w:szCs w:val="16"/>
                <w:color w:val="auto"/>
              </w:rPr>
              <w:t>Regional Transmission Organization</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4"/>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SDPUC</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South Dakota Public Utilities Commission</w:t>
            </w:r>
          </w:p>
        </w:tc>
      </w:tr>
      <w:tr>
        <w:trPr>
          <w:trHeight w:val="25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SEC</w:t>
            </w:r>
          </w:p>
        </w:tc>
        <w:tc>
          <w:tcPr>
            <w:tcW w:w="8580" w:type="dxa"/>
            <w:vAlign w:val="bottom"/>
          </w:tcPr>
          <w:p>
            <w:pPr>
              <w:ind w:left="620"/>
              <w:spacing w:after="0"/>
              <w:rPr>
                <w:sz w:val="20"/>
                <w:szCs w:val="20"/>
                <w:color w:val="auto"/>
              </w:rPr>
            </w:pPr>
            <w:r>
              <w:rPr>
                <w:rFonts w:ascii="Arial" w:cs="Arial" w:eastAsia="Arial" w:hAnsi="Arial"/>
                <w:sz w:val="16"/>
                <w:szCs w:val="16"/>
                <w:color w:val="auto"/>
              </w:rPr>
              <w:t>United States Securities and Exchange Commission</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29"/>
        </w:trPr>
        <w:tc>
          <w:tcPr>
            <w:tcW w:w="26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Service Guard Comfort Plan</w:t>
            </w:r>
          </w:p>
        </w:tc>
        <w:tc>
          <w:tcPr>
            <w:tcW w:w="85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Appliance protection plan that provides home appliance repair services through on-going monthly service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300" w:type="dxa"/>
            <w:vAlign w:val="bottom"/>
            <w:tcBorders>
              <w:bottom w:val="single" w:sz="8" w:color="CFF0FC"/>
            </w:tcBorders>
            <w:shd w:val="clear" w:color="auto" w:fill="CFF0FC"/>
          </w:tcPr>
          <w:p>
            <w:pPr>
              <w:spacing w:after="0"/>
              <w:rPr>
                <w:sz w:val="19"/>
                <w:szCs w:val="19"/>
                <w:color w:val="auto"/>
              </w:rPr>
            </w:pP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agreements to residential utility customers.</w:t>
            </w:r>
          </w:p>
        </w:tc>
      </w:tr>
      <w:tr>
        <w:trPr>
          <w:trHeight w:val="255"/>
        </w:trPr>
        <w:tc>
          <w:tcPr>
            <w:tcW w:w="2660" w:type="dxa"/>
            <w:vAlign w:val="bottom"/>
            <w:gridSpan w:val="2"/>
          </w:tcPr>
          <w:p>
            <w:pPr>
              <w:ind w:left="20"/>
              <w:spacing w:after="0"/>
              <w:rPr>
                <w:sz w:val="20"/>
                <w:szCs w:val="20"/>
                <w:color w:val="auto"/>
              </w:rPr>
            </w:pPr>
            <w:r>
              <w:rPr>
                <w:rFonts w:ascii="Arial" w:cs="Arial" w:eastAsia="Arial" w:hAnsi="Arial"/>
                <w:sz w:val="16"/>
                <w:szCs w:val="16"/>
                <w:color w:val="auto"/>
              </w:rPr>
              <w:t>SO</w:t>
            </w:r>
            <w:r>
              <w:rPr>
                <w:rFonts w:ascii="Arial" w:cs="Arial" w:eastAsia="Arial" w:hAnsi="Arial"/>
                <w:sz w:val="10"/>
                <w:szCs w:val="10"/>
                <w:color w:val="auto"/>
              </w:rPr>
              <w:t>2</w:t>
            </w:r>
          </w:p>
        </w:tc>
        <w:tc>
          <w:tcPr>
            <w:tcW w:w="8580" w:type="dxa"/>
            <w:vAlign w:val="bottom"/>
          </w:tcPr>
          <w:p>
            <w:pPr>
              <w:ind w:left="620"/>
              <w:spacing w:after="0"/>
              <w:rPr>
                <w:sz w:val="20"/>
                <w:szCs w:val="20"/>
                <w:color w:val="auto"/>
              </w:rPr>
            </w:pPr>
            <w:r>
              <w:rPr>
                <w:rFonts w:ascii="Arial" w:cs="Arial" w:eastAsia="Arial" w:hAnsi="Arial"/>
                <w:sz w:val="16"/>
                <w:szCs w:val="16"/>
                <w:color w:val="auto"/>
              </w:rPr>
              <w:t>Sulfur dioxide</w:t>
            </w:r>
          </w:p>
        </w:tc>
      </w:tr>
      <w:tr>
        <w:trPr>
          <w:trHeight w:val="29"/>
        </w:trPr>
        <w:tc>
          <w:tcPr>
            <w:tcW w:w="1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580" w:type="dxa"/>
            <w:vAlign w:val="bottom"/>
          </w:tcPr>
          <w:p>
            <w:pPr>
              <w:spacing w:after="0"/>
              <w:rPr>
                <w:sz w:val="2"/>
                <w:szCs w:val="2"/>
                <w:color w:val="auto"/>
              </w:rPr>
            </w:pPr>
          </w:p>
        </w:tc>
      </w:tr>
      <w:tr>
        <w:trPr>
          <w:trHeight w:val="263"/>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SOFR</w:t>
            </w:r>
          </w:p>
        </w:tc>
        <w:tc>
          <w:tcPr>
            <w:tcW w:w="8580" w:type="dxa"/>
            <w:vAlign w:val="bottom"/>
            <w:tcBorders>
              <w:bottom w:val="single" w:sz="8" w:color="CFF0FC"/>
            </w:tcBorders>
            <w:shd w:val="clear" w:color="auto" w:fill="CFF0FC"/>
          </w:tcPr>
          <w:p>
            <w:pPr>
              <w:ind w:left="620"/>
              <w:spacing w:after="0"/>
              <w:rPr>
                <w:sz w:val="20"/>
                <w:szCs w:val="20"/>
                <w:color w:val="auto"/>
              </w:rPr>
            </w:pPr>
            <w:r>
              <w:rPr>
                <w:rFonts w:ascii="Arial" w:cs="Arial" w:eastAsia="Arial" w:hAnsi="Arial"/>
                <w:sz w:val="16"/>
                <w:szCs w:val="16"/>
                <w:color w:val="auto"/>
              </w:rPr>
              <w:t>Secured Overnight Financing Rate</w:t>
            </w:r>
          </w:p>
        </w:tc>
      </w:tr>
      <w:tr>
        <w:trPr>
          <w:trHeight w:val="215"/>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580" w:type="dxa"/>
            <w:vAlign w:val="bottom"/>
          </w:tcPr>
          <w:p>
            <w:pPr>
              <w:ind w:left="2920"/>
              <w:spacing w:after="0"/>
              <w:rPr>
                <w:sz w:val="20"/>
                <w:szCs w:val="20"/>
                <w:color w:val="auto"/>
              </w:rPr>
            </w:pPr>
            <w:r>
              <w:rPr>
                <w:rFonts w:ascii="Arial" w:cs="Arial" w:eastAsia="Arial" w:hAnsi="Arial"/>
                <w:sz w:val="16"/>
                <w:szCs w:val="16"/>
                <w:color w:val="auto"/>
              </w:rPr>
              <w:t>8</w:t>
            </w:r>
          </w:p>
        </w:tc>
      </w:tr>
      <w:tr>
        <w:trPr>
          <w:trHeight w:val="737"/>
        </w:trPr>
        <w:tc>
          <w:tcPr>
            <w:tcW w:w="13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8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8780" w:type="dxa"/>
            <w:vAlign w:val="bottom"/>
          </w:tcPr>
          <w:p>
            <w:pPr>
              <w:spacing w:after="0"/>
              <w:rPr>
                <w:sz w:val="16"/>
                <w:szCs w:val="16"/>
                <w:color w:val="auto"/>
              </w:rPr>
            </w:pPr>
          </w:p>
        </w:tc>
      </w:tr>
      <w:tr>
        <w:trPr>
          <w:trHeight w:val="262"/>
        </w:trPr>
        <w:tc>
          <w:tcPr>
            <w:tcW w:w="1360" w:type="dxa"/>
            <w:vAlign w:val="bottom"/>
            <w:tcBorders>
              <w:top w:val="single" w:sz="8" w:color="0000FF"/>
            </w:tcBorders>
          </w:tcPr>
          <w:p>
            <w:pPr>
              <w:ind w:left="20"/>
              <w:spacing w:after="0"/>
              <w:rPr>
                <w:sz w:val="20"/>
                <w:szCs w:val="20"/>
                <w:color w:val="auto"/>
              </w:rPr>
            </w:pPr>
            <w:r>
              <w:rPr>
                <w:rFonts w:ascii="Arial" w:cs="Arial" w:eastAsia="Arial" w:hAnsi="Arial"/>
                <w:sz w:val="16"/>
                <w:szCs w:val="16"/>
                <w:color w:val="auto"/>
              </w:rPr>
              <w:t>S&amp;P</w:t>
            </w:r>
          </w:p>
        </w:tc>
        <w:tc>
          <w:tcPr>
            <w:tcW w:w="1100" w:type="dxa"/>
            <w:vAlign w:val="bottom"/>
          </w:tcPr>
          <w:p>
            <w:pPr>
              <w:spacing w:after="0"/>
              <w:rPr>
                <w:sz w:val="22"/>
                <w:szCs w:val="22"/>
                <w:color w:val="auto"/>
              </w:rPr>
            </w:pPr>
          </w:p>
        </w:tc>
        <w:tc>
          <w:tcPr>
            <w:tcW w:w="8780" w:type="dxa"/>
            <w:vAlign w:val="bottom"/>
          </w:tcPr>
          <w:p>
            <w:pPr>
              <w:ind w:left="820"/>
              <w:spacing w:after="0"/>
              <w:rPr>
                <w:sz w:val="20"/>
                <w:szCs w:val="20"/>
                <w:color w:val="auto"/>
              </w:rPr>
            </w:pPr>
            <w:r>
              <w:rPr>
                <w:rFonts w:ascii="Arial" w:cs="Arial" w:eastAsia="Arial" w:hAnsi="Arial"/>
                <w:sz w:val="16"/>
                <w:szCs w:val="16"/>
                <w:color w:val="auto"/>
              </w:rPr>
              <w:t>S&amp;P Global Ratings, a division of S&amp;P Global Inc.</w:t>
            </w:r>
          </w:p>
        </w:tc>
      </w:tr>
      <w:tr>
        <w:trPr>
          <w:trHeight w:val="29"/>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South Dakota Electric</w:t>
            </w: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Black Hills Power, Inc., a direct, wholly-owned subsidiary of Black Hills Corporation, providing electric service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78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6"/>
                <w:szCs w:val="16"/>
                <w:color w:val="auto"/>
              </w:rPr>
              <w:t>to customers in Montana, South Dakota and Wyoming (doing business as Black Hills Energy).</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SPP</w:t>
            </w:r>
          </w:p>
        </w:tc>
        <w:tc>
          <w:tcPr>
            <w:tcW w:w="8780" w:type="dxa"/>
            <w:vAlign w:val="bottom"/>
          </w:tcPr>
          <w:p>
            <w:pPr>
              <w:ind w:left="820"/>
              <w:spacing w:after="0"/>
              <w:rPr>
                <w:sz w:val="20"/>
                <w:szCs w:val="20"/>
                <w:color w:val="auto"/>
              </w:rPr>
            </w:pPr>
            <w:r>
              <w:rPr>
                <w:rFonts w:ascii="Arial" w:cs="Arial" w:eastAsia="Arial" w:hAnsi="Arial"/>
                <w:sz w:val="16"/>
                <w:szCs w:val="16"/>
                <w:color w:val="auto"/>
              </w:rPr>
              <w:t>Southwest Power Pool, a regional transmission organization (RTO) that oversees the bulk electric grid and</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820"/>
              <w:spacing w:after="0"/>
              <w:rPr>
                <w:sz w:val="20"/>
                <w:szCs w:val="20"/>
                <w:color w:val="auto"/>
              </w:rPr>
            </w:pPr>
            <w:r>
              <w:rPr>
                <w:rFonts w:ascii="Arial" w:cs="Arial" w:eastAsia="Arial" w:hAnsi="Arial"/>
                <w:sz w:val="16"/>
                <w:szCs w:val="16"/>
                <w:color w:val="auto"/>
              </w:rPr>
              <w:t>wholesale power market in the central United States.</w:t>
            </w:r>
          </w:p>
        </w:tc>
      </w:tr>
      <w:tr>
        <w:trPr>
          <w:trHeight w:val="29"/>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SSIR</w:t>
            </w: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System Safety and Integrity Rider is a mechanism that allows us to recover the costs associated with certain</w:t>
            </w:r>
          </w:p>
        </w:tc>
      </w:tr>
      <w:tr>
        <w:trPr>
          <w:trHeight w:val="189"/>
        </w:trPr>
        <w:tc>
          <w:tcPr>
            <w:tcW w:w="1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pipeline safety and integrity investments, including the replacement of higher risk pipe, the improvement of the</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78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6"/>
                <w:szCs w:val="16"/>
                <w:color w:val="auto"/>
              </w:rPr>
              <w:t>data management system, and the mitigation of other safety issues identified on our natural gas system.</w:t>
            </w:r>
          </w:p>
        </w:tc>
      </w:tr>
      <w:tr>
        <w:trPr>
          <w:trHeight w:val="254"/>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System Peak Demand</w:t>
            </w:r>
          </w:p>
        </w:tc>
        <w:tc>
          <w:tcPr>
            <w:tcW w:w="8780" w:type="dxa"/>
            <w:vAlign w:val="bottom"/>
          </w:tcPr>
          <w:p>
            <w:pPr>
              <w:ind w:left="820"/>
              <w:spacing w:after="0"/>
              <w:rPr>
                <w:sz w:val="20"/>
                <w:szCs w:val="20"/>
                <w:color w:val="auto"/>
              </w:rPr>
            </w:pPr>
            <w:r>
              <w:rPr>
                <w:rFonts w:ascii="Arial" w:cs="Arial" w:eastAsia="Arial" w:hAnsi="Arial"/>
                <w:sz w:val="16"/>
                <w:szCs w:val="16"/>
                <w:color w:val="auto"/>
              </w:rPr>
              <w:t>Represents the highest point of retail customer usage for a single hour.</w:t>
            </w:r>
          </w:p>
        </w:tc>
      </w:tr>
      <w:tr>
        <w:trPr>
          <w:trHeight w:val="29"/>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TCA</w:t>
            </w: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Transmission Cost Adjustment is an annual adjustment mechanism that allows us to recover from customers</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CFF0FC"/>
            </w:tcBorders>
            <w:shd w:val="clear" w:color="auto" w:fill="CFF0FC"/>
          </w:tcPr>
          <w:p>
            <w:pPr>
              <w:spacing w:after="0"/>
              <w:rPr>
                <w:sz w:val="19"/>
                <w:szCs w:val="19"/>
                <w:color w:val="auto"/>
              </w:rPr>
            </w:pPr>
          </w:p>
        </w:tc>
        <w:tc>
          <w:tcPr>
            <w:tcW w:w="8780" w:type="dxa"/>
            <w:vAlign w:val="bottom"/>
            <w:tcBorders>
              <w:bottom w:val="single" w:sz="8" w:color="CFF0FC"/>
            </w:tcBorders>
            <w:shd w:val="clear" w:color="auto" w:fill="CFF0FC"/>
          </w:tcPr>
          <w:p>
            <w:pPr>
              <w:ind w:left="820"/>
              <w:spacing w:after="0"/>
              <w:rPr>
                <w:sz w:val="20"/>
                <w:szCs w:val="20"/>
                <w:color w:val="auto"/>
              </w:rPr>
            </w:pPr>
            <w:r>
              <w:rPr>
                <w:rFonts w:ascii="Arial" w:cs="Arial" w:eastAsia="Arial" w:hAnsi="Arial"/>
                <w:sz w:val="16"/>
                <w:szCs w:val="16"/>
                <w:color w:val="auto"/>
              </w:rPr>
              <w:t>eligible transmission investments prior to the next rate review.</w:t>
            </w:r>
          </w:p>
        </w:tc>
      </w:tr>
      <w:tr>
        <w:trPr>
          <w:trHeight w:val="229"/>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TCAM</w:t>
            </w:r>
          </w:p>
        </w:tc>
        <w:tc>
          <w:tcPr>
            <w:tcW w:w="8780" w:type="dxa"/>
            <w:vAlign w:val="bottom"/>
          </w:tcPr>
          <w:p>
            <w:pPr>
              <w:ind w:left="820"/>
              <w:spacing w:after="0"/>
              <w:rPr>
                <w:sz w:val="20"/>
                <w:szCs w:val="20"/>
                <w:color w:val="auto"/>
              </w:rPr>
            </w:pPr>
            <w:r>
              <w:rPr>
                <w:rFonts w:ascii="Arial" w:cs="Arial" w:eastAsia="Arial" w:hAnsi="Arial"/>
                <w:sz w:val="16"/>
                <w:szCs w:val="16"/>
                <w:color w:val="auto"/>
              </w:rPr>
              <w:t>Transmission Cost Adjustment Mechanism is a WPSC-approved tariff based on a formulaic approach that</w:t>
            </w:r>
          </w:p>
        </w:tc>
      </w:tr>
      <w:tr>
        <w:trPr>
          <w:trHeight w:val="215"/>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780" w:type="dxa"/>
            <w:vAlign w:val="bottom"/>
          </w:tcPr>
          <w:p>
            <w:pPr>
              <w:ind w:left="820"/>
              <w:spacing w:after="0"/>
              <w:rPr>
                <w:sz w:val="20"/>
                <w:szCs w:val="20"/>
                <w:color w:val="auto"/>
              </w:rPr>
            </w:pPr>
            <w:r>
              <w:rPr>
                <w:rFonts w:ascii="Arial" w:cs="Arial" w:eastAsia="Arial" w:hAnsi="Arial"/>
                <w:sz w:val="16"/>
                <w:szCs w:val="16"/>
                <w:color w:val="auto"/>
              </w:rPr>
              <w:t>determines the recovery of Wyoming Electric's transmission costs.</w:t>
            </w:r>
          </w:p>
        </w:tc>
      </w:tr>
      <w:tr>
        <w:trPr>
          <w:trHeight w:val="29"/>
        </w:trPr>
        <w:tc>
          <w:tcPr>
            <w:tcW w:w="1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780" w:type="dxa"/>
            <w:vAlign w:val="bottom"/>
          </w:tcPr>
          <w:p>
            <w:pPr>
              <w:spacing w:after="0"/>
              <w:rPr>
                <w:sz w:val="2"/>
                <w:szCs w:val="2"/>
                <w:color w:val="auto"/>
              </w:rPr>
            </w:pPr>
          </w:p>
        </w:tc>
      </w:tr>
      <w:tr>
        <w:trPr>
          <w:trHeight w:val="229"/>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TCJA</w:t>
            </w: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Tax Cuts and Jobs Act enacted on December 22, 2017, which reduced the U.S. federal corporate tax rate from</w:t>
            </w:r>
          </w:p>
        </w:tc>
      </w:tr>
      <w:tr>
        <w:trPr>
          <w:trHeight w:val="189"/>
        </w:trPr>
        <w:tc>
          <w:tcPr>
            <w:tcW w:w="136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35% to 21%. As such, we remeasured our deferred income taxes at the 21% federal tax rate as of December</w:t>
            </w:r>
          </w:p>
        </w:tc>
      </w:tr>
      <w:tr>
        <w:trPr>
          <w:trHeight w:val="215"/>
        </w:trPr>
        <w:tc>
          <w:tcPr>
            <w:tcW w:w="1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780" w:type="dxa"/>
            <w:vAlign w:val="bottom"/>
            <w:shd w:val="clear" w:color="auto" w:fill="CFF0FC"/>
          </w:tcPr>
          <w:p>
            <w:pPr>
              <w:ind w:left="820"/>
              <w:spacing w:after="0"/>
              <w:rPr>
                <w:sz w:val="20"/>
                <w:szCs w:val="20"/>
                <w:color w:val="auto"/>
              </w:rPr>
            </w:pPr>
            <w:r>
              <w:rPr>
                <w:rFonts w:ascii="Arial" w:cs="Arial" w:eastAsia="Arial" w:hAnsi="Arial"/>
                <w:sz w:val="16"/>
                <w:szCs w:val="16"/>
                <w:color w:val="auto"/>
              </w:rPr>
              <w:t>31, 2017.</w:t>
            </w:r>
          </w:p>
        </w:tc>
      </w:tr>
      <w:tr>
        <w:trPr>
          <w:trHeight w:val="29"/>
        </w:trPr>
        <w:tc>
          <w:tcPr>
            <w:tcW w:w="136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8780" w:type="dxa"/>
            <w:vAlign w:val="bottom"/>
            <w:shd w:val="clear" w:color="auto" w:fill="CFF0FC"/>
          </w:tcPr>
          <w:p>
            <w:pPr>
              <w:spacing w:after="0"/>
              <w:rPr>
                <w:sz w:val="2"/>
                <w:szCs w:val="2"/>
                <w:color w:val="auto"/>
              </w:rPr>
            </w:pPr>
          </w:p>
        </w:tc>
      </w:tr>
    </w:tbl>
    <w:p>
      <w:pPr>
        <w:spacing w:after="0" w:line="40" w:lineRule="exact"/>
        <w:rPr>
          <w:sz w:val="20"/>
          <w:szCs w:val="20"/>
          <w:color w:val="auto"/>
        </w:rPr>
      </w:pPr>
    </w:p>
    <w:p>
      <w:pPr>
        <w:sectPr>
          <w:pgSz w:w="11900" w:h="16838" w:orient="portrait"/>
          <w:cols w:equalWidth="0" w:num="1">
            <w:col w:w="11240"/>
          </w:cols>
          <w:pgMar w:left="320" w:top="766" w:right="339" w:bottom="1440" w:gutter="0" w:footer="0" w:header="0"/>
        </w:sectPr>
      </w:pPr>
    </w:p>
    <w:p>
      <w:pPr>
        <w:ind w:left="20"/>
        <w:spacing w:after="0"/>
        <w:rPr>
          <w:sz w:val="20"/>
          <w:szCs w:val="20"/>
          <w:color w:val="auto"/>
        </w:rPr>
      </w:pPr>
      <w:r>
        <w:rPr>
          <w:rFonts w:ascii="Arial" w:cs="Arial" w:eastAsia="Arial" w:hAnsi="Arial"/>
          <w:sz w:val="15"/>
          <w:szCs w:val="15"/>
          <w:color w:val="auto"/>
        </w:rPr>
        <w:t>Tech Services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TEPR</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TFA</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6"/>
          <w:szCs w:val="16"/>
          <w:color w:val="auto"/>
        </w:rPr>
        <w:t>Non-regulated product lines delivered by our Utilities that 1) provide electrical system construction services to large industrial customers of our electric utilities, and 2) serve gas transportation customers throughout its service territory by constructing and maintaining customer-owned gas infrastructure facilities, typically through one-time contracts.</w:t>
      </w:r>
    </w:p>
    <w:p>
      <w:pPr>
        <w:spacing w:after="0" w:line="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Transportation Electrification Program Rider is a CPUC-approved mechanism associated with Colorado Electric's EV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-2077085</wp:posOffset>
            </wp:positionH>
            <wp:positionV relativeFrom="paragraph">
              <wp:posOffset>-268605</wp:posOffset>
            </wp:positionV>
            <wp:extent cx="7132320"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248920"/>
                    </a:xfrm>
                    <a:prstGeom prst="rect">
                      <a:avLst/>
                    </a:prstGeom>
                    <a:noFill/>
                  </pic:spPr>
                </pic:pic>
              </a:graphicData>
            </a:graphic>
          </wp:anchor>
        </w:drawing>
      </w:r>
    </w:p>
    <w:p>
      <w:pPr>
        <w:ind w:right="320"/>
        <w:spacing w:after="0" w:line="282" w:lineRule="auto"/>
        <w:rPr>
          <w:sz w:val="20"/>
          <w:szCs w:val="20"/>
          <w:color w:val="auto"/>
        </w:rPr>
      </w:pPr>
      <w:r>
        <w:rPr>
          <w:rFonts w:ascii="Arial" w:cs="Arial" w:eastAsia="Arial" w:hAnsi="Arial"/>
          <w:sz w:val="16"/>
          <w:szCs w:val="16"/>
          <w:color w:val="auto"/>
        </w:rPr>
        <w:t>Transmission Facility Adjustment is an annual adjustment mechanism that allows us to recover charges for qualifying new and modified transmission facilities from customers.</w:t>
      </w:r>
    </w:p>
    <w:p>
      <w:pPr>
        <w:spacing w:after="0" w:line="1" w:lineRule="exact"/>
        <w:rPr>
          <w:sz w:val="20"/>
          <w:szCs w:val="20"/>
          <w:color w:val="auto"/>
        </w:rPr>
      </w:pPr>
    </w:p>
    <w:p>
      <w:pPr>
        <w:sectPr>
          <w:pgSz w:w="11900" w:h="16838" w:orient="portrait"/>
          <w:cols w:equalWidth="0" w:num="2">
            <w:col w:w="2560" w:space="720"/>
            <w:col w:w="7960"/>
          </w:cols>
          <w:pgMar w:left="320" w:top="766"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Transmission Tie</w:t>
            </w: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South Dakota Electric owns 35% of a AC-DC-AC transmission tie that interconnects the Western and Eastern</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transmission grids, which are independently-operated transmission grids serving the western and eastern</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United States, respectively. Basin Electric Power Cooperative owns the remaining ownership percentage. This</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transmission tie allows us to buy and sell energy in the Eastern grid without having to isolate and physically</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reconnect load or generation between the two transmission grids, thus enhancing the reliability of our system.</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It accommodates scheduling transactions in both directions simultaneously, provides additional opportunities</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to sell excess generation or to make economic purchases to serve our native load and contract obligations,</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and enables us to take advantage of power price differentials between the two grids. The total transfer</w:t>
            </w:r>
          </w:p>
        </w:tc>
      </w:tr>
      <w:tr>
        <w:trPr>
          <w:trHeight w:val="224"/>
        </w:trPr>
        <w:tc>
          <w:tcPr>
            <w:tcW w:w="2420" w:type="dxa"/>
            <w:vAlign w:val="bottom"/>
            <w:tcBorders>
              <w:bottom w:val="single" w:sz="8" w:color="CFF0FC"/>
            </w:tcBorders>
            <w:shd w:val="clear" w:color="auto" w:fill="CFF0FC"/>
          </w:tcPr>
          <w:p>
            <w:pPr>
              <w:spacing w:after="0"/>
              <w:rPr>
                <w:sz w:val="19"/>
                <w:szCs w:val="19"/>
                <w:color w:val="auto"/>
              </w:rPr>
            </w:pPr>
          </w:p>
        </w:tc>
        <w:tc>
          <w:tcPr>
            <w:tcW w:w="88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capacity of the tie is 400 MW, including 200 MW from West to East and 200 MW from East to West.</w:t>
            </w:r>
          </w:p>
        </w:tc>
      </w:tr>
      <w:tr>
        <w:trPr>
          <w:trHeight w:val="255"/>
        </w:trPr>
        <w:tc>
          <w:tcPr>
            <w:tcW w:w="2420" w:type="dxa"/>
            <w:vAlign w:val="bottom"/>
          </w:tcPr>
          <w:p>
            <w:pPr>
              <w:ind w:left="20"/>
              <w:spacing w:after="0"/>
              <w:rPr>
                <w:sz w:val="20"/>
                <w:szCs w:val="20"/>
                <w:color w:val="auto"/>
              </w:rPr>
            </w:pPr>
            <w:r>
              <w:rPr>
                <w:rFonts w:ascii="Arial" w:cs="Arial" w:eastAsia="Arial" w:hAnsi="Arial"/>
                <w:sz w:val="16"/>
                <w:szCs w:val="16"/>
                <w:color w:val="auto"/>
              </w:rPr>
              <w:t>TSA</w:t>
            </w:r>
          </w:p>
        </w:tc>
        <w:tc>
          <w:tcPr>
            <w:tcW w:w="8820" w:type="dxa"/>
            <w:vAlign w:val="bottom"/>
          </w:tcPr>
          <w:p>
            <w:pPr>
              <w:ind w:left="860"/>
              <w:spacing w:after="0"/>
              <w:rPr>
                <w:sz w:val="20"/>
                <w:szCs w:val="20"/>
                <w:color w:val="auto"/>
              </w:rPr>
            </w:pPr>
            <w:r>
              <w:rPr>
                <w:rFonts w:ascii="Arial" w:cs="Arial" w:eastAsia="Arial" w:hAnsi="Arial"/>
                <w:sz w:val="16"/>
                <w:szCs w:val="16"/>
                <w:color w:val="auto"/>
              </w:rPr>
              <w:t>United States Department of Homeland Security's Transportation Security Administration</w:t>
            </w:r>
          </w:p>
        </w:tc>
      </w:tr>
      <w:tr>
        <w:trPr>
          <w:trHeight w:val="29"/>
        </w:trPr>
        <w:tc>
          <w:tcPr>
            <w:tcW w:w="2420" w:type="dxa"/>
            <w:vAlign w:val="bottom"/>
          </w:tcPr>
          <w:p>
            <w:pPr>
              <w:spacing w:after="0"/>
              <w:rPr>
                <w:sz w:val="2"/>
                <w:szCs w:val="2"/>
                <w:color w:val="auto"/>
              </w:rPr>
            </w:pPr>
          </w:p>
        </w:tc>
        <w:tc>
          <w:tcPr>
            <w:tcW w:w="8820" w:type="dxa"/>
            <w:vAlign w:val="bottom"/>
          </w:tcPr>
          <w:p>
            <w:pPr>
              <w:spacing w:after="0"/>
              <w:rPr>
                <w:sz w:val="2"/>
                <w:szCs w:val="2"/>
                <w:color w:val="auto"/>
              </w:rPr>
            </w:pPr>
          </w:p>
        </w:tc>
      </w:tr>
      <w:tr>
        <w:trPr>
          <w:trHeight w:val="26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Utilities</w:t>
            </w:r>
          </w:p>
        </w:tc>
        <w:tc>
          <w:tcPr>
            <w:tcW w:w="88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Black Hills’ Electric and Gas Utilities</w:t>
            </w:r>
          </w:p>
        </w:tc>
      </w:tr>
      <w:tr>
        <w:trPr>
          <w:trHeight w:val="255"/>
        </w:trPr>
        <w:tc>
          <w:tcPr>
            <w:tcW w:w="2420" w:type="dxa"/>
            <w:vAlign w:val="bottom"/>
          </w:tcPr>
          <w:p>
            <w:pPr>
              <w:ind w:left="20"/>
              <w:spacing w:after="0"/>
              <w:rPr>
                <w:sz w:val="20"/>
                <w:szCs w:val="20"/>
                <w:color w:val="auto"/>
              </w:rPr>
            </w:pPr>
            <w:r>
              <w:rPr>
                <w:rFonts w:ascii="Arial" w:cs="Arial" w:eastAsia="Arial" w:hAnsi="Arial"/>
                <w:sz w:val="16"/>
                <w:szCs w:val="16"/>
                <w:color w:val="auto"/>
              </w:rPr>
              <w:t>VEBA</w:t>
            </w:r>
          </w:p>
        </w:tc>
        <w:tc>
          <w:tcPr>
            <w:tcW w:w="8820" w:type="dxa"/>
            <w:vAlign w:val="bottom"/>
          </w:tcPr>
          <w:p>
            <w:pPr>
              <w:ind w:left="860"/>
              <w:spacing w:after="0"/>
              <w:rPr>
                <w:sz w:val="20"/>
                <w:szCs w:val="20"/>
                <w:color w:val="auto"/>
              </w:rPr>
            </w:pPr>
            <w:r>
              <w:rPr>
                <w:rFonts w:ascii="Arial" w:cs="Arial" w:eastAsia="Arial" w:hAnsi="Arial"/>
                <w:sz w:val="16"/>
                <w:szCs w:val="16"/>
                <w:color w:val="auto"/>
              </w:rPr>
              <w:t>Voluntary Employee Benefit Association</w:t>
            </w:r>
          </w:p>
        </w:tc>
      </w:tr>
      <w:tr>
        <w:trPr>
          <w:trHeight w:val="29"/>
        </w:trPr>
        <w:tc>
          <w:tcPr>
            <w:tcW w:w="2420" w:type="dxa"/>
            <w:vAlign w:val="bottom"/>
          </w:tcPr>
          <w:p>
            <w:pPr>
              <w:spacing w:after="0"/>
              <w:rPr>
                <w:sz w:val="2"/>
                <w:szCs w:val="2"/>
                <w:color w:val="auto"/>
              </w:rPr>
            </w:pPr>
          </w:p>
        </w:tc>
        <w:tc>
          <w:tcPr>
            <w:tcW w:w="8820" w:type="dxa"/>
            <w:vAlign w:val="bottom"/>
          </w:tcPr>
          <w:p>
            <w:pPr>
              <w:spacing w:after="0"/>
              <w:rPr>
                <w:sz w:val="2"/>
                <w:szCs w:val="2"/>
                <w:color w:val="auto"/>
              </w:rPr>
            </w:pPr>
          </w:p>
        </w:tc>
      </w:tr>
      <w:tr>
        <w:trPr>
          <w:trHeight w:val="264"/>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VIE</w:t>
            </w:r>
          </w:p>
        </w:tc>
        <w:tc>
          <w:tcPr>
            <w:tcW w:w="88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Variable Interest Entity</w:t>
            </w:r>
          </w:p>
        </w:tc>
      </w:tr>
      <w:tr>
        <w:trPr>
          <w:trHeight w:val="255"/>
        </w:trPr>
        <w:tc>
          <w:tcPr>
            <w:tcW w:w="2420" w:type="dxa"/>
            <w:vAlign w:val="bottom"/>
          </w:tcPr>
          <w:p>
            <w:pPr>
              <w:ind w:left="20"/>
              <w:spacing w:after="0"/>
              <w:rPr>
                <w:sz w:val="20"/>
                <w:szCs w:val="20"/>
                <w:color w:val="auto"/>
              </w:rPr>
            </w:pPr>
            <w:r>
              <w:rPr>
                <w:rFonts w:ascii="Arial" w:cs="Arial" w:eastAsia="Arial" w:hAnsi="Arial"/>
                <w:sz w:val="16"/>
                <w:szCs w:val="16"/>
                <w:color w:val="auto"/>
              </w:rPr>
              <w:t>WEIS</w:t>
            </w:r>
          </w:p>
        </w:tc>
        <w:tc>
          <w:tcPr>
            <w:tcW w:w="8820" w:type="dxa"/>
            <w:vAlign w:val="bottom"/>
          </w:tcPr>
          <w:p>
            <w:pPr>
              <w:ind w:left="860"/>
              <w:spacing w:after="0"/>
              <w:rPr>
                <w:sz w:val="20"/>
                <w:szCs w:val="20"/>
                <w:color w:val="auto"/>
              </w:rPr>
            </w:pPr>
            <w:r>
              <w:rPr>
                <w:rFonts w:ascii="Arial" w:cs="Arial" w:eastAsia="Arial" w:hAnsi="Arial"/>
                <w:sz w:val="16"/>
                <w:szCs w:val="16"/>
                <w:color w:val="auto"/>
              </w:rPr>
              <w:t>Western Energy Imbalance Service</w:t>
            </w:r>
          </w:p>
        </w:tc>
      </w:tr>
      <w:tr>
        <w:trPr>
          <w:trHeight w:val="29"/>
        </w:trPr>
        <w:tc>
          <w:tcPr>
            <w:tcW w:w="2420" w:type="dxa"/>
            <w:vAlign w:val="bottom"/>
          </w:tcPr>
          <w:p>
            <w:pPr>
              <w:spacing w:after="0"/>
              <w:rPr>
                <w:sz w:val="2"/>
                <w:szCs w:val="2"/>
                <w:color w:val="auto"/>
              </w:rPr>
            </w:pPr>
          </w:p>
        </w:tc>
        <w:tc>
          <w:tcPr>
            <w:tcW w:w="8820" w:type="dxa"/>
            <w:vAlign w:val="bottom"/>
          </w:tcPr>
          <w:p>
            <w:pPr>
              <w:spacing w:after="0"/>
              <w:rPr>
                <w:sz w:val="2"/>
                <w:szCs w:val="2"/>
                <w:color w:val="auto"/>
              </w:rPr>
            </w:pPr>
          </w:p>
        </w:tc>
      </w:tr>
      <w:tr>
        <w:trPr>
          <w:trHeight w:val="229"/>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 Capacity Factor</w:t>
            </w: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Measures the amount of electricity a wind turbine produces in a given time period relative to its maximum</w:t>
            </w:r>
          </w:p>
        </w:tc>
      </w:tr>
      <w:tr>
        <w:trPr>
          <w:trHeight w:val="224"/>
        </w:trPr>
        <w:tc>
          <w:tcPr>
            <w:tcW w:w="2420" w:type="dxa"/>
            <w:vAlign w:val="bottom"/>
            <w:tcBorders>
              <w:bottom w:val="single" w:sz="8" w:color="CFF0FC"/>
            </w:tcBorders>
            <w:shd w:val="clear" w:color="auto" w:fill="CFF0FC"/>
          </w:tcPr>
          <w:p>
            <w:pPr>
              <w:spacing w:after="0"/>
              <w:rPr>
                <w:sz w:val="19"/>
                <w:szCs w:val="19"/>
                <w:color w:val="auto"/>
              </w:rPr>
            </w:pPr>
          </w:p>
        </w:tc>
        <w:tc>
          <w:tcPr>
            <w:tcW w:w="88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potential</w:t>
            </w: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color w:val="auto"/>
              </w:rPr>
              <w:t>Winter Storm Uri</w:t>
            </w:r>
          </w:p>
        </w:tc>
        <w:tc>
          <w:tcPr>
            <w:tcW w:w="8820" w:type="dxa"/>
            <w:vAlign w:val="bottom"/>
          </w:tcPr>
          <w:p>
            <w:pPr>
              <w:ind w:left="860"/>
              <w:spacing w:after="0"/>
              <w:rPr>
                <w:sz w:val="20"/>
                <w:szCs w:val="20"/>
                <w:color w:val="auto"/>
              </w:rPr>
            </w:pPr>
            <w:r>
              <w:rPr>
                <w:rFonts w:ascii="Arial" w:cs="Arial" w:eastAsia="Arial" w:hAnsi="Arial"/>
                <w:sz w:val="16"/>
                <w:szCs w:val="16"/>
                <w:color w:val="auto"/>
              </w:rPr>
              <w:t>February 2021 winter weather event that caused extreme cold temperatures in the central United States and</w:t>
            </w:r>
          </w:p>
        </w:tc>
      </w:tr>
      <w:tr>
        <w:trPr>
          <w:trHeight w:val="215"/>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6"/>
                <w:szCs w:val="16"/>
                <w:color w:val="auto"/>
              </w:rPr>
              <w:t>led to unprecedented fluctuations in customer demand and market pricing for natural gas and energy.</w:t>
            </w:r>
          </w:p>
        </w:tc>
      </w:tr>
      <w:tr>
        <w:trPr>
          <w:trHeight w:val="29"/>
        </w:trPr>
        <w:tc>
          <w:tcPr>
            <w:tcW w:w="2420" w:type="dxa"/>
            <w:vAlign w:val="bottom"/>
          </w:tcPr>
          <w:p>
            <w:pPr>
              <w:spacing w:after="0"/>
              <w:rPr>
                <w:sz w:val="2"/>
                <w:szCs w:val="2"/>
                <w:color w:val="auto"/>
              </w:rPr>
            </w:pPr>
          </w:p>
        </w:tc>
        <w:tc>
          <w:tcPr>
            <w:tcW w:w="8820" w:type="dxa"/>
            <w:vAlign w:val="bottom"/>
          </w:tcPr>
          <w:p>
            <w:pPr>
              <w:spacing w:after="0"/>
              <w:rPr>
                <w:sz w:val="2"/>
                <w:szCs w:val="2"/>
                <w:color w:val="auto"/>
              </w:rPr>
            </w:pPr>
          </w:p>
        </w:tc>
      </w:tr>
      <w:tr>
        <w:trPr>
          <w:trHeight w:val="263"/>
        </w:trPr>
        <w:tc>
          <w:tcPr>
            <w:tcW w:w="2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Working Capacity</w:t>
            </w:r>
          </w:p>
        </w:tc>
        <w:tc>
          <w:tcPr>
            <w:tcW w:w="88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Total gas storage capacity minus cushion gas</w:t>
            </w:r>
          </w:p>
        </w:tc>
      </w:tr>
      <w:tr>
        <w:trPr>
          <w:trHeight w:val="255"/>
        </w:trPr>
        <w:tc>
          <w:tcPr>
            <w:tcW w:w="2420" w:type="dxa"/>
            <w:vAlign w:val="bottom"/>
          </w:tcPr>
          <w:p>
            <w:pPr>
              <w:ind w:left="20"/>
              <w:spacing w:after="0"/>
              <w:rPr>
                <w:sz w:val="20"/>
                <w:szCs w:val="20"/>
                <w:color w:val="auto"/>
              </w:rPr>
            </w:pPr>
            <w:r>
              <w:rPr>
                <w:rFonts w:ascii="Arial" w:cs="Arial" w:eastAsia="Arial" w:hAnsi="Arial"/>
                <w:sz w:val="16"/>
                <w:szCs w:val="16"/>
                <w:color w:val="auto"/>
              </w:rPr>
              <w:t>WPSC</w:t>
            </w:r>
          </w:p>
        </w:tc>
        <w:tc>
          <w:tcPr>
            <w:tcW w:w="8820" w:type="dxa"/>
            <w:vAlign w:val="bottom"/>
          </w:tcPr>
          <w:p>
            <w:pPr>
              <w:ind w:left="860"/>
              <w:spacing w:after="0"/>
              <w:rPr>
                <w:sz w:val="20"/>
                <w:szCs w:val="20"/>
                <w:color w:val="auto"/>
              </w:rPr>
            </w:pPr>
            <w:r>
              <w:rPr>
                <w:rFonts w:ascii="Arial" w:cs="Arial" w:eastAsia="Arial" w:hAnsi="Arial"/>
                <w:sz w:val="16"/>
                <w:szCs w:val="16"/>
                <w:color w:val="auto"/>
              </w:rPr>
              <w:t>Wyoming Public Service Commission</w:t>
            </w:r>
          </w:p>
        </w:tc>
      </w:tr>
      <w:tr>
        <w:trPr>
          <w:trHeight w:val="29"/>
        </w:trPr>
        <w:tc>
          <w:tcPr>
            <w:tcW w:w="2420" w:type="dxa"/>
            <w:vAlign w:val="bottom"/>
          </w:tcPr>
          <w:p>
            <w:pPr>
              <w:spacing w:after="0"/>
              <w:rPr>
                <w:sz w:val="2"/>
                <w:szCs w:val="2"/>
                <w:color w:val="auto"/>
              </w:rPr>
            </w:pPr>
          </w:p>
        </w:tc>
        <w:tc>
          <w:tcPr>
            <w:tcW w:w="8820" w:type="dxa"/>
            <w:vAlign w:val="bottom"/>
          </w:tcPr>
          <w:p>
            <w:pPr>
              <w:spacing w:after="0"/>
              <w:rPr>
                <w:sz w:val="2"/>
                <w:szCs w:val="2"/>
                <w:color w:val="auto"/>
              </w:rPr>
            </w:pPr>
          </w:p>
        </w:tc>
      </w:tr>
      <w:tr>
        <w:trPr>
          <w:trHeight w:val="229"/>
        </w:trPr>
        <w:tc>
          <w:tcPr>
            <w:tcW w:w="2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WRDC</w:t>
            </w: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Wyodak Resources Development Corp., a coal mine which is a direct, wholly-owned subsidiary of Black Hills</w:t>
            </w:r>
          </w:p>
        </w:tc>
      </w:tr>
      <w:tr>
        <w:trPr>
          <w:trHeight w:val="189"/>
        </w:trPr>
        <w:tc>
          <w:tcPr>
            <w:tcW w:w="2420" w:type="dxa"/>
            <w:vAlign w:val="bottom"/>
            <w:shd w:val="clear" w:color="auto" w:fill="CFF0FC"/>
          </w:tcPr>
          <w:p>
            <w:pPr>
              <w:spacing w:after="0"/>
              <w:rPr>
                <w:sz w:val="16"/>
                <w:szCs w:val="16"/>
                <w:color w:val="auto"/>
              </w:rPr>
            </w:pPr>
          </w:p>
        </w:tc>
        <w:tc>
          <w:tcPr>
            <w:tcW w:w="8820" w:type="dxa"/>
            <w:vAlign w:val="bottom"/>
            <w:shd w:val="clear" w:color="auto" w:fill="CFF0FC"/>
          </w:tcPr>
          <w:p>
            <w:pPr>
              <w:ind w:left="860"/>
              <w:spacing w:after="0"/>
              <w:rPr>
                <w:sz w:val="20"/>
                <w:szCs w:val="20"/>
                <w:color w:val="auto"/>
              </w:rPr>
            </w:pPr>
            <w:r>
              <w:rPr>
                <w:rFonts w:ascii="Arial" w:cs="Arial" w:eastAsia="Arial" w:hAnsi="Arial"/>
                <w:sz w:val="16"/>
                <w:szCs w:val="16"/>
                <w:color w:val="auto"/>
              </w:rPr>
              <w:t>Non-regulated Holdings, providing coal supply primarily to five on-site, mine-mouth generating facilities at our</w:t>
            </w:r>
          </w:p>
        </w:tc>
      </w:tr>
      <w:tr>
        <w:trPr>
          <w:trHeight w:val="224"/>
        </w:trPr>
        <w:tc>
          <w:tcPr>
            <w:tcW w:w="2420" w:type="dxa"/>
            <w:vAlign w:val="bottom"/>
            <w:tcBorders>
              <w:bottom w:val="single" w:sz="8" w:color="CFF0FC"/>
            </w:tcBorders>
            <w:shd w:val="clear" w:color="auto" w:fill="CFF0FC"/>
          </w:tcPr>
          <w:p>
            <w:pPr>
              <w:spacing w:after="0"/>
              <w:rPr>
                <w:sz w:val="19"/>
                <w:szCs w:val="19"/>
                <w:color w:val="auto"/>
              </w:rPr>
            </w:pPr>
          </w:p>
        </w:tc>
        <w:tc>
          <w:tcPr>
            <w:tcW w:w="8820" w:type="dxa"/>
            <w:vAlign w:val="bottom"/>
            <w:tcBorders>
              <w:bottom w:val="single" w:sz="8" w:color="CFF0FC"/>
            </w:tcBorders>
            <w:shd w:val="clear" w:color="auto" w:fill="CFF0FC"/>
          </w:tcPr>
          <w:p>
            <w:pPr>
              <w:ind w:left="860"/>
              <w:spacing w:after="0"/>
              <w:rPr>
                <w:sz w:val="20"/>
                <w:szCs w:val="20"/>
                <w:color w:val="auto"/>
              </w:rPr>
            </w:pPr>
            <w:r>
              <w:rPr>
                <w:rFonts w:ascii="Arial" w:cs="Arial" w:eastAsia="Arial" w:hAnsi="Arial"/>
                <w:sz w:val="16"/>
                <w:szCs w:val="16"/>
                <w:color w:val="auto"/>
              </w:rPr>
              <w:t>Gillette Energy Complex (doing business as Black Hills Energy).</w:t>
            </w:r>
          </w:p>
        </w:tc>
      </w:tr>
      <w:tr>
        <w:trPr>
          <w:trHeight w:val="229"/>
        </w:trPr>
        <w:tc>
          <w:tcPr>
            <w:tcW w:w="2420" w:type="dxa"/>
            <w:vAlign w:val="bottom"/>
          </w:tcPr>
          <w:p>
            <w:pPr>
              <w:ind w:left="20"/>
              <w:spacing w:after="0"/>
              <w:rPr>
                <w:sz w:val="20"/>
                <w:szCs w:val="20"/>
                <w:color w:val="auto"/>
              </w:rPr>
            </w:pPr>
            <w:r>
              <w:rPr>
                <w:rFonts w:ascii="Arial" w:cs="Arial" w:eastAsia="Arial" w:hAnsi="Arial"/>
                <w:sz w:val="16"/>
                <w:szCs w:val="16"/>
                <w:color w:val="auto"/>
              </w:rPr>
              <w:t>Wygen I</w:t>
            </w:r>
          </w:p>
        </w:tc>
        <w:tc>
          <w:tcPr>
            <w:tcW w:w="8820" w:type="dxa"/>
            <w:vAlign w:val="bottom"/>
          </w:tcPr>
          <w:p>
            <w:pPr>
              <w:ind w:left="860"/>
              <w:spacing w:after="0"/>
              <w:rPr>
                <w:sz w:val="20"/>
                <w:szCs w:val="20"/>
                <w:color w:val="auto"/>
              </w:rPr>
            </w:pPr>
            <w:r>
              <w:rPr>
                <w:rFonts w:ascii="Arial" w:cs="Arial" w:eastAsia="Arial" w:hAnsi="Arial"/>
                <w:sz w:val="16"/>
                <w:szCs w:val="16"/>
                <w:color w:val="auto"/>
              </w:rPr>
              <w:t>A mine-mouth, coal-fired generating facility with a total capacity of 90 MW located at our Gillette Energy</w:t>
            </w:r>
          </w:p>
        </w:tc>
      </w:tr>
      <w:tr>
        <w:trPr>
          <w:trHeight w:val="189"/>
        </w:trPr>
        <w:tc>
          <w:tcPr>
            <w:tcW w:w="2420" w:type="dxa"/>
            <w:vAlign w:val="bottom"/>
          </w:tcPr>
          <w:p>
            <w:pPr>
              <w:spacing w:after="0"/>
              <w:rPr>
                <w:sz w:val="16"/>
                <w:szCs w:val="16"/>
                <w:color w:val="auto"/>
              </w:rPr>
            </w:pPr>
          </w:p>
        </w:tc>
        <w:tc>
          <w:tcPr>
            <w:tcW w:w="8820" w:type="dxa"/>
            <w:vAlign w:val="bottom"/>
          </w:tcPr>
          <w:p>
            <w:pPr>
              <w:ind w:left="860"/>
              <w:spacing w:after="0"/>
              <w:rPr>
                <w:sz w:val="20"/>
                <w:szCs w:val="20"/>
                <w:color w:val="auto"/>
              </w:rPr>
            </w:pPr>
            <w:r>
              <w:rPr>
                <w:rFonts w:ascii="Arial" w:cs="Arial" w:eastAsia="Arial" w:hAnsi="Arial"/>
                <w:sz w:val="16"/>
                <w:szCs w:val="16"/>
                <w:color w:val="auto"/>
              </w:rPr>
              <w:t>Complex. Black Hills Wyoming owns 76.5% of the facility and Municipal Energy Agency of Nebraska (MEAN)</w:t>
            </w:r>
          </w:p>
        </w:tc>
      </w:tr>
      <w:tr>
        <w:trPr>
          <w:trHeight w:val="215"/>
        </w:trPr>
        <w:tc>
          <w:tcPr>
            <w:tcW w:w="2420" w:type="dxa"/>
            <w:vAlign w:val="bottom"/>
          </w:tcPr>
          <w:p>
            <w:pPr>
              <w:spacing w:after="0"/>
              <w:rPr>
                <w:sz w:val="18"/>
                <w:szCs w:val="18"/>
                <w:color w:val="auto"/>
              </w:rPr>
            </w:pPr>
          </w:p>
        </w:tc>
        <w:tc>
          <w:tcPr>
            <w:tcW w:w="8820" w:type="dxa"/>
            <w:vAlign w:val="bottom"/>
          </w:tcPr>
          <w:p>
            <w:pPr>
              <w:ind w:left="860"/>
              <w:spacing w:after="0"/>
              <w:rPr>
                <w:sz w:val="20"/>
                <w:szCs w:val="20"/>
                <w:color w:val="auto"/>
              </w:rPr>
            </w:pPr>
            <w:r>
              <w:rPr>
                <w:rFonts w:ascii="Arial" w:cs="Arial" w:eastAsia="Arial" w:hAnsi="Arial"/>
                <w:sz w:val="16"/>
                <w:szCs w:val="16"/>
                <w:color w:val="auto"/>
              </w:rPr>
              <w:t>owns the remaining 23.5%.</w:t>
            </w:r>
          </w:p>
        </w:tc>
      </w:tr>
      <w:tr>
        <w:trPr>
          <w:trHeight w:val="230"/>
        </w:trPr>
        <w:tc>
          <w:tcPr>
            <w:tcW w:w="2420" w:type="dxa"/>
            <w:vAlign w:val="bottom"/>
          </w:tcPr>
          <w:p>
            <w:pPr>
              <w:spacing w:after="0"/>
              <w:rPr>
                <w:sz w:val="19"/>
                <w:szCs w:val="19"/>
                <w:color w:val="auto"/>
              </w:rPr>
            </w:pPr>
          </w:p>
        </w:tc>
        <w:tc>
          <w:tcPr>
            <w:tcW w:w="8820" w:type="dxa"/>
            <w:vAlign w:val="bottom"/>
          </w:tcPr>
          <w:p>
            <w:pPr>
              <w:ind w:left="3160"/>
              <w:spacing w:after="0"/>
              <w:rPr>
                <w:sz w:val="20"/>
                <w:szCs w:val="20"/>
                <w:color w:val="auto"/>
              </w:rPr>
            </w:pPr>
            <w:r>
              <w:rPr>
                <w:rFonts w:ascii="Arial" w:cs="Arial" w:eastAsia="Arial" w:hAnsi="Arial"/>
                <w:sz w:val="16"/>
                <w:szCs w:val="16"/>
                <w:color w:val="auto"/>
              </w:rPr>
              <w:t>9</w:t>
            </w:r>
          </w:p>
        </w:tc>
      </w:tr>
      <w:tr>
        <w:trPr>
          <w:trHeight w:val="751"/>
        </w:trPr>
        <w:tc>
          <w:tcPr>
            <w:tcW w:w="2420" w:type="dxa"/>
            <w:vAlign w:val="bottom"/>
            <w:tcBorders>
              <w:bottom w:val="single" w:sz="8" w:color="9A9A9A"/>
            </w:tcBorders>
          </w:tcPr>
          <w:p>
            <w:pPr>
              <w:spacing w:after="0"/>
              <w:rPr>
                <w:sz w:val="24"/>
                <w:szCs w:val="24"/>
                <w:color w:val="auto"/>
              </w:rPr>
            </w:pPr>
          </w:p>
        </w:tc>
        <w:tc>
          <w:tcPr>
            <w:tcW w:w="8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b w:val="1"/>
          <w:bCs w:val="1"/>
          <w:color w:val="0000FF"/>
        </w:rPr>
        <w:t>Table of Contents</w:t>
      </w:r>
    </w:p>
    <w:tbl>
      <w:tblPr>
        <w:tblLayout w:type="fixed"/>
        <w:tblInd w:w="0" w:type="dxa"/>
        <w:tblCellMar>
          <w:top w:w="0" w:type="dxa"/>
          <w:left w:w="0" w:type="dxa"/>
          <w:bottom w:w="0" w:type="dxa"/>
          <w:right w:w="0" w:type="dxa"/>
        </w:tblCellMar>
      </w:tblPr>
      <w:tr>
        <w:trPr>
          <w:trHeight w:val="236"/>
        </w:trPr>
        <w:tc>
          <w:tcPr>
            <w:tcW w:w="1360" w:type="dxa"/>
            <w:vAlign w:val="bottom"/>
            <w:tcBorders>
              <w:top w:val="single" w:sz="8" w:color="0000FF"/>
            </w:tcBorders>
            <w:shd w:val="clear" w:color="auto" w:fill="CFF0FC"/>
          </w:tcPr>
          <w:p>
            <w:pPr>
              <w:ind w:left="20"/>
              <w:spacing w:after="0"/>
              <w:rPr>
                <w:sz w:val="20"/>
                <w:szCs w:val="20"/>
                <w:color w:val="auto"/>
              </w:rPr>
            </w:pPr>
            <w:r>
              <w:rPr>
                <w:rFonts w:ascii="Arial" w:cs="Arial" w:eastAsia="Arial" w:hAnsi="Arial"/>
                <w:sz w:val="16"/>
                <w:szCs w:val="16"/>
                <w:color w:val="auto"/>
              </w:rPr>
              <w:t>Wygen II</w:t>
            </w:r>
          </w:p>
        </w:tc>
        <w:tc>
          <w:tcPr>
            <w:tcW w:w="1160" w:type="dxa"/>
            <w:vAlign w:val="bottom"/>
            <w:shd w:val="clear" w:color="auto" w:fill="CFF0FC"/>
          </w:tcPr>
          <w:p>
            <w:pPr>
              <w:spacing w:after="0"/>
              <w:rPr>
                <w:sz w:val="20"/>
                <w:szCs w:val="20"/>
                <w:color w:val="auto"/>
              </w:rPr>
            </w:pPr>
          </w:p>
        </w:tc>
        <w:tc>
          <w:tcPr>
            <w:tcW w:w="8720" w:type="dxa"/>
            <w:vAlign w:val="bottom"/>
            <w:shd w:val="clear" w:color="auto" w:fill="CFF0FC"/>
          </w:tcPr>
          <w:p>
            <w:pPr>
              <w:ind w:left="760"/>
              <w:spacing w:after="0"/>
              <w:rPr>
                <w:sz w:val="20"/>
                <w:szCs w:val="20"/>
                <w:color w:val="auto"/>
              </w:rPr>
            </w:pPr>
            <w:r>
              <w:rPr>
                <w:rFonts w:ascii="Arial" w:cs="Arial" w:eastAsia="Arial" w:hAnsi="Arial"/>
                <w:sz w:val="16"/>
                <w:szCs w:val="16"/>
                <w:color w:val="auto"/>
              </w:rPr>
              <w:t>A mine-mouth, coal-fired power plant owned by Wyoming Electric with a total capacity of 95 MW located at our</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87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Gillette Energy Complex.</w:t>
            </w: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Wygen III</w:t>
            </w:r>
          </w:p>
        </w:tc>
        <w:tc>
          <w:tcPr>
            <w:tcW w:w="8720" w:type="dxa"/>
            <w:vAlign w:val="bottom"/>
          </w:tcPr>
          <w:p>
            <w:pPr>
              <w:ind w:left="760"/>
              <w:spacing w:after="0"/>
              <w:rPr>
                <w:sz w:val="20"/>
                <w:szCs w:val="20"/>
                <w:color w:val="auto"/>
              </w:rPr>
            </w:pPr>
            <w:r>
              <w:rPr>
                <w:rFonts w:ascii="Arial" w:cs="Arial" w:eastAsia="Arial" w:hAnsi="Arial"/>
                <w:sz w:val="16"/>
                <w:szCs w:val="16"/>
                <w:color w:val="auto"/>
              </w:rPr>
              <w:t>A mine-mouth, coal-fired power plant operated by South Dakota Electric with a total capacity of 116 MW</w:t>
            </w:r>
          </w:p>
        </w:tc>
      </w:tr>
      <w:tr>
        <w:trPr>
          <w:trHeight w:val="189"/>
        </w:trPr>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720" w:type="dxa"/>
            <w:vAlign w:val="bottom"/>
          </w:tcPr>
          <w:p>
            <w:pPr>
              <w:ind w:left="760"/>
              <w:spacing w:after="0"/>
              <w:rPr>
                <w:sz w:val="20"/>
                <w:szCs w:val="20"/>
                <w:color w:val="auto"/>
              </w:rPr>
            </w:pPr>
            <w:r>
              <w:rPr>
                <w:rFonts w:ascii="Arial" w:cs="Arial" w:eastAsia="Arial" w:hAnsi="Arial"/>
                <w:sz w:val="16"/>
                <w:szCs w:val="16"/>
                <w:color w:val="auto"/>
              </w:rPr>
              <w:t>located at our Gillette Energy Complex. South Dakota Electric owns 52% of the power plant, MDU owns 25%</w:t>
            </w:r>
          </w:p>
        </w:tc>
      </w:tr>
      <w:tr>
        <w:trPr>
          <w:trHeight w:val="215"/>
        </w:trPr>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20" w:type="dxa"/>
            <w:vAlign w:val="bottom"/>
          </w:tcPr>
          <w:p>
            <w:pPr>
              <w:ind w:left="760"/>
              <w:spacing w:after="0"/>
              <w:rPr>
                <w:sz w:val="20"/>
                <w:szCs w:val="20"/>
                <w:color w:val="auto"/>
              </w:rPr>
            </w:pPr>
            <w:r>
              <w:rPr>
                <w:rFonts w:ascii="Arial" w:cs="Arial" w:eastAsia="Arial" w:hAnsi="Arial"/>
                <w:sz w:val="16"/>
                <w:szCs w:val="16"/>
                <w:color w:val="auto"/>
              </w:rPr>
              <w:t>and the City of Gillette owns the remaining 23%.</w:t>
            </w:r>
          </w:p>
        </w:tc>
      </w:tr>
      <w:tr>
        <w:trPr>
          <w:trHeight w:val="29"/>
        </w:trPr>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29"/>
        </w:trPr>
        <w:tc>
          <w:tcPr>
            <w:tcW w:w="25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Wyodak Plant</w:t>
            </w:r>
          </w:p>
        </w:tc>
        <w:tc>
          <w:tcPr>
            <w:tcW w:w="8720" w:type="dxa"/>
            <w:vAlign w:val="bottom"/>
            <w:shd w:val="clear" w:color="auto" w:fill="CFF0FC"/>
          </w:tcPr>
          <w:p>
            <w:pPr>
              <w:ind w:left="760"/>
              <w:spacing w:after="0"/>
              <w:rPr>
                <w:sz w:val="20"/>
                <w:szCs w:val="20"/>
                <w:color w:val="auto"/>
              </w:rPr>
            </w:pPr>
            <w:r>
              <w:rPr>
                <w:rFonts w:ascii="Arial" w:cs="Arial" w:eastAsia="Arial" w:hAnsi="Arial"/>
                <w:sz w:val="16"/>
                <w:szCs w:val="16"/>
                <w:color w:val="auto"/>
              </w:rPr>
              <w:t>The 402.3 MW mine-mouth, coal-fired generating facility located at our Gillette Energy Complex, jointly owned</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87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by PacifiCorp (80%) and South Dakota Electric (20%). WRDC supplies all of the fuel for the facility.</w:t>
            </w: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Wyoming Electric</w:t>
            </w:r>
          </w:p>
        </w:tc>
        <w:tc>
          <w:tcPr>
            <w:tcW w:w="8720" w:type="dxa"/>
            <w:vAlign w:val="bottom"/>
          </w:tcPr>
          <w:p>
            <w:pPr>
              <w:ind w:left="760"/>
              <w:spacing w:after="0"/>
              <w:rPr>
                <w:sz w:val="20"/>
                <w:szCs w:val="20"/>
                <w:color w:val="auto"/>
              </w:rPr>
            </w:pPr>
            <w:r>
              <w:rPr>
                <w:rFonts w:ascii="Arial" w:cs="Arial" w:eastAsia="Arial" w:hAnsi="Arial"/>
                <w:sz w:val="16"/>
                <w:szCs w:val="16"/>
                <w:color w:val="auto"/>
              </w:rPr>
              <w:t>Cheyenne Light, Fuel and Power Company, a direct, wholly-owned subsidiary of Black Hills Corporation,</w:t>
            </w:r>
          </w:p>
        </w:tc>
      </w:tr>
      <w:tr>
        <w:trPr>
          <w:trHeight w:val="189"/>
        </w:trPr>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720" w:type="dxa"/>
            <w:vAlign w:val="bottom"/>
          </w:tcPr>
          <w:p>
            <w:pPr>
              <w:ind w:left="760"/>
              <w:spacing w:after="0"/>
              <w:rPr>
                <w:sz w:val="20"/>
                <w:szCs w:val="20"/>
                <w:color w:val="auto"/>
              </w:rPr>
            </w:pPr>
            <w:r>
              <w:rPr>
                <w:rFonts w:ascii="Arial" w:cs="Arial" w:eastAsia="Arial" w:hAnsi="Arial"/>
                <w:sz w:val="16"/>
                <w:szCs w:val="16"/>
                <w:color w:val="auto"/>
              </w:rPr>
              <w:t>providing electric service to customers in the Cheyenne, Wyoming area (doing business as Black Hills</w:t>
            </w:r>
          </w:p>
        </w:tc>
      </w:tr>
      <w:tr>
        <w:trPr>
          <w:trHeight w:val="215"/>
        </w:trPr>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20" w:type="dxa"/>
            <w:vAlign w:val="bottom"/>
          </w:tcPr>
          <w:p>
            <w:pPr>
              <w:ind w:left="760"/>
              <w:spacing w:after="0"/>
              <w:rPr>
                <w:sz w:val="20"/>
                <w:szCs w:val="20"/>
                <w:color w:val="auto"/>
              </w:rPr>
            </w:pPr>
            <w:r>
              <w:rPr>
                <w:rFonts w:ascii="Arial" w:cs="Arial" w:eastAsia="Arial" w:hAnsi="Arial"/>
                <w:sz w:val="16"/>
                <w:szCs w:val="16"/>
                <w:color w:val="auto"/>
              </w:rPr>
              <w:t>Energy).</w:t>
            </w:r>
          </w:p>
        </w:tc>
      </w:tr>
      <w:tr>
        <w:trPr>
          <w:trHeight w:val="29"/>
        </w:trPr>
        <w:tc>
          <w:tcPr>
            <w:tcW w:w="1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720" w:type="dxa"/>
            <w:vAlign w:val="bottom"/>
          </w:tcPr>
          <w:p>
            <w:pPr>
              <w:spacing w:after="0"/>
              <w:rPr>
                <w:sz w:val="2"/>
                <w:szCs w:val="2"/>
                <w:color w:val="auto"/>
              </w:rPr>
            </w:pPr>
          </w:p>
        </w:tc>
      </w:tr>
      <w:tr>
        <w:trPr>
          <w:trHeight w:val="229"/>
        </w:trPr>
        <w:tc>
          <w:tcPr>
            <w:tcW w:w="25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8720" w:type="dxa"/>
            <w:vAlign w:val="bottom"/>
            <w:shd w:val="clear" w:color="auto" w:fill="CFF0FC"/>
          </w:tcPr>
          <w:p>
            <w:pPr>
              <w:ind w:left="760"/>
              <w:spacing w:after="0"/>
              <w:rPr>
                <w:sz w:val="20"/>
                <w:szCs w:val="20"/>
                <w:color w:val="auto"/>
              </w:rPr>
            </w:pPr>
            <w:r>
              <w:rPr>
                <w:rFonts w:ascii="Arial" w:cs="Arial" w:eastAsia="Arial" w:hAnsi="Arial"/>
                <w:sz w:val="16"/>
                <w:szCs w:val="16"/>
                <w:color w:val="auto"/>
              </w:rPr>
              <w:t>Black Hills Wyoming Gas, LLC, an indirect, wholly-owned subsidiary of Black Hills Utility Holdings, providing</w:t>
            </w:r>
          </w:p>
        </w:tc>
      </w:tr>
      <w:tr>
        <w:trPr>
          <w:trHeight w:val="224"/>
        </w:trPr>
        <w:tc>
          <w:tcPr>
            <w:tcW w:w="13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872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natural gas services to customers in Wyoming (doing business as Black Hills Energy).</w:t>
            </w:r>
          </w:p>
        </w:tc>
      </w:tr>
      <w:tr>
        <w:trPr>
          <w:trHeight w:val="229"/>
        </w:trPr>
        <w:tc>
          <w:tcPr>
            <w:tcW w:w="2520" w:type="dxa"/>
            <w:vAlign w:val="bottom"/>
            <w:gridSpan w:val="2"/>
          </w:tcPr>
          <w:p>
            <w:pPr>
              <w:ind w:left="20"/>
              <w:spacing w:after="0"/>
              <w:rPr>
                <w:sz w:val="20"/>
                <w:szCs w:val="20"/>
                <w:color w:val="auto"/>
              </w:rPr>
            </w:pPr>
            <w:r>
              <w:rPr>
                <w:rFonts w:ascii="Arial" w:cs="Arial" w:eastAsia="Arial" w:hAnsi="Arial"/>
                <w:sz w:val="16"/>
                <w:szCs w:val="16"/>
                <w:color w:val="auto"/>
              </w:rPr>
              <w:t>Wyoming Integrity Rider</w:t>
            </w:r>
          </w:p>
        </w:tc>
        <w:tc>
          <w:tcPr>
            <w:tcW w:w="8720" w:type="dxa"/>
            <w:vAlign w:val="bottom"/>
          </w:tcPr>
          <w:p>
            <w:pPr>
              <w:ind w:left="760"/>
              <w:spacing w:after="0"/>
              <w:rPr>
                <w:sz w:val="20"/>
                <w:szCs w:val="20"/>
                <w:color w:val="auto"/>
              </w:rPr>
            </w:pPr>
            <w:r>
              <w:rPr>
                <w:rFonts w:ascii="Arial" w:cs="Arial" w:eastAsia="Arial" w:hAnsi="Arial"/>
                <w:sz w:val="16"/>
                <w:szCs w:val="16"/>
                <w:color w:val="auto"/>
              </w:rPr>
              <w:t>The Wyoming Integrity Rider (WIR) is a WPSC-approved tariff that allows Wyoming Gas to recover costs from</w:t>
            </w:r>
          </w:p>
        </w:tc>
      </w:tr>
      <w:tr>
        <w:trPr>
          <w:trHeight w:val="189"/>
        </w:trPr>
        <w:tc>
          <w:tcPr>
            <w:tcW w:w="1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720" w:type="dxa"/>
            <w:vAlign w:val="bottom"/>
          </w:tcPr>
          <w:p>
            <w:pPr>
              <w:ind w:left="760"/>
              <w:spacing w:after="0"/>
              <w:rPr>
                <w:sz w:val="20"/>
                <w:szCs w:val="20"/>
                <w:color w:val="auto"/>
              </w:rPr>
            </w:pPr>
            <w:r>
              <w:rPr>
                <w:rFonts w:ascii="Arial" w:cs="Arial" w:eastAsia="Arial" w:hAnsi="Arial"/>
                <w:sz w:val="16"/>
                <w:szCs w:val="16"/>
                <w:color w:val="auto"/>
              </w:rPr>
              <w:t>customers associated with ongoing infrastructure replacement, gas meter and yard line replacement projects</w:t>
            </w:r>
          </w:p>
        </w:tc>
      </w:tr>
      <w:tr>
        <w:trPr>
          <w:trHeight w:val="215"/>
        </w:trPr>
        <w:tc>
          <w:tcPr>
            <w:tcW w:w="1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720" w:type="dxa"/>
            <w:vAlign w:val="bottom"/>
          </w:tcPr>
          <w:p>
            <w:pPr>
              <w:ind w:left="760"/>
              <w:spacing w:after="0"/>
              <w:rPr>
                <w:sz w:val="20"/>
                <w:szCs w:val="20"/>
                <w:color w:val="auto"/>
              </w:rPr>
            </w:pPr>
            <w:r>
              <w:rPr>
                <w:rFonts w:ascii="Arial" w:cs="Arial" w:eastAsia="Arial" w:hAnsi="Arial"/>
                <w:sz w:val="16"/>
                <w:szCs w:val="16"/>
                <w:color w:val="auto"/>
              </w:rPr>
              <w:t>driven by federal regulation.</w:t>
            </w:r>
          </w:p>
        </w:tc>
      </w:tr>
      <w:tr>
        <w:trPr>
          <w:trHeight w:val="662"/>
        </w:trPr>
        <w:tc>
          <w:tcPr>
            <w:tcW w:w="1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720" w:type="dxa"/>
            <w:vAlign w:val="bottom"/>
          </w:tcPr>
          <w:p>
            <w:pPr>
              <w:ind w:left="3020"/>
              <w:spacing w:after="0"/>
              <w:rPr>
                <w:sz w:val="20"/>
                <w:szCs w:val="20"/>
                <w:color w:val="auto"/>
              </w:rPr>
            </w:pPr>
            <w:r>
              <w:rPr>
                <w:rFonts w:ascii="Arial" w:cs="Arial" w:eastAsia="Arial" w:hAnsi="Arial"/>
                <w:sz w:val="16"/>
                <w:szCs w:val="16"/>
                <w:color w:val="auto"/>
              </w:rPr>
              <w:t>10</w:t>
            </w:r>
          </w:p>
        </w:tc>
      </w:tr>
      <w:tr>
        <w:trPr>
          <w:trHeight w:val="752"/>
        </w:trPr>
        <w:tc>
          <w:tcPr>
            <w:tcW w:w="1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8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WEBSITE ACCESS TO REPORTS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FORWARD-LOOKING INFORMATION</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statements of this nature, including statements contained within </w:t>
      </w:r>
      <w:r>
        <w:rPr>
          <w:rFonts w:ascii="Arial" w:cs="Arial" w:eastAsia="Arial" w:hAnsi="Arial"/>
          <w:sz w:val="16"/>
          <w:szCs w:val="16"/>
          <w:u w:val="single" w:color="auto"/>
          <w:color w:val="0000FF"/>
        </w:rPr>
        <w:t>Item 7 - Management’s Discussion &amp; Analysis of Financial Condition and Results of</w:t>
      </w:r>
      <w:r>
        <w:rPr>
          <w:rFonts w:ascii="Arial" w:cs="Arial" w:eastAsia="Arial" w:hAnsi="Arial"/>
          <w:sz w:val="16"/>
          <w:szCs w:val="16"/>
          <w:color w:val="auto"/>
        </w:rPr>
        <w:t xml:space="preserve"> </w:t>
      </w:r>
      <w:r>
        <w:rPr>
          <w:rFonts w:ascii="Arial" w:cs="Arial" w:eastAsia="Arial" w:hAnsi="Arial"/>
          <w:sz w:val="16"/>
          <w:szCs w:val="16"/>
          <w:u w:val="single" w:color="auto"/>
          <w:color w:val="0000FF"/>
        </w:rPr>
        <w:t>Operations</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-149225</wp:posOffset>
            </wp:positionV>
            <wp:extent cx="3817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17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5029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2920" cy="8255"/>
                    </a:xfrm>
                    <a:prstGeom prst="rect">
                      <a:avLst/>
                    </a:prstGeom>
                    <a:noFill/>
                  </pic:spPr>
                </pic:pic>
              </a:graphicData>
            </a:graphic>
          </wp:anchor>
        </w:drawing>
      </w:r>
    </w:p>
    <w:p>
      <w:pPr>
        <w:spacing w:after="0" w:line="135"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such as adverse macroeconomic conditions, global pandemics or severe weather events, and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of the Company, are expressly qualified by the risk factors and cautionary statements in this Annual Report on Form 10-K, including statements contained within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4979670</wp:posOffset>
            </wp:positionH>
            <wp:positionV relativeFrom="paragraph">
              <wp:posOffset>-15875</wp:posOffset>
            </wp:positionV>
            <wp:extent cx="10172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w:t>
      </w:r>
    </w:p>
    <w:p>
      <w:pPr>
        <w:spacing w:after="0" w:line="19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History and Organization</w:t>
      </w:r>
    </w:p>
    <w:p>
      <w:pPr>
        <w:spacing w:after="0" w:line="113"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Black Hills Corporation, a South Dakota corporation (together with its subsidiaries, referred to herein as the “Company,” “we,” “us” or “our”), is a customer-focused, growth-oriented utility company headquartered in Rapid City, South Dakota (incorporated in South Dakota in 1941).</w:t>
      </w:r>
    </w:p>
    <w:p>
      <w:pPr>
        <w:spacing w:after="0" w:line="129"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We operate our business in the United States, reporting our operating results through our Electric Utilities and Gas Utilities segments. Certain unallocated corporate expenses that support our operating segments are presented as Corporate and Other.</w:t>
      </w:r>
    </w:p>
    <w:p>
      <w:pPr>
        <w:spacing w:after="0" w:line="129"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Electric Utilities segment generates, transmits and distributes electricity to approximately 222,000 electric utility customers in Colorado, Montana, South Dakota and Wyoming. Our Electric Utilities own 1,394 MW of generation and 9,106 miles of electric transmission and distribution lines.</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Our Gas Utilities segment serves approximately 1,116,000 natural gas utility customers in Arkansas, Colorado, Iowa, Kansas, Nebraska, and Wyoming. Our Gas Utilities own and operate 4,663 miles of intrastate gas transmission pipelines and 42,514 miles of gas distribution mains and service lines, seven natural gas storage sites, more than 50,000 horsepower of compression and 516 miles of gathering lines.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Electric Utilities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conduct electric utility operations through our Colorado, South Dakota and Wyoming subsidiaries. Our Electric Utilities generate, transmit and distribute electricity to our retail customers. Our electric generating facilities and power purchase agreements provide for the supply of electricity principally to our retail customers. We also sell excess power to other utilities and marketing companies, including our affiliates. Additionally, we provide non-regulated services to our retail customers under the Service Guard Comfort Plan and Tech Services.</w:t>
      </w:r>
    </w:p>
    <w:p>
      <w:pPr>
        <w:spacing w:after="0" w:line="15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We also own and operate non-regulated power generation and mining assets that are vertically integrated into and primarily support our Electric Utilities. All of these operations are located at our electric generating complexes and are physically integrated into our Electric Utilities’ operations.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320" w:type="dxa"/>
            <w:vAlign w:val="bottom"/>
          </w:tcPr>
          <w:p>
            <w:pPr>
              <w:jc w:val="right"/>
              <w:ind w:right="599"/>
              <w:spacing w:after="0"/>
              <w:rPr>
                <w:sz w:val="20"/>
                <w:szCs w:val="20"/>
                <w:color w:val="auto"/>
              </w:rPr>
            </w:pPr>
            <w:r>
              <w:rPr>
                <w:rFonts w:ascii="Arial" w:cs="Arial" w:eastAsia="Arial" w:hAnsi="Arial"/>
                <w:sz w:val="16"/>
                <w:szCs w:val="16"/>
                <w:b w:val="1"/>
                <w:bCs w:val="1"/>
                <w:color w:val="auto"/>
              </w:rPr>
              <w:t>As of December 31,</w:t>
            </w:r>
          </w:p>
        </w:tc>
        <w:tc>
          <w:tcPr>
            <w:tcW w:w="1620" w:type="dxa"/>
            <w:vAlign w:val="bottom"/>
          </w:tcPr>
          <w:p>
            <w:pPr>
              <w:spacing w:after="0"/>
              <w:rPr>
                <w:sz w:val="18"/>
                <w:szCs w:val="18"/>
                <w:color w:val="auto"/>
              </w:rPr>
            </w:pPr>
          </w:p>
        </w:tc>
      </w:tr>
      <w:tr>
        <w:trPr>
          <w:trHeight w:val="217"/>
        </w:trPr>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20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2023</w:t>
            </w:r>
          </w:p>
        </w:tc>
        <w:tc>
          <w:tcPr>
            <w:tcW w:w="232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2022</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09"/>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2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190,776</w:t>
            </w:r>
          </w:p>
        </w:tc>
        <w:tc>
          <w:tcPr>
            <w:tcW w:w="23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188,921</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186,852</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30,491</w:t>
            </w:r>
          </w:p>
        </w:tc>
        <w:tc>
          <w:tcPr>
            <w:tcW w:w="2320" w:type="dxa"/>
            <w:vAlign w:val="bottom"/>
          </w:tcPr>
          <w:p>
            <w:pPr>
              <w:jc w:val="right"/>
              <w:ind w:right="359"/>
              <w:spacing w:after="0"/>
              <w:rPr>
                <w:sz w:val="20"/>
                <w:szCs w:val="20"/>
                <w:color w:val="auto"/>
              </w:rPr>
            </w:pPr>
            <w:r>
              <w:rPr>
                <w:rFonts w:ascii="Arial" w:cs="Arial" w:eastAsia="Arial" w:hAnsi="Arial"/>
                <w:sz w:val="16"/>
                <w:szCs w:val="16"/>
                <w:color w:val="auto"/>
              </w:rPr>
              <w:t>30,404</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30,326</w:t>
            </w:r>
          </w:p>
        </w:tc>
      </w:tr>
      <w:tr>
        <w:trPr>
          <w:trHeight w:val="217"/>
        </w:trPr>
        <w:tc>
          <w:tcPr>
            <w:tcW w:w="5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20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84</w:t>
            </w:r>
          </w:p>
        </w:tc>
        <w:tc>
          <w:tcPr>
            <w:tcW w:w="23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82</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w:t>
            </w:r>
          </w:p>
        </w:tc>
      </w:tr>
      <w:tr>
        <w:trPr>
          <w:trHeight w:val="215"/>
        </w:trPr>
        <w:tc>
          <w:tcPr>
            <w:tcW w:w="5260" w:type="dxa"/>
            <w:vAlign w:val="bottom"/>
          </w:tcPr>
          <w:p>
            <w:pPr>
              <w:ind w:left="20"/>
              <w:spacing w:after="0"/>
              <w:rPr>
                <w:sz w:val="20"/>
                <w:szCs w:val="20"/>
                <w:color w:val="auto"/>
              </w:rPr>
            </w:pPr>
            <w:r>
              <w:rPr>
                <w:rFonts w:ascii="Arial" w:cs="Arial" w:eastAsia="Arial" w:hAnsi="Arial"/>
                <w:sz w:val="16"/>
                <w:szCs w:val="16"/>
                <w:color w:val="auto"/>
              </w:rPr>
              <w:t>Other</w:t>
            </w:r>
          </w:p>
        </w:tc>
        <w:tc>
          <w:tcPr>
            <w:tcW w:w="20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989</w:t>
            </w:r>
          </w:p>
        </w:tc>
        <w:tc>
          <w:tcPr>
            <w:tcW w:w="2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1,024</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1,010</w:t>
            </w:r>
          </w:p>
        </w:tc>
      </w:tr>
      <w:tr>
        <w:trPr>
          <w:trHeight w:val="250"/>
        </w:trPr>
        <w:tc>
          <w:tcPr>
            <w:tcW w:w="5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Electric Retail Customers at End of Year</w:t>
            </w:r>
          </w:p>
        </w:tc>
        <w:tc>
          <w:tcPr>
            <w:tcW w:w="20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222,340</w:t>
            </w:r>
          </w:p>
        </w:tc>
        <w:tc>
          <w:tcPr>
            <w:tcW w:w="232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220,431</w:t>
            </w: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218,269</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00" w:type="dxa"/>
            <w:vAlign w:val="bottom"/>
            <w:gridSpan w:val="2"/>
          </w:tcPr>
          <w:p>
            <w:pPr>
              <w:jc w:val="right"/>
              <w:ind w:right="319"/>
              <w:spacing w:after="0"/>
              <w:rPr>
                <w:sz w:val="20"/>
                <w:szCs w:val="20"/>
                <w:color w:val="auto"/>
              </w:rPr>
            </w:pPr>
            <w:r>
              <w:rPr>
                <w:rFonts w:ascii="Arial" w:cs="Arial" w:eastAsia="Arial" w:hAnsi="Arial"/>
                <w:sz w:val="16"/>
                <w:szCs w:val="16"/>
                <w:b w:val="1"/>
                <w:bCs w:val="1"/>
                <w:color w:val="auto"/>
              </w:rPr>
              <w:t>As of December 31,</w:t>
            </w:r>
          </w:p>
        </w:tc>
        <w:tc>
          <w:tcPr>
            <w:tcW w:w="6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7"/>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2022</w:t>
            </w: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r>
      <w:tr>
        <w:trPr>
          <w:trHeight w:val="20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08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100,907</w:t>
            </w:r>
          </w:p>
        </w:tc>
        <w:tc>
          <w:tcPr>
            <w:tcW w:w="1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100,573</w:t>
            </w:r>
          </w:p>
        </w:tc>
        <w:tc>
          <w:tcPr>
            <w:tcW w:w="6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99,709</w:t>
            </w: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960" w:type="dxa"/>
            <w:vAlign w:val="bottom"/>
          </w:tcPr>
          <w:p>
            <w:pPr>
              <w:jc w:val="right"/>
              <w:ind w:right="39"/>
              <w:spacing w:after="0"/>
              <w:rPr>
                <w:sz w:val="20"/>
                <w:szCs w:val="20"/>
                <w:color w:val="auto"/>
              </w:rPr>
            </w:pPr>
            <w:r>
              <w:rPr>
                <w:rFonts w:ascii="Arial" w:cs="Arial" w:eastAsia="Arial" w:hAnsi="Arial"/>
                <w:sz w:val="16"/>
                <w:szCs w:val="16"/>
                <w:color w:val="auto"/>
              </w:rPr>
              <w:t>76,479</w:t>
            </w:r>
          </w:p>
        </w:tc>
        <w:tc>
          <w:tcPr>
            <w:tcW w:w="1180" w:type="dxa"/>
            <w:vAlign w:val="bottom"/>
          </w:tcPr>
          <w:p>
            <w:pPr>
              <w:spacing w:after="0"/>
              <w:rPr>
                <w:sz w:val="18"/>
                <w:szCs w:val="18"/>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75,169</w:t>
            </w:r>
          </w:p>
        </w:tc>
        <w:tc>
          <w:tcPr>
            <w:tcW w:w="6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74,509</w:t>
            </w:r>
          </w:p>
        </w:tc>
      </w:tr>
      <w:tr>
        <w:trPr>
          <w:trHeight w:val="216"/>
        </w:trPr>
        <w:tc>
          <w:tcPr>
            <w:tcW w:w="2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08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44,954</w:t>
            </w:r>
          </w:p>
        </w:tc>
        <w:tc>
          <w:tcPr>
            <w:tcW w:w="1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44,689</w:t>
            </w:r>
          </w:p>
        </w:tc>
        <w:tc>
          <w:tcPr>
            <w:tcW w:w="6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44,051</w:t>
            </w:r>
          </w:p>
        </w:tc>
      </w:tr>
      <w:tr>
        <w:trPr>
          <w:trHeight w:val="210"/>
        </w:trPr>
        <w:tc>
          <w:tcPr>
            <w:tcW w:w="3860" w:type="dxa"/>
            <w:vAlign w:val="bottom"/>
            <w:gridSpan w:val="2"/>
          </w:tcPr>
          <w:p>
            <w:pPr>
              <w:ind w:left="200"/>
              <w:spacing w:after="0"/>
              <w:rPr>
                <w:sz w:val="20"/>
                <w:szCs w:val="20"/>
                <w:color w:val="auto"/>
              </w:rPr>
            </w:pPr>
            <w:r>
              <w:rPr>
                <w:rFonts w:ascii="Arial" w:cs="Arial" w:eastAsia="Arial" w:hAnsi="Arial"/>
                <w:sz w:val="16"/>
                <w:szCs w:val="16"/>
                <w:color w:val="auto"/>
              </w:rPr>
              <w:t>Total Electric Retail Customers at End of Year</w:t>
            </w:r>
          </w:p>
        </w:tc>
        <w:tc>
          <w:tcPr>
            <w:tcW w:w="1460" w:type="dxa"/>
            <w:vAlign w:val="bottom"/>
          </w:tcPr>
          <w:p>
            <w:pPr>
              <w:spacing w:after="0"/>
              <w:rPr>
                <w:sz w:val="18"/>
                <w:szCs w:val="18"/>
                <w:color w:val="auto"/>
              </w:rPr>
            </w:pPr>
          </w:p>
        </w:tc>
        <w:tc>
          <w:tcPr>
            <w:tcW w:w="1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222,340</w:t>
            </w:r>
          </w:p>
        </w:tc>
        <w:tc>
          <w:tcPr>
            <w:tcW w:w="1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220,431</w:t>
            </w: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218,269</w:t>
            </w:r>
          </w:p>
        </w:tc>
      </w:tr>
      <w:tr>
        <w:trPr>
          <w:trHeight w:val="20"/>
        </w:trPr>
        <w:tc>
          <w:tcPr>
            <w:tcW w:w="5320" w:type="dxa"/>
            <w:vAlign w:val="bottom"/>
            <w:gridSpan w:val="3"/>
          </w:tcPr>
          <w:p>
            <w:pPr>
              <w:spacing w:after="0" w:line="20" w:lineRule="exact"/>
              <w:rPr>
                <w:sz w:val="1"/>
                <w:szCs w:val="1"/>
                <w:color w:val="auto"/>
              </w:rPr>
            </w:pPr>
          </w:p>
        </w:tc>
        <w:tc>
          <w:tcPr>
            <w:tcW w:w="4660" w:type="dxa"/>
            <w:vAlign w:val="bottom"/>
            <w:tcBorders>
              <w:bottom w:val="single" w:sz="8" w:color="auto"/>
            </w:tcBorders>
            <w:gridSpan w:val="4"/>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79"/>
        </w:trPr>
        <w:tc>
          <w:tcPr>
            <w:tcW w:w="9980" w:type="dxa"/>
            <w:vAlign w:val="bottom"/>
            <w:gridSpan w:val="7"/>
          </w:tcPr>
          <w:p>
            <w:pPr>
              <w:spacing w:after="0"/>
              <w:rPr>
                <w:sz w:val="20"/>
                <w:szCs w:val="20"/>
                <w:color w:val="auto"/>
              </w:rPr>
            </w:pPr>
            <w:r>
              <w:rPr>
                <w:rFonts w:ascii="Arial" w:cs="Arial" w:eastAsia="Arial" w:hAnsi="Arial"/>
                <w:sz w:val="16"/>
                <w:szCs w:val="16"/>
                <w:b w:val="1"/>
                <w:bCs w:val="1"/>
                <w:i w:val="1"/>
                <w:iCs w:val="1"/>
                <w:color w:val="auto"/>
              </w:rPr>
              <w:t xml:space="preserve">Capacity and Demand. </w:t>
            </w:r>
            <w:r>
              <w:rPr>
                <w:rFonts w:ascii="Arial" w:cs="Arial" w:eastAsia="Arial" w:hAnsi="Arial"/>
                <w:sz w:val="16"/>
                <w:szCs w:val="16"/>
                <w:color w:val="auto"/>
              </w:rPr>
              <w:t>System Peak Demand for the Electric Utilities’ retail customers for each of the last three years are listed below:</w:t>
            </w:r>
          </w:p>
        </w:tc>
        <w:tc>
          <w:tcPr>
            <w:tcW w:w="1260" w:type="dxa"/>
            <w:vAlign w:val="bottom"/>
          </w:tcPr>
          <w:p>
            <w:pPr>
              <w:spacing w:after="0"/>
              <w:rPr>
                <w:sz w:val="24"/>
                <w:szCs w:val="24"/>
                <w:color w:val="auto"/>
              </w:rPr>
            </w:pPr>
          </w:p>
        </w:tc>
      </w:tr>
      <w:tr>
        <w:trPr>
          <w:trHeight w:val="385"/>
        </w:trPr>
        <w:tc>
          <w:tcPr>
            <w:tcW w:w="27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2"/>
          </w:tcPr>
          <w:p>
            <w:pPr>
              <w:ind w:left="480"/>
              <w:spacing w:after="0"/>
              <w:rPr>
                <w:sz w:val="20"/>
                <w:szCs w:val="20"/>
                <w:color w:val="auto"/>
              </w:rPr>
            </w:pPr>
            <w:r>
              <w:rPr>
                <w:rFonts w:ascii="Arial" w:cs="Arial" w:eastAsia="Arial" w:hAnsi="Arial"/>
                <w:sz w:val="16"/>
                <w:szCs w:val="16"/>
                <w:b w:val="1"/>
                <w:bCs w:val="1"/>
                <w:color w:val="auto"/>
              </w:rPr>
              <w:t>System Peak Demand (in MW)</w:t>
            </w:r>
          </w:p>
        </w:tc>
        <w:tc>
          <w:tcPr>
            <w:tcW w:w="9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10"/>
        </w:trPr>
        <w:tc>
          <w:tcPr>
            <w:tcW w:w="27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60"/>
              <w:spacing w:after="0" w:line="210" w:lineRule="exact"/>
              <w:rPr>
                <w:sz w:val="20"/>
                <w:szCs w:val="20"/>
                <w:color w:val="auto"/>
              </w:rPr>
            </w:pPr>
            <w:r>
              <w:rPr>
                <w:rFonts w:ascii="Arial" w:cs="Arial" w:eastAsia="Arial" w:hAnsi="Arial"/>
                <w:sz w:val="16"/>
                <w:szCs w:val="16"/>
                <w:b w:val="1"/>
                <w:bCs w:val="1"/>
                <w:color w:val="auto"/>
              </w:rPr>
              <w:t xml:space="preserve">2023 </w:t>
            </w:r>
            <w:r>
              <w:rPr>
                <w:rFonts w:ascii="Arial" w:cs="Arial" w:eastAsia="Arial" w:hAnsi="Arial"/>
                <w:sz w:val="21"/>
                <w:szCs w:val="21"/>
                <w:b w:val="1"/>
                <w:bCs w:val="1"/>
                <w:color w:val="auto"/>
                <w:vertAlign w:val="superscript"/>
              </w:rPr>
              <w:t>(a)</w:t>
            </w:r>
          </w:p>
        </w:tc>
        <w:tc>
          <w:tcPr>
            <w:tcW w:w="1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2022</w:t>
            </w:r>
          </w:p>
        </w:tc>
        <w:tc>
          <w:tcPr>
            <w:tcW w:w="1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260" w:type="dxa"/>
            <w:vAlign w:val="bottom"/>
            <w:tcBorders>
              <w:bottom w:val="single" w:sz="8" w:color="auto"/>
            </w:tcBorders>
          </w:tcPr>
          <w:p>
            <w:pPr>
              <w:spacing w:after="0"/>
              <w:rPr>
                <w:sz w:val="18"/>
                <w:szCs w:val="18"/>
                <w:color w:val="auto"/>
              </w:rPr>
            </w:pPr>
          </w:p>
        </w:tc>
      </w:tr>
      <w:tr>
        <w:trPr>
          <w:trHeight w:val="210"/>
        </w:trPr>
        <w:tc>
          <w:tcPr>
            <w:tcW w:w="2780" w:type="dxa"/>
            <w:vAlign w:val="bottom"/>
          </w:tcPr>
          <w:p>
            <w:pPr>
              <w:spacing w:after="0"/>
              <w:rPr>
                <w:sz w:val="18"/>
                <w:szCs w:val="18"/>
                <w:color w:val="auto"/>
              </w:rPr>
            </w:pPr>
          </w:p>
        </w:tc>
        <w:tc>
          <w:tcPr>
            <w:tcW w:w="10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w w:val="99"/>
              </w:rPr>
              <w:t>Summer</w:t>
            </w:r>
          </w:p>
        </w:tc>
        <w:tc>
          <w:tcPr>
            <w:tcW w:w="146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Winter</w:t>
            </w:r>
          </w:p>
        </w:tc>
        <w:tc>
          <w:tcPr>
            <w:tcW w:w="19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Summer</w:t>
            </w:r>
          </w:p>
        </w:tc>
        <w:tc>
          <w:tcPr>
            <w:tcW w:w="11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Winter</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Summer</w:t>
            </w: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Winter</w:t>
            </w:r>
          </w:p>
        </w:tc>
      </w:tr>
      <w:tr>
        <w:trPr>
          <w:trHeight w:val="209"/>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080" w:type="dxa"/>
            <w:vAlign w:val="bottom"/>
            <w:shd w:val="clear" w:color="auto" w:fill="CFF0FC"/>
          </w:tcPr>
          <w:p>
            <w:pPr>
              <w:jc w:val="center"/>
              <w:ind w:left="259"/>
              <w:spacing w:after="0"/>
              <w:rPr>
                <w:sz w:val="20"/>
                <w:szCs w:val="20"/>
                <w:color w:val="auto"/>
              </w:rPr>
            </w:pPr>
            <w:r>
              <w:rPr>
                <w:rFonts w:ascii="Arial" w:cs="Arial" w:eastAsia="Arial" w:hAnsi="Arial"/>
                <w:sz w:val="16"/>
                <w:szCs w:val="16"/>
                <w:color w:val="auto"/>
                <w:w w:val="97"/>
              </w:rPr>
              <w:t>411</w:t>
            </w:r>
          </w:p>
        </w:tc>
        <w:tc>
          <w:tcPr>
            <w:tcW w:w="1460" w:type="dxa"/>
            <w:vAlign w:val="bottom"/>
            <w:shd w:val="clear" w:color="auto" w:fill="CFF0FC"/>
          </w:tcPr>
          <w:p>
            <w:pPr>
              <w:jc w:val="center"/>
              <w:ind w:left="519"/>
              <w:spacing w:after="0"/>
              <w:rPr>
                <w:sz w:val="20"/>
                <w:szCs w:val="20"/>
                <w:color w:val="auto"/>
              </w:rPr>
            </w:pPr>
            <w:r>
              <w:rPr>
                <w:rFonts w:ascii="Arial" w:cs="Arial" w:eastAsia="Arial" w:hAnsi="Arial"/>
                <w:sz w:val="16"/>
                <w:szCs w:val="16"/>
                <w:color w:val="auto"/>
                <w:w w:val="97"/>
              </w:rPr>
              <w:t>297</w:t>
            </w:r>
          </w:p>
        </w:tc>
        <w:tc>
          <w:tcPr>
            <w:tcW w:w="19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410</w:t>
            </w:r>
          </w:p>
        </w:tc>
        <w:tc>
          <w:tcPr>
            <w:tcW w:w="11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334</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407</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279</w:t>
            </w:r>
          </w:p>
        </w:tc>
      </w:tr>
      <w:tr>
        <w:trPr>
          <w:trHeight w:val="215"/>
        </w:trPr>
        <w:tc>
          <w:tcPr>
            <w:tcW w:w="278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080" w:type="dxa"/>
            <w:vAlign w:val="bottom"/>
          </w:tcPr>
          <w:p>
            <w:pPr>
              <w:jc w:val="center"/>
              <w:ind w:left="279"/>
              <w:spacing w:after="0"/>
              <w:rPr>
                <w:sz w:val="20"/>
                <w:szCs w:val="20"/>
                <w:color w:val="auto"/>
              </w:rPr>
            </w:pPr>
            <w:r>
              <w:rPr>
                <w:rFonts w:ascii="Arial" w:cs="Arial" w:eastAsia="Arial" w:hAnsi="Arial"/>
                <w:sz w:val="16"/>
                <w:szCs w:val="16"/>
                <w:color w:val="auto"/>
              </w:rPr>
              <w:t>378</w:t>
            </w:r>
          </w:p>
        </w:tc>
        <w:tc>
          <w:tcPr>
            <w:tcW w:w="1460" w:type="dxa"/>
            <w:vAlign w:val="bottom"/>
          </w:tcPr>
          <w:p>
            <w:pPr>
              <w:jc w:val="center"/>
              <w:ind w:left="519"/>
              <w:spacing w:after="0"/>
              <w:rPr>
                <w:sz w:val="20"/>
                <w:szCs w:val="20"/>
                <w:color w:val="auto"/>
              </w:rPr>
            </w:pPr>
            <w:r>
              <w:rPr>
                <w:rFonts w:ascii="Arial" w:cs="Arial" w:eastAsia="Arial" w:hAnsi="Arial"/>
                <w:sz w:val="16"/>
                <w:szCs w:val="16"/>
                <w:color w:val="auto"/>
                <w:w w:val="97"/>
              </w:rPr>
              <w:t>289</w:t>
            </w:r>
          </w:p>
        </w:tc>
        <w:tc>
          <w:tcPr>
            <w:tcW w:w="1960" w:type="dxa"/>
            <w:vAlign w:val="bottom"/>
          </w:tcPr>
          <w:p>
            <w:pPr>
              <w:jc w:val="right"/>
              <w:ind w:right="339"/>
              <w:spacing w:after="0"/>
              <w:rPr>
                <w:sz w:val="20"/>
                <w:szCs w:val="20"/>
                <w:color w:val="auto"/>
              </w:rPr>
            </w:pPr>
            <w:r>
              <w:rPr>
                <w:rFonts w:ascii="Arial" w:cs="Arial" w:eastAsia="Arial" w:hAnsi="Arial"/>
                <w:sz w:val="16"/>
                <w:szCs w:val="16"/>
                <w:color w:val="auto"/>
              </w:rPr>
              <w:t>403</w:t>
            </w:r>
          </w:p>
        </w:tc>
        <w:tc>
          <w:tcPr>
            <w:tcW w:w="1180" w:type="dxa"/>
            <w:vAlign w:val="bottom"/>
          </w:tcPr>
          <w:p>
            <w:pPr>
              <w:ind w:left="740"/>
              <w:spacing w:after="0"/>
              <w:rPr>
                <w:sz w:val="20"/>
                <w:szCs w:val="20"/>
                <w:color w:val="auto"/>
              </w:rPr>
            </w:pPr>
            <w:r>
              <w:rPr>
                <w:rFonts w:ascii="Arial" w:cs="Arial" w:eastAsia="Arial" w:hAnsi="Arial"/>
                <w:sz w:val="16"/>
                <w:szCs w:val="16"/>
                <w:color w:val="auto"/>
              </w:rPr>
              <w:t>355</w:t>
            </w:r>
          </w:p>
        </w:tc>
        <w:tc>
          <w:tcPr>
            <w:tcW w:w="920" w:type="dxa"/>
            <w:vAlign w:val="bottom"/>
          </w:tcPr>
          <w:p>
            <w:pPr>
              <w:spacing w:after="0"/>
              <w:rPr>
                <w:sz w:val="18"/>
                <w:szCs w:val="18"/>
                <w:color w:val="auto"/>
              </w:rPr>
            </w:pPr>
          </w:p>
        </w:tc>
        <w:tc>
          <w:tcPr>
            <w:tcW w:w="600" w:type="dxa"/>
            <w:vAlign w:val="bottom"/>
          </w:tcPr>
          <w:p>
            <w:pPr>
              <w:jc w:val="right"/>
              <w:ind w:right="219"/>
              <w:spacing w:after="0"/>
              <w:rPr>
                <w:sz w:val="20"/>
                <w:szCs w:val="20"/>
                <w:color w:val="auto"/>
              </w:rPr>
            </w:pPr>
            <w:r>
              <w:rPr>
                <w:rFonts w:ascii="Arial" w:cs="Arial" w:eastAsia="Arial" w:hAnsi="Arial"/>
                <w:sz w:val="16"/>
                <w:szCs w:val="16"/>
                <w:color w:val="auto"/>
              </w:rPr>
              <w:t>397</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299</w:t>
            </w:r>
          </w:p>
        </w:tc>
      </w:tr>
      <w:tr>
        <w:trPr>
          <w:trHeight w:val="217"/>
        </w:trPr>
        <w:tc>
          <w:tcPr>
            <w:tcW w:w="2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080" w:type="dxa"/>
            <w:vAlign w:val="bottom"/>
            <w:shd w:val="clear" w:color="auto" w:fill="CFF0FC"/>
          </w:tcPr>
          <w:p>
            <w:pPr>
              <w:jc w:val="center"/>
              <w:ind w:left="279"/>
              <w:spacing w:after="0"/>
              <w:rPr>
                <w:sz w:val="20"/>
                <w:szCs w:val="20"/>
                <w:color w:val="auto"/>
              </w:rPr>
            </w:pPr>
            <w:r>
              <w:rPr>
                <w:rFonts w:ascii="Arial" w:cs="Arial" w:eastAsia="Arial" w:hAnsi="Arial"/>
                <w:sz w:val="16"/>
                <w:szCs w:val="16"/>
                <w:color w:val="auto"/>
              </w:rPr>
              <w:t>312</w:t>
            </w:r>
          </w:p>
        </w:tc>
        <w:tc>
          <w:tcPr>
            <w:tcW w:w="1460" w:type="dxa"/>
            <w:vAlign w:val="bottom"/>
            <w:shd w:val="clear" w:color="auto" w:fill="CFF0FC"/>
          </w:tcPr>
          <w:p>
            <w:pPr>
              <w:jc w:val="center"/>
              <w:ind w:left="519"/>
              <w:spacing w:after="0"/>
              <w:rPr>
                <w:sz w:val="20"/>
                <w:szCs w:val="20"/>
                <w:color w:val="auto"/>
              </w:rPr>
            </w:pPr>
            <w:r>
              <w:rPr>
                <w:rFonts w:ascii="Arial" w:cs="Arial" w:eastAsia="Arial" w:hAnsi="Arial"/>
                <w:sz w:val="16"/>
                <w:szCs w:val="16"/>
                <w:color w:val="auto"/>
                <w:w w:val="97"/>
              </w:rPr>
              <w:t>301</w:t>
            </w:r>
          </w:p>
        </w:tc>
        <w:tc>
          <w:tcPr>
            <w:tcW w:w="19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294</w:t>
            </w:r>
          </w:p>
        </w:tc>
        <w:tc>
          <w:tcPr>
            <w:tcW w:w="1180" w:type="dxa"/>
            <w:vAlign w:val="bottom"/>
            <w:shd w:val="clear" w:color="auto" w:fill="CFF0FC"/>
          </w:tcPr>
          <w:p>
            <w:pPr>
              <w:ind w:left="740"/>
              <w:spacing w:after="0"/>
              <w:rPr>
                <w:sz w:val="20"/>
                <w:szCs w:val="20"/>
                <w:color w:val="auto"/>
              </w:rPr>
            </w:pPr>
            <w:r>
              <w:rPr>
                <w:rFonts w:ascii="Arial" w:cs="Arial" w:eastAsia="Arial" w:hAnsi="Arial"/>
                <w:sz w:val="16"/>
                <w:szCs w:val="16"/>
                <w:color w:val="auto"/>
              </w:rPr>
              <w:t>281</w:t>
            </w: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274</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246</w:t>
            </w:r>
          </w:p>
        </w:tc>
      </w:tr>
      <w:tr>
        <w:trPr>
          <w:trHeight w:val="142"/>
        </w:trPr>
        <w:tc>
          <w:tcPr>
            <w:tcW w:w="2780" w:type="dxa"/>
            <w:vAlign w:val="bottom"/>
          </w:tcPr>
          <w:p>
            <w:pPr>
              <w:spacing w:after="0"/>
              <w:rPr>
                <w:sz w:val="20"/>
                <w:szCs w:val="20"/>
                <w:color w:val="auto"/>
              </w:rPr>
            </w:pPr>
            <w:r>
              <w:rPr>
                <w:rFonts w:ascii="Arial" w:cs="Arial" w:eastAsia="Arial" w:hAnsi="Arial"/>
                <w:sz w:val="11"/>
                <w:szCs w:val="11"/>
                <w:color w:val="auto"/>
              </w:rPr>
              <w:t>____________________</w:t>
            </w:r>
          </w:p>
        </w:tc>
        <w:tc>
          <w:tcPr>
            <w:tcW w:w="10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11" w:lineRule="exact"/>
        <w:rPr>
          <w:sz w:val="20"/>
          <w:szCs w:val="20"/>
          <w:color w:val="auto"/>
        </w:rPr>
      </w:pPr>
    </w:p>
    <w:p>
      <w:pPr>
        <w:ind w:left="520" w:right="180" w:hanging="512"/>
        <w:spacing w:after="0" w:line="285" w:lineRule="auto"/>
        <w:tabs>
          <w:tab w:leader="none" w:pos="520"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 2023, Wyoming Electric set new summer and winter peak loads. See recent peak discussion in the </w:t>
      </w:r>
      <w:r>
        <w:rPr>
          <w:rFonts w:ascii="Arial" w:cs="Arial" w:eastAsia="Arial" w:hAnsi="Arial"/>
          <w:sz w:val="14"/>
          <w:szCs w:val="14"/>
          <w:u w:val="single" w:color="auto"/>
          <w:color w:val="0000FF"/>
        </w:rPr>
        <w:t>Recent Developments</w:t>
      </w:r>
      <w:r>
        <w:rPr>
          <w:rFonts w:ascii="Arial" w:cs="Arial" w:eastAsia="Arial" w:hAnsi="Arial"/>
          <w:sz w:val="14"/>
          <w:szCs w:val="14"/>
          <w:color w:val="auto"/>
        </w:rPr>
        <w:t xml:space="preserve"> section of Management’s Discussion and Analysis of Financial Condition and Results of Operations in </w:t>
      </w:r>
      <w:r>
        <w:rPr>
          <w:rFonts w:ascii="Arial" w:cs="Arial" w:eastAsia="Arial" w:hAnsi="Arial"/>
          <w:sz w:val="14"/>
          <w:szCs w:val="14"/>
          <w:u w:val="single" w:color="auto"/>
          <w:color w:val="0000FF"/>
        </w:rPr>
        <w:t>Item 7</w:t>
      </w:r>
      <w:r>
        <w:rPr>
          <w:rFonts w:ascii="Arial" w:cs="Arial" w:eastAsia="Arial" w:hAnsi="Arial"/>
          <w:sz w:val="14"/>
          <w:szCs w:val="14"/>
          <w:color w:val="auto"/>
        </w:rPr>
        <w:t xml:space="preserve">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-142240</wp:posOffset>
            </wp:positionV>
            <wp:extent cx="8985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98525" cy="8890"/>
                    </a:xfrm>
                    <a:prstGeom prst="rect">
                      <a:avLst/>
                    </a:prstGeom>
                    <a:noFill/>
                  </pic:spPr>
                </pic:pic>
              </a:graphicData>
            </a:graphic>
          </wp:anchor>
        </w:drawing>
        <w:drawing>
          <wp:anchor simplePos="0" relativeHeight="251657728" behindDoc="1" locked="0" layoutInCell="0" allowOverlap="1">
            <wp:simplePos x="0" y="0"/>
            <wp:positionH relativeFrom="column">
              <wp:posOffset>2776220</wp:posOffset>
            </wp:positionH>
            <wp:positionV relativeFrom="paragraph">
              <wp:posOffset>-39370</wp:posOffset>
            </wp:positionV>
            <wp:extent cx="2540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4000" cy="8890"/>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4"/>
        </w:trPr>
        <w:tc>
          <w:tcPr>
            <w:tcW w:w="27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22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736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23"/>
        </w:trPr>
        <w:tc>
          <w:tcPr>
            <w:tcW w:w="8740" w:type="dxa"/>
            <w:vAlign w:val="bottom"/>
            <w:gridSpan w:val="5"/>
          </w:tcPr>
          <w:p>
            <w:pPr>
              <w:spacing w:after="0"/>
              <w:rPr>
                <w:sz w:val="20"/>
                <w:szCs w:val="20"/>
                <w:color w:val="auto"/>
              </w:rPr>
            </w:pPr>
            <w:r>
              <w:rPr>
                <w:rFonts w:ascii="Arial" w:cs="Arial" w:eastAsia="Arial" w:hAnsi="Arial"/>
                <w:sz w:val="16"/>
                <w:szCs w:val="16"/>
                <w:color w:val="auto"/>
              </w:rPr>
              <w:t>As of December 31, 2023, our Electric Utilities’ ownership interests in electric generating plants were as follows:</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66"/>
        </w:trPr>
        <w:tc>
          <w:tcPr>
            <w:tcW w:w="1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80" w:type="dxa"/>
            <w:vAlign w:val="bottom"/>
          </w:tcPr>
          <w:p>
            <w:pPr>
              <w:jc w:val="center"/>
              <w:ind w:right="19"/>
              <w:spacing w:after="0"/>
              <w:rPr>
                <w:sz w:val="20"/>
                <w:szCs w:val="20"/>
                <w:color w:val="auto"/>
              </w:rPr>
            </w:pPr>
            <w:r>
              <w:rPr>
                <w:rFonts w:ascii="Arial" w:cs="Arial" w:eastAsia="Arial" w:hAnsi="Arial"/>
                <w:sz w:val="16"/>
                <w:szCs w:val="16"/>
                <w:b w:val="1"/>
                <w:bCs w:val="1"/>
                <w:color w:val="auto"/>
              </w:rPr>
              <w:t>Owned</w:t>
            </w:r>
          </w:p>
        </w:tc>
        <w:tc>
          <w:tcPr>
            <w:tcW w:w="1020" w:type="dxa"/>
            <w:vAlign w:val="bottom"/>
          </w:tcPr>
          <w:p>
            <w:pPr>
              <w:spacing w:after="0"/>
              <w:rPr>
                <w:sz w:val="24"/>
                <w:szCs w:val="24"/>
                <w:color w:val="auto"/>
              </w:rPr>
            </w:pPr>
          </w:p>
        </w:tc>
      </w:tr>
      <w:tr>
        <w:trPr>
          <w:trHeight w:val="163"/>
        </w:trPr>
        <w:tc>
          <w:tcPr>
            <w:tcW w:w="1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tcPr>
          <w:p>
            <w:pPr>
              <w:jc w:val="center"/>
              <w:ind w:left="39"/>
              <w:spacing w:after="0" w:line="163" w:lineRule="exact"/>
              <w:rPr>
                <w:sz w:val="20"/>
                <w:szCs w:val="20"/>
                <w:color w:val="auto"/>
              </w:rPr>
            </w:pPr>
            <w:r>
              <w:rPr>
                <w:rFonts w:ascii="Arial" w:cs="Arial" w:eastAsia="Arial" w:hAnsi="Arial"/>
                <w:sz w:val="16"/>
                <w:szCs w:val="16"/>
                <w:b w:val="1"/>
                <w:bCs w:val="1"/>
                <w:color w:val="auto"/>
              </w:rPr>
              <w:t>Fuel</w:t>
            </w:r>
          </w:p>
        </w:tc>
        <w:tc>
          <w:tcPr>
            <w:tcW w:w="2340" w:type="dxa"/>
            <w:vAlign w:val="bottom"/>
          </w:tcPr>
          <w:p>
            <w:pPr>
              <w:spacing w:after="0"/>
              <w:rPr>
                <w:sz w:val="14"/>
                <w:szCs w:val="14"/>
                <w:color w:val="auto"/>
              </w:rPr>
            </w:pPr>
          </w:p>
        </w:tc>
        <w:tc>
          <w:tcPr>
            <w:tcW w:w="1380" w:type="dxa"/>
            <w:vAlign w:val="bottom"/>
          </w:tcPr>
          <w:p>
            <w:pPr>
              <w:jc w:val="center"/>
              <w:ind w:left="19"/>
              <w:spacing w:after="0" w:line="163" w:lineRule="exact"/>
              <w:rPr>
                <w:sz w:val="20"/>
                <w:szCs w:val="20"/>
                <w:color w:val="auto"/>
              </w:rPr>
            </w:pPr>
            <w:r>
              <w:rPr>
                <w:rFonts w:ascii="Arial" w:cs="Arial" w:eastAsia="Arial" w:hAnsi="Arial"/>
                <w:sz w:val="16"/>
                <w:szCs w:val="16"/>
                <w:b w:val="1"/>
                <w:bCs w:val="1"/>
                <w:color w:val="auto"/>
              </w:rPr>
              <w:t>Ownership</w:t>
            </w:r>
          </w:p>
        </w:tc>
        <w:tc>
          <w:tcPr>
            <w:tcW w:w="14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Nameplate</w:t>
            </w:r>
          </w:p>
        </w:tc>
        <w:tc>
          <w:tcPr>
            <w:tcW w:w="1020" w:type="dxa"/>
            <w:vAlign w:val="bottom"/>
          </w:tcPr>
          <w:p>
            <w:pPr>
              <w:jc w:val="center"/>
              <w:spacing w:after="0" w:line="163" w:lineRule="exact"/>
              <w:rPr>
                <w:sz w:val="20"/>
                <w:szCs w:val="20"/>
                <w:color w:val="auto"/>
              </w:rPr>
            </w:pPr>
            <w:r>
              <w:rPr>
                <w:rFonts w:ascii="Arial" w:cs="Arial" w:eastAsia="Arial" w:hAnsi="Arial"/>
                <w:sz w:val="16"/>
                <w:szCs w:val="16"/>
                <w:b w:val="1"/>
                <w:bCs w:val="1"/>
                <w:color w:val="auto"/>
              </w:rPr>
              <w:t>In Service</w:t>
            </w:r>
          </w:p>
        </w:tc>
      </w:tr>
      <w:tr>
        <w:trPr>
          <w:trHeight w:val="243"/>
        </w:trPr>
        <w:tc>
          <w:tcPr>
            <w:tcW w:w="2760" w:type="dxa"/>
            <w:vAlign w:val="bottom"/>
            <w:tcBorders>
              <w:bottom w:val="single" w:sz="8" w:color="auto"/>
            </w:tcBorders>
            <w:gridSpan w:val="2"/>
          </w:tcPr>
          <w:p>
            <w:pPr>
              <w:ind w:left="1320"/>
              <w:spacing w:after="0"/>
              <w:rPr>
                <w:sz w:val="20"/>
                <w:szCs w:val="20"/>
                <w:color w:val="auto"/>
              </w:rPr>
            </w:pPr>
            <w:r>
              <w:rPr>
                <w:rFonts w:ascii="Arial" w:cs="Arial" w:eastAsia="Arial" w:hAnsi="Arial"/>
                <w:sz w:val="16"/>
                <w:szCs w:val="16"/>
                <w:b w:val="1"/>
                <w:bCs w:val="1"/>
                <w:color w:val="auto"/>
              </w:rPr>
              <w:t>Unit</w:t>
            </w:r>
          </w:p>
        </w:tc>
        <w:tc>
          <w:tcPr>
            <w:tcW w:w="226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Type</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Location</w:t>
            </w:r>
          </w:p>
        </w:tc>
        <w:tc>
          <w:tcPr>
            <w:tcW w:w="138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7"/>
              </w:rPr>
              <w:t xml:space="preserve">Interest % </w:t>
            </w:r>
            <w:r>
              <w:rPr>
                <w:rFonts w:ascii="Arial" w:cs="Arial" w:eastAsia="Arial" w:hAnsi="Arial"/>
                <w:sz w:val="21"/>
                <w:szCs w:val="21"/>
                <w:b w:val="1"/>
                <w:bCs w:val="1"/>
                <w:color w:val="auto"/>
                <w:w w:val="97"/>
                <w:vertAlign w:val="superscript"/>
              </w:rPr>
              <w:t>(d)</w:t>
            </w:r>
          </w:p>
        </w:tc>
        <w:tc>
          <w:tcPr>
            <w:tcW w:w="14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Capacity (MW)</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210"/>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Colorado Electric:</w:t>
            </w:r>
          </w:p>
        </w:tc>
        <w:tc>
          <w:tcPr>
            <w:tcW w:w="22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27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Wind</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50%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14.5</w:t>
            </w:r>
          </w:p>
        </w:tc>
        <w:tc>
          <w:tcPr>
            <w:tcW w:w="10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216"/>
        </w:trPr>
        <w:tc>
          <w:tcPr>
            <w:tcW w:w="276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Peak View </w:t>
            </w:r>
            <w:r>
              <w:rPr>
                <w:rFonts w:ascii="Arial" w:cs="Arial" w:eastAsia="Arial" w:hAnsi="Arial"/>
                <w:sz w:val="21"/>
                <w:szCs w:val="21"/>
                <w:color w:val="auto"/>
                <w:vertAlign w:val="superscript"/>
              </w:rPr>
              <w:t>(b) (c)</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Wind</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60.8</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2016</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Pueblo Airport Generation #1-2</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20" w:type="dxa"/>
            <w:vAlign w:val="bottom"/>
          </w:tcPr>
          <w:p>
            <w:pPr>
              <w:jc w:val="center"/>
              <w:spacing w:after="0"/>
              <w:rPr>
                <w:sz w:val="20"/>
                <w:szCs w:val="20"/>
                <w:color w:val="auto"/>
              </w:rPr>
            </w:pPr>
            <w:r>
              <w:rPr>
                <w:rFonts w:ascii="Arial" w:cs="Arial" w:eastAsia="Arial" w:hAnsi="Arial"/>
                <w:sz w:val="16"/>
                <w:szCs w:val="16"/>
                <w:color w:val="auto"/>
                <w:w w:val="95"/>
              </w:rPr>
              <w:t>2011</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Pueblo Airport Generation CT #6</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2016</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AIP Diesel</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2001</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Diesel #1 and #3-5</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1964</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Diesel #1-5</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tcPr>
          <w:p>
            <w:pPr>
              <w:jc w:val="center"/>
              <w:spacing w:after="0"/>
              <w:rPr>
                <w:sz w:val="20"/>
                <w:szCs w:val="20"/>
                <w:color w:val="auto"/>
              </w:rPr>
            </w:pPr>
            <w:r>
              <w:rPr>
                <w:rFonts w:ascii="Arial" w:cs="Arial" w:eastAsia="Arial" w:hAnsi="Arial"/>
                <w:sz w:val="16"/>
                <w:szCs w:val="16"/>
                <w:color w:val="auto"/>
              </w:rPr>
              <w:t>Rocky Ford,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tcPr>
          <w:p>
            <w:pPr>
              <w:jc w:val="center"/>
              <w:spacing w:after="0"/>
              <w:rPr>
                <w:sz w:val="20"/>
                <w:szCs w:val="20"/>
                <w:color w:val="auto"/>
              </w:rPr>
            </w:pPr>
            <w:r>
              <w:rPr>
                <w:rFonts w:ascii="Arial" w:cs="Arial" w:eastAsia="Arial" w:hAnsi="Arial"/>
                <w:sz w:val="16"/>
                <w:szCs w:val="16"/>
                <w:color w:val="auto"/>
              </w:rPr>
              <w:t>1964</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South Dakota Electric:</w:t>
            </w:r>
          </w:p>
        </w:tc>
        <w:tc>
          <w:tcPr>
            <w:tcW w:w="22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Cheyenne Prairie</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58%</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58.0</w:t>
            </w:r>
          </w:p>
        </w:tc>
        <w:tc>
          <w:tcPr>
            <w:tcW w:w="1020" w:type="dxa"/>
            <w:vAlign w:val="bottom"/>
          </w:tcPr>
          <w:p>
            <w:pPr>
              <w:jc w:val="center"/>
              <w:spacing w:after="0"/>
              <w:rPr>
                <w:sz w:val="20"/>
                <w:szCs w:val="20"/>
                <w:color w:val="auto"/>
              </w:rPr>
            </w:pPr>
            <w:r>
              <w:rPr>
                <w:rFonts w:ascii="Arial" w:cs="Arial" w:eastAsia="Arial" w:hAnsi="Arial"/>
                <w:sz w:val="16"/>
                <w:szCs w:val="16"/>
                <w:color w:val="auto"/>
              </w:rPr>
              <w:t>2014</w:t>
            </w:r>
          </w:p>
        </w:tc>
      </w:tr>
      <w:tr>
        <w:trPr>
          <w:trHeight w:val="217"/>
        </w:trPr>
        <w:tc>
          <w:tcPr>
            <w:tcW w:w="2760" w:type="dxa"/>
            <w:vAlign w:val="bottom"/>
            <w:gridSpan w:val="2"/>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Wind</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62%</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32.5</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2020</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Wygen III</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52%</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60.3</w:t>
            </w:r>
          </w:p>
        </w:tc>
        <w:tc>
          <w:tcPr>
            <w:tcW w:w="1020" w:type="dxa"/>
            <w:vAlign w:val="bottom"/>
          </w:tcPr>
          <w:p>
            <w:pPr>
              <w:jc w:val="center"/>
              <w:spacing w:after="0"/>
              <w:rPr>
                <w:sz w:val="20"/>
                <w:szCs w:val="20"/>
                <w:color w:val="auto"/>
              </w:rPr>
            </w:pPr>
            <w:r>
              <w:rPr>
                <w:rFonts w:ascii="Arial" w:cs="Arial" w:eastAsia="Arial" w:hAnsi="Arial"/>
                <w:sz w:val="16"/>
                <w:szCs w:val="16"/>
                <w:color w:val="auto"/>
              </w:rPr>
              <w:t>2010</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Neil Simpson II</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1995</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Wyodak Plant</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20%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1020" w:type="dxa"/>
            <w:vAlign w:val="bottom"/>
          </w:tcPr>
          <w:p>
            <w:pPr>
              <w:jc w:val="center"/>
              <w:spacing w:after="0"/>
              <w:rPr>
                <w:sz w:val="20"/>
                <w:szCs w:val="20"/>
                <w:color w:val="auto"/>
              </w:rPr>
            </w:pPr>
            <w:r>
              <w:rPr>
                <w:rFonts w:ascii="Arial" w:cs="Arial" w:eastAsia="Arial" w:hAnsi="Arial"/>
                <w:sz w:val="16"/>
                <w:szCs w:val="16"/>
                <w:color w:val="auto"/>
              </w:rPr>
              <w:t>1978</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Neil Simpson CT</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2000</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Lange CT</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tcPr>
          <w:p>
            <w:pPr>
              <w:jc w:val="center"/>
              <w:spacing w:after="0"/>
              <w:rPr>
                <w:sz w:val="20"/>
                <w:szCs w:val="20"/>
                <w:color w:val="auto"/>
              </w:rPr>
            </w:pPr>
            <w:r>
              <w:rPr>
                <w:rFonts w:ascii="Arial" w:cs="Arial" w:eastAsia="Arial" w:hAnsi="Arial"/>
                <w:sz w:val="16"/>
                <w:szCs w:val="16"/>
                <w:color w:val="auto"/>
              </w:rPr>
              <w:t>2002</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Ben French Diesel #1-5</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Diesel Oil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Rapid City, South Dakota</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1965</w:t>
            </w: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Ben French CTs #1-4</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Gas/Diesel Oil</w:t>
            </w:r>
          </w:p>
        </w:tc>
        <w:tc>
          <w:tcPr>
            <w:tcW w:w="2340" w:type="dxa"/>
            <w:vAlign w:val="bottom"/>
          </w:tcPr>
          <w:p>
            <w:pPr>
              <w:jc w:val="center"/>
              <w:spacing w:after="0"/>
              <w:rPr>
                <w:sz w:val="20"/>
                <w:szCs w:val="20"/>
                <w:color w:val="auto"/>
              </w:rPr>
            </w:pPr>
            <w:r>
              <w:rPr>
                <w:rFonts w:ascii="Arial" w:cs="Arial" w:eastAsia="Arial" w:hAnsi="Arial"/>
                <w:sz w:val="16"/>
                <w:szCs w:val="16"/>
                <w:color w:val="auto"/>
              </w:rPr>
              <w:t>Rapid City, South Dakota</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100.0</w:t>
            </w:r>
          </w:p>
        </w:tc>
        <w:tc>
          <w:tcPr>
            <w:tcW w:w="1020" w:type="dxa"/>
            <w:vAlign w:val="bottom"/>
          </w:tcPr>
          <w:p>
            <w:pPr>
              <w:jc w:val="center"/>
              <w:spacing w:after="0"/>
              <w:rPr>
                <w:sz w:val="20"/>
                <w:szCs w:val="20"/>
                <w:color w:val="auto"/>
              </w:rPr>
            </w:pPr>
            <w:r>
              <w:rPr>
                <w:rFonts w:ascii="Arial" w:cs="Arial" w:eastAsia="Arial" w:hAnsi="Arial"/>
                <w:sz w:val="16"/>
                <w:szCs w:val="16"/>
                <w:color w:val="auto"/>
              </w:rPr>
              <w:t>1977-1979</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Wyoming Electric:</w:t>
            </w:r>
          </w:p>
        </w:tc>
        <w:tc>
          <w:tcPr>
            <w:tcW w:w="22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Cheyenne Prairie</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42%</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42.0</w:t>
            </w:r>
          </w:p>
        </w:tc>
        <w:tc>
          <w:tcPr>
            <w:tcW w:w="1020" w:type="dxa"/>
            <w:vAlign w:val="bottom"/>
          </w:tcPr>
          <w:p>
            <w:pPr>
              <w:jc w:val="center"/>
              <w:spacing w:after="0"/>
              <w:rPr>
                <w:sz w:val="20"/>
                <w:szCs w:val="20"/>
                <w:color w:val="auto"/>
              </w:rPr>
            </w:pPr>
            <w:r>
              <w:rPr>
                <w:rFonts w:ascii="Arial" w:cs="Arial" w:eastAsia="Arial" w:hAnsi="Arial"/>
                <w:sz w:val="16"/>
                <w:szCs w:val="16"/>
                <w:color w:val="auto"/>
              </w:rPr>
              <w:t>2014</w:t>
            </w:r>
          </w:p>
        </w:tc>
      </w:tr>
      <w:tr>
        <w:trPr>
          <w:trHeight w:val="217"/>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Cheyenne Prairie CT</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2014</w:t>
            </w:r>
          </w:p>
        </w:tc>
      </w:tr>
      <w:tr>
        <w:trPr>
          <w:trHeight w:val="216"/>
        </w:trPr>
        <w:tc>
          <w:tcPr>
            <w:tcW w:w="27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Corriedale </w:t>
            </w:r>
            <w:r>
              <w:rPr>
                <w:rFonts w:ascii="Arial" w:cs="Arial" w:eastAsia="Arial" w:hAnsi="Arial"/>
                <w:sz w:val="21"/>
                <w:szCs w:val="21"/>
                <w:color w:val="auto"/>
                <w:vertAlign w:val="superscript"/>
              </w:rPr>
              <w:t>(c)</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Wind</w:t>
            </w:r>
          </w:p>
        </w:tc>
        <w:tc>
          <w:tcPr>
            <w:tcW w:w="2340" w:type="dxa"/>
            <w:vAlign w:val="bottom"/>
          </w:tcPr>
          <w:p>
            <w:pPr>
              <w:jc w:val="center"/>
              <w:spacing w:after="0"/>
              <w:rPr>
                <w:sz w:val="20"/>
                <w:szCs w:val="20"/>
                <w:color w:val="auto"/>
              </w:rPr>
            </w:pPr>
            <w:r>
              <w:rPr>
                <w:rFonts w:ascii="Arial" w:cs="Arial" w:eastAsia="Arial" w:hAnsi="Arial"/>
                <w:sz w:val="16"/>
                <w:szCs w:val="16"/>
                <w:color w:val="auto"/>
              </w:rPr>
              <w:t>Cheyenne, Wyoming</w:t>
            </w:r>
          </w:p>
        </w:tc>
        <w:tc>
          <w:tcPr>
            <w:tcW w:w="1380" w:type="dxa"/>
            <w:vAlign w:val="bottom"/>
          </w:tcPr>
          <w:p>
            <w:pPr>
              <w:jc w:val="center"/>
              <w:ind w:left="19"/>
              <w:spacing w:after="0"/>
              <w:rPr>
                <w:sz w:val="20"/>
                <w:szCs w:val="20"/>
                <w:color w:val="auto"/>
              </w:rPr>
            </w:pPr>
            <w:r>
              <w:rPr>
                <w:rFonts w:ascii="Arial" w:cs="Arial" w:eastAsia="Arial" w:hAnsi="Arial"/>
                <w:sz w:val="16"/>
                <w:szCs w:val="16"/>
                <w:color w:val="auto"/>
                <w:w w:val="99"/>
              </w:rPr>
              <w:t>38%</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w:t>
            </w:r>
          </w:p>
        </w:tc>
        <w:tc>
          <w:tcPr>
            <w:tcW w:w="1020" w:type="dxa"/>
            <w:vAlign w:val="bottom"/>
          </w:tcPr>
          <w:p>
            <w:pPr>
              <w:jc w:val="center"/>
              <w:spacing w:after="0"/>
              <w:rPr>
                <w:sz w:val="20"/>
                <w:szCs w:val="20"/>
                <w:color w:val="auto"/>
              </w:rPr>
            </w:pPr>
            <w:r>
              <w:rPr>
                <w:rFonts w:ascii="Arial" w:cs="Arial" w:eastAsia="Arial" w:hAnsi="Arial"/>
                <w:sz w:val="16"/>
                <w:szCs w:val="16"/>
                <w:color w:val="auto"/>
              </w:rPr>
              <w:t>2020</w:t>
            </w:r>
          </w:p>
        </w:tc>
      </w:tr>
      <w:tr>
        <w:trPr>
          <w:trHeight w:val="216"/>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Wygen II</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95.0</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2008</w:t>
            </w: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Integrated Generation:</w:t>
            </w: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Wygen I</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Coal</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Gillette, Wyoming</w:t>
            </w:r>
          </w:p>
        </w:tc>
        <w:tc>
          <w:tcPr>
            <w:tcW w:w="13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76.5%</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68.9</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2003</w:t>
            </w:r>
          </w:p>
        </w:tc>
      </w:tr>
      <w:tr>
        <w:trPr>
          <w:trHeight w:val="216"/>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Pueblo Airport Generation #4-5</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Natural Gas</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ind w:left="19"/>
              <w:spacing w:after="0" w:line="216" w:lineRule="exact"/>
              <w:rPr>
                <w:sz w:val="20"/>
                <w:szCs w:val="20"/>
                <w:color w:val="auto"/>
              </w:rPr>
            </w:pPr>
            <w:r>
              <w:rPr>
                <w:rFonts w:ascii="Arial" w:cs="Arial" w:eastAsia="Arial" w:hAnsi="Arial"/>
                <w:sz w:val="16"/>
                <w:szCs w:val="16"/>
                <w:color w:val="auto"/>
                <w:w w:val="95"/>
              </w:rPr>
              <w:t xml:space="preserve">50.1% </w:t>
            </w:r>
            <w:r>
              <w:rPr>
                <w:rFonts w:ascii="Arial" w:cs="Arial" w:eastAsia="Arial" w:hAnsi="Arial"/>
                <w:sz w:val="21"/>
                <w:szCs w:val="21"/>
                <w:color w:val="auto"/>
                <w:w w:val="95"/>
                <w:vertAlign w:val="superscript"/>
              </w:rPr>
              <w:t>(e)</w:t>
            </w: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200.0</w:t>
            </w:r>
          </w:p>
        </w:tc>
        <w:tc>
          <w:tcPr>
            <w:tcW w:w="1020" w:type="dxa"/>
            <w:vAlign w:val="bottom"/>
          </w:tcPr>
          <w:p>
            <w:pPr>
              <w:jc w:val="center"/>
              <w:spacing w:after="0"/>
              <w:rPr>
                <w:sz w:val="20"/>
                <w:szCs w:val="20"/>
                <w:color w:val="auto"/>
              </w:rPr>
            </w:pPr>
            <w:r>
              <w:rPr>
                <w:rFonts w:ascii="Arial" w:cs="Arial" w:eastAsia="Arial" w:hAnsi="Arial"/>
                <w:sz w:val="16"/>
                <w:szCs w:val="16"/>
                <w:color w:val="auto"/>
              </w:rPr>
              <w:t>2012</w:t>
            </w:r>
          </w:p>
        </w:tc>
      </w:tr>
      <w:tr>
        <w:trPr>
          <w:trHeight w:val="216"/>
        </w:trPr>
        <w:tc>
          <w:tcPr>
            <w:tcW w:w="276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Busch Ranch I </w:t>
            </w:r>
            <w:r>
              <w:rPr>
                <w:rFonts w:ascii="Arial" w:cs="Arial" w:eastAsia="Arial" w:hAnsi="Arial"/>
                <w:sz w:val="21"/>
                <w:szCs w:val="21"/>
                <w:color w:val="auto"/>
                <w:vertAlign w:val="superscript"/>
              </w:rPr>
              <w:t>(a)</w:t>
            </w:r>
          </w:p>
        </w:tc>
        <w:tc>
          <w:tcPr>
            <w:tcW w:w="226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Wind</w:t>
            </w:r>
          </w:p>
        </w:tc>
        <w:tc>
          <w:tcPr>
            <w:tcW w:w="23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50%</w:t>
            </w:r>
          </w:p>
        </w:tc>
        <w:tc>
          <w:tcPr>
            <w:tcW w:w="14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w:t>
            </w:r>
          </w:p>
        </w:tc>
        <w:tc>
          <w:tcPr>
            <w:tcW w:w="10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2012</w:t>
            </w:r>
          </w:p>
        </w:tc>
      </w:tr>
      <w:tr>
        <w:trPr>
          <w:trHeight w:val="216"/>
        </w:trPr>
        <w:tc>
          <w:tcPr>
            <w:tcW w:w="27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Busch Ranch II </w:t>
            </w:r>
            <w:r>
              <w:rPr>
                <w:rFonts w:ascii="Arial" w:cs="Arial" w:eastAsia="Arial" w:hAnsi="Arial"/>
                <w:sz w:val="21"/>
                <w:szCs w:val="21"/>
                <w:color w:val="auto"/>
                <w:vertAlign w:val="superscript"/>
              </w:rPr>
              <w:t>(c)</w:t>
            </w:r>
          </w:p>
        </w:tc>
        <w:tc>
          <w:tcPr>
            <w:tcW w:w="2260" w:type="dxa"/>
            <w:vAlign w:val="bottom"/>
          </w:tcPr>
          <w:p>
            <w:pPr>
              <w:jc w:val="center"/>
              <w:ind w:left="39"/>
              <w:spacing w:after="0"/>
              <w:rPr>
                <w:sz w:val="20"/>
                <w:szCs w:val="20"/>
                <w:color w:val="auto"/>
              </w:rPr>
            </w:pPr>
            <w:r>
              <w:rPr>
                <w:rFonts w:ascii="Arial" w:cs="Arial" w:eastAsia="Arial" w:hAnsi="Arial"/>
                <w:sz w:val="16"/>
                <w:szCs w:val="16"/>
                <w:color w:val="auto"/>
              </w:rPr>
              <w:t>Wind</w:t>
            </w:r>
          </w:p>
        </w:tc>
        <w:tc>
          <w:tcPr>
            <w:tcW w:w="2340" w:type="dxa"/>
            <w:vAlign w:val="bottom"/>
          </w:tcPr>
          <w:p>
            <w:pPr>
              <w:jc w:val="center"/>
              <w:spacing w:after="0"/>
              <w:rPr>
                <w:sz w:val="20"/>
                <w:szCs w:val="20"/>
                <w:color w:val="auto"/>
              </w:rPr>
            </w:pPr>
            <w:r>
              <w:rPr>
                <w:rFonts w:ascii="Arial" w:cs="Arial" w:eastAsia="Arial" w:hAnsi="Arial"/>
                <w:sz w:val="16"/>
                <w:szCs w:val="16"/>
                <w:color w:val="auto"/>
              </w:rPr>
              <w:t>Pueblo, Colorado</w:t>
            </w:r>
          </w:p>
        </w:tc>
        <w:tc>
          <w:tcPr>
            <w:tcW w:w="1380" w:type="dxa"/>
            <w:vAlign w:val="bottom"/>
          </w:tcPr>
          <w:p>
            <w:pPr>
              <w:jc w:val="center"/>
              <w:spacing w:after="0"/>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59.4</w:t>
            </w:r>
          </w:p>
        </w:tc>
        <w:tc>
          <w:tcPr>
            <w:tcW w:w="1020" w:type="dxa"/>
            <w:vAlign w:val="bottom"/>
          </w:tcPr>
          <w:p>
            <w:pPr>
              <w:jc w:val="center"/>
              <w:spacing w:after="0"/>
              <w:rPr>
                <w:sz w:val="20"/>
                <w:szCs w:val="20"/>
                <w:color w:val="auto"/>
              </w:rPr>
            </w:pPr>
            <w:r>
              <w:rPr>
                <w:rFonts w:ascii="Arial" w:cs="Arial" w:eastAsia="Arial" w:hAnsi="Arial"/>
                <w:sz w:val="16"/>
                <w:szCs w:val="16"/>
                <w:color w:val="auto"/>
              </w:rPr>
              <w:t>2019</w:t>
            </w:r>
          </w:p>
        </w:tc>
      </w:tr>
      <w:tr>
        <w:trPr>
          <w:trHeight w:val="208"/>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Total MW Capacity</w:t>
            </w:r>
          </w:p>
        </w:tc>
        <w:tc>
          <w:tcPr>
            <w:tcW w:w="2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1,394.4</w:t>
            </w:r>
          </w:p>
        </w:tc>
        <w:tc>
          <w:tcPr>
            <w:tcW w:w="10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right="260" w:hanging="512"/>
        <w:spacing w:after="0" w:line="251"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 2013, Busch Ranch I was awarded a one-time cash grant in lieu of ITCs under the Section 1603 program created under the American Recovery and Reinvestment Act.</w:t>
      </w:r>
    </w:p>
    <w:p>
      <w:pPr>
        <w:spacing w:after="0" w:line="169"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PTCs for Peak View flow back to customers through a rider mechanism as a reduction to Colorado Electric’s margins.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facility qualifies for PTCs at $28/MWh under IRC 45 during the 10-year period beginning on the date the facility was originally placed in service.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Jointly owned facilities are discussed in </w:t>
      </w:r>
      <w:r>
        <w:rPr>
          <w:rFonts w:ascii="Arial" w:cs="Arial" w:eastAsia="Arial" w:hAnsi="Arial"/>
          <w:sz w:val="14"/>
          <w:szCs w:val="14"/>
          <w:u w:val="single" w:color="auto"/>
          <w:color w:val="0000FF"/>
        </w:rPr>
        <w:t>Note 6</w:t>
      </w:r>
      <w:r>
        <w:rPr>
          <w:rFonts w:ascii="Arial" w:cs="Arial" w:eastAsia="Arial" w:hAnsi="Arial"/>
          <w:sz w:val="14"/>
          <w:szCs w:val="14"/>
          <w:color w:val="auto"/>
        </w:rPr>
        <w:t xml:space="preserve"> of the Notes to Consolidated Financial Statements in this Annual Report on Form 10-K.</w:t>
      </w:r>
    </w:p>
    <w:p>
      <w:pPr>
        <w:spacing w:after="0" w:line="1" w:lineRule="exact"/>
        <w:rPr>
          <w:rFonts w:ascii="Arial" w:cs="Arial" w:eastAsia="Arial" w:hAnsi="Arial"/>
          <w:sz w:val="14"/>
          <w:szCs w:val="14"/>
          <w:color w:val="auto"/>
        </w:rPr>
      </w:pPr>
    </w:p>
    <w:p>
      <w:pPr>
        <w:ind w:left="520" w:right="480" w:hanging="512"/>
        <w:spacing w:after="0" w:line="264" w:lineRule="auto"/>
        <w:tabs>
          <w:tab w:leader="none" w:pos="5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 2016, Black Hills Electric Generation sold a 49.9% non-controlling interest in Black Hills Colorado IPP to a third party. See </w:t>
      </w:r>
      <w:r>
        <w:rPr>
          <w:rFonts w:ascii="Arial" w:cs="Arial" w:eastAsia="Arial" w:hAnsi="Arial"/>
          <w:sz w:val="14"/>
          <w:szCs w:val="14"/>
          <w:u w:val="single" w:color="auto"/>
          <w:color w:val="0000FF"/>
        </w:rPr>
        <w:t>Note 12</w:t>
      </w:r>
      <w:r>
        <w:rPr>
          <w:rFonts w:ascii="Arial" w:cs="Arial" w:eastAsia="Arial" w:hAnsi="Arial"/>
          <w:sz w:val="14"/>
          <w:szCs w:val="14"/>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-235585</wp:posOffset>
            </wp:positionV>
            <wp:extent cx="2692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240" cy="8890"/>
                    </a:xfrm>
                    <a:prstGeom prst="rect">
                      <a:avLst/>
                    </a:prstGeom>
                    <a:noFill/>
                  </pic:spPr>
                </pic:pic>
              </a:graphicData>
            </a:graphic>
          </wp:anchor>
        </w:drawing>
        <w:drawing>
          <wp:anchor simplePos="0" relativeHeight="251657728" behindDoc="1" locked="0" layoutInCell="0" allowOverlap="1">
            <wp:simplePos x="0" y="0"/>
            <wp:positionH relativeFrom="column">
              <wp:posOffset>5363845</wp:posOffset>
            </wp:positionH>
            <wp:positionV relativeFrom="paragraph">
              <wp:posOffset>-132715</wp:posOffset>
            </wp:positionV>
            <wp:extent cx="320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0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Power Supply</w:t>
            </w:r>
          </w:p>
        </w:tc>
        <w:tc>
          <w:tcPr>
            <w:tcW w:w="164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2023</w:t>
            </w:r>
          </w:p>
        </w:tc>
        <w:tc>
          <w:tcPr>
            <w:tcW w:w="13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080" w:type="dxa"/>
            <w:vAlign w:val="bottom"/>
          </w:tcPr>
          <w:p>
            <w:pPr>
              <w:ind w:left="20"/>
              <w:spacing w:after="0"/>
              <w:rPr>
                <w:sz w:val="20"/>
                <w:szCs w:val="20"/>
                <w:color w:val="auto"/>
              </w:rPr>
            </w:pPr>
            <w:r>
              <w:rPr>
                <w:rFonts w:ascii="Arial" w:cs="Arial" w:eastAsia="Arial" w:hAnsi="Arial"/>
                <w:sz w:val="16"/>
                <w:szCs w:val="16"/>
                <w:color w:val="auto"/>
              </w:rPr>
              <w:t>Coal</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35.0 %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35.1 %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34.2 %</w:t>
            </w:r>
          </w:p>
        </w:tc>
        <w:tc>
          <w:tcPr>
            <w:tcW w:w="0" w:type="dxa"/>
            <w:vAlign w:val="bottom"/>
          </w:tcPr>
          <w:p>
            <w:pPr>
              <w:spacing w:after="0"/>
              <w:rPr>
                <w:sz w:val="1"/>
                <w:szCs w:val="1"/>
                <w:color w:val="auto"/>
              </w:rPr>
            </w:pPr>
          </w:p>
        </w:tc>
      </w:tr>
      <w:tr>
        <w:trPr>
          <w:trHeight w:val="190"/>
        </w:trPr>
        <w:tc>
          <w:tcPr>
            <w:tcW w:w="708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26.4 %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18.8 %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24.4 %</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Wind </w:t>
            </w:r>
            <w:r>
              <w:rPr>
                <w:rFonts w:ascii="Arial" w:cs="Arial" w:eastAsia="Arial" w:hAnsi="Arial"/>
                <w:sz w:val="21"/>
                <w:szCs w:val="21"/>
                <w:color w:val="auto"/>
                <w:vertAlign w:val="superscript"/>
              </w:rPr>
              <w:t>(a)</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8.9 %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11.4 %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11.3 %</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20"/>
              <w:spacing w:after="0"/>
              <w:rPr>
                <w:sz w:val="20"/>
                <w:szCs w:val="20"/>
                <w:color w:val="auto"/>
              </w:rPr>
            </w:pPr>
            <w:r>
              <w:rPr>
                <w:rFonts w:ascii="Arial" w:cs="Arial" w:eastAsia="Arial" w:hAnsi="Arial"/>
                <w:sz w:val="16"/>
                <w:szCs w:val="16"/>
                <w:color w:val="auto"/>
              </w:rPr>
              <w:t xml:space="preserve">Total Generated </w:t>
            </w:r>
            <w:r>
              <w:rPr>
                <w:rFonts w:ascii="Arial" w:cs="Arial" w:eastAsia="Arial" w:hAnsi="Arial"/>
                <w:sz w:val="21"/>
                <w:szCs w:val="21"/>
                <w:color w:val="auto"/>
                <w:vertAlign w:val="superscript"/>
              </w:rPr>
              <w:t>(b)</w:t>
            </w:r>
          </w:p>
        </w:tc>
        <w:tc>
          <w:tcPr>
            <w:tcW w:w="164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vMerge w:val="continue"/>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70.3 %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65.3 %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69.9 %</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0"/>
              <w:spacing w:after="0"/>
              <w:rPr>
                <w:sz w:val="20"/>
                <w:szCs w:val="20"/>
                <w:color w:val="auto"/>
              </w:rPr>
            </w:pPr>
            <w:r>
              <w:rPr>
                <w:rFonts w:ascii="Arial" w:cs="Arial" w:eastAsia="Arial" w:hAnsi="Arial"/>
                <w:sz w:val="16"/>
                <w:szCs w:val="16"/>
                <w:color w:val="auto"/>
              </w:rPr>
              <w:t>Coal, Natural Gas, Diesel Oil and Other Market Purchases</w:t>
            </w:r>
          </w:p>
        </w:tc>
        <w:tc>
          <w:tcPr>
            <w:tcW w:w="1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080" w:type="dxa"/>
            <w:vAlign w:val="bottom"/>
            <w:vMerge w:val="continue"/>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24.1 %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29.6 %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25.1 %</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Wind and Solar Purchases</w:t>
            </w: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5.6 %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5.1 %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0"/>
              <w:spacing w:after="0"/>
              <w:rPr>
                <w:sz w:val="20"/>
                <w:szCs w:val="20"/>
                <w:color w:val="auto"/>
              </w:rPr>
            </w:pPr>
            <w:r>
              <w:rPr>
                <w:rFonts w:ascii="Arial" w:cs="Arial" w:eastAsia="Arial" w:hAnsi="Arial"/>
                <w:sz w:val="16"/>
                <w:szCs w:val="16"/>
                <w:color w:val="auto"/>
              </w:rPr>
              <w:t>Total Purchased</w:t>
            </w:r>
          </w:p>
        </w:tc>
        <w:tc>
          <w:tcPr>
            <w:tcW w:w="1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29.7 %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34.7 %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30.1 %</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80" w:type="dxa"/>
            <w:vAlign w:val="bottom"/>
            <w:vMerge w:val="continue"/>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color w:val="auto"/>
              </w:rPr>
              <w:t>100.0 %</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100.0 %</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-1130300</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-855980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-564515</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635</wp:posOffset>
            </wp:positionV>
            <wp:extent cx="26403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4033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17780</wp:posOffset>
            </wp:positionV>
            <wp:extent cx="26403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26"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Wind generation decreased due to the sale of Northern Iowa Windpower assets in March 2023.</w:t>
      </w:r>
    </w:p>
    <w:p>
      <w:pPr>
        <w:spacing w:after="0" w:line="15" w:lineRule="exact"/>
        <w:rPr>
          <w:rFonts w:ascii="Arial" w:cs="Arial" w:eastAsia="Arial" w:hAnsi="Arial"/>
          <w:sz w:val="14"/>
          <w:szCs w:val="14"/>
          <w:color w:val="auto"/>
        </w:rPr>
      </w:pPr>
    </w:p>
    <w:p>
      <w:pPr>
        <w:ind w:left="520" w:right="180" w:hanging="512"/>
        <w:spacing w:after="0" w:line="264" w:lineRule="auto"/>
        <w:tabs>
          <w:tab w:leader="none" w:pos="5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diesel oil-fueled generating units are generally used as supplemental peaking units. Power generated from these units, as a percentage of total power supply, was 0.0% for each of the years presented.</w:t>
      </w:r>
    </w:p>
    <w:p>
      <w:pPr>
        <w:sectPr>
          <w:pgSz w:w="11900" w:h="16838" w:orient="portrait"/>
          <w:cols w:equalWidth="0" w:num="1">
            <w:col w:w="11280"/>
          </w:cols>
          <w:pgMar w:left="320" w:top="766" w:right="299" w:bottom="1440" w:gutter="0" w:footer="0" w:header="0"/>
        </w:sect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66" w:right="29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Our Electric Utilities’ weighted average cost of fuel utilized to generate electricity and the average price paid for purchased power (excluding contracted capacity) per MWh for the years ended December 31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Fuel and Purchased Power (dollars per MWh)</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10"/>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Coal</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12.76</w:t>
            </w:r>
          </w:p>
        </w:tc>
        <w:tc>
          <w:tcPr>
            <w:tcW w:w="3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11.55</w:t>
            </w:r>
          </w:p>
        </w:tc>
      </w:tr>
      <w:tr>
        <w:trPr>
          <w:trHeight w:val="215"/>
        </w:trPr>
        <w:tc>
          <w:tcPr>
            <w:tcW w:w="7080" w:type="dxa"/>
            <w:vAlign w:val="bottom"/>
          </w:tcPr>
          <w:p>
            <w:pPr>
              <w:ind w:left="20"/>
              <w:spacing w:after="0"/>
              <w:rPr>
                <w:sz w:val="20"/>
                <w:szCs w:val="20"/>
                <w:color w:val="auto"/>
              </w:rPr>
            </w:pPr>
            <w:r>
              <w:rPr>
                <w:rFonts w:ascii="Arial" w:cs="Arial" w:eastAsia="Arial" w:hAnsi="Arial"/>
                <w:sz w:val="16"/>
                <w:szCs w:val="16"/>
                <w:color w:val="auto"/>
              </w:rPr>
              <w:t>Natural Gas</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37.09</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33.65</w:t>
            </w:r>
          </w:p>
        </w:tc>
      </w:tr>
      <w:tr>
        <w:trPr>
          <w:trHeight w:val="209"/>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Generated Weighted Average Fuel Cost</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17.57</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17.40</w:t>
            </w:r>
          </w:p>
        </w:tc>
      </w:tr>
      <w:tr>
        <w:trPr>
          <w:trHeight w:val="210"/>
        </w:trPr>
        <w:tc>
          <w:tcPr>
            <w:tcW w:w="7080" w:type="dxa"/>
            <w:vAlign w:val="bottom"/>
          </w:tcPr>
          <w:p>
            <w:pPr>
              <w:ind w:left="20"/>
              <w:spacing w:after="0"/>
              <w:rPr>
                <w:sz w:val="20"/>
                <w:szCs w:val="20"/>
                <w:color w:val="auto"/>
              </w:rPr>
            </w:pPr>
            <w:r>
              <w:rPr>
                <w:rFonts w:ascii="Arial" w:cs="Arial" w:eastAsia="Arial" w:hAnsi="Arial"/>
                <w:sz w:val="16"/>
                <w:szCs w:val="16"/>
                <w:color w:val="auto"/>
              </w:rPr>
              <w:t>Coal, Natural Gas, Diesel Oil and Other Market Purchases</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55.61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66.35</w:t>
            </w:r>
          </w:p>
        </w:tc>
        <w:tc>
          <w:tcPr>
            <w:tcW w:w="34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64.85</w:t>
            </w:r>
          </w:p>
        </w:tc>
      </w:tr>
      <w:tr>
        <w:trPr>
          <w:trHeight w:val="216"/>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Wind and Solar Purchases</w:t>
            </w: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34.99</w:t>
            </w: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33.78</w:t>
            </w:r>
          </w:p>
        </w:tc>
        <w:tc>
          <w:tcPr>
            <w:tcW w:w="3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34.69</w:t>
            </w:r>
          </w:p>
        </w:tc>
      </w:tr>
      <w:tr>
        <w:trPr>
          <w:trHeight w:val="209"/>
        </w:trPr>
        <w:tc>
          <w:tcPr>
            <w:tcW w:w="7080" w:type="dxa"/>
            <w:vAlign w:val="bottom"/>
          </w:tcPr>
          <w:p>
            <w:pPr>
              <w:ind w:left="20"/>
              <w:spacing w:after="0"/>
              <w:rPr>
                <w:sz w:val="20"/>
                <w:szCs w:val="20"/>
                <w:color w:val="auto"/>
              </w:rPr>
            </w:pPr>
            <w:r>
              <w:rPr>
                <w:rFonts w:ascii="Arial" w:cs="Arial" w:eastAsia="Arial" w:hAnsi="Arial"/>
                <w:sz w:val="16"/>
                <w:szCs w:val="16"/>
                <w:color w:val="auto"/>
              </w:rPr>
              <w:t>Total Purchased Power Weighted Average Cost</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51.68</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59.84</w:t>
            </w:r>
          </w:p>
        </w:tc>
      </w:tr>
      <w:tr>
        <w:trPr>
          <w:trHeight w:val="250"/>
        </w:trPr>
        <w:tc>
          <w:tcPr>
            <w:tcW w:w="7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Weighted Average Fuel and Purchased Power Cost</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25.39</w:t>
            </w:r>
          </w:p>
        </w:tc>
        <w:tc>
          <w:tcPr>
            <w:tcW w:w="32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32.82</w:t>
            </w: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30.17</w:t>
            </w:r>
          </w:p>
        </w:tc>
      </w:tr>
    </w:tbl>
    <w:p>
      <w:pPr>
        <w:spacing w:after="0" w:line="148"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b w:val="1"/>
          <w:bCs w:val="1"/>
          <w:i w:val="1"/>
          <w:iCs w:val="1"/>
          <w:color w:val="auto"/>
        </w:rPr>
        <w:t xml:space="preserve">Purchased Power. </w:t>
      </w:r>
      <w:r>
        <w:rPr>
          <w:rFonts w:ascii="Arial" w:cs="Arial" w:eastAsia="Arial" w:hAnsi="Arial"/>
          <w:sz w:val="16"/>
          <w:szCs w:val="16"/>
          <w:color w:val="auto"/>
        </w:rPr>
        <w:t>We have executed various PPAs to support our Electric Utilities’ capacity and energy needs beyond our regulated power plants’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generation, which include long-term related party agreements with our non-regulated power generation businesses. See additional information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6604000</wp:posOffset>
            </wp:positionH>
            <wp:positionV relativeFrom="paragraph">
              <wp:posOffset>-156210</wp:posOffset>
            </wp:positionV>
            <wp:extent cx="3028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Coal Mining. </w:t>
      </w:r>
      <w:r>
        <w:rPr>
          <w:rFonts w:ascii="Arial" w:cs="Arial" w:eastAsia="Arial" w:hAnsi="Arial"/>
          <w:sz w:val="16"/>
          <w:szCs w:val="16"/>
          <w:color w:val="auto"/>
        </w:rPr>
        <w:t>We own and operate a single coal mine through our WRDC subsidiary which is reported within our Electric Utilities segment. We surface mine,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process and sell low-sulfur sub-bituminous coal at our mine located immediately adjacent to our Gillette Energy Complex in the Powder River Basin in northeastern Wyoming, where our five coal-fired power plants are located. We produced approximately 3.7 million tons of coal in 2023.</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mine provides low-sulfur coal directly to these five power plants via a conveyor belt system, minimizing transportation costs. The fuel can be delivered to our adjacent power plants at very cost competitive prices (i.e., $1.14 per MMBtu for year ended December 31, 2023) when compared to alternatives. Nearly all of the mine’s production is sold to our on-site generation facilities under long-term supply contracts.</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As of December 31, 2023, we estimated our recoverable reserves to be approximately 179 million tons, based on a life-of-mine engineering study utilizing currently available drilling data and geological information prepared by internal engineering analyses. The recoverable reserve life is equal to approximately 48 years at the current production levels.</w:t>
      </w:r>
    </w:p>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6"/>
          <w:szCs w:val="16"/>
          <w:b w:val="1"/>
          <w:bCs w:val="1"/>
          <w:i w:val="1"/>
          <w:iCs w:val="1"/>
          <w:color w:val="auto"/>
        </w:rPr>
        <w:t xml:space="preserve">Transmission and Distribution. </w:t>
      </w:r>
      <w:r>
        <w:rPr>
          <w:rFonts w:ascii="Arial" w:cs="Arial" w:eastAsia="Arial" w:hAnsi="Arial"/>
          <w:sz w:val="16"/>
          <w:szCs w:val="16"/>
          <w:color w:val="auto"/>
        </w:rPr>
        <w:t>Through our Electric Utilities, we own electric transmission and distribution systems composed of high voltage lines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(greater than 69 kV) and low voltage lines (69 kV or less). We also jointly operate an electric transmission system, referred to as the Common Use System, with Basin Electric Power Cooperative and Powder River Energy Corporation. Each participant in the Common Use System individually owns assets that are operated together for a single system. The Common Use System also provides transmission service to our Transmission Tie. South Dakota Electric owns 35% of the Transmission Tie. The Transmission Tie is further discussed in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-27940</wp:posOffset>
            </wp:positionV>
            <wp:extent cx="3028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2023, our Electric Utilities owned the electric transmission and distribution lines shown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580" w:type="dxa"/>
            <w:vAlign w:val="bottom"/>
          </w:tcPr>
          <w:p>
            <w:pPr>
              <w:jc w:val="right"/>
              <w:ind w:right="739"/>
              <w:spacing w:after="0"/>
              <w:rPr>
                <w:sz w:val="20"/>
                <w:szCs w:val="20"/>
                <w:color w:val="auto"/>
              </w:rPr>
            </w:pPr>
            <w:r>
              <w:rPr>
                <w:rFonts w:ascii="Arial" w:cs="Arial" w:eastAsia="Arial" w:hAnsi="Arial"/>
                <w:sz w:val="16"/>
                <w:szCs w:val="16"/>
                <w:b w:val="1"/>
                <w:bCs w:val="1"/>
                <w:color w:val="auto"/>
              </w:rPr>
              <w:t xml:space="preserve">Transmission </w:t>
            </w:r>
            <w:r>
              <w:rPr>
                <w:rFonts w:ascii="Arial" w:cs="Arial" w:eastAsia="Arial" w:hAnsi="Arial"/>
                <w:sz w:val="21"/>
                <w:szCs w:val="21"/>
                <w:b w:val="1"/>
                <w:bCs w:val="1"/>
                <w:color w:val="auto"/>
                <w:vertAlign w:val="superscript"/>
              </w:rPr>
              <w:t>(a)</w:t>
            </w:r>
          </w:p>
        </w:tc>
        <w:tc>
          <w:tcPr>
            <w:tcW w:w="1920" w:type="dxa"/>
            <w:vAlign w:val="bottom"/>
          </w:tcPr>
          <w:p>
            <w:pPr>
              <w:jc w:val="right"/>
              <w:ind w:right="559"/>
              <w:spacing w:after="0"/>
              <w:rPr>
                <w:sz w:val="20"/>
                <w:szCs w:val="20"/>
                <w:color w:val="auto"/>
              </w:rPr>
            </w:pPr>
            <w:r>
              <w:rPr>
                <w:rFonts w:ascii="Arial" w:cs="Arial" w:eastAsia="Arial" w:hAnsi="Arial"/>
                <w:sz w:val="16"/>
                <w:szCs w:val="16"/>
                <w:b w:val="1"/>
                <w:bCs w:val="1"/>
                <w:color w:val="auto"/>
              </w:rPr>
              <w:t>Distribution</w:t>
            </w:r>
          </w:p>
        </w:tc>
      </w:tr>
      <w:tr>
        <w:trPr>
          <w:trHeight w:val="217"/>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Utility</w:t>
            </w:r>
          </w:p>
        </w:tc>
        <w:tc>
          <w:tcPr>
            <w:tcW w:w="3760" w:type="dxa"/>
            <w:vAlign w:val="bottom"/>
            <w:tcBorders>
              <w:bottom w:val="single" w:sz="8" w:color="auto"/>
            </w:tcBorders>
          </w:tcPr>
          <w:p>
            <w:pPr>
              <w:jc w:val="center"/>
              <w:ind w:left="319"/>
              <w:spacing w:after="0"/>
              <w:rPr>
                <w:sz w:val="20"/>
                <w:szCs w:val="20"/>
                <w:color w:val="auto"/>
              </w:rPr>
            </w:pPr>
            <w:r>
              <w:rPr>
                <w:rFonts w:ascii="Arial" w:cs="Arial" w:eastAsia="Arial" w:hAnsi="Arial"/>
                <w:sz w:val="16"/>
                <w:szCs w:val="16"/>
                <w:b w:val="1"/>
                <w:bCs w:val="1"/>
                <w:color w:val="auto"/>
              </w:rPr>
              <w:t>State</w:t>
            </w:r>
          </w:p>
        </w:tc>
        <w:tc>
          <w:tcPr>
            <w:tcW w:w="258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(in Line Miles)</w:t>
            </w:r>
          </w:p>
        </w:tc>
        <w:tc>
          <w:tcPr>
            <w:tcW w:w="19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(in Line Miles)</w:t>
            </w:r>
          </w:p>
        </w:tc>
      </w:tr>
      <w:tr>
        <w:trPr>
          <w:trHeight w:val="209"/>
        </w:trPr>
        <w:tc>
          <w:tcPr>
            <w:tcW w:w="29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3760" w:type="dxa"/>
            <w:vAlign w:val="bottom"/>
            <w:shd w:val="clear" w:color="auto" w:fill="CFF0FC"/>
          </w:tcPr>
          <w:p>
            <w:pPr>
              <w:jc w:val="center"/>
              <w:ind w:left="299"/>
              <w:spacing w:after="0"/>
              <w:rPr>
                <w:sz w:val="20"/>
                <w:szCs w:val="20"/>
                <w:color w:val="auto"/>
              </w:rPr>
            </w:pPr>
            <w:r>
              <w:rPr>
                <w:rFonts w:ascii="Arial" w:cs="Arial" w:eastAsia="Arial" w:hAnsi="Arial"/>
                <w:sz w:val="16"/>
                <w:szCs w:val="16"/>
                <w:color w:val="auto"/>
              </w:rPr>
              <w:t>Colorado</w:t>
            </w:r>
          </w:p>
        </w:tc>
        <w:tc>
          <w:tcPr>
            <w:tcW w:w="258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599</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3,213</w:t>
            </w:r>
          </w:p>
        </w:tc>
      </w:tr>
      <w:tr>
        <w:trPr>
          <w:trHeight w:val="216"/>
        </w:trPr>
        <w:tc>
          <w:tcPr>
            <w:tcW w:w="29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(b)</w:t>
            </w:r>
          </w:p>
        </w:tc>
        <w:tc>
          <w:tcPr>
            <w:tcW w:w="3760" w:type="dxa"/>
            <w:vAlign w:val="bottom"/>
          </w:tcPr>
          <w:p>
            <w:pPr>
              <w:jc w:val="center"/>
              <w:ind w:left="299"/>
              <w:spacing w:after="0"/>
              <w:rPr>
                <w:sz w:val="20"/>
                <w:szCs w:val="20"/>
                <w:color w:val="auto"/>
              </w:rPr>
            </w:pPr>
            <w:r>
              <w:rPr>
                <w:rFonts w:ascii="Arial" w:cs="Arial" w:eastAsia="Arial" w:hAnsi="Arial"/>
                <w:sz w:val="16"/>
                <w:szCs w:val="16"/>
                <w:color w:val="auto"/>
              </w:rPr>
              <w:t>South Dakota, Wyoming</w:t>
            </w:r>
          </w:p>
        </w:tc>
        <w:tc>
          <w:tcPr>
            <w:tcW w:w="2580" w:type="dxa"/>
            <w:vAlign w:val="bottom"/>
          </w:tcPr>
          <w:p>
            <w:pPr>
              <w:jc w:val="right"/>
              <w:ind w:right="219"/>
              <w:spacing w:after="0"/>
              <w:rPr>
                <w:sz w:val="20"/>
                <w:szCs w:val="20"/>
                <w:color w:val="auto"/>
              </w:rPr>
            </w:pPr>
            <w:r>
              <w:rPr>
                <w:rFonts w:ascii="Arial" w:cs="Arial" w:eastAsia="Arial" w:hAnsi="Arial"/>
                <w:sz w:val="16"/>
                <w:szCs w:val="16"/>
                <w:color w:val="auto"/>
              </w:rPr>
              <w:t>1,232</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2,616</w:t>
            </w:r>
          </w:p>
        </w:tc>
      </w:tr>
      <w:tr>
        <w:trPr>
          <w:trHeight w:val="216"/>
        </w:trPr>
        <w:tc>
          <w:tcPr>
            <w:tcW w:w="29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3760" w:type="dxa"/>
            <w:vAlign w:val="bottom"/>
            <w:tcBorders>
              <w:bottom w:val="single" w:sz="8" w:color="CFF0FC"/>
            </w:tcBorders>
            <w:shd w:val="clear" w:color="auto" w:fill="CFF0FC"/>
          </w:tcPr>
          <w:p>
            <w:pPr>
              <w:jc w:val="center"/>
              <w:ind w:left="319"/>
              <w:spacing w:after="0"/>
              <w:rPr>
                <w:sz w:val="20"/>
                <w:szCs w:val="20"/>
                <w:color w:val="auto"/>
              </w:rPr>
            </w:pPr>
            <w:r>
              <w:rPr>
                <w:rFonts w:ascii="Arial" w:cs="Arial" w:eastAsia="Arial" w:hAnsi="Arial"/>
                <w:sz w:val="16"/>
                <w:szCs w:val="16"/>
                <w:color w:val="auto"/>
              </w:rPr>
              <w:t>Wyoming</w:t>
            </w:r>
          </w:p>
        </w:tc>
        <w:tc>
          <w:tcPr>
            <w:tcW w:w="258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rPr>
              <w:t>86</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1,360</w:t>
            </w:r>
          </w:p>
        </w:tc>
      </w:tr>
      <w:tr>
        <w:trPr>
          <w:trHeight w:val="208"/>
        </w:trPr>
        <w:tc>
          <w:tcPr>
            <w:tcW w:w="29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580" w:type="dxa"/>
            <w:vAlign w:val="bottom"/>
          </w:tcPr>
          <w:p>
            <w:pPr>
              <w:jc w:val="right"/>
              <w:ind w:right="219"/>
              <w:spacing w:after="0"/>
              <w:rPr>
                <w:sz w:val="20"/>
                <w:szCs w:val="20"/>
                <w:color w:val="auto"/>
              </w:rPr>
            </w:pPr>
            <w:r>
              <w:rPr>
                <w:rFonts w:ascii="Arial" w:cs="Arial" w:eastAsia="Arial" w:hAnsi="Arial"/>
                <w:sz w:val="16"/>
                <w:szCs w:val="16"/>
                <w:color w:val="auto"/>
              </w:rPr>
              <w:t>1,917</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7,189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635</wp:posOffset>
            </wp:positionV>
            <wp:extent cx="28632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17780</wp:posOffset>
            </wp:positionV>
            <wp:extent cx="28632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Electric transmission line miles include voltages of 69 kV and above.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
        </w:numPr>
        <w:rPr>
          <w:rFonts w:ascii="Arial" w:cs="Arial" w:eastAsia="Arial" w:hAnsi="Arial"/>
          <w:sz w:val="14"/>
          <w:szCs w:val="14"/>
          <w:color w:val="auto"/>
        </w:rPr>
      </w:pPr>
      <w:r>
        <w:rPr>
          <w:rFonts w:ascii="Arial" w:cs="Arial" w:eastAsia="Arial" w:hAnsi="Arial"/>
          <w:sz w:val="14"/>
          <w:szCs w:val="14"/>
          <w:color w:val="auto"/>
        </w:rPr>
        <w:t>South Dakota Electric transmission line miles include 43 miles within the Common Use System.</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Material transmission services agreements are included in our disclosures in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3509645</wp:posOffset>
            </wp:positionH>
            <wp:positionV relativeFrom="paragraph">
              <wp:posOffset>-165735</wp:posOffset>
            </wp:positionV>
            <wp:extent cx="3028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Electric Utilities are seasonal businesses and weather patterns may impact their operating results. Demand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electricity is sensitive to seasonal cooling, heating and industrial load requirements, as well as market price. In particular, cooling demand is often greater in the summer and heating demand is often greater in the winter.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generation and distribution of electricity in our service areas. Various legislative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IPPs for the right to supply electric energy and capacity for Colorado Electric when resource plans require additional resources. Additionally, electrification initiatives in our service territories could increase demand for electricity and increase customer growth.</w:t>
      </w:r>
    </w:p>
    <w:p>
      <w:pPr>
        <w:spacing w:after="0" w:line="15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independent power industry consists of many strong and capable competitors, some of which may have more extensive operations or greater financial resources than we possess. With respect to the merchant power sector, FERC has taken steps to increase access to the national transmission grid by utility and non-utility purchasers and sellers of electricity to foster competition within the wholesale electricity markets. Our non-regulated power generation businesses could face greater competition if utilities are permitted to robustly invest in power generation assets. Conversely, state regulations requiring utilities to competitively bid generation resources may provide opportunity for IPPs in some regions. To date, these initiatives have not had a material impact on our non-regulated power generation businesses.</w:t>
      </w:r>
    </w:p>
    <w:p>
      <w:pPr>
        <w:spacing w:after="0" w:line="155"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color w:val="auto"/>
        </w:rPr>
        <w:t>Our mining business strategy is to sell nearly all of our production to on-site generation facilities under long-term supply contracts. Historically, any off-site sales have been to consumers within close proximity to WRDC. Coal competes with other energy sources, such as natural gas, nuclear, wind, solar and hydropower. Costs and other factors relating to these alternative fuels, such as safety, environmental and availability considerations affect the overall demand for coal as a fuel.</w:t>
      </w:r>
    </w:p>
    <w:p>
      <w:pPr>
        <w:spacing w:after="0" w:line="15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Electric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-165735</wp:posOffset>
            </wp:positionV>
            <wp:extent cx="69723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7230" cy="8255"/>
                    </a:xfrm>
                    <a:prstGeom prst="rect">
                      <a:avLst/>
                    </a:prstGeom>
                    <a:noFill/>
                  </pic:spPr>
                </pic:pic>
              </a:graphicData>
            </a:graphic>
          </wp:anchor>
        </w:drawing>
        <w:drawing>
          <wp:anchor simplePos="0" relativeHeight="251657728" behindDoc="1" locked="0" layoutInCell="0" allowOverlap="1">
            <wp:simplePos x="0" y="0"/>
            <wp:positionH relativeFrom="column">
              <wp:posOffset>2760980</wp:posOffset>
            </wp:positionH>
            <wp:positionV relativeFrom="paragraph">
              <wp:posOffset>-45720</wp:posOffset>
            </wp:positionV>
            <wp:extent cx="2857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Gas Utilities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conduct natural gas utility operations through our Arkansas, Colorado, Iowa, Kansas, Nebraska and Wyoming subsidiaries. Our Gas Utilities transport and distribute natural gas through our distribution network to our retail customers. Additionally, we sell contractual pipeline capacity and gas commodities to other utilities and marketing companies, including our affiliates, on an as-available basis.</w:t>
      </w:r>
    </w:p>
    <w:p>
      <w:pPr>
        <w:spacing w:after="0" w:line="14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We also provide non-regulated services to our regulated customers. Black Hills Energy Services provides natural gas supply to approximately 53,000 retail distribution customers under the Choice Gas Program in Nebraska and Wyoming. Additionally, we provide services under the Service Guard Comfort Plan, Tech Services and HomeServe.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200" w:type="dxa"/>
            <w:vAlign w:val="bottom"/>
          </w:tcPr>
          <w:p>
            <w:pPr>
              <w:jc w:val="right"/>
              <w:ind w:right="479"/>
              <w:spacing w:after="0"/>
              <w:rPr>
                <w:sz w:val="20"/>
                <w:szCs w:val="20"/>
                <w:color w:val="auto"/>
              </w:rPr>
            </w:pPr>
            <w:r>
              <w:rPr>
                <w:rFonts w:ascii="Arial" w:cs="Arial" w:eastAsia="Arial" w:hAnsi="Arial"/>
                <w:sz w:val="16"/>
                <w:szCs w:val="16"/>
                <w:b w:val="1"/>
                <w:bCs w:val="1"/>
                <w:color w:val="auto"/>
              </w:rPr>
              <w:t>As of December 31,</w:t>
            </w:r>
          </w:p>
        </w:tc>
        <w:tc>
          <w:tcPr>
            <w:tcW w:w="1600" w:type="dxa"/>
            <w:vAlign w:val="bottom"/>
          </w:tcPr>
          <w:p>
            <w:pPr>
              <w:spacing w:after="0"/>
              <w:rPr>
                <w:sz w:val="18"/>
                <w:szCs w:val="18"/>
                <w:color w:val="auto"/>
              </w:rPr>
            </w:pPr>
          </w:p>
        </w:tc>
      </w:tr>
      <w:tr>
        <w:trPr>
          <w:trHeight w:val="217"/>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19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220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2022</w:t>
            </w:r>
          </w:p>
        </w:tc>
        <w:tc>
          <w:tcPr>
            <w:tcW w:w="16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r>
      <w:tr>
        <w:trPr>
          <w:trHeight w:val="210"/>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871,930</w:t>
            </w:r>
          </w:p>
        </w:tc>
        <w:tc>
          <w:tcPr>
            <w:tcW w:w="22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864,038</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853,908</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Commercial</w:t>
            </w: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84,917</w:t>
            </w:r>
          </w:p>
        </w:tc>
        <w:tc>
          <w:tcPr>
            <w:tcW w:w="2200" w:type="dxa"/>
            <w:vAlign w:val="bottom"/>
          </w:tcPr>
          <w:p>
            <w:pPr>
              <w:jc w:val="right"/>
              <w:ind w:right="339"/>
              <w:spacing w:after="0"/>
              <w:rPr>
                <w:sz w:val="20"/>
                <w:szCs w:val="20"/>
                <w:color w:val="auto"/>
              </w:rPr>
            </w:pPr>
            <w:r>
              <w:rPr>
                <w:rFonts w:ascii="Arial" w:cs="Arial" w:eastAsia="Arial" w:hAnsi="Arial"/>
                <w:sz w:val="16"/>
                <w:szCs w:val="16"/>
                <w:color w:val="auto"/>
              </w:rPr>
              <w:t>85,203</w:t>
            </w: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84,234</w:t>
            </w:r>
          </w:p>
        </w:tc>
      </w:tr>
      <w:tr>
        <w:trPr>
          <w:trHeight w:val="217"/>
        </w:trPr>
        <w:tc>
          <w:tcPr>
            <w:tcW w:w="5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2,179</w:t>
            </w:r>
          </w:p>
        </w:tc>
        <w:tc>
          <w:tcPr>
            <w:tcW w:w="22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2,189</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2,158</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Transportation</w:t>
            </w: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157,367</w:t>
            </w:r>
          </w:p>
        </w:tc>
        <w:tc>
          <w:tcPr>
            <w:tcW w:w="2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155,685</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153,929</w:t>
            </w:r>
          </w:p>
        </w:tc>
      </w:tr>
      <w:tr>
        <w:trPr>
          <w:trHeight w:val="249"/>
        </w:trPr>
        <w:tc>
          <w:tcPr>
            <w:tcW w:w="5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Natural Gas Retail Customers at End of Year</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1,116,393</w:t>
            </w:r>
          </w:p>
        </w:tc>
        <w:tc>
          <w:tcPr>
            <w:tcW w:w="220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1,107,115</w:t>
            </w: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1,094,229</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60" w:type="dxa"/>
            <w:vAlign w:val="bottom"/>
          </w:tcPr>
          <w:p>
            <w:pPr>
              <w:jc w:val="right"/>
              <w:ind w:right="439"/>
              <w:spacing w:after="0"/>
              <w:rPr>
                <w:sz w:val="20"/>
                <w:szCs w:val="20"/>
                <w:color w:val="auto"/>
              </w:rPr>
            </w:pPr>
            <w:r>
              <w:rPr>
                <w:rFonts w:ascii="Arial" w:cs="Arial" w:eastAsia="Arial" w:hAnsi="Arial"/>
                <w:sz w:val="16"/>
                <w:szCs w:val="16"/>
                <w:b w:val="1"/>
                <w:bCs w:val="1"/>
                <w:color w:val="auto"/>
              </w:rPr>
              <w:t>As of December 31,</w:t>
            </w:r>
          </w:p>
        </w:tc>
        <w:tc>
          <w:tcPr>
            <w:tcW w:w="1620" w:type="dxa"/>
            <w:vAlign w:val="bottom"/>
          </w:tcPr>
          <w:p>
            <w:pPr>
              <w:spacing w:after="0"/>
              <w:rPr>
                <w:sz w:val="18"/>
                <w:szCs w:val="18"/>
                <w:color w:val="auto"/>
              </w:rPr>
            </w:pPr>
          </w:p>
        </w:tc>
      </w:tr>
      <w:tr>
        <w:trPr>
          <w:trHeight w:val="217"/>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Retail Customers</w:t>
            </w:r>
          </w:p>
        </w:tc>
        <w:tc>
          <w:tcPr>
            <w:tcW w:w="190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21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2022</w:t>
            </w:r>
          </w:p>
        </w:tc>
        <w:tc>
          <w:tcPr>
            <w:tcW w:w="16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r>
      <w:tr>
        <w:trPr>
          <w:trHeight w:val="210"/>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186,216</w:t>
            </w:r>
          </w:p>
        </w:tc>
        <w:tc>
          <w:tcPr>
            <w:tcW w:w="21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183,270</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180,216</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1900" w:type="dxa"/>
            <w:vAlign w:val="bottom"/>
          </w:tcPr>
          <w:p>
            <w:pPr>
              <w:jc w:val="right"/>
              <w:ind w:right="59"/>
              <w:spacing w:after="0"/>
              <w:rPr>
                <w:sz w:val="20"/>
                <w:szCs w:val="20"/>
                <w:color w:val="auto"/>
              </w:rPr>
            </w:pPr>
            <w:r>
              <w:rPr>
                <w:rFonts w:ascii="Arial" w:cs="Arial" w:eastAsia="Arial" w:hAnsi="Arial"/>
                <w:sz w:val="16"/>
                <w:szCs w:val="16"/>
                <w:color w:val="auto"/>
              </w:rPr>
              <w:t>211,155</w:t>
            </w:r>
          </w:p>
        </w:tc>
        <w:tc>
          <w:tcPr>
            <w:tcW w:w="2160" w:type="dxa"/>
            <w:vAlign w:val="bottom"/>
          </w:tcPr>
          <w:p>
            <w:pPr>
              <w:jc w:val="right"/>
              <w:ind w:right="339"/>
              <w:spacing w:after="0"/>
              <w:rPr>
                <w:sz w:val="20"/>
                <w:szCs w:val="20"/>
                <w:color w:val="auto"/>
              </w:rPr>
            </w:pPr>
            <w:r>
              <w:rPr>
                <w:rFonts w:ascii="Arial" w:cs="Arial" w:eastAsia="Arial" w:hAnsi="Arial"/>
                <w:sz w:val="16"/>
                <w:szCs w:val="16"/>
                <w:color w:val="auto"/>
              </w:rPr>
              <w:t>208,060</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202,747</w:t>
            </w:r>
          </w:p>
        </w:tc>
      </w:tr>
      <w:tr>
        <w:trPr>
          <w:trHeight w:val="217"/>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163,281</w:t>
            </w:r>
          </w:p>
        </w:tc>
        <w:tc>
          <w:tcPr>
            <w:tcW w:w="21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162,801</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161,905</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1900" w:type="dxa"/>
            <w:vAlign w:val="bottom"/>
          </w:tcPr>
          <w:p>
            <w:pPr>
              <w:jc w:val="right"/>
              <w:ind w:right="59"/>
              <w:spacing w:after="0"/>
              <w:rPr>
                <w:sz w:val="20"/>
                <w:szCs w:val="20"/>
                <w:color w:val="auto"/>
              </w:rPr>
            </w:pPr>
            <w:r>
              <w:rPr>
                <w:rFonts w:ascii="Arial" w:cs="Arial" w:eastAsia="Arial" w:hAnsi="Arial"/>
                <w:sz w:val="16"/>
                <w:szCs w:val="16"/>
                <w:color w:val="auto"/>
              </w:rPr>
              <w:t>119,407</w:t>
            </w:r>
          </w:p>
        </w:tc>
        <w:tc>
          <w:tcPr>
            <w:tcW w:w="2160" w:type="dxa"/>
            <w:vAlign w:val="bottom"/>
          </w:tcPr>
          <w:p>
            <w:pPr>
              <w:jc w:val="right"/>
              <w:ind w:right="339"/>
              <w:spacing w:after="0"/>
              <w:rPr>
                <w:sz w:val="20"/>
                <w:szCs w:val="20"/>
                <w:color w:val="auto"/>
              </w:rPr>
            </w:pPr>
            <w:r>
              <w:rPr>
                <w:rFonts w:ascii="Arial" w:cs="Arial" w:eastAsia="Arial" w:hAnsi="Arial"/>
                <w:sz w:val="16"/>
                <w:szCs w:val="16"/>
                <w:color w:val="auto"/>
              </w:rPr>
              <w:t>118,599</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117,862</w:t>
            </w:r>
          </w:p>
        </w:tc>
      </w:tr>
      <w:tr>
        <w:trPr>
          <w:trHeight w:val="217"/>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9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302,167</w:t>
            </w:r>
          </w:p>
        </w:tc>
        <w:tc>
          <w:tcPr>
            <w:tcW w:w="216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301,007</w:t>
            </w:r>
          </w:p>
        </w:tc>
        <w:tc>
          <w:tcPr>
            <w:tcW w:w="16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298,832</w:t>
            </w: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9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134,167</w:t>
            </w:r>
          </w:p>
        </w:tc>
        <w:tc>
          <w:tcPr>
            <w:tcW w:w="2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133,378</w:t>
            </w: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132,667</w:t>
            </w:r>
          </w:p>
        </w:tc>
      </w:tr>
      <w:tr>
        <w:trPr>
          <w:trHeight w:val="25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Natural Gas Retail Customers at End of Year</w:t>
            </w:r>
          </w:p>
        </w:tc>
        <w:tc>
          <w:tcPr>
            <w:tcW w:w="19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1,116,393</w:t>
            </w:r>
          </w:p>
        </w:tc>
        <w:tc>
          <w:tcPr>
            <w:tcW w:w="216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1,107,115</w:t>
            </w: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1,094,229</w:t>
            </w:r>
          </w:p>
        </w:tc>
      </w:tr>
    </w:tbl>
    <w:p>
      <w:pPr>
        <w:spacing w:after="0" w:line="175"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14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addition to company-owned regulated underground natural gas storage assets in Arkansas, Colorado and Wyoming, we also contract with third-party transportation providers for natural gas storage service to provide gas supply during the winter heating season and to meet peak day customer demand for natural gas.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company-owned regulated underground gas storage facilities as of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360" w:type="dxa"/>
            <w:vAlign w:val="bottom"/>
          </w:tcPr>
          <w:p>
            <w:pPr>
              <w:jc w:val="center"/>
              <w:ind w:right="139"/>
              <w:spacing w:after="0"/>
              <w:rPr>
                <w:sz w:val="20"/>
                <w:szCs w:val="20"/>
                <w:color w:val="auto"/>
              </w:rPr>
            </w:pPr>
            <w:r>
              <w:rPr>
                <w:rFonts w:ascii="Arial" w:cs="Arial" w:eastAsia="Arial" w:hAnsi="Arial"/>
                <w:sz w:val="16"/>
                <w:szCs w:val="16"/>
                <w:b w:val="1"/>
                <w:bCs w:val="1"/>
                <w:color w:val="auto"/>
              </w:rPr>
              <w:t>Maximum Daily</w:t>
            </w:r>
          </w:p>
        </w:tc>
      </w:tr>
      <w:tr>
        <w:trPr>
          <w:trHeight w:val="189"/>
        </w:trPr>
        <w:tc>
          <w:tcPr>
            <w:tcW w:w="1460" w:type="dxa"/>
            <w:vAlign w:val="bottom"/>
          </w:tcPr>
          <w:p>
            <w:pPr>
              <w:spacing w:after="0"/>
              <w:rPr>
                <w:sz w:val="16"/>
                <w:szCs w:val="16"/>
                <w:color w:val="auto"/>
              </w:rPr>
            </w:pPr>
          </w:p>
        </w:tc>
        <w:tc>
          <w:tcPr>
            <w:tcW w:w="2720" w:type="dxa"/>
            <w:vAlign w:val="bottom"/>
          </w:tcPr>
          <w:p>
            <w:pPr>
              <w:jc w:val="right"/>
              <w:ind w:right="779"/>
              <w:spacing w:after="0"/>
              <w:rPr>
                <w:sz w:val="20"/>
                <w:szCs w:val="20"/>
                <w:color w:val="auto"/>
              </w:rPr>
            </w:pPr>
            <w:r>
              <w:rPr>
                <w:rFonts w:ascii="Arial" w:cs="Arial" w:eastAsia="Arial" w:hAnsi="Arial"/>
                <w:sz w:val="16"/>
                <w:szCs w:val="16"/>
                <w:b w:val="1"/>
                <w:bCs w:val="1"/>
                <w:color w:val="auto"/>
              </w:rPr>
              <w:t>Working Capacity</w:t>
            </w:r>
          </w:p>
        </w:tc>
        <w:tc>
          <w:tcPr>
            <w:tcW w:w="2420" w:type="dxa"/>
            <w:vAlign w:val="bottom"/>
          </w:tcPr>
          <w:p>
            <w:pPr>
              <w:jc w:val="right"/>
              <w:ind w:right="959"/>
              <w:spacing w:after="0"/>
              <w:rPr>
                <w:sz w:val="20"/>
                <w:szCs w:val="20"/>
                <w:color w:val="auto"/>
              </w:rPr>
            </w:pPr>
            <w:r>
              <w:rPr>
                <w:rFonts w:ascii="Arial" w:cs="Arial" w:eastAsia="Arial" w:hAnsi="Arial"/>
                <w:sz w:val="16"/>
                <w:szCs w:val="16"/>
                <w:b w:val="1"/>
                <w:bCs w:val="1"/>
                <w:color w:val="auto"/>
              </w:rPr>
              <w:t>Cushion Gas</w:t>
            </w:r>
          </w:p>
        </w:tc>
        <w:tc>
          <w:tcPr>
            <w:tcW w:w="2280" w:type="dxa"/>
            <w:vAlign w:val="bottom"/>
          </w:tcPr>
          <w:p>
            <w:pPr>
              <w:jc w:val="right"/>
              <w:ind w:right="739"/>
              <w:spacing w:after="0"/>
              <w:rPr>
                <w:sz w:val="20"/>
                <w:szCs w:val="20"/>
                <w:color w:val="auto"/>
              </w:rPr>
            </w:pPr>
            <w:r>
              <w:rPr>
                <w:rFonts w:ascii="Arial" w:cs="Arial" w:eastAsia="Arial" w:hAnsi="Arial"/>
                <w:sz w:val="16"/>
                <w:szCs w:val="16"/>
                <w:b w:val="1"/>
                <w:bCs w:val="1"/>
                <w:color w:val="auto"/>
              </w:rPr>
              <w:t>Total Capacity</w:t>
            </w:r>
          </w:p>
        </w:tc>
        <w:tc>
          <w:tcPr>
            <w:tcW w:w="2360" w:type="dxa"/>
            <w:vAlign w:val="bottom"/>
          </w:tcPr>
          <w:p>
            <w:pPr>
              <w:jc w:val="center"/>
              <w:ind w:right="119"/>
              <w:spacing w:after="0"/>
              <w:rPr>
                <w:sz w:val="20"/>
                <w:szCs w:val="20"/>
                <w:color w:val="auto"/>
              </w:rPr>
            </w:pPr>
            <w:r>
              <w:rPr>
                <w:rFonts w:ascii="Arial" w:cs="Arial" w:eastAsia="Arial" w:hAnsi="Arial"/>
                <w:sz w:val="16"/>
                <w:szCs w:val="16"/>
                <w:b w:val="1"/>
                <w:bCs w:val="1"/>
                <w:color w:val="auto"/>
              </w:rPr>
              <w:t>Withdrawal Capability</w:t>
            </w:r>
          </w:p>
        </w:tc>
      </w:tr>
      <w:tr>
        <w:trPr>
          <w:trHeight w:val="217"/>
        </w:trPr>
        <w:tc>
          <w:tcPr>
            <w:tcW w:w="14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tcPr>
          <w:p>
            <w:pPr>
              <w:jc w:val="right"/>
              <w:ind w:right="1279"/>
              <w:spacing w:after="0"/>
              <w:rPr>
                <w:sz w:val="20"/>
                <w:szCs w:val="20"/>
                <w:color w:val="auto"/>
              </w:rPr>
            </w:pPr>
            <w:r>
              <w:rPr>
                <w:rFonts w:ascii="Arial" w:cs="Arial" w:eastAsia="Arial" w:hAnsi="Arial"/>
                <w:sz w:val="16"/>
                <w:szCs w:val="16"/>
                <w:b w:val="1"/>
                <w:bCs w:val="1"/>
                <w:color w:val="auto"/>
              </w:rPr>
              <w:t>(Mcf)</w:t>
            </w:r>
          </w:p>
        </w:tc>
        <w:tc>
          <w:tcPr>
            <w:tcW w:w="2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b w:val="1"/>
                <w:bCs w:val="1"/>
                <w:color w:val="auto"/>
              </w:rPr>
              <w:t>(Mcf)</w:t>
            </w:r>
          </w:p>
        </w:tc>
        <w:tc>
          <w:tcPr>
            <w:tcW w:w="228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(Mcf)</w:t>
            </w:r>
          </w:p>
        </w:tc>
        <w:tc>
          <w:tcPr>
            <w:tcW w:w="23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(Mcfd)</w:t>
            </w:r>
          </w:p>
        </w:tc>
      </w:tr>
      <w:tr>
        <w:trPr>
          <w:trHeight w:val="210"/>
        </w:trPr>
        <w:tc>
          <w:tcPr>
            <w:tcW w:w="1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27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8,442,700</w:t>
            </w:r>
          </w:p>
        </w:tc>
        <w:tc>
          <w:tcPr>
            <w:tcW w:w="2420" w:type="dxa"/>
            <w:vAlign w:val="bottom"/>
            <w:shd w:val="clear" w:color="auto" w:fill="CFF0FC"/>
          </w:tcPr>
          <w:p>
            <w:pPr>
              <w:jc w:val="right"/>
              <w:ind w:right="279"/>
              <w:spacing w:after="0"/>
              <w:rPr>
                <w:sz w:val="20"/>
                <w:szCs w:val="20"/>
                <w:color w:val="auto"/>
              </w:rPr>
            </w:pPr>
            <w:r>
              <w:rPr>
                <w:rFonts w:ascii="Arial" w:cs="Arial" w:eastAsia="Arial" w:hAnsi="Arial"/>
                <w:sz w:val="16"/>
                <w:szCs w:val="16"/>
                <w:color w:val="auto"/>
              </w:rPr>
              <w:t>13,149,040</w:t>
            </w:r>
          </w:p>
        </w:tc>
        <w:tc>
          <w:tcPr>
            <w:tcW w:w="2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21,591,740</w:t>
            </w:r>
          </w:p>
        </w:tc>
        <w:tc>
          <w:tcPr>
            <w:tcW w:w="2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196,000</w:t>
            </w:r>
          </w:p>
        </w:tc>
      </w:tr>
      <w:tr>
        <w:trPr>
          <w:trHeight w:val="215"/>
        </w:trPr>
        <w:tc>
          <w:tcPr>
            <w:tcW w:w="146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2720" w:type="dxa"/>
            <w:vAlign w:val="bottom"/>
          </w:tcPr>
          <w:p>
            <w:pPr>
              <w:jc w:val="right"/>
              <w:ind w:right="319"/>
              <w:spacing w:after="0"/>
              <w:rPr>
                <w:sz w:val="20"/>
                <w:szCs w:val="20"/>
                <w:color w:val="auto"/>
              </w:rPr>
            </w:pPr>
            <w:r>
              <w:rPr>
                <w:rFonts w:ascii="Arial" w:cs="Arial" w:eastAsia="Arial" w:hAnsi="Arial"/>
                <w:sz w:val="16"/>
                <w:szCs w:val="16"/>
                <w:color w:val="auto"/>
              </w:rPr>
              <w:t>2,360,895</w:t>
            </w:r>
          </w:p>
        </w:tc>
        <w:tc>
          <w:tcPr>
            <w:tcW w:w="2420" w:type="dxa"/>
            <w:vAlign w:val="bottom"/>
          </w:tcPr>
          <w:p>
            <w:pPr>
              <w:jc w:val="right"/>
              <w:ind w:right="279"/>
              <w:spacing w:after="0"/>
              <w:rPr>
                <w:sz w:val="20"/>
                <w:szCs w:val="20"/>
                <w:color w:val="auto"/>
              </w:rPr>
            </w:pPr>
            <w:r>
              <w:rPr>
                <w:rFonts w:ascii="Arial" w:cs="Arial" w:eastAsia="Arial" w:hAnsi="Arial"/>
                <w:sz w:val="16"/>
                <w:szCs w:val="16"/>
                <w:color w:val="auto"/>
              </w:rPr>
              <w:t>6,165,315</w:t>
            </w:r>
          </w:p>
        </w:tc>
        <w:tc>
          <w:tcPr>
            <w:tcW w:w="2280" w:type="dxa"/>
            <w:vAlign w:val="bottom"/>
          </w:tcPr>
          <w:p>
            <w:pPr>
              <w:jc w:val="right"/>
              <w:ind w:right="159"/>
              <w:spacing w:after="0"/>
              <w:rPr>
                <w:sz w:val="20"/>
                <w:szCs w:val="20"/>
                <w:color w:val="auto"/>
              </w:rPr>
            </w:pPr>
            <w:r>
              <w:rPr>
                <w:rFonts w:ascii="Arial" w:cs="Arial" w:eastAsia="Arial" w:hAnsi="Arial"/>
                <w:sz w:val="16"/>
                <w:szCs w:val="16"/>
                <w:color w:val="auto"/>
              </w:rPr>
              <w:t>8,526,210</w:t>
            </w:r>
          </w:p>
        </w:tc>
        <w:tc>
          <w:tcPr>
            <w:tcW w:w="2360" w:type="dxa"/>
            <w:vAlign w:val="bottom"/>
          </w:tcPr>
          <w:p>
            <w:pPr>
              <w:jc w:val="right"/>
              <w:ind w:right="39"/>
              <w:spacing w:after="0"/>
              <w:rPr>
                <w:sz w:val="20"/>
                <w:szCs w:val="20"/>
                <w:color w:val="auto"/>
              </w:rPr>
            </w:pPr>
            <w:r>
              <w:rPr>
                <w:rFonts w:ascii="Arial" w:cs="Arial" w:eastAsia="Arial" w:hAnsi="Arial"/>
                <w:sz w:val="16"/>
                <w:szCs w:val="16"/>
                <w:color w:val="auto"/>
              </w:rPr>
              <w:t>30,000</w:t>
            </w:r>
          </w:p>
        </w:tc>
      </w:tr>
      <w:tr>
        <w:trPr>
          <w:trHeight w:val="216"/>
        </w:trPr>
        <w:tc>
          <w:tcPr>
            <w:tcW w:w="1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272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5,733,900</w:t>
            </w:r>
          </w:p>
        </w:tc>
        <w:tc>
          <w:tcPr>
            <w:tcW w:w="242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17,545,600</w:t>
            </w:r>
          </w:p>
        </w:tc>
        <w:tc>
          <w:tcPr>
            <w:tcW w:w="2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23,279,500</w:t>
            </w:r>
          </w:p>
        </w:tc>
        <w:tc>
          <w:tcPr>
            <w:tcW w:w="2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36,000</w:t>
            </w:r>
          </w:p>
        </w:tc>
      </w:tr>
      <w:tr>
        <w:trPr>
          <w:trHeight w:val="209"/>
        </w:trPr>
        <w:tc>
          <w:tcPr>
            <w:tcW w:w="1460" w:type="dxa"/>
            <w:vAlign w:val="bottom"/>
          </w:tcPr>
          <w:p>
            <w:pPr>
              <w:ind w:left="20"/>
              <w:spacing w:after="0"/>
              <w:rPr>
                <w:sz w:val="20"/>
                <w:szCs w:val="20"/>
                <w:color w:val="auto"/>
              </w:rPr>
            </w:pPr>
            <w:r>
              <w:rPr>
                <w:rFonts w:ascii="Arial" w:cs="Arial" w:eastAsia="Arial" w:hAnsi="Arial"/>
                <w:sz w:val="16"/>
                <w:szCs w:val="16"/>
                <w:color w:val="auto"/>
              </w:rPr>
              <w:t>Total</w:t>
            </w:r>
          </w:p>
        </w:tc>
        <w:tc>
          <w:tcPr>
            <w:tcW w:w="27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16,537,495</w:t>
            </w:r>
          </w:p>
        </w:tc>
        <w:tc>
          <w:tcPr>
            <w:tcW w:w="24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36,859,955</w:t>
            </w:r>
          </w:p>
        </w:tc>
        <w:tc>
          <w:tcPr>
            <w:tcW w:w="2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53,397,450</w:t>
            </w:r>
          </w:p>
        </w:tc>
        <w:tc>
          <w:tcPr>
            <w:tcW w:w="2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262,000</w:t>
            </w:r>
          </w:p>
        </w:tc>
      </w:tr>
      <w:tr>
        <w:trPr>
          <w:trHeight w:val="20"/>
        </w:trPr>
        <w:tc>
          <w:tcPr>
            <w:tcW w:w="1460" w:type="dxa"/>
            <w:vAlign w:val="bottom"/>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certain information regarding our system infrastructure as of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40" w:type="dxa"/>
            <w:vAlign w:val="bottom"/>
          </w:tcPr>
          <w:p>
            <w:pPr>
              <w:spacing w:after="0"/>
              <w:rPr>
                <w:sz w:val="16"/>
                <w:szCs w:val="16"/>
                <w:color w:val="auto"/>
              </w:rPr>
            </w:pPr>
          </w:p>
        </w:tc>
        <w:tc>
          <w:tcPr>
            <w:tcW w:w="2280" w:type="dxa"/>
            <w:vAlign w:val="bottom"/>
          </w:tcPr>
          <w:p>
            <w:pPr>
              <w:jc w:val="center"/>
              <w:ind w:left="319"/>
              <w:spacing w:after="0"/>
              <w:rPr>
                <w:sz w:val="20"/>
                <w:szCs w:val="20"/>
                <w:color w:val="auto"/>
              </w:rPr>
            </w:pPr>
            <w:r>
              <w:rPr>
                <w:rFonts w:ascii="Arial" w:cs="Arial" w:eastAsia="Arial" w:hAnsi="Arial"/>
                <w:sz w:val="16"/>
                <w:szCs w:val="16"/>
                <w:b w:val="1"/>
                <w:bCs w:val="1"/>
                <w:color w:val="auto"/>
              </w:rPr>
              <w:t>Intrastate Gas</w:t>
            </w:r>
          </w:p>
        </w:tc>
        <w:tc>
          <w:tcPr>
            <w:tcW w:w="840" w:type="dxa"/>
            <w:vAlign w:val="bottom"/>
          </w:tcPr>
          <w:p>
            <w:pPr>
              <w:spacing w:after="0"/>
              <w:rPr>
                <w:sz w:val="16"/>
                <w:szCs w:val="16"/>
                <w:color w:val="auto"/>
              </w:rPr>
            </w:pPr>
          </w:p>
        </w:tc>
        <w:tc>
          <w:tcPr>
            <w:tcW w:w="2820" w:type="dxa"/>
            <w:vAlign w:val="bottom"/>
          </w:tcPr>
          <w:p>
            <w:pPr>
              <w:jc w:val="center"/>
              <w:ind w:right="599"/>
              <w:spacing w:after="0"/>
              <w:rPr>
                <w:sz w:val="20"/>
                <w:szCs w:val="20"/>
                <w:color w:val="auto"/>
              </w:rPr>
            </w:pPr>
            <w:r>
              <w:rPr>
                <w:rFonts w:ascii="Arial" w:cs="Arial" w:eastAsia="Arial" w:hAnsi="Arial"/>
                <w:sz w:val="16"/>
                <w:szCs w:val="16"/>
                <w:b w:val="1"/>
                <w:bCs w:val="1"/>
                <w:color w:val="auto"/>
              </w:rPr>
              <w:t>Gas Distribution</w:t>
            </w:r>
          </w:p>
        </w:tc>
        <w:tc>
          <w:tcPr>
            <w:tcW w:w="2560" w:type="dxa"/>
            <w:vAlign w:val="bottom"/>
          </w:tcPr>
          <w:p>
            <w:pPr>
              <w:jc w:val="right"/>
              <w:ind w:right="799"/>
              <w:spacing w:after="0"/>
              <w:rPr>
                <w:sz w:val="20"/>
                <w:szCs w:val="20"/>
                <w:color w:val="auto"/>
              </w:rPr>
            </w:pPr>
            <w:r>
              <w:rPr>
                <w:rFonts w:ascii="Arial" w:cs="Arial" w:eastAsia="Arial" w:hAnsi="Arial"/>
                <w:sz w:val="16"/>
                <w:szCs w:val="16"/>
                <w:b w:val="1"/>
                <w:bCs w:val="1"/>
                <w:color w:val="auto"/>
              </w:rPr>
              <w:t>Gas Distribution</w:t>
            </w:r>
          </w:p>
        </w:tc>
      </w:tr>
      <w:tr>
        <w:trPr>
          <w:trHeight w:val="189"/>
        </w:trPr>
        <w:tc>
          <w:tcPr>
            <w:tcW w:w="2740" w:type="dxa"/>
            <w:vAlign w:val="bottom"/>
          </w:tcPr>
          <w:p>
            <w:pPr>
              <w:spacing w:after="0"/>
              <w:rPr>
                <w:sz w:val="16"/>
                <w:szCs w:val="16"/>
                <w:color w:val="auto"/>
              </w:rPr>
            </w:pPr>
          </w:p>
        </w:tc>
        <w:tc>
          <w:tcPr>
            <w:tcW w:w="2280" w:type="dxa"/>
            <w:vAlign w:val="bottom"/>
          </w:tcPr>
          <w:p>
            <w:pPr>
              <w:jc w:val="center"/>
              <w:ind w:left="359"/>
              <w:spacing w:after="0"/>
              <w:rPr>
                <w:sz w:val="20"/>
                <w:szCs w:val="20"/>
                <w:color w:val="auto"/>
              </w:rPr>
            </w:pPr>
            <w:r>
              <w:rPr>
                <w:rFonts w:ascii="Arial" w:cs="Arial" w:eastAsia="Arial" w:hAnsi="Arial"/>
                <w:sz w:val="16"/>
                <w:szCs w:val="16"/>
                <w:b w:val="1"/>
                <w:bCs w:val="1"/>
                <w:color w:val="auto"/>
              </w:rPr>
              <w:t>Transmission Pipelines</w:t>
            </w:r>
          </w:p>
        </w:tc>
        <w:tc>
          <w:tcPr>
            <w:tcW w:w="840" w:type="dxa"/>
            <w:vAlign w:val="bottom"/>
          </w:tcPr>
          <w:p>
            <w:pPr>
              <w:spacing w:after="0"/>
              <w:rPr>
                <w:sz w:val="16"/>
                <w:szCs w:val="16"/>
                <w:color w:val="auto"/>
              </w:rPr>
            </w:pPr>
          </w:p>
        </w:tc>
        <w:tc>
          <w:tcPr>
            <w:tcW w:w="2820" w:type="dxa"/>
            <w:vAlign w:val="bottom"/>
          </w:tcPr>
          <w:p>
            <w:pPr>
              <w:jc w:val="center"/>
              <w:ind w:right="619"/>
              <w:spacing w:after="0"/>
              <w:rPr>
                <w:sz w:val="20"/>
                <w:szCs w:val="20"/>
                <w:color w:val="auto"/>
              </w:rPr>
            </w:pPr>
            <w:r>
              <w:rPr>
                <w:rFonts w:ascii="Arial" w:cs="Arial" w:eastAsia="Arial" w:hAnsi="Arial"/>
                <w:sz w:val="16"/>
                <w:szCs w:val="16"/>
                <w:b w:val="1"/>
                <w:bCs w:val="1"/>
                <w:color w:val="auto"/>
                <w:w w:val="96"/>
              </w:rPr>
              <w:t>Mains</w:t>
            </w:r>
          </w:p>
        </w:tc>
        <w:tc>
          <w:tcPr>
            <w:tcW w:w="2560" w:type="dxa"/>
            <w:vAlign w:val="bottom"/>
          </w:tcPr>
          <w:p>
            <w:pPr>
              <w:jc w:val="right"/>
              <w:ind w:right="879"/>
              <w:spacing w:after="0"/>
              <w:rPr>
                <w:sz w:val="20"/>
                <w:szCs w:val="20"/>
                <w:color w:val="auto"/>
              </w:rPr>
            </w:pPr>
            <w:r>
              <w:rPr>
                <w:rFonts w:ascii="Arial" w:cs="Arial" w:eastAsia="Arial" w:hAnsi="Arial"/>
                <w:sz w:val="16"/>
                <w:szCs w:val="16"/>
                <w:b w:val="1"/>
                <w:bCs w:val="1"/>
                <w:color w:val="auto"/>
              </w:rPr>
              <w:t>Service Lines</w:t>
            </w:r>
          </w:p>
        </w:tc>
      </w:tr>
      <w:tr>
        <w:trPr>
          <w:trHeight w:val="217"/>
        </w:trPr>
        <w:tc>
          <w:tcPr>
            <w:tcW w:w="27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ind w:left="359"/>
              <w:spacing w:after="0"/>
              <w:rPr>
                <w:sz w:val="20"/>
                <w:szCs w:val="20"/>
                <w:color w:val="auto"/>
              </w:rPr>
            </w:pPr>
            <w:r>
              <w:rPr>
                <w:rFonts w:ascii="Arial" w:cs="Arial" w:eastAsia="Arial" w:hAnsi="Arial"/>
                <w:sz w:val="16"/>
                <w:szCs w:val="16"/>
                <w:b w:val="1"/>
                <w:bCs w:val="1"/>
                <w:color w:val="auto"/>
              </w:rPr>
              <w:t>(in line miles)</w:t>
            </w:r>
          </w:p>
        </w:tc>
        <w:tc>
          <w:tcPr>
            <w:tcW w:w="8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right="619"/>
              <w:spacing w:after="0"/>
              <w:rPr>
                <w:sz w:val="20"/>
                <w:szCs w:val="20"/>
                <w:color w:val="auto"/>
              </w:rPr>
            </w:pPr>
            <w:r>
              <w:rPr>
                <w:rFonts w:ascii="Arial" w:cs="Arial" w:eastAsia="Arial" w:hAnsi="Arial"/>
                <w:sz w:val="16"/>
                <w:szCs w:val="16"/>
                <w:b w:val="1"/>
                <w:bCs w:val="1"/>
                <w:color w:val="auto"/>
              </w:rPr>
              <w:t>(in line miles)</w:t>
            </w:r>
          </w:p>
        </w:tc>
        <w:tc>
          <w:tcPr>
            <w:tcW w:w="25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(in line miles)</w:t>
            </w:r>
          </w:p>
        </w:tc>
      </w:tr>
      <w:tr>
        <w:trPr>
          <w:trHeight w:val="210"/>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875</w:t>
            </w:r>
          </w:p>
        </w:tc>
        <w:tc>
          <w:tcPr>
            <w:tcW w:w="28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5,197</w:t>
            </w:r>
          </w:p>
        </w:tc>
        <w:tc>
          <w:tcPr>
            <w:tcW w:w="2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1,380</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694</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7,188</w:t>
            </w:r>
          </w:p>
        </w:tc>
        <w:tc>
          <w:tcPr>
            <w:tcW w:w="2560" w:type="dxa"/>
            <w:vAlign w:val="bottom"/>
          </w:tcPr>
          <w:p>
            <w:pPr>
              <w:jc w:val="right"/>
              <w:ind w:right="39"/>
              <w:spacing w:after="0"/>
              <w:rPr>
                <w:sz w:val="20"/>
                <w:szCs w:val="20"/>
                <w:color w:val="auto"/>
              </w:rPr>
            </w:pPr>
            <w:r>
              <w:rPr>
                <w:rFonts w:ascii="Arial" w:cs="Arial" w:eastAsia="Arial" w:hAnsi="Arial"/>
                <w:sz w:val="16"/>
                <w:szCs w:val="16"/>
                <w:color w:val="auto"/>
              </w:rPr>
              <w:t>1,861</w:t>
            </w:r>
          </w:p>
        </w:tc>
      </w:tr>
      <w:tr>
        <w:trPr>
          <w:trHeight w:val="217"/>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173</w:t>
            </w:r>
          </w:p>
        </w:tc>
        <w:tc>
          <w:tcPr>
            <w:tcW w:w="28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2,890</w:t>
            </w:r>
          </w:p>
        </w:tc>
        <w:tc>
          <w:tcPr>
            <w:tcW w:w="2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2,765</w:t>
            </w: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Kansas Gas</w:t>
            </w:r>
          </w:p>
        </w:tc>
        <w:tc>
          <w:tcPr>
            <w:tcW w:w="840" w:type="dxa"/>
            <w:vAlign w:val="bottom"/>
          </w:tcPr>
          <w:p>
            <w:pPr>
              <w:jc w:val="right"/>
              <w:ind w:right="339"/>
              <w:spacing w:after="0"/>
              <w:rPr>
                <w:sz w:val="20"/>
                <w:szCs w:val="20"/>
                <w:color w:val="auto"/>
              </w:rPr>
            </w:pPr>
            <w:r>
              <w:rPr>
                <w:rFonts w:ascii="Arial" w:cs="Arial" w:eastAsia="Arial" w:hAnsi="Arial"/>
                <w:sz w:val="16"/>
                <w:szCs w:val="16"/>
                <w:color w:val="auto"/>
              </w:rPr>
              <w:t>339</w:t>
            </w:r>
          </w:p>
        </w:tc>
        <w:tc>
          <w:tcPr>
            <w:tcW w:w="2820" w:type="dxa"/>
            <w:vAlign w:val="bottom"/>
          </w:tcPr>
          <w:p>
            <w:pPr>
              <w:jc w:val="right"/>
              <w:ind w:right="339"/>
              <w:spacing w:after="0"/>
              <w:rPr>
                <w:sz w:val="20"/>
                <w:szCs w:val="20"/>
                <w:color w:val="auto"/>
              </w:rPr>
            </w:pPr>
            <w:r>
              <w:rPr>
                <w:rFonts w:ascii="Arial" w:cs="Arial" w:eastAsia="Arial" w:hAnsi="Arial"/>
                <w:sz w:val="16"/>
                <w:szCs w:val="16"/>
                <w:color w:val="auto"/>
              </w:rPr>
              <w:t>3,026</w:t>
            </w:r>
          </w:p>
        </w:tc>
        <w:tc>
          <w:tcPr>
            <w:tcW w:w="2560" w:type="dxa"/>
            <w:vAlign w:val="bottom"/>
          </w:tcPr>
          <w:p>
            <w:pPr>
              <w:jc w:val="right"/>
              <w:ind w:right="39"/>
              <w:spacing w:after="0"/>
              <w:rPr>
                <w:sz w:val="20"/>
                <w:szCs w:val="20"/>
                <w:color w:val="auto"/>
              </w:rPr>
            </w:pPr>
            <w:r>
              <w:rPr>
                <w:rFonts w:ascii="Arial" w:cs="Arial" w:eastAsia="Arial" w:hAnsi="Arial"/>
                <w:sz w:val="16"/>
                <w:szCs w:val="16"/>
                <w:color w:val="auto"/>
              </w:rPr>
              <w:t>1,400</w:t>
            </w:r>
          </w:p>
        </w:tc>
      </w:tr>
      <w:tr>
        <w:trPr>
          <w:trHeight w:val="217"/>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84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w w:val="99"/>
              </w:rPr>
              <w:t>1,315</w:t>
            </w:r>
          </w:p>
        </w:tc>
        <w:tc>
          <w:tcPr>
            <w:tcW w:w="28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8,611</w:t>
            </w:r>
          </w:p>
        </w:tc>
        <w:tc>
          <w:tcPr>
            <w:tcW w:w="2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2,845</w:t>
            </w: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2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99"/>
              </w:rPr>
              <w:t>1,267</w:t>
            </w:r>
          </w:p>
        </w:tc>
        <w:tc>
          <w:tcPr>
            <w:tcW w:w="2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3,625</w:t>
            </w:r>
          </w:p>
        </w:tc>
        <w:tc>
          <w:tcPr>
            <w:tcW w:w="2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1,726</w:t>
            </w:r>
          </w:p>
        </w:tc>
      </w:tr>
      <w:tr>
        <w:trPr>
          <w:trHeight w:val="249"/>
        </w:trPr>
        <w:tc>
          <w:tcPr>
            <w:tcW w:w="2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22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w w:val="99"/>
              </w:rPr>
              <w:t>4,663</w:t>
            </w:r>
          </w:p>
        </w:tc>
        <w:tc>
          <w:tcPr>
            <w:tcW w:w="28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30,537</w:t>
            </w:r>
          </w:p>
        </w:tc>
        <w:tc>
          <w:tcPr>
            <w:tcW w:w="25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11,977</w:t>
            </w:r>
          </w:p>
        </w:tc>
      </w:tr>
    </w:tbl>
    <w:p>
      <w:pPr>
        <w:spacing w:after="0" w:line="17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i w:val="1"/>
          <w:iCs w:val="1"/>
          <w:color w:val="auto"/>
        </w:rPr>
        <w:t xml:space="preserve">Seasonal Variations of Business. </w:t>
      </w:r>
      <w:r>
        <w:rPr>
          <w:rFonts w:ascii="Arial" w:cs="Arial" w:eastAsia="Arial" w:hAnsi="Arial"/>
          <w:sz w:val="16"/>
          <w:szCs w:val="16"/>
          <w:color w:val="auto"/>
        </w:rPr>
        <w:t>Our Gas Utilities are seasonal businesses and weather patterns may impact their operating results. Demand for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is sensitive to seasonal heating and industrial load requirements, as well as market price. In particular, demand is often greater in the winter months for heating. Natural gas is used primarily for residential and commercial heating, and demand for this product can depend heavily upon weather throughout our service territories. As a result, a significant amount of natural gas revenue is normally recognized in the heating season consisting of the first and fourth quarters. Demand for natural gas can also be impacted by summer temperatures and precipitation, which can affect demand for irrigation.</w:t>
      </w:r>
    </w:p>
    <w:p>
      <w:pPr>
        <w:spacing w:after="0" w:line="153"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b w:val="1"/>
          <w:bCs w:val="1"/>
          <w:i w:val="1"/>
          <w:iCs w:val="1"/>
          <w:color w:val="auto"/>
        </w:rPr>
        <w:t xml:space="preserve">Competition. </w:t>
      </w:r>
      <w:r>
        <w:rPr>
          <w:rFonts w:ascii="Arial" w:cs="Arial" w:eastAsia="Arial" w:hAnsi="Arial"/>
          <w:sz w:val="16"/>
          <w:szCs w:val="16"/>
          <w:color w:val="auto"/>
        </w:rPr>
        <w:t>We generally have limited competition for the retail distribution of natural gas in our service areas. Various restructuring and competitive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initiatives have been discussed in several of the states in which our utilities operate. These initiatives are aimed at increasing competition. Additionally, electrification initiatives in our service territories could negatively impact demand for natural gas and decrease future growth.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fees for transporting the gas through our distribution network.</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i w:val="1"/>
          <w:iCs w:val="1"/>
          <w:color w:val="auto"/>
        </w:rPr>
        <w:t>Operating statistics</w:t>
      </w:r>
      <w:r>
        <w:rPr>
          <w:rFonts w:ascii="Arial" w:cs="Arial" w:eastAsia="Arial" w:hAnsi="Arial"/>
          <w:sz w:val="16"/>
          <w:szCs w:val="16"/>
          <w:color w:val="auto"/>
        </w:rPr>
        <w:t>. See a summary of key operating statistics in the</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0000FF"/>
        </w:rPr>
        <w:t>Gas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 operating results within Management’s Discussion and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3235325</wp:posOffset>
            </wp:positionH>
            <wp:positionV relativeFrom="paragraph">
              <wp:posOffset>-165735</wp:posOffset>
            </wp:positionV>
            <wp:extent cx="54864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640" cy="8890"/>
                    </a:xfrm>
                    <a:prstGeom prst="rect">
                      <a:avLst/>
                    </a:prstGeom>
                    <a:noFill/>
                  </pic:spPr>
                </pic:pic>
              </a:graphicData>
            </a:graphic>
          </wp:anchor>
        </w:drawing>
        <w:drawing>
          <wp:anchor simplePos="0" relativeHeight="251657728" behindDoc="1" locked="0" layoutInCell="0" allowOverlap="1">
            <wp:simplePos x="0" y="0"/>
            <wp:positionH relativeFrom="column">
              <wp:posOffset>2349500</wp:posOffset>
            </wp:positionH>
            <wp:positionV relativeFrom="paragraph">
              <wp:posOffset>-45720</wp:posOffset>
            </wp:positionV>
            <wp:extent cx="28575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Utility Regulation Characteristics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Utilities are subject to regulation by a number of federal, state and other organizations, including, but not limited to, the following:</w:t>
      </w:r>
    </w:p>
    <w:p>
      <w:pPr>
        <w:spacing w:after="0" w:line="113" w:lineRule="exact"/>
        <w:rPr>
          <w:sz w:val="20"/>
          <w:szCs w:val="20"/>
          <w:color w:val="auto"/>
        </w:rPr>
      </w:pPr>
    </w:p>
    <w:p>
      <w:pPr>
        <w:ind w:left="1020" w:right="48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State public utility commissions, which have jurisdiction over services and facilities, rates and charges, accounting, valuation of property, depreciation rates and various other matters;</w:t>
      </w:r>
    </w:p>
    <w:p>
      <w:pPr>
        <w:spacing w:after="0" w:line="48" w:lineRule="exact"/>
        <w:rPr>
          <w:rFonts w:ascii="Times New Roman" w:cs="Times New Roman" w:eastAsia="Times New Roman" w:hAnsi="Times New Roman"/>
          <w:sz w:val="16"/>
          <w:szCs w:val="16"/>
          <w:color w:val="auto"/>
        </w:rPr>
      </w:pPr>
    </w:p>
    <w:p>
      <w:pPr>
        <w:jc w:val="both"/>
        <w:ind w:left="1020" w:right="54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FERC, which oversees the acquisition and disposition of generation, transmission and other facilities, transmission of electricity and natural gas in interstate commerce, proposals to build and operate interstate natural gas pipelines and storage facilities, and wholesale purchases and sales of electric energy, among other things;</w:t>
      </w:r>
    </w:p>
    <w:p>
      <w:pPr>
        <w:spacing w:after="0" w:line="62"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NERC, which, through its regional entities, establishes and enforces mandatory reliability standards, subject to approval by the FERC, to ensure the reliability of the U.S. electric transmission and generation system and to prevent major system blackouts;</w:t>
      </w:r>
    </w:p>
    <w:p>
      <w:pPr>
        <w:spacing w:after="0" w:line="48" w:lineRule="exact"/>
        <w:rPr>
          <w:rFonts w:ascii="Times New Roman" w:cs="Times New Roman" w:eastAsia="Times New Roman" w:hAnsi="Times New Roman"/>
          <w:sz w:val="16"/>
          <w:szCs w:val="16"/>
          <w:color w:val="auto"/>
        </w:rPr>
      </w:pPr>
    </w:p>
    <w:p>
      <w:pPr>
        <w:ind w:left="1020" w:right="600" w:hanging="503"/>
        <w:spacing w:after="0" w:line="266"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EPA, which has the responsibility to maintain and enforce national standards under a variety of environmental laws, in some cases delegating authority to state agencies. The EPA also works with industries and all levels of government, including federal and state governments, in a wide variety of voluntary pollution prevention programs and energy conservation efforts;</w:t>
      </w:r>
    </w:p>
    <w:p>
      <w:pPr>
        <w:spacing w:after="0" w:line="62" w:lineRule="exact"/>
        <w:rPr>
          <w:rFonts w:ascii="Times New Roman" w:cs="Times New Roman" w:eastAsia="Times New Roman" w:hAnsi="Times New Roman"/>
          <w:sz w:val="16"/>
          <w:szCs w:val="16"/>
          <w:color w:val="auto"/>
        </w:rPr>
      </w:pPr>
    </w:p>
    <w:p>
      <w:pPr>
        <w:ind w:left="1020" w:right="340" w:hanging="503"/>
        <w:spacing w:after="0" w:line="285"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TSA, which regulates certain activities related to the safety and security of natural gas pipelines. In May and July 2021 the TSA issued security directives that included several new cybersecurity requirements for critical pipeline owners and operators; and</w:t>
      </w:r>
    </w:p>
    <w:p>
      <w:pPr>
        <w:spacing w:after="0" w:line="48" w:lineRule="exact"/>
        <w:rPr>
          <w:rFonts w:ascii="Times New Roman" w:cs="Times New Roman" w:eastAsia="Times New Roman" w:hAnsi="Times New Roman"/>
          <w:sz w:val="16"/>
          <w:szCs w:val="16"/>
          <w:color w:val="auto"/>
        </w:rPr>
      </w:pPr>
    </w:p>
    <w:p>
      <w:pPr>
        <w:ind w:left="1020" w:right="60" w:hanging="503"/>
        <w:spacing w:after="0" w:line="259" w:lineRule="auto"/>
        <w:tabs>
          <w:tab w:leader="none" w:pos="1020" w:val="left"/>
        </w:tabs>
        <w:numPr>
          <w:ilvl w:val="0"/>
          <w:numId w:val="7"/>
        </w:numPr>
        <w:rPr>
          <w:rFonts w:ascii="Times New Roman" w:cs="Times New Roman" w:eastAsia="Times New Roman" w:hAnsi="Times New Roman"/>
          <w:sz w:val="16"/>
          <w:szCs w:val="16"/>
          <w:color w:val="auto"/>
        </w:rPr>
      </w:pPr>
      <w:r>
        <w:rPr>
          <w:rFonts w:ascii="Arial" w:cs="Arial" w:eastAsia="Arial" w:hAnsi="Arial"/>
          <w:sz w:val="16"/>
          <w:szCs w:val="16"/>
          <w:color w:val="auto"/>
        </w:rPr>
        <w:t>the PHMSA, which is responsible for administering the federal regulatory program to help ensure the safe transportation of natural gas, petroleum and other hazardous materials by pipelines, including pipelines associated with natural gas storage, and develops regulations and other approaches to risk management to help ensure safety in design, construction, testing, operation, maintenance and emergency response of pipeline facilities.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Rates and Regulation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Utilities are subject to the jurisdiction of the public utility commissions in the states where they operate and the FERC for certain assets and transactions. These commissions oversee services and facilities, rates and charges, accounting, valuation of property, depreciation rates and various other matters.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15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regulatory provisions for recovering the costs of service vary by jurisdiction. Our Utilities have cost recovery mechanisms that allow us to pass the prudently-incurred cost of natural gas, fuel and purchased power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jurisdictions allow us to recover certain costs or earn a return on capital investments placed in service between base rate reviews through approved rider tariffs, such as energy efficiency plan costs and system safety and integrity investments. These tariffs allow the utility a return on the investment.</w:t>
      </w: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Percentage of</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Rate of</w:t>
            </w:r>
          </w:p>
        </w:tc>
        <w:tc>
          <w:tcPr>
            <w:tcW w:w="104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1040" w:type="dxa"/>
            <w:vAlign w:val="bottom"/>
          </w:tcPr>
          <w:p>
            <w:pPr>
              <w:jc w:val="center"/>
              <w:spacing w:after="0"/>
              <w:rPr>
                <w:sz w:val="20"/>
                <w:szCs w:val="20"/>
                <w:color w:val="auto"/>
              </w:rPr>
            </w:pPr>
            <w:r>
              <w:rPr>
                <w:rFonts w:ascii="Arial" w:cs="Arial" w:eastAsia="Arial" w:hAnsi="Arial"/>
                <w:sz w:val="14"/>
                <w:szCs w:val="14"/>
                <w:color w:val="auto"/>
              </w:rPr>
              <w:t>Capital</w:t>
            </w:r>
          </w:p>
        </w:tc>
        <w:tc>
          <w:tcPr>
            <w:tcW w:w="1080" w:type="dxa"/>
            <w:vAlign w:val="bottom"/>
          </w:tcPr>
          <w:p>
            <w:pPr>
              <w:jc w:val="center"/>
              <w:spacing w:after="0"/>
              <w:rPr>
                <w:sz w:val="20"/>
                <w:szCs w:val="20"/>
                <w:color w:val="auto"/>
              </w:rPr>
            </w:pPr>
            <w:r>
              <w:rPr>
                <w:rFonts w:ascii="Arial" w:cs="Arial" w:eastAsia="Arial" w:hAnsi="Arial"/>
                <w:sz w:val="14"/>
                <w:szCs w:val="14"/>
                <w:color w:val="auto"/>
              </w:rPr>
              <w:t>Authorized</w:t>
            </w: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color w:val="auto"/>
              </w:rPr>
              <w:t>Power Marketing</w:t>
            </w:r>
          </w:p>
        </w:tc>
        <w:tc>
          <w:tcPr>
            <w:tcW w:w="0" w:type="dxa"/>
            <w:vAlign w:val="bottom"/>
          </w:tcPr>
          <w:p>
            <w:pPr>
              <w:spacing w:after="0"/>
              <w:rPr>
                <w:sz w:val="1"/>
                <w:szCs w:val="1"/>
                <w:color w:val="auto"/>
              </w:rPr>
            </w:pPr>
          </w:p>
        </w:tc>
      </w:tr>
      <w:tr>
        <w:trPr>
          <w:trHeight w:val="162"/>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Return on</w:t>
            </w:r>
          </w:p>
        </w:tc>
        <w:tc>
          <w:tcPr>
            <w:tcW w:w="1040" w:type="dxa"/>
            <w:vAlign w:val="bottom"/>
          </w:tcPr>
          <w:p>
            <w:pPr>
              <w:jc w:val="center"/>
              <w:spacing w:after="0"/>
              <w:rPr>
                <w:sz w:val="20"/>
                <w:szCs w:val="20"/>
                <w:color w:val="auto"/>
              </w:rPr>
            </w:pPr>
            <w:r>
              <w:rPr>
                <w:rFonts w:ascii="Arial" w:cs="Arial" w:eastAsia="Arial" w:hAnsi="Arial"/>
                <w:sz w:val="14"/>
                <w:szCs w:val="14"/>
                <w:color w:val="auto"/>
              </w:rPr>
              <w:t>Structure</w:t>
            </w:r>
          </w:p>
        </w:tc>
        <w:tc>
          <w:tcPr>
            <w:tcW w:w="1080" w:type="dxa"/>
            <w:vAlign w:val="bottom"/>
          </w:tcPr>
          <w:p>
            <w:pPr>
              <w:jc w:val="center"/>
              <w:spacing w:after="0"/>
              <w:rPr>
                <w:sz w:val="20"/>
                <w:szCs w:val="20"/>
                <w:color w:val="auto"/>
              </w:rPr>
            </w:pPr>
            <w:r>
              <w:rPr>
                <w:rFonts w:ascii="Arial" w:cs="Arial" w:eastAsia="Arial" w:hAnsi="Arial"/>
                <w:sz w:val="14"/>
                <w:szCs w:val="14"/>
                <w:color w:val="auto"/>
              </w:rPr>
              <w:t>Rate Base (in</w:t>
            </w:r>
          </w:p>
        </w:tc>
        <w:tc>
          <w:tcPr>
            <w:tcW w:w="760" w:type="dxa"/>
            <w:vAlign w:val="bottom"/>
          </w:tcPr>
          <w:p>
            <w:pPr>
              <w:jc w:val="center"/>
              <w:spacing w:after="0"/>
              <w:rPr>
                <w:sz w:val="20"/>
                <w:szCs w:val="20"/>
                <w:color w:val="auto"/>
              </w:rPr>
            </w:pPr>
            <w:r>
              <w:rPr>
                <w:rFonts w:ascii="Arial" w:cs="Arial" w:eastAsia="Arial" w:hAnsi="Arial"/>
                <w:sz w:val="14"/>
                <w:szCs w:val="14"/>
                <w:color w:val="auto"/>
              </w:rPr>
              <w:t>Effective</w:t>
            </w:r>
          </w:p>
        </w:tc>
        <w:tc>
          <w:tcPr>
            <w:tcW w:w="2120" w:type="dxa"/>
            <w:vAlign w:val="bottom"/>
          </w:tcPr>
          <w:p>
            <w:pPr>
              <w:jc w:val="center"/>
              <w:spacing w:after="0"/>
              <w:rPr>
                <w:sz w:val="20"/>
                <w:szCs w:val="20"/>
                <w:color w:val="auto"/>
              </w:rPr>
            </w:pPr>
            <w:r>
              <w:rPr>
                <w:rFonts w:ascii="Arial" w:cs="Arial" w:eastAsia="Arial" w:hAnsi="Arial"/>
                <w:sz w:val="14"/>
                <w:szCs w:val="14"/>
                <w:color w:val="auto"/>
              </w:rPr>
              <w:t>Additional Regulatory</w:t>
            </w:r>
          </w:p>
        </w:tc>
        <w:tc>
          <w:tcPr>
            <w:tcW w:w="1360" w:type="dxa"/>
            <w:vAlign w:val="bottom"/>
          </w:tcPr>
          <w:p>
            <w:pPr>
              <w:jc w:val="center"/>
              <w:spacing w:after="0"/>
              <w:rPr>
                <w:sz w:val="20"/>
                <w:szCs w:val="20"/>
                <w:color w:val="auto"/>
              </w:rPr>
            </w:pPr>
            <w:r>
              <w:rPr>
                <w:rFonts w:ascii="Arial" w:cs="Arial" w:eastAsia="Arial" w:hAnsi="Arial"/>
                <w:sz w:val="14"/>
                <w:szCs w:val="14"/>
                <w:color w:val="auto"/>
              </w:rPr>
              <w:t>Profit Shared with</w:t>
            </w:r>
          </w:p>
        </w:tc>
        <w:tc>
          <w:tcPr>
            <w:tcW w:w="0" w:type="dxa"/>
            <w:vAlign w:val="bottom"/>
          </w:tcPr>
          <w:p>
            <w:pPr>
              <w:spacing w:after="0"/>
              <w:rPr>
                <w:sz w:val="1"/>
                <w:szCs w:val="1"/>
                <w:color w:val="auto"/>
              </w:rPr>
            </w:pPr>
          </w:p>
        </w:tc>
      </w:tr>
      <w:tr>
        <w:trPr>
          <w:trHeight w:val="185"/>
        </w:trPr>
        <w:tc>
          <w:tcPr>
            <w:tcW w:w="168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Subsidiary</w:t>
            </w:r>
          </w:p>
        </w:tc>
        <w:tc>
          <w:tcPr>
            <w:tcW w:w="116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Jurisdiction</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Equity</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Rate 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Debt/Equity</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millions)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Date</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Mechanisms</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Customers</w:t>
            </w:r>
          </w:p>
        </w:tc>
        <w:tc>
          <w:tcPr>
            <w:tcW w:w="0" w:type="dxa"/>
            <w:vAlign w:val="bottom"/>
          </w:tcPr>
          <w:p>
            <w:pPr>
              <w:spacing w:after="0"/>
              <w:rPr>
                <w:sz w:val="1"/>
                <w:szCs w:val="1"/>
                <w:color w:val="auto"/>
              </w:rPr>
            </w:pPr>
          </w:p>
        </w:tc>
      </w:tr>
      <w:tr>
        <w:trPr>
          <w:trHeight w:val="169"/>
        </w:trPr>
        <w:tc>
          <w:tcPr>
            <w:tcW w:w="1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680" w:type="dxa"/>
            <w:vAlign w:val="bottom"/>
            <w:shd w:val="clear" w:color="auto" w:fill="CFF0FC"/>
          </w:tcPr>
          <w:p>
            <w:pPr>
              <w:ind w:left="20"/>
              <w:spacing w:after="0" w:line="153" w:lineRule="exact"/>
              <w:rPr>
                <w:sz w:val="20"/>
                <w:szCs w:val="20"/>
                <w:color w:val="auto"/>
              </w:rPr>
            </w:pPr>
            <w:r>
              <w:rPr>
                <w:rFonts w:ascii="Arial" w:cs="Arial" w:eastAsia="Arial" w:hAnsi="Arial"/>
                <w:sz w:val="14"/>
                <w:szCs w:val="14"/>
                <w:color w:val="auto"/>
              </w:rPr>
              <w:t>Colorado Electric</w:t>
            </w:r>
          </w:p>
        </w:tc>
        <w:tc>
          <w:tcPr>
            <w:tcW w:w="1160" w:type="dxa"/>
            <w:vAlign w:val="bottom"/>
            <w:shd w:val="clear" w:color="auto" w:fill="CFF0FC"/>
          </w:tcPr>
          <w:p>
            <w:pPr>
              <w:jc w:val="center"/>
              <w:ind w:left="68"/>
              <w:spacing w:after="0" w:line="153" w:lineRule="exact"/>
              <w:rPr>
                <w:sz w:val="20"/>
                <w:szCs w:val="20"/>
                <w:color w:val="auto"/>
              </w:rPr>
            </w:pPr>
            <w:r>
              <w:rPr>
                <w:rFonts w:ascii="Arial" w:cs="Arial" w:eastAsia="Arial" w:hAnsi="Arial"/>
                <w:sz w:val="14"/>
                <w:szCs w:val="14"/>
                <w:color w:val="auto"/>
              </w:rPr>
              <w:t>CO</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9.37%</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7.43%</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shd w:val="clear" w:color="auto" w:fill="CFF0FC"/>
          </w:tcPr>
          <w:p>
            <w:pPr>
              <w:jc w:val="center"/>
              <w:spacing w:after="0" w:line="153" w:lineRule="exact"/>
              <w:rPr>
                <w:sz w:val="20"/>
                <w:szCs w:val="20"/>
                <w:color w:val="auto"/>
              </w:rPr>
            </w:pPr>
            <w:r>
              <w:rPr>
                <w:rFonts w:ascii="Arial" w:cs="Arial" w:eastAsia="Arial" w:hAnsi="Arial"/>
                <w:sz w:val="13"/>
                <w:szCs w:val="13"/>
                <w:color w:val="auto"/>
              </w:rPr>
              <w:t xml:space="preserve">$653.7 </w:t>
            </w:r>
            <w:r>
              <w:rPr>
                <w:rFonts w:ascii="Arial" w:cs="Arial" w:eastAsia="Arial" w:hAnsi="Arial"/>
                <w:sz w:val="17"/>
                <w:szCs w:val="17"/>
                <w:color w:val="auto"/>
                <w:vertAlign w:val="superscript"/>
              </w:rPr>
              <w:t>(a)</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1/2017</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ECA, TCA, PCCA,</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EECR/DSM, RESA, TEPR,</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Energy Assistance Benefit</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Charge</w:t>
            </w: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1160" w:type="dxa"/>
            <w:vAlign w:val="bottom"/>
          </w:tcPr>
          <w:p>
            <w:pPr>
              <w:jc w:val="center"/>
              <w:ind w:left="68"/>
              <w:spacing w:after="0"/>
              <w:rPr>
                <w:sz w:val="20"/>
                <w:szCs w:val="20"/>
                <w:color w:val="auto"/>
              </w:rPr>
            </w:pPr>
            <w:r>
              <w:rPr>
                <w:rFonts w:ascii="Arial" w:cs="Arial" w:eastAsia="Arial" w:hAnsi="Arial"/>
                <w:sz w:val="14"/>
                <w:szCs w:val="14"/>
                <w:color w:val="auto"/>
              </w:rPr>
              <w:t>CO</w:t>
            </w:r>
          </w:p>
        </w:tc>
        <w:tc>
          <w:tcPr>
            <w:tcW w:w="1000" w:type="dxa"/>
            <w:vAlign w:val="bottom"/>
          </w:tcPr>
          <w:p>
            <w:pPr>
              <w:jc w:val="center"/>
              <w:spacing w:after="0"/>
              <w:rPr>
                <w:sz w:val="20"/>
                <w:szCs w:val="20"/>
                <w:color w:val="auto"/>
              </w:rPr>
            </w:pPr>
            <w:r>
              <w:rPr>
                <w:rFonts w:ascii="Arial" w:cs="Arial" w:eastAsia="Arial" w:hAnsi="Arial"/>
                <w:sz w:val="14"/>
                <w:szCs w:val="14"/>
                <w:color w:val="auto"/>
              </w:rPr>
              <w:t>9.37%</w:t>
            </w:r>
          </w:p>
        </w:tc>
        <w:tc>
          <w:tcPr>
            <w:tcW w:w="1040" w:type="dxa"/>
            <w:vAlign w:val="bottom"/>
          </w:tcPr>
          <w:p>
            <w:pPr>
              <w:jc w:val="center"/>
              <w:spacing w:after="0"/>
              <w:rPr>
                <w:sz w:val="20"/>
                <w:szCs w:val="20"/>
                <w:color w:val="auto"/>
              </w:rPr>
            </w:pPr>
            <w:r>
              <w:rPr>
                <w:rFonts w:ascii="Arial" w:cs="Arial" w:eastAsia="Arial" w:hAnsi="Arial"/>
                <w:sz w:val="14"/>
                <w:szCs w:val="14"/>
                <w:color w:val="auto"/>
              </w:rPr>
              <w:t>6.02%</w:t>
            </w:r>
          </w:p>
        </w:tc>
        <w:tc>
          <w:tcPr>
            <w:tcW w:w="1040" w:type="dxa"/>
            <w:vAlign w:val="bottom"/>
          </w:tcPr>
          <w:p>
            <w:pPr>
              <w:jc w:val="center"/>
              <w:spacing w:after="0"/>
              <w:rPr>
                <w:sz w:val="20"/>
                <w:szCs w:val="20"/>
                <w:color w:val="auto"/>
              </w:rPr>
            </w:pPr>
            <w:r>
              <w:rPr>
                <w:rFonts w:ascii="Arial" w:cs="Arial" w:eastAsia="Arial" w:hAnsi="Arial"/>
                <w:sz w:val="14"/>
                <w:szCs w:val="14"/>
                <w:color w:val="auto"/>
              </w:rPr>
              <w:t>67%/33%</w:t>
            </w:r>
          </w:p>
        </w:tc>
        <w:tc>
          <w:tcPr>
            <w:tcW w:w="1080" w:type="dxa"/>
            <w:vAlign w:val="bottom"/>
          </w:tcPr>
          <w:p>
            <w:pPr>
              <w:jc w:val="center"/>
              <w:spacing w:after="0"/>
              <w:rPr>
                <w:sz w:val="20"/>
                <w:szCs w:val="20"/>
                <w:color w:val="auto"/>
              </w:rPr>
            </w:pPr>
            <w:r>
              <w:rPr>
                <w:rFonts w:ascii="Arial" w:cs="Arial" w:eastAsia="Arial" w:hAnsi="Arial"/>
                <w:sz w:val="14"/>
                <w:szCs w:val="14"/>
                <w:color w:val="auto"/>
              </w:rPr>
              <w:t>$57.9</w:t>
            </w:r>
          </w:p>
        </w:tc>
        <w:tc>
          <w:tcPr>
            <w:tcW w:w="760" w:type="dxa"/>
            <w:vAlign w:val="bottom"/>
          </w:tcPr>
          <w:p>
            <w:pPr>
              <w:jc w:val="center"/>
              <w:spacing w:after="0"/>
              <w:rPr>
                <w:sz w:val="20"/>
                <w:szCs w:val="20"/>
                <w:color w:val="auto"/>
              </w:rPr>
            </w:pPr>
            <w:r>
              <w:rPr>
                <w:rFonts w:ascii="Arial" w:cs="Arial" w:eastAsia="Arial" w:hAnsi="Arial"/>
                <w:sz w:val="14"/>
                <w:szCs w:val="14"/>
                <w:color w:val="auto"/>
              </w:rPr>
              <w:t>1/2017</w:t>
            </w:r>
          </w:p>
        </w:tc>
        <w:tc>
          <w:tcPr>
            <w:tcW w:w="2120" w:type="dxa"/>
            <w:vAlign w:val="bottom"/>
          </w:tcPr>
          <w:p>
            <w:pPr>
              <w:jc w:val="center"/>
              <w:spacing w:after="0"/>
              <w:rPr>
                <w:sz w:val="20"/>
                <w:szCs w:val="20"/>
                <w:color w:val="auto"/>
              </w:rPr>
            </w:pPr>
            <w:r>
              <w:rPr>
                <w:rFonts w:ascii="Arial" w:cs="Arial" w:eastAsia="Arial" w:hAnsi="Arial"/>
                <w:sz w:val="14"/>
                <w:szCs w:val="14"/>
                <w:color w:val="auto"/>
              </w:rPr>
              <w:t>CACJA Adjustment Rider</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5"/>
        </w:trPr>
        <w:tc>
          <w:tcPr>
            <w:tcW w:w="1680" w:type="dxa"/>
            <w:vAlign w:val="bottom"/>
            <w:shd w:val="clear" w:color="auto" w:fill="CFF0FC"/>
          </w:tcPr>
          <w:p>
            <w:pPr>
              <w:spacing w:after="0"/>
              <w:rPr>
                <w:sz w:val="15"/>
                <w:szCs w:val="15"/>
                <w:color w:val="auto"/>
              </w:rPr>
            </w:pPr>
          </w:p>
        </w:tc>
        <w:tc>
          <w:tcPr>
            <w:tcW w:w="1160" w:type="dxa"/>
            <w:vAlign w:val="bottom"/>
            <w:shd w:val="clear" w:color="auto" w:fill="CFF0FC"/>
          </w:tcPr>
          <w:p>
            <w:pPr>
              <w:jc w:val="center"/>
              <w:ind w:left="48"/>
              <w:spacing w:after="0"/>
              <w:rPr>
                <w:sz w:val="20"/>
                <w:szCs w:val="20"/>
                <w:color w:val="auto"/>
              </w:rPr>
            </w:pPr>
            <w:r>
              <w:rPr>
                <w:rFonts w:ascii="Arial" w:cs="Arial" w:eastAsia="Arial" w:hAnsi="Arial"/>
                <w:sz w:val="14"/>
                <w:szCs w:val="14"/>
                <w:color w:val="auto"/>
              </w:rPr>
              <w:t>FERC</w:t>
            </w: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9.80%</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6.45%</w:t>
            </w: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53%/47%</w:t>
            </w:r>
          </w:p>
        </w:tc>
        <w:tc>
          <w:tcPr>
            <w:tcW w:w="10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9/2022</w:t>
            </w: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6"/>
        </w:trPr>
        <w:tc>
          <w:tcPr>
            <w:tcW w:w="1680" w:type="dxa"/>
            <w:vAlign w:val="bottom"/>
          </w:tcPr>
          <w:p>
            <w:pPr>
              <w:ind w:left="20"/>
              <w:spacing w:after="0"/>
              <w:rPr>
                <w:sz w:val="20"/>
                <w:szCs w:val="20"/>
                <w:color w:val="auto"/>
              </w:rPr>
            </w:pPr>
            <w:r>
              <w:rPr>
                <w:rFonts w:ascii="Arial" w:cs="Arial" w:eastAsia="Arial" w:hAnsi="Arial"/>
                <w:sz w:val="14"/>
                <w:szCs w:val="14"/>
                <w:color w:val="auto"/>
              </w:rPr>
              <w:t>South Dakota Electric</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WY</w:t>
            </w:r>
          </w:p>
        </w:tc>
        <w:tc>
          <w:tcPr>
            <w:tcW w:w="1000" w:type="dxa"/>
            <w:vAlign w:val="bottom"/>
          </w:tcPr>
          <w:p>
            <w:pPr>
              <w:jc w:val="center"/>
              <w:spacing w:after="0"/>
              <w:rPr>
                <w:sz w:val="20"/>
                <w:szCs w:val="20"/>
                <w:color w:val="auto"/>
              </w:rPr>
            </w:pPr>
            <w:r>
              <w:rPr>
                <w:rFonts w:ascii="Arial" w:cs="Arial" w:eastAsia="Arial" w:hAnsi="Arial"/>
                <w:sz w:val="14"/>
                <w:szCs w:val="14"/>
                <w:color w:val="auto"/>
              </w:rPr>
              <w:t>9.90%</w:t>
            </w:r>
          </w:p>
        </w:tc>
        <w:tc>
          <w:tcPr>
            <w:tcW w:w="1040" w:type="dxa"/>
            <w:vAlign w:val="bottom"/>
          </w:tcPr>
          <w:p>
            <w:pPr>
              <w:jc w:val="center"/>
              <w:spacing w:after="0"/>
              <w:rPr>
                <w:sz w:val="20"/>
                <w:szCs w:val="20"/>
                <w:color w:val="auto"/>
              </w:rPr>
            </w:pPr>
            <w:r>
              <w:rPr>
                <w:rFonts w:ascii="Arial" w:cs="Arial" w:eastAsia="Arial" w:hAnsi="Arial"/>
                <w:sz w:val="14"/>
                <w:szCs w:val="14"/>
                <w:color w:val="auto"/>
              </w:rPr>
              <w:t>8.13%</w:t>
            </w:r>
          </w:p>
        </w:tc>
        <w:tc>
          <w:tcPr>
            <w:tcW w:w="1040" w:type="dxa"/>
            <w:vAlign w:val="bottom"/>
          </w:tcPr>
          <w:p>
            <w:pPr>
              <w:jc w:val="center"/>
              <w:spacing w:after="0"/>
              <w:rPr>
                <w:sz w:val="20"/>
                <w:szCs w:val="20"/>
                <w:color w:val="auto"/>
              </w:rPr>
            </w:pPr>
            <w:r>
              <w:rPr>
                <w:rFonts w:ascii="Arial" w:cs="Arial" w:eastAsia="Arial" w:hAnsi="Arial"/>
                <w:sz w:val="14"/>
                <w:szCs w:val="14"/>
                <w:color w:val="auto"/>
              </w:rPr>
              <w:t>47%/53%</w:t>
            </w:r>
          </w:p>
        </w:tc>
        <w:tc>
          <w:tcPr>
            <w:tcW w:w="1080" w:type="dxa"/>
            <w:vAlign w:val="bottom"/>
          </w:tcPr>
          <w:p>
            <w:pPr>
              <w:jc w:val="center"/>
              <w:spacing w:after="0"/>
              <w:rPr>
                <w:sz w:val="20"/>
                <w:szCs w:val="20"/>
                <w:color w:val="auto"/>
              </w:rPr>
            </w:pPr>
            <w:r>
              <w:rPr>
                <w:rFonts w:ascii="Arial" w:cs="Arial" w:eastAsia="Arial" w:hAnsi="Arial"/>
                <w:sz w:val="14"/>
                <w:szCs w:val="14"/>
                <w:color w:val="auto"/>
              </w:rPr>
              <w:t>$46.8</w:t>
            </w:r>
          </w:p>
        </w:tc>
        <w:tc>
          <w:tcPr>
            <w:tcW w:w="760" w:type="dxa"/>
            <w:vAlign w:val="bottom"/>
          </w:tcPr>
          <w:p>
            <w:pPr>
              <w:jc w:val="center"/>
              <w:spacing w:after="0"/>
              <w:rPr>
                <w:sz w:val="20"/>
                <w:szCs w:val="20"/>
                <w:color w:val="auto"/>
              </w:rPr>
            </w:pPr>
            <w:r>
              <w:rPr>
                <w:rFonts w:ascii="Arial" w:cs="Arial" w:eastAsia="Arial" w:hAnsi="Arial"/>
                <w:sz w:val="14"/>
                <w:szCs w:val="14"/>
                <w:color w:val="auto"/>
              </w:rPr>
              <w:t>10/2014</w:t>
            </w:r>
          </w:p>
        </w:tc>
        <w:tc>
          <w:tcPr>
            <w:tcW w:w="2120" w:type="dxa"/>
            <w:vAlign w:val="bottom"/>
          </w:tcPr>
          <w:p>
            <w:pPr>
              <w:jc w:val="center"/>
              <w:spacing w:after="0"/>
              <w:rPr>
                <w:sz w:val="20"/>
                <w:szCs w:val="20"/>
                <w:color w:val="auto"/>
              </w:rPr>
            </w:pPr>
            <w:r>
              <w:rPr>
                <w:rFonts w:ascii="Arial" w:cs="Arial" w:eastAsia="Arial" w:hAnsi="Arial"/>
                <w:sz w:val="14"/>
                <w:szCs w:val="14"/>
                <w:color w:val="auto"/>
              </w:rPr>
              <w:t>ECA</w:t>
            </w:r>
          </w:p>
        </w:tc>
        <w:tc>
          <w:tcPr>
            <w:tcW w:w="1360" w:type="dxa"/>
            <w:vAlign w:val="bottom"/>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53"/>
        </w:trPr>
        <w:tc>
          <w:tcPr>
            <w:tcW w:w="1680" w:type="dxa"/>
            <w:vAlign w:val="bottom"/>
            <w:shd w:val="clear" w:color="auto" w:fill="CFF0FC"/>
          </w:tcPr>
          <w:p>
            <w:pPr>
              <w:spacing w:after="0"/>
              <w:rPr>
                <w:sz w:val="13"/>
                <w:szCs w:val="13"/>
                <w:color w:val="auto"/>
              </w:rPr>
            </w:pPr>
          </w:p>
        </w:tc>
        <w:tc>
          <w:tcPr>
            <w:tcW w:w="1160" w:type="dxa"/>
            <w:vAlign w:val="bottom"/>
            <w:shd w:val="clear" w:color="auto" w:fill="CFF0FC"/>
          </w:tcPr>
          <w:p>
            <w:pPr>
              <w:jc w:val="center"/>
              <w:ind w:left="48"/>
              <w:spacing w:after="0" w:line="153" w:lineRule="exact"/>
              <w:rPr>
                <w:sz w:val="20"/>
                <w:szCs w:val="20"/>
                <w:color w:val="auto"/>
              </w:rPr>
            </w:pPr>
            <w:r>
              <w:rPr>
                <w:rFonts w:ascii="Arial" w:cs="Arial" w:eastAsia="Arial" w:hAnsi="Arial"/>
                <w:sz w:val="14"/>
                <w:szCs w:val="14"/>
                <w:color w:val="auto"/>
              </w:rPr>
              <w:t>SD</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Global</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7.76%</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w w:val="98"/>
              </w:rPr>
              <w:t>Global</w:t>
            </w:r>
          </w:p>
        </w:tc>
        <w:tc>
          <w:tcPr>
            <w:tcW w:w="108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$543.9</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10/2014</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ECA, TFA, EIA</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5"/>
        </w:trPr>
        <w:tc>
          <w:tcPr>
            <w:tcW w:w="16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Settlement</w:t>
            </w:r>
          </w:p>
        </w:tc>
        <w:tc>
          <w:tcPr>
            <w:tcW w:w="1040" w:type="dxa"/>
            <w:vAlign w:val="bottom"/>
            <w:shd w:val="clear" w:color="auto" w:fill="CFF0FC"/>
          </w:tcPr>
          <w:p>
            <w:pPr>
              <w:spacing w:after="0"/>
              <w:rPr>
                <w:sz w:val="16"/>
                <w:szCs w:val="16"/>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Settlement</w:t>
            </w:r>
          </w:p>
        </w:tc>
        <w:tc>
          <w:tcPr>
            <w:tcW w:w="10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1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680" w:type="dxa"/>
            <w:vAlign w:val="bottom"/>
          </w:tcPr>
          <w:p>
            <w:pPr>
              <w:spacing w:after="0"/>
              <w:rPr>
                <w:sz w:val="15"/>
                <w:szCs w:val="15"/>
                <w:color w:val="auto"/>
              </w:rPr>
            </w:pP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FERC</w:t>
            </w:r>
          </w:p>
        </w:tc>
        <w:tc>
          <w:tcPr>
            <w:tcW w:w="1000" w:type="dxa"/>
            <w:vAlign w:val="bottom"/>
          </w:tcPr>
          <w:p>
            <w:pPr>
              <w:jc w:val="center"/>
              <w:spacing w:after="0"/>
              <w:rPr>
                <w:sz w:val="20"/>
                <w:szCs w:val="20"/>
                <w:color w:val="auto"/>
              </w:rPr>
            </w:pPr>
            <w:r>
              <w:rPr>
                <w:rFonts w:ascii="Arial" w:cs="Arial" w:eastAsia="Arial" w:hAnsi="Arial"/>
                <w:sz w:val="14"/>
                <w:szCs w:val="14"/>
                <w:color w:val="auto"/>
              </w:rPr>
              <w:t>10.80%</w:t>
            </w:r>
          </w:p>
        </w:tc>
        <w:tc>
          <w:tcPr>
            <w:tcW w:w="1040" w:type="dxa"/>
            <w:vAlign w:val="bottom"/>
          </w:tcPr>
          <w:p>
            <w:pPr>
              <w:jc w:val="center"/>
              <w:spacing w:after="0"/>
              <w:rPr>
                <w:sz w:val="20"/>
                <w:szCs w:val="20"/>
                <w:color w:val="auto"/>
              </w:rPr>
            </w:pPr>
            <w:r>
              <w:rPr>
                <w:rFonts w:ascii="Arial" w:cs="Arial" w:eastAsia="Arial" w:hAnsi="Arial"/>
                <w:sz w:val="14"/>
                <w:szCs w:val="14"/>
                <w:color w:val="auto"/>
              </w:rPr>
              <w:t>8.76%</w:t>
            </w:r>
          </w:p>
        </w:tc>
        <w:tc>
          <w:tcPr>
            <w:tcW w:w="1040" w:type="dxa"/>
            <w:vAlign w:val="bottom"/>
          </w:tcPr>
          <w:p>
            <w:pPr>
              <w:jc w:val="center"/>
              <w:spacing w:after="0"/>
              <w:rPr>
                <w:sz w:val="20"/>
                <w:szCs w:val="20"/>
                <w:color w:val="auto"/>
              </w:rPr>
            </w:pPr>
            <w:r>
              <w:rPr>
                <w:rFonts w:ascii="Arial" w:cs="Arial" w:eastAsia="Arial" w:hAnsi="Arial"/>
                <w:sz w:val="14"/>
                <w:szCs w:val="14"/>
                <w:color w:val="auto"/>
              </w:rPr>
              <w:t>43%/57%</w:t>
            </w:r>
          </w:p>
        </w:tc>
        <w:tc>
          <w:tcPr>
            <w:tcW w:w="1080" w:type="dxa"/>
            <w:vAlign w:val="bottom"/>
          </w:tcPr>
          <w:p>
            <w:pPr>
              <w:ind w:left="340"/>
              <w:spacing w:after="0" w:line="175" w:lineRule="exact"/>
              <w:rPr>
                <w:sz w:val="20"/>
                <w:szCs w:val="20"/>
                <w:color w:val="auto"/>
              </w:rPr>
            </w:pPr>
            <w:r>
              <w:rPr>
                <w:rFonts w:ascii="Arial" w:cs="Arial" w:eastAsia="Arial" w:hAnsi="Arial"/>
                <w:sz w:val="14"/>
                <w:szCs w:val="14"/>
                <w:color w:val="auto"/>
              </w:rPr>
              <w:t xml:space="preserve">$197.7 </w:t>
            </w:r>
            <w:r>
              <w:rPr>
                <w:rFonts w:ascii="Arial" w:cs="Arial" w:eastAsia="Arial" w:hAnsi="Arial"/>
                <w:sz w:val="19"/>
                <w:szCs w:val="19"/>
                <w:color w:val="auto"/>
                <w:vertAlign w:val="superscript"/>
              </w:rPr>
              <w:t>(b)</w:t>
            </w:r>
          </w:p>
        </w:tc>
        <w:tc>
          <w:tcPr>
            <w:tcW w:w="760" w:type="dxa"/>
            <w:vAlign w:val="bottom"/>
          </w:tcPr>
          <w:p>
            <w:pPr>
              <w:jc w:val="center"/>
              <w:spacing w:after="0"/>
              <w:rPr>
                <w:sz w:val="20"/>
                <w:szCs w:val="20"/>
                <w:color w:val="auto"/>
              </w:rPr>
            </w:pPr>
            <w:r>
              <w:rPr>
                <w:rFonts w:ascii="Arial" w:cs="Arial" w:eastAsia="Arial" w:hAnsi="Arial"/>
                <w:sz w:val="14"/>
                <w:szCs w:val="14"/>
                <w:color w:val="auto"/>
              </w:rPr>
              <w:t>2/2009</w:t>
            </w:r>
          </w:p>
        </w:tc>
        <w:tc>
          <w:tcPr>
            <w:tcW w:w="2120" w:type="dxa"/>
            <w:vAlign w:val="bottom"/>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53"/>
        </w:trPr>
        <w:tc>
          <w:tcPr>
            <w:tcW w:w="1680" w:type="dxa"/>
            <w:vAlign w:val="bottom"/>
            <w:shd w:val="clear" w:color="auto" w:fill="CFF0FC"/>
          </w:tcPr>
          <w:p>
            <w:pPr>
              <w:ind w:left="20"/>
              <w:spacing w:after="0" w:line="153" w:lineRule="exact"/>
              <w:rPr>
                <w:sz w:val="20"/>
                <w:szCs w:val="20"/>
                <w:color w:val="auto"/>
              </w:rPr>
            </w:pPr>
            <w:r>
              <w:rPr>
                <w:rFonts w:ascii="Arial" w:cs="Arial" w:eastAsia="Arial" w:hAnsi="Arial"/>
                <w:sz w:val="13"/>
                <w:szCs w:val="13"/>
                <w:color w:val="auto"/>
              </w:rPr>
              <w:t xml:space="preserve">Wyoming Electric </w:t>
            </w:r>
            <w:r>
              <w:rPr>
                <w:rFonts w:ascii="Arial" w:cs="Arial" w:eastAsia="Arial" w:hAnsi="Arial"/>
                <w:sz w:val="17"/>
                <w:szCs w:val="17"/>
                <w:color w:val="auto"/>
                <w:vertAlign w:val="superscript"/>
              </w:rPr>
              <w:t>(c)</w:t>
            </w:r>
          </w:p>
        </w:tc>
        <w:tc>
          <w:tcPr>
            <w:tcW w:w="1160" w:type="dxa"/>
            <w:vAlign w:val="bottom"/>
            <w:shd w:val="clear" w:color="auto" w:fill="CFF0FC"/>
          </w:tcPr>
          <w:p>
            <w:pPr>
              <w:jc w:val="center"/>
              <w:ind w:left="48"/>
              <w:spacing w:after="0" w:line="153" w:lineRule="exact"/>
              <w:rPr>
                <w:sz w:val="20"/>
                <w:szCs w:val="20"/>
                <w:color w:val="auto"/>
              </w:rPr>
            </w:pPr>
            <w:r>
              <w:rPr>
                <w:rFonts w:ascii="Arial" w:cs="Arial" w:eastAsia="Arial" w:hAnsi="Arial"/>
                <w:sz w:val="14"/>
                <w:szCs w:val="14"/>
                <w:color w:val="auto"/>
              </w:rPr>
              <w:t>WY</w:t>
            </w:r>
          </w:p>
        </w:tc>
        <w:tc>
          <w:tcPr>
            <w:tcW w:w="100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9.75%</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7.48%</w:t>
            </w:r>
          </w:p>
        </w:tc>
        <w:tc>
          <w:tcPr>
            <w:tcW w:w="104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48%/52%</w:t>
            </w:r>
          </w:p>
        </w:tc>
        <w:tc>
          <w:tcPr>
            <w:tcW w:w="1080" w:type="dxa"/>
            <w:vAlign w:val="bottom"/>
            <w:shd w:val="clear" w:color="auto" w:fill="CFF0FC"/>
          </w:tcPr>
          <w:p>
            <w:pPr>
              <w:ind w:left="300"/>
              <w:spacing w:after="0" w:line="153" w:lineRule="exact"/>
              <w:rPr>
                <w:sz w:val="20"/>
                <w:szCs w:val="20"/>
                <w:color w:val="auto"/>
              </w:rPr>
            </w:pPr>
            <w:r>
              <w:rPr>
                <w:rFonts w:ascii="Arial" w:cs="Arial" w:eastAsia="Arial" w:hAnsi="Arial"/>
                <w:sz w:val="13"/>
                <w:szCs w:val="13"/>
                <w:color w:val="auto"/>
              </w:rPr>
              <w:t xml:space="preserve">$551.2 </w:t>
            </w:r>
            <w:r>
              <w:rPr>
                <w:rFonts w:ascii="Arial" w:cs="Arial" w:eastAsia="Arial" w:hAnsi="Arial"/>
                <w:sz w:val="17"/>
                <w:szCs w:val="17"/>
                <w:color w:val="auto"/>
                <w:vertAlign w:val="superscript"/>
              </w:rPr>
              <w:t>(a)</w:t>
            </w:r>
          </w:p>
        </w:tc>
        <w:tc>
          <w:tcPr>
            <w:tcW w:w="7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3/2023</w:t>
            </w:r>
          </w:p>
        </w:tc>
        <w:tc>
          <w:tcPr>
            <w:tcW w:w="212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PCA, EECR/DSM, Rate Base</w:t>
            </w:r>
          </w:p>
        </w:tc>
        <w:tc>
          <w:tcPr>
            <w:tcW w:w="1360" w:type="dxa"/>
            <w:vAlign w:val="bottom"/>
            <w:shd w:val="clear" w:color="auto" w:fill="CFF0FC"/>
          </w:tcPr>
          <w:p>
            <w:pPr>
              <w:jc w:val="center"/>
              <w:spacing w:after="0" w:line="153"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168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Recovery on Acquisition</w:t>
            </w:r>
          </w:p>
        </w:tc>
        <w:tc>
          <w:tcPr>
            <w:tcW w:w="13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68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12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Adjustment, TCAM</w:t>
            </w:r>
          </w:p>
        </w:tc>
        <w:tc>
          <w:tcPr>
            <w:tcW w:w="13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68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160" w:type="dxa"/>
            <w:vAlign w:val="bottom"/>
          </w:tcPr>
          <w:p>
            <w:pPr>
              <w:jc w:val="center"/>
              <w:ind w:left="48"/>
              <w:spacing w:after="0"/>
              <w:rPr>
                <w:sz w:val="20"/>
                <w:szCs w:val="20"/>
                <w:color w:val="auto"/>
              </w:rPr>
            </w:pPr>
            <w:r>
              <w:rPr>
                <w:rFonts w:ascii="Arial" w:cs="Arial" w:eastAsia="Arial" w:hAnsi="Arial"/>
                <w:sz w:val="14"/>
                <w:szCs w:val="14"/>
                <w:color w:val="auto"/>
              </w:rPr>
              <w:t>FERC</w:t>
            </w:r>
          </w:p>
        </w:tc>
        <w:tc>
          <w:tcPr>
            <w:tcW w:w="1000" w:type="dxa"/>
            <w:vAlign w:val="bottom"/>
          </w:tcPr>
          <w:p>
            <w:pPr>
              <w:jc w:val="center"/>
              <w:spacing w:after="0"/>
              <w:rPr>
                <w:sz w:val="20"/>
                <w:szCs w:val="20"/>
                <w:color w:val="auto"/>
              </w:rPr>
            </w:pPr>
            <w:r>
              <w:rPr>
                <w:rFonts w:ascii="Arial" w:cs="Arial" w:eastAsia="Arial" w:hAnsi="Arial"/>
                <w:sz w:val="14"/>
                <w:szCs w:val="14"/>
                <w:color w:val="auto"/>
              </w:rPr>
              <w:t>9.90%</w:t>
            </w:r>
          </w:p>
        </w:tc>
        <w:tc>
          <w:tcPr>
            <w:tcW w:w="1040" w:type="dxa"/>
            <w:vAlign w:val="bottom"/>
          </w:tcPr>
          <w:p>
            <w:pPr>
              <w:jc w:val="center"/>
              <w:spacing w:after="0"/>
              <w:rPr>
                <w:sz w:val="20"/>
                <w:szCs w:val="20"/>
                <w:color w:val="auto"/>
              </w:rPr>
            </w:pPr>
            <w:r>
              <w:rPr>
                <w:rFonts w:ascii="Arial" w:cs="Arial" w:eastAsia="Arial" w:hAnsi="Arial"/>
                <w:sz w:val="14"/>
                <w:szCs w:val="14"/>
                <w:color w:val="auto"/>
              </w:rPr>
              <w:t>8.77%</w:t>
            </w:r>
          </w:p>
        </w:tc>
        <w:tc>
          <w:tcPr>
            <w:tcW w:w="1040" w:type="dxa"/>
            <w:vAlign w:val="bottom"/>
          </w:tcPr>
          <w:p>
            <w:pPr>
              <w:jc w:val="center"/>
              <w:spacing w:after="0"/>
              <w:rPr>
                <w:sz w:val="20"/>
                <w:szCs w:val="20"/>
                <w:color w:val="auto"/>
              </w:rPr>
            </w:pPr>
            <w:r>
              <w:rPr>
                <w:rFonts w:ascii="Arial" w:cs="Arial" w:eastAsia="Arial" w:hAnsi="Arial"/>
                <w:sz w:val="14"/>
                <w:szCs w:val="14"/>
                <w:color w:val="auto"/>
              </w:rPr>
              <w:t>44%/56%</w:t>
            </w:r>
          </w:p>
        </w:tc>
        <w:tc>
          <w:tcPr>
            <w:tcW w:w="1080" w:type="dxa"/>
            <w:vAlign w:val="bottom"/>
          </w:tcPr>
          <w:p>
            <w:pPr>
              <w:jc w:val="center"/>
              <w:spacing w:after="0"/>
              <w:rPr>
                <w:sz w:val="20"/>
                <w:szCs w:val="20"/>
                <w:color w:val="auto"/>
              </w:rPr>
            </w:pPr>
            <w:r>
              <w:rPr>
                <w:rFonts w:ascii="Arial" w:cs="Arial" w:eastAsia="Arial" w:hAnsi="Arial"/>
                <w:sz w:val="14"/>
                <w:szCs w:val="14"/>
                <w:color w:val="auto"/>
              </w:rPr>
              <w:t>(a)</w:t>
            </w:r>
          </w:p>
        </w:tc>
        <w:tc>
          <w:tcPr>
            <w:tcW w:w="760" w:type="dxa"/>
            <w:vAlign w:val="bottom"/>
          </w:tcPr>
          <w:p>
            <w:pPr>
              <w:jc w:val="center"/>
              <w:spacing w:after="0"/>
              <w:rPr>
                <w:sz w:val="20"/>
                <w:szCs w:val="20"/>
                <w:color w:val="auto"/>
              </w:rPr>
            </w:pPr>
            <w:r>
              <w:rPr>
                <w:rFonts w:ascii="Arial" w:cs="Arial" w:eastAsia="Arial" w:hAnsi="Arial"/>
                <w:sz w:val="14"/>
                <w:szCs w:val="14"/>
                <w:color w:val="auto"/>
              </w:rPr>
              <w:t>1/2019</w:t>
            </w:r>
          </w:p>
        </w:tc>
        <w:tc>
          <w:tcPr>
            <w:tcW w:w="2120" w:type="dxa"/>
            <w:vAlign w:val="bottom"/>
          </w:tcPr>
          <w:p>
            <w:pPr>
              <w:jc w:val="center"/>
              <w:spacing w:after="0"/>
              <w:rPr>
                <w:sz w:val="20"/>
                <w:szCs w:val="20"/>
                <w:color w:val="auto"/>
              </w:rPr>
            </w:pPr>
            <w:r>
              <w:rPr>
                <w:rFonts w:ascii="Arial" w:cs="Arial" w:eastAsia="Arial" w:hAnsi="Arial"/>
                <w:sz w:val="14"/>
                <w:szCs w:val="14"/>
                <w:color w:val="auto"/>
              </w:rPr>
              <w:t>FERC Transmission Tariff</w:t>
            </w:r>
          </w:p>
        </w:tc>
        <w:tc>
          <w:tcPr>
            <w:tcW w:w="1360" w:type="dxa"/>
            <w:vAlign w:val="bottom"/>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14"/>
        </w:trPr>
        <w:tc>
          <w:tcPr>
            <w:tcW w:w="1680" w:type="dxa"/>
            <w:vAlign w:val="bottom"/>
            <w:vMerge w:val="continue"/>
          </w:tcPr>
          <w:p>
            <w:pPr>
              <w:spacing w:after="0"/>
              <w:rPr>
                <w:sz w:val="9"/>
                <w:szCs w:val="9"/>
                <w:color w:val="auto"/>
              </w:rPr>
            </w:pPr>
          </w:p>
        </w:tc>
        <w:tc>
          <w:tcPr>
            <w:tcW w:w="1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20" w:right="80" w:hanging="512"/>
        <w:spacing w:after="0" w:line="246"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both Wyoming Electric and Colorado Electric retail customers, transmission investments are recovered through retail rates rather than FERC Transmission Tariffs. Transmission investments are recovered from wholesale transmission customers under the FERC Formula Transmission rate. The rate base associated with FERC assets is not displayed separate from that collected through the state recovery mechanisms, to avoid double counting. The rate base amounts for Colorado Electric and Wyoming Electric include rate base recovered through base rates and the authorized regulatory mechanisms.</w:t>
      </w:r>
    </w:p>
    <w:p>
      <w:pPr>
        <w:spacing w:after="0" w:line="1" w:lineRule="exact"/>
        <w:rPr>
          <w:rFonts w:ascii="Arial" w:cs="Arial" w:eastAsia="Arial" w:hAnsi="Arial"/>
          <w:sz w:val="14"/>
          <w:szCs w:val="14"/>
          <w:color w:val="auto"/>
        </w:rPr>
      </w:pPr>
    </w:p>
    <w:p>
      <w:pPr>
        <w:ind w:left="520" w:right="480" w:hanging="512"/>
        <w:spacing w:after="0" w:line="241" w:lineRule="auto"/>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$180.6 million in 2023 rate base for the 2023 Projected Common Use System formula rate that is updated annually and $17.1 million in rate base for the Transmission Tie that is based on the approved stated rate from 2005.</w:t>
      </w:r>
    </w:p>
    <w:p>
      <w:pPr>
        <w:ind w:left="520" w:hanging="512"/>
        <w:spacing w:after="0"/>
        <w:tabs>
          <w:tab w:leader="none" w:pos="52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-10160</wp:posOffset>
            </wp:positionV>
            <wp:extent cx="2692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mechanisms we have in place for each of our Electric Utilities: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color w:val="auto"/>
              </w:rPr>
              <w:t>Cost Recovery Mechanisms</w:t>
            </w:r>
          </w:p>
        </w:tc>
        <w:tc>
          <w:tcPr>
            <w:tcW w:w="1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46"/>
        </w:trPr>
        <w:tc>
          <w:tcPr>
            <w:tcW w:w="2700" w:type="dxa"/>
            <w:vAlign w:val="bottom"/>
          </w:tcPr>
          <w:p>
            <w:pPr>
              <w:spacing w:after="0"/>
              <w:rPr>
                <w:sz w:val="12"/>
                <w:szCs w:val="12"/>
                <w:color w:val="auto"/>
              </w:rPr>
            </w:pPr>
          </w:p>
        </w:tc>
        <w:tc>
          <w:tcPr>
            <w:tcW w:w="1300" w:type="dxa"/>
            <w:vAlign w:val="bottom"/>
          </w:tcPr>
          <w:p>
            <w:pPr>
              <w:jc w:val="center"/>
              <w:spacing w:after="0" w:line="147" w:lineRule="exact"/>
              <w:rPr>
                <w:sz w:val="20"/>
                <w:szCs w:val="20"/>
                <w:color w:val="auto"/>
              </w:rPr>
            </w:pPr>
            <w:r>
              <w:rPr>
                <w:rFonts w:ascii="Arial" w:cs="Arial" w:eastAsia="Arial" w:hAnsi="Arial"/>
                <w:sz w:val="14"/>
                <w:szCs w:val="14"/>
                <w:color w:val="auto"/>
              </w:rPr>
              <w:t>Environmental</w:t>
            </w:r>
          </w:p>
        </w:tc>
        <w:tc>
          <w:tcPr>
            <w:tcW w:w="1160" w:type="dxa"/>
            <w:vAlign w:val="bottom"/>
          </w:tcPr>
          <w:p>
            <w:pPr>
              <w:spacing w:after="0"/>
              <w:rPr>
                <w:sz w:val="12"/>
                <w:szCs w:val="12"/>
                <w:color w:val="auto"/>
              </w:rPr>
            </w:pPr>
          </w:p>
        </w:tc>
        <w:tc>
          <w:tcPr>
            <w:tcW w:w="1420" w:type="dxa"/>
            <w:vAlign w:val="bottom"/>
          </w:tcPr>
          <w:p>
            <w:pPr>
              <w:jc w:val="center"/>
              <w:ind w:right="48"/>
              <w:spacing w:after="0" w:line="147" w:lineRule="exact"/>
              <w:rPr>
                <w:sz w:val="20"/>
                <w:szCs w:val="20"/>
                <w:color w:val="auto"/>
              </w:rPr>
            </w:pPr>
            <w:r>
              <w:rPr>
                <w:rFonts w:ascii="Arial" w:cs="Arial" w:eastAsia="Arial" w:hAnsi="Arial"/>
                <w:sz w:val="14"/>
                <w:szCs w:val="14"/>
                <w:color w:val="auto"/>
              </w:rPr>
              <w:t>Transmission</w:t>
            </w:r>
          </w:p>
        </w:tc>
        <w:tc>
          <w:tcPr>
            <w:tcW w:w="960" w:type="dxa"/>
            <w:vAlign w:val="bottom"/>
          </w:tcPr>
          <w:p>
            <w:pPr>
              <w:jc w:val="center"/>
              <w:spacing w:after="0" w:line="147" w:lineRule="exact"/>
              <w:rPr>
                <w:sz w:val="20"/>
                <w:szCs w:val="20"/>
                <w:color w:val="auto"/>
              </w:rPr>
            </w:pPr>
            <w:r>
              <w:rPr>
                <w:rFonts w:ascii="Arial" w:cs="Arial" w:eastAsia="Arial" w:hAnsi="Arial"/>
                <w:sz w:val="14"/>
                <w:szCs w:val="14"/>
                <w:color w:val="auto"/>
              </w:rPr>
              <w:t>Fuel</w:t>
            </w:r>
          </w:p>
        </w:tc>
        <w:tc>
          <w:tcPr>
            <w:tcW w:w="1400" w:type="dxa"/>
            <w:vAlign w:val="bottom"/>
          </w:tcPr>
          <w:p>
            <w:pPr>
              <w:jc w:val="center"/>
              <w:ind w:left="28"/>
              <w:spacing w:after="0" w:line="147" w:lineRule="exact"/>
              <w:rPr>
                <w:sz w:val="20"/>
                <w:szCs w:val="20"/>
                <w:color w:val="auto"/>
              </w:rPr>
            </w:pPr>
            <w:r>
              <w:rPr>
                <w:rFonts w:ascii="Arial" w:cs="Arial" w:eastAsia="Arial" w:hAnsi="Arial"/>
                <w:sz w:val="14"/>
                <w:szCs w:val="14"/>
                <w:color w:val="auto"/>
              </w:rPr>
              <w:t>Transmission</w:t>
            </w:r>
          </w:p>
        </w:tc>
        <w:tc>
          <w:tcPr>
            <w:tcW w:w="1240" w:type="dxa"/>
            <w:vAlign w:val="bottom"/>
          </w:tcPr>
          <w:p>
            <w:pPr>
              <w:jc w:val="center"/>
              <w:ind w:right="8"/>
              <w:spacing w:after="0" w:line="147" w:lineRule="exact"/>
              <w:rPr>
                <w:sz w:val="20"/>
                <w:szCs w:val="20"/>
                <w:color w:val="auto"/>
              </w:rPr>
            </w:pPr>
            <w:r>
              <w:rPr>
                <w:rFonts w:ascii="Arial" w:cs="Arial" w:eastAsia="Arial" w:hAnsi="Arial"/>
                <w:sz w:val="14"/>
                <w:szCs w:val="14"/>
                <w:color w:val="auto"/>
              </w:rPr>
              <w:t>Purchased</w:t>
            </w:r>
          </w:p>
        </w:tc>
        <w:tc>
          <w:tcPr>
            <w:tcW w:w="1060" w:type="dxa"/>
            <w:vAlign w:val="bottom"/>
          </w:tcPr>
          <w:p>
            <w:pPr>
              <w:spacing w:after="0"/>
              <w:rPr>
                <w:sz w:val="12"/>
                <w:szCs w:val="12"/>
                <w:color w:val="auto"/>
              </w:rPr>
            </w:pPr>
          </w:p>
        </w:tc>
      </w:tr>
      <w:tr>
        <w:trPr>
          <w:trHeight w:val="185"/>
        </w:trPr>
        <w:tc>
          <w:tcPr>
            <w:tcW w:w="27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Electric Utility Jurisdiction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Cost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EECR/DSM</w:t>
            </w:r>
          </w:p>
        </w:tc>
        <w:tc>
          <w:tcPr>
            <w:tcW w:w="14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Expense</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Cost</w:t>
            </w:r>
          </w:p>
        </w:tc>
        <w:tc>
          <w:tcPr>
            <w:tcW w:w="140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color w:val="auto"/>
              </w:rPr>
              <w:t>Capital</w:t>
            </w:r>
          </w:p>
        </w:tc>
        <w:tc>
          <w:tcPr>
            <w:tcW w:w="12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Power</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RESA</w:t>
            </w:r>
          </w:p>
        </w:tc>
      </w:tr>
      <w:tr>
        <w:trPr>
          <w:trHeight w:val="183"/>
        </w:trPr>
        <w:tc>
          <w:tcPr>
            <w:tcW w:w="2700" w:type="dxa"/>
            <w:vAlign w:val="bottom"/>
            <w:shd w:val="clear" w:color="auto" w:fill="CFF0FC"/>
          </w:tcPr>
          <w:p>
            <w:pPr>
              <w:ind w:left="20"/>
              <w:spacing w:after="0" w:line="183" w:lineRule="exact"/>
              <w:rPr>
                <w:sz w:val="20"/>
                <w:szCs w:val="20"/>
                <w:color w:val="auto"/>
              </w:rPr>
            </w:pPr>
            <w:r>
              <w:rPr>
                <w:rFonts w:ascii="Arial" w:cs="Arial" w:eastAsia="Arial" w:hAnsi="Arial"/>
                <w:sz w:val="14"/>
                <w:szCs w:val="14"/>
                <w:color w:val="auto"/>
              </w:rPr>
              <w:t xml:space="preserve">Colorado Electric </w:t>
            </w:r>
            <w:r>
              <w:rPr>
                <w:rFonts w:ascii="Arial" w:cs="Arial" w:eastAsia="Arial" w:hAnsi="Arial"/>
                <w:sz w:val="19"/>
                <w:szCs w:val="19"/>
                <w:color w:val="auto"/>
                <w:vertAlign w:val="superscript"/>
              </w:rPr>
              <w:t>(a)</w:t>
            </w:r>
          </w:p>
        </w:tc>
        <w:tc>
          <w:tcPr>
            <w:tcW w:w="1300" w:type="dxa"/>
            <w:vAlign w:val="bottom"/>
            <w:shd w:val="clear" w:color="auto" w:fill="CFF0FC"/>
          </w:tcPr>
          <w:p>
            <w:pPr>
              <w:spacing w:after="0"/>
              <w:rPr>
                <w:sz w:val="15"/>
                <w:szCs w:val="15"/>
                <w:color w:val="auto"/>
              </w:rPr>
            </w:pPr>
          </w:p>
        </w:tc>
        <w:tc>
          <w:tcPr>
            <w:tcW w:w="116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20" w:type="dxa"/>
            <w:vAlign w:val="bottom"/>
            <w:shd w:val="clear" w:color="auto" w:fill="CFF0FC"/>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96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00" w:type="dxa"/>
            <w:vAlign w:val="bottom"/>
            <w:shd w:val="clear" w:color="auto" w:fill="CFF0FC"/>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shd w:val="clear" w:color="auto" w:fill="CFF0FC"/>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Colorado Electric (FERC) </w:t>
            </w:r>
            <w:r>
              <w:rPr>
                <w:rFonts w:ascii="Arial" w:cs="Arial" w:eastAsia="Arial" w:hAnsi="Arial"/>
                <w:sz w:val="19"/>
                <w:szCs w:val="19"/>
                <w:color w:val="auto"/>
                <w:vertAlign w:val="superscript"/>
              </w:rPr>
              <w:t>(a)</w:t>
            </w:r>
          </w:p>
        </w:tc>
        <w:tc>
          <w:tcPr>
            <w:tcW w:w="1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270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South Dakota Electric (SD) </w:t>
            </w:r>
            <w:r>
              <w:rPr>
                <w:rFonts w:ascii="Arial" w:cs="Arial" w:eastAsia="Arial" w:hAnsi="Arial"/>
                <w:sz w:val="19"/>
                <w:szCs w:val="19"/>
                <w:color w:val="auto"/>
                <w:vertAlign w:val="superscript"/>
              </w:rPr>
              <w:t>(b)</w:t>
            </w:r>
          </w:p>
        </w:tc>
        <w:tc>
          <w:tcPr>
            <w:tcW w:w="1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20" w:type="dxa"/>
            <w:vAlign w:val="bottom"/>
            <w:shd w:val="clear" w:color="auto" w:fill="CFF0FC"/>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960" w:type="dxa"/>
            <w:vAlign w:val="bottom"/>
            <w:shd w:val="clear" w:color="auto" w:fill="CFF0FC"/>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00" w:type="dxa"/>
            <w:vAlign w:val="bottom"/>
            <w:shd w:val="clear" w:color="auto" w:fill="CFF0FC"/>
          </w:tcPr>
          <w:p>
            <w:pPr>
              <w:spacing w:after="0"/>
              <w:rPr>
                <w:sz w:val="16"/>
                <w:szCs w:val="16"/>
                <w:color w:val="auto"/>
              </w:rPr>
            </w:pPr>
          </w:p>
        </w:tc>
        <w:tc>
          <w:tcPr>
            <w:tcW w:w="1240" w:type="dxa"/>
            <w:vAlign w:val="bottom"/>
            <w:shd w:val="clear" w:color="auto" w:fill="CFF0FC"/>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shd w:val="clear" w:color="auto" w:fill="CFF0FC"/>
          </w:tcPr>
          <w:p>
            <w:pPr>
              <w:spacing w:after="0"/>
              <w:rPr>
                <w:sz w:val="16"/>
                <w:szCs w:val="16"/>
                <w:color w:val="auto"/>
              </w:rPr>
            </w:pPr>
          </w:p>
        </w:tc>
      </w:tr>
      <w:tr>
        <w:trPr>
          <w:trHeight w:val="189"/>
        </w:trPr>
        <w:tc>
          <w:tcPr>
            <w:tcW w:w="270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South Dakota Electric (WY) </w:t>
            </w:r>
            <w:r>
              <w:rPr>
                <w:rFonts w:ascii="Arial" w:cs="Arial" w:eastAsia="Arial" w:hAnsi="Arial"/>
                <w:sz w:val="19"/>
                <w:szCs w:val="19"/>
                <w:color w:val="auto"/>
                <w:vertAlign w:val="superscript"/>
              </w:rPr>
              <w:t>(c)</w:t>
            </w:r>
          </w:p>
        </w:tc>
        <w:tc>
          <w:tcPr>
            <w:tcW w:w="1300" w:type="dxa"/>
            <w:vAlign w:val="bottom"/>
          </w:tcPr>
          <w:p>
            <w:pPr>
              <w:spacing w:after="0"/>
              <w:rPr>
                <w:sz w:val="16"/>
                <w:szCs w:val="16"/>
                <w:color w:val="auto"/>
              </w:rPr>
            </w:pP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9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00" w:type="dxa"/>
            <w:vAlign w:val="bottom"/>
          </w:tcPr>
          <w:p>
            <w:pPr>
              <w:spacing w:after="0"/>
              <w:rPr>
                <w:sz w:val="16"/>
                <w:szCs w:val="16"/>
                <w:color w:val="auto"/>
              </w:rPr>
            </w:pPr>
          </w:p>
        </w:tc>
        <w:tc>
          <w:tcPr>
            <w:tcW w:w="12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Pr>
          <w:p>
            <w:pPr>
              <w:spacing w:after="0"/>
              <w:rPr>
                <w:sz w:val="16"/>
                <w:szCs w:val="16"/>
                <w:color w:val="auto"/>
              </w:rPr>
            </w:pPr>
          </w:p>
        </w:tc>
      </w:tr>
      <w:tr>
        <w:trPr>
          <w:trHeight w:val="189"/>
        </w:trPr>
        <w:tc>
          <w:tcPr>
            <w:tcW w:w="2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South Dakota Electric (FERC)</w:t>
            </w:r>
          </w:p>
        </w:tc>
        <w:tc>
          <w:tcPr>
            <w:tcW w:w="1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400" w:type="dxa"/>
            <w:vAlign w:val="bottom"/>
            <w:shd w:val="clear" w:color="auto" w:fill="CFF0FC"/>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148"/>
        </w:trPr>
        <w:tc>
          <w:tcPr>
            <w:tcW w:w="2700" w:type="dxa"/>
            <w:vAlign w:val="bottom"/>
          </w:tcPr>
          <w:p>
            <w:pPr>
              <w:ind w:left="20"/>
              <w:spacing w:after="0" w:line="149" w:lineRule="exact"/>
              <w:rPr>
                <w:sz w:val="20"/>
                <w:szCs w:val="20"/>
                <w:color w:val="auto"/>
              </w:rPr>
            </w:pPr>
            <w:r>
              <w:rPr>
                <w:rFonts w:ascii="Arial" w:cs="Arial" w:eastAsia="Arial" w:hAnsi="Arial"/>
                <w:sz w:val="13"/>
                <w:szCs w:val="13"/>
                <w:color w:val="auto"/>
              </w:rPr>
              <w:t xml:space="preserve">Wyoming Electric </w:t>
            </w:r>
            <w:r>
              <w:rPr>
                <w:rFonts w:ascii="Arial" w:cs="Arial" w:eastAsia="Arial" w:hAnsi="Arial"/>
                <w:sz w:val="17"/>
                <w:szCs w:val="17"/>
                <w:color w:val="auto"/>
                <w:vertAlign w:val="superscript"/>
              </w:rPr>
              <w:t>(a)</w:t>
            </w:r>
          </w:p>
        </w:tc>
        <w:tc>
          <w:tcPr>
            <w:tcW w:w="1300" w:type="dxa"/>
            <w:vAlign w:val="bottom"/>
          </w:tcPr>
          <w:p>
            <w:pPr>
              <w:spacing w:after="0"/>
              <w:rPr>
                <w:sz w:val="12"/>
                <w:szCs w:val="12"/>
                <w:color w:val="auto"/>
              </w:rPr>
            </w:pP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2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w w:val="99"/>
              </w:rPr>
              <w:t>☑</w:t>
            </w:r>
          </w:p>
        </w:tc>
        <w:tc>
          <w:tcPr>
            <w:tcW w:w="9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14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tcPr>
          <w:p>
            <w:pPr>
              <w:jc w:val="center"/>
              <w:ind w:right="8"/>
              <w:spacing w:after="0" w:line="141" w:lineRule="exact"/>
              <w:rPr>
                <w:sz w:val="20"/>
                <w:szCs w:val="20"/>
                <w:color w:val="auto"/>
              </w:rPr>
            </w:pPr>
            <w:r>
              <w:rPr>
                <w:rFonts w:ascii="MS PGothic" w:cs="MS PGothic" w:eastAsia="MS PGothic" w:hAnsi="MS PGothic"/>
                <w:sz w:val="14"/>
                <w:szCs w:val="14"/>
                <w:color w:val="auto"/>
                <w:w w:val="85"/>
              </w:rPr>
              <w:t>☑</w:t>
            </w:r>
          </w:p>
        </w:tc>
        <w:tc>
          <w:tcPr>
            <w:tcW w:w="1060" w:type="dxa"/>
            <w:vAlign w:val="bottom"/>
          </w:tcPr>
          <w:p>
            <w:pPr>
              <w:spacing w:after="0"/>
              <w:rPr>
                <w:sz w:val="12"/>
                <w:szCs w:val="12"/>
                <w:color w:val="auto"/>
              </w:rPr>
            </w:pPr>
          </w:p>
        </w:tc>
      </w:tr>
      <w:tr>
        <w:trPr>
          <w:trHeight w:val="226"/>
        </w:trPr>
        <w:tc>
          <w:tcPr>
            <w:tcW w:w="2700" w:type="dxa"/>
            <w:vAlign w:val="bottom"/>
          </w:tcPr>
          <w:p>
            <w:pPr>
              <w:ind w:left="20"/>
              <w:spacing w:after="0"/>
              <w:rPr>
                <w:sz w:val="20"/>
                <w:szCs w:val="20"/>
                <w:color w:val="auto"/>
              </w:rPr>
            </w:pPr>
            <w:r>
              <w:rPr>
                <w:rFonts w:ascii="Arial" w:cs="Arial" w:eastAsia="Arial" w:hAnsi="Arial"/>
                <w:sz w:val="14"/>
                <w:szCs w:val="14"/>
                <w:color w:val="auto"/>
              </w:rPr>
              <w:t xml:space="preserve">Wyoming Electric (FERC) </w:t>
            </w:r>
            <w:r>
              <w:rPr>
                <w:rFonts w:ascii="Arial" w:cs="Arial" w:eastAsia="Arial" w:hAnsi="Arial"/>
                <w:sz w:val="19"/>
                <w:szCs w:val="19"/>
                <w:color w:val="auto"/>
                <w:vertAlign w:val="superscript"/>
              </w:rPr>
              <w:t>(a)</w:t>
            </w:r>
          </w:p>
        </w:tc>
        <w:tc>
          <w:tcPr>
            <w:tcW w:w="1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0" w:type="dxa"/>
            <w:vAlign w:val="bottom"/>
          </w:tcPr>
          <w:p>
            <w:pPr>
              <w:jc w:val="center"/>
              <w:ind w:left="28"/>
              <w:spacing w:after="0" w:line="141" w:lineRule="exact"/>
              <w:rPr>
                <w:sz w:val="20"/>
                <w:szCs w:val="20"/>
                <w:color w:val="auto"/>
              </w:rPr>
            </w:pPr>
            <w:r>
              <w:rPr>
                <w:rFonts w:ascii="MS PGothic" w:cs="MS PGothic" w:eastAsia="MS PGothic" w:hAnsi="MS PGothic"/>
                <w:sz w:val="14"/>
                <w:szCs w:val="14"/>
                <w:color w:val="auto"/>
                <w:w w:val="99"/>
              </w:rPr>
              <w:t>☑</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200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16" w:lineRule="exact"/>
        <w:rPr>
          <w:sz w:val="20"/>
          <w:szCs w:val="20"/>
          <w:color w:val="auto"/>
        </w:rPr>
      </w:pPr>
    </w:p>
    <w:p>
      <w:pPr>
        <w:ind w:left="520" w:right="180" w:hanging="512"/>
        <w:spacing w:after="0" w:line="251"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both Wyoming Electric and Colorado Electric retail customers, transmission investments are recovered through retail rates rather than FERC Transmission Tariffs. Transmission investments are recovered from wholesale transmission customers under the FERC Formula Transmission rate.</w:t>
      </w:r>
    </w:p>
    <w:p>
      <w:pPr>
        <w:spacing w:after="0" w:line="1" w:lineRule="exact"/>
        <w:rPr>
          <w:rFonts w:ascii="Arial" w:cs="Arial" w:eastAsia="Arial" w:hAnsi="Arial"/>
          <w:sz w:val="14"/>
          <w:szCs w:val="14"/>
          <w:color w:val="auto"/>
        </w:rPr>
      </w:pPr>
    </w:p>
    <w:p>
      <w:pPr>
        <w:ind w:left="520" w:right="40" w:hanging="512"/>
        <w:spacing w:after="0" w:line="243"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Electric’s EIA and TFA tariffs were suspended for a six-year moratorium period effective July 1, 2017. On January 7, 2020, South Dakota Electric received approval from the SDPUC to extend the 6-year moratorium period by an additional 3 years whereby these recovery mechanisms will not be effective prior to July 1, 2026.</w:t>
      </w:r>
    </w:p>
    <w:p>
      <w:pPr>
        <w:spacing w:after="0" w:line="159" w:lineRule="exact"/>
        <w:rPr>
          <w:rFonts w:ascii="Arial" w:cs="Arial" w:eastAsia="Arial" w:hAnsi="Arial"/>
          <w:sz w:val="14"/>
          <w:szCs w:val="14"/>
          <w:color w:val="auto"/>
        </w:rPr>
      </w:pPr>
    </w:p>
    <w:p>
      <w:pPr>
        <w:ind w:left="520" w:right="80" w:hanging="512"/>
        <w:spacing w:after="0" w:line="264" w:lineRule="auto"/>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South Dakota Electric has WPSC authorization to accumulate certain energy efficiency costs in a regulatory asset with determination of recovery to be made in the next rate review.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Gas Utilities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regulatory information for each of our Gas Utilities: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rPr>
              <w:t>Authorized</w:t>
            </w: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Authorized Rate</w:t>
            </w:r>
          </w:p>
        </w:tc>
        <w:tc>
          <w:tcPr>
            <w:tcW w:w="1180" w:type="dxa"/>
            <w:vAlign w:val="bottom"/>
          </w:tcPr>
          <w:p>
            <w:pPr>
              <w:jc w:val="center"/>
              <w:ind w:right="5"/>
              <w:spacing w:after="0" w:line="162" w:lineRule="exact"/>
              <w:rPr>
                <w:sz w:val="20"/>
                <w:szCs w:val="20"/>
                <w:color w:val="auto"/>
              </w:rPr>
            </w:pPr>
            <w:r>
              <w:rPr>
                <w:rFonts w:ascii="Arial" w:cs="Arial" w:eastAsia="Arial" w:hAnsi="Arial"/>
                <w:sz w:val="15"/>
                <w:szCs w:val="15"/>
                <w:color w:val="auto"/>
              </w:rPr>
              <w:t>Authorized</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Capital</w:t>
            </w:r>
          </w:p>
        </w:tc>
        <w:tc>
          <w:tcPr>
            <w:tcW w:w="1160" w:type="dxa"/>
            <w:vAlign w:val="bottom"/>
          </w:tcPr>
          <w:p>
            <w:pPr>
              <w:jc w:val="center"/>
              <w:spacing w:after="0" w:line="162" w:lineRule="exact"/>
              <w:rPr>
                <w:sz w:val="20"/>
                <w:szCs w:val="20"/>
                <w:color w:val="auto"/>
              </w:rPr>
            </w:pPr>
            <w:r>
              <w:rPr>
                <w:rFonts w:ascii="Arial" w:cs="Arial" w:eastAsia="Arial" w:hAnsi="Arial"/>
                <w:sz w:val="15"/>
                <w:szCs w:val="15"/>
                <w:color w:val="auto"/>
              </w:rPr>
              <w:t>Authorized</w:t>
            </w:r>
          </w:p>
        </w:tc>
        <w:tc>
          <w:tcPr>
            <w:tcW w:w="8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of Return on</w:t>
            </w:r>
          </w:p>
        </w:tc>
        <w:tc>
          <w:tcPr>
            <w:tcW w:w="1180" w:type="dxa"/>
            <w:vAlign w:val="bottom"/>
          </w:tcPr>
          <w:p>
            <w:pPr>
              <w:jc w:val="center"/>
              <w:ind w:right="25"/>
              <w:spacing w:after="0" w:line="162" w:lineRule="exact"/>
              <w:rPr>
                <w:sz w:val="20"/>
                <w:szCs w:val="20"/>
                <w:color w:val="auto"/>
              </w:rPr>
            </w:pPr>
            <w:r>
              <w:rPr>
                <w:rFonts w:ascii="Arial" w:cs="Arial" w:eastAsia="Arial" w:hAnsi="Arial"/>
                <w:sz w:val="15"/>
                <w:szCs w:val="15"/>
                <w:color w:val="auto"/>
              </w:rPr>
              <w:t>Return on Rate</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Structure</w:t>
            </w:r>
          </w:p>
        </w:tc>
        <w:tc>
          <w:tcPr>
            <w:tcW w:w="1160" w:type="dxa"/>
            <w:vAlign w:val="bottom"/>
          </w:tcPr>
          <w:p>
            <w:pPr>
              <w:jc w:val="center"/>
              <w:spacing w:after="0" w:line="162" w:lineRule="exact"/>
              <w:rPr>
                <w:sz w:val="20"/>
                <w:szCs w:val="20"/>
                <w:color w:val="auto"/>
              </w:rPr>
            </w:pPr>
            <w:r>
              <w:rPr>
                <w:rFonts w:ascii="Arial" w:cs="Arial" w:eastAsia="Arial" w:hAnsi="Arial"/>
                <w:sz w:val="15"/>
                <w:szCs w:val="15"/>
                <w:color w:val="auto"/>
              </w:rPr>
              <w:t>Rate Base (in</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Effective</w:t>
            </w: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50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Subsidiary</w:t>
            </w:r>
          </w:p>
        </w:tc>
        <w:tc>
          <w:tcPr>
            <w:tcW w:w="104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color w:val="auto"/>
              </w:rPr>
              <w:t>Jurisdiction</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Equity</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Base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Debt/Equity</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millions)</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Date</w:t>
            </w:r>
          </w:p>
        </w:tc>
        <w:tc>
          <w:tcPr>
            <w:tcW w:w="3200" w:type="dxa"/>
            <w:vAlign w:val="bottom"/>
            <w:tcBorders>
              <w:bottom w:val="single" w:sz="8" w:color="auto"/>
            </w:tcBorders>
          </w:tcPr>
          <w:p>
            <w:pPr>
              <w:ind w:left="460"/>
              <w:spacing w:after="0"/>
              <w:rPr>
                <w:sz w:val="20"/>
                <w:szCs w:val="20"/>
                <w:color w:val="auto"/>
              </w:rPr>
            </w:pPr>
            <w:r>
              <w:rPr>
                <w:rFonts w:ascii="Arial" w:cs="Arial" w:eastAsia="Arial" w:hAnsi="Arial"/>
                <w:sz w:val="15"/>
                <w:szCs w:val="15"/>
                <w:color w:val="auto"/>
              </w:rPr>
              <w:t>Additional Regulatory Mechanisms</w:t>
            </w:r>
          </w:p>
        </w:tc>
        <w:tc>
          <w:tcPr>
            <w:tcW w:w="0" w:type="dxa"/>
            <w:vAlign w:val="bottom"/>
          </w:tcPr>
          <w:p>
            <w:pPr>
              <w:spacing w:after="0"/>
              <w:rPr>
                <w:sz w:val="1"/>
                <w:szCs w:val="1"/>
                <w:color w:val="auto"/>
              </w:rPr>
            </w:pPr>
          </w:p>
        </w:tc>
      </w:tr>
      <w:tr>
        <w:trPr>
          <w:trHeight w:val="138"/>
        </w:trPr>
        <w:tc>
          <w:tcPr>
            <w:tcW w:w="1500" w:type="dxa"/>
            <w:vAlign w:val="bottom"/>
            <w:shd w:val="clear" w:color="auto" w:fill="CFF0FC"/>
          </w:tcPr>
          <w:p>
            <w:pPr>
              <w:ind w:left="20"/>
              <w:spacing w:after="0" w:line="138" w:lineRule="exact"/>
              <w:rPr>
                <w:sz w:val="20"/>
                <w:szCs w:val="20"/>
                <w:color w:val="auto"/>
              </w:rPr>
            </w:pPr>
            <w:r>
              <w:rPr>
                <w:rFonts w:ascii="Arial" w:cs="Arial" w:eastAsia="Arial" w:hAnsi="Arial"/>
                <w:sz w:val="12"/>
                <w:szCs w:val="12"/>
                <w:color w:val="auto"/>
              </w:rPr>
              <w:t xml:space="preserve">Arkansas Gas </w:t>
            </w:r>
            <w:r>
              <w:rPr>
                <w:rFonts w:ascii="Arial" w:cs="Arial" w:eastAsia="Arial" w:hAnsi="Arial"/>
                <w:sz w:val="16"/>
                <w:szCs w:val="16"/>
                <w:color w:val="auto"/>
                <w:vertAlign w:val="superscript"/>
              </w:rPr>
              <w:t>(a)</w:t>
            </w:r>
          </w:p>
        </w:tc>
        <w:tc>
          <w:tcPr>
            <w:tcW w:w="1040" w:type="dxa"/>
            <w:vAlign w:val="bottom"/>
            <w:shd w:val="clear" w:color="auto" w:fill="CFF0FC"/>
          </w:tcPr>
          <w:p>
            <w:pPr>
              <w:jc w:val="center"/>
              <w:ind w:left="64"/>
              <w:spacing w:after="0" w:line="138" w:lineRule="exact"/>
              <w:rPr>
                <w:sz w:val="20"/>
                <w:szCs w:val="20"/>
                <w:color w:val="auto"/>
              </w:rPr>
            </w:pPr>
            <w:r>
              <w:rPr>
                <w:rFonts w:ascii="Arial" w:cs="Arial" w:eastAsia="Arial" w:hAnsi="Arial"/>
                <w:sz w:val="15"/>
                <w:szCs w:val="15"/>
                <w:color w:val="auto"/>
              </w:rPr>
              <w:t>AR</w:t>
            </w:r>
          </w:p>
        </w:tc>
        <w:tc>
          <w:tcPr>
            <w:tcW w:w="130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9.60%</w:t>
            </w:r>
          </w:p>
        </w:tc>
        <w:tc>
          <w:tcPr>
            <w:tcW w:w="118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6.20% </w:t>
            </w:r>
            <w:r>
              <w:rPr>
                <w:rFonts w:ascii="Arial" w:cs="Arial" w:eastAsia="Arial" w:hAnsi="Arial"/>
                <w:sz w:val="16"/>
                <w:szCs w:val="16"/>
                <w:color w:val="auto"/>
                <w:vertAlign w:val="superscript"/>
              </w:rPr>
              <w:t>(b)</w:t>
            </w:r>
          </w:p>
        </w:tc>
        <w:tc>
          <w:tcPr>
            <w:tcW w:w="104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55%/45%</w:t>
            </w:r>
          </w:p>
        </w:tc>
        <w:tc>
          <w:tcPr>
            <w:tcW w:w="1160" w:type="dxa"/>
            <w:vAlign w:val="bottom"/>
            <w:shd w:val="clear" w:color="auto" w:fill="CFF0FC"/>
          </w:tcPr>
          <w:p>
            <w:pPr>
              <w:jc w:val="center"/>
              <w:spacing w:after="0" w:line="138" w:lineRule="exact"/>
              <w:rPr>
                <w:sz w:val="20"/>
                <w:szCs w:val="20"/>
                <w:color w:val="auto"/>
              </w:rPr>
            </w:pPr>
            <w:r>
              <w:rPr>
                <w:rFonts w:ascii="Arial" w:cs="Arial" w:eastAsia="Arial" w:hAnsi="Arial"/>
                <w:sz w:val="12"/>
                <w:szCs w:val="12"/>
                <w:color w:val="auto"/>
              </w:rPr>
              <w:t xml:space="preserve">$674.6 </w:t>
            </w:r>
            <w:r>
              <w:rPr>
                <w:rFonts w:ascii="Arial" w:cs="Arial" w:eastAsia="Arial" w:hAnsi="Arial"/>
                <w:sz w:val="16"/>
                <w:szCs w:val="16"/>
                <w:color w:val="auto"/>
                <w:vertAlign w:val="superscript"/>
              </w:rPr>
              <w:t>(c)</w:t>
            </w:r>
          </w:p>
        </w:tc>
        <w:tc>
          <w:tcPr>
            <w:tcW w:w="820" w:type="dxa"/>
            <w:vAlign w:val="bottom"/>
            <w:shd w:val="clear" w:color="auto" w:fill="CFF0FC"/>
          </w:tcPr>
          <w:p>
            <w:pPr>
              <w:jc w:val="center"/>
              <w:spacing w:after="0" w:line="138" w:lineRule="exact"/>
              <w:rPr>
                <w:sz w:val="20"/>
                <w:szCs w:val="20"/>
                <w:color w:val="auto"/>
              </w:rPr>
            </w:pPr>
            <w:r>
              <w:rPr>
                <w:rFonts w:ascii="Arial" w:cs="Arial" w:eastAsia="Arial" w:hAnsi="Arial"/>
                <w:sz w:val="15"/>
                <w:szCs w:val="15"/>
                <w:color w:val="auto"/>
              </w:rPr>
              <w:t>10/2022</w:t>
            </w:r>
          </w:p>
        </w:tc>
        <w:tc>
          <w:tcPr>
            <w:tcW w:w="3200" w:type="dxa"/>
            <w:vAlign w:val="bottom"/>
            <w:shd w:val="clear" w:color="auto" w:fill="CFF0FC"/>
          </w:tcPr>
          <w:p>
            <w:pPr>
              <w:ind w:left="80"/>
              <w:spacing w:after="0" w:line="138" w:lineRule="exact"/>
              <w:rPr>
                <w:sz w:val="20"/>
                <w:szCs w:val="20"/>
                <w:color w:val="auto"/>
              </w:rPr>
            </w:pPr>
            <w:r>
              <w:rPr>
                <w:rFonts w:ascii="Arial" w:cs="Arial" w:eastAsia="Arial" w:hAnsi="Arial"/>
                <w:sz w:val="15"/>
                <w:szCs w:val="15"/>
                <w:color w:val="auto"/>
              </w:rPr>
              <w:t>GCA, Safety and Integrity Rider, EECR,</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Weather Normalization Adjustment, Billing</w:t>
            </w:r>
          </w:p>
        </w:tc>
        <w:tc>
          <w:tcPr>
            <w:tcW w:w="0" w:type="dxa"/>
            <w:vAlign w:val="bottom"/>
          </w:tcPr>
          <w:p>
            <w:pPr>
              <w:spacing w:after="0"/>
              <w:rPr>
                <w:sz w:val="1"/>
                <w:szCs w:val="1"/>
                <w:color w:val="auto"/>
              </w:rPr>
            </w:pPr>
          </w:p>
        </w:tc>
      </w:tr>
      <w:tr>
        <w:trPr>
          <w:trHeight w:val="193"/>
        </w:trPr>
        <w:tc>
          <w:tcPr>
            <w:tcW w:w="1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200" w:type="dxa"/>
            <w:vAlign w:val="bottom"/>
            <w:shd w:val="clear" w:color="auto" w:fill="CFF0FC"/>
          </w:tcPr>
          <w:p>
            <w:pPr>
              <w:ind w:left="80"/>
              <w:spacing w:after="0"/>
              <w:rPr>
                <w:sz w:val="20"/>
                <w:szCs w:val="20"/>
                <w:color w:val="auto"/>
              </w:rPr>
            </w:pPr>
            <w:r>
              <w:rPr>
                <w:rFonts w:ascii="Arial" w:cs="Arial" w:eastAsia="Arial" w:hAnsi="Arial"/>
                <w:sz w:val="15"/>
                <w:szCs w:val="15"/>
                <w:color w:val="auto"/>
              </w:rPr>
              <w:t>Determinant Adjustment</w:t>
            </w:r>
          </w:p>
        </w:tc>
        <w:tc>
          <w:tcPr>
            <w:tcW w:w="0" w:type="dxa"/>
            <w:vAlign w:val="bottom"/>
          </w:tcPr>
          <w:p>
            <w:pPr>
              <w:spacing w:after="0"/>
              <w:rPr>
                <w:sz w:val="1"/>
                <w:szCs w:val="1"/>
                <w:color w:val="auto"/>
              </w:rPr>
            </w:pPr>
          </w:p>
        </w:tc>
      </w:tr>
      <w:tr>
        <w:trPr>
          <w:trHeight w:val="145"/>
        </w:trPr>
        <w:tc>
          <w:tcPr>
            <w:tcW w:w="1500" w:type="dxa"/>
            <w:vAlign w:val="bottom"/>
          </w:tcPr>
          <w:p>
            <w:pPr>
              <w:ind w:left="20"/>
              <w:spacing w:after="0" w:line="145" w:lineRule="exact"/>
              <w:rPr>
                <w:sz w:val="20"/>
                <w:szCs w:val="20"/>
                <w:color w:val="auto"/>
              </w:rPr>
            </w:pPr>
            <w:r>
              <w:rPr>
                <w:rFonts w:ascii="Arial" w:cs="Arial" w:eastAsia="Arial" w:hAnsi="Arial"/>
                <w:sz w:val="12"/>
                <w:szCs w:val="12"/>
                <w:color w:val="auto"/>
              </w:rPr>
              <w:t xml:space="preserve">Colorado Gas </w:t>
            </w:r>
            <w:r>
              <w:rPr>
                <w:rFonts w:ascii="Arial" w:cs="Arial" w:eastAsia="Arial" w:hAnsi="Arial"/>
                <w:sz w:val="16"/>
                <w:szCs w:val="16"/>
                <w:color w:val="auto"/>
                <w:vertAlign w:val="superscript"/>
              </w:rPr>
              <w:t>(a)</w:t>
            </w:r>
          </w:p>
        </w:tc>
        <w:tc>
          <w:tcPr>
            <w:tcW w:w="1040" w:type="dxa"/>
            <w:vAlign w:val="bottom"/>
          </w:tcPr>
          <w:p>
            <w:pPr>
              <w:jc w:val="center"/>
              <w:ind w:left="64"/>
              <w:spacing w:after="0" w:line="145" w:lineRule="exact"/>
              <w:rPr>
                <w:sz w:val="20"/>
                <w:szCs w:val="20"/>
                <w:color w:val="auto"/>
              </w:rPr>
            </w:pPr>
            <w:r>
              <w:rPr>
                <w:rFonts w:ascii="Arial" w:cs="Arial" w:eastAsia="Arial" w:hAnsi="Arial"/>
                <w:sz w:val="15"/>
                <w:szCs w:val="15"/>
                <w:color w:val="auto"/>
                <w:w w:val="97"/>
              </w:rPr>
              <w:t>CO</w:t>
            </w:r>
          </w:p>
        </w:tc>
        <w:tc>
          <w:tcPr>
            <w:tcW w:w="1300" w:type="dxa"/>
            <w:vAlign w:val="bottom"/>
          </w:tcPr>
          <w:p>
            <w:pPr>
              <w:jc w:val="center"/>
              <w:spacing w:after="0" w:line="145" w:lineRule="exact"/>
              <w:rPr>
                <w:sz w:val="20"/>
                <w:szCs w:val="20"/>
                <w:color w:val="auto"/>
              </w:rPr>
            </w:pPr>
            <w:r>
              <w:rPr>
                <w:rFonts w:ascii="Arial" w:cs="Arial" w:eastAsia="Arial" w:hAnsi="Arial"/>
                <w:sz w:val="15"/>
                <w:szCs w:val="15"/>
                <w:color w:val="auto"/>
              </w:rPr>
              <w:t>9.20%</w:t>
            </w:r>
          </w:p>
        </w:tc>
        <w:tc>
          <w:tcPr>
            <w:tcW w:w="1180" w:type="dxa"/>
            <w:vAlign w:val="bottom"/>
          </w:tcPr>
          <w:p>
            <w:pPr>
              <w:jc w:val="center"/>
              <w:spacing w:after="0" w:line="145" w:lineRule="exact"/>
              <w:rPr>
                <w:sz w:val="20"/>
                <w:szCs w:val="20"/>
                <w:color w:val="auto"/>
              </w:rPr>
            </w:pPr>
            <w:r>
              <w:rPr>
                <w:rFonts w:ascii="Arial" w:cs="Arial" w:eastAsia="Arial" w:hAnsi="Arial"/>
                <w:sz w:val="15"/>
                <w:szCs w:val="15"/>
                <w:color w:val="auto"/>
                <w:w w:val="98"/>
              </w:rPr>
              <w:t>6.56%</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50%/50%</w:t>
            </w:r>
          </w:p>
        </w:tc>
        <w:tc>
          <w:tcPr>
            <w:tcW w:w="1160" w:type="dxa"/>
            <w:vAlign w:val="bottom"/>
          </w:tcPr>
          <w:p>
            <w:pPr>
              <w:jc w:val="center"/>
              <w:spacing w:after="0" w:line="145" w:lineRule="exact"/>
              <w:rPr>
                <w:sz w:val="20"/>
                <w:szCs w:val="20"/>
                <w:color w:val="auto"/>
              </w:rPr>
            </w:pPr>
            <w:r>
              <w:rPr>
                <w:rFonts w:ascii="Arial" w:cs="Arial" w:eastAsia="Arial" w:hAnsi="Arial"/>
                <w:sz w:val="15"/>
                <w:szCs w:val="15"/>
                <w:color w:val="auto"/>
              </w:rPr>
              <w:t>$303.2</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1/2022</w:t>
            </w:r>
          </w:p>
        </w:tc>
        <w:tc>
          <w:tcPr>
            <w:tcW w:w="3200" w:type="dxa"/>
            <w:vAlign w:val="bottom"/>
          </w:tcPr>
          <w:p>
            <w:pPr>
              <w:ind w:left="80"/>
              <w:spacing w:after="0" w:line="145" w:lineRule="exact"/>
              <w:rPr>
                <w:sz w:val="20"/>
                <w:szCs w:val="20"/>
                <w:color w:val="auto"/>
              </w:rPr>
            </w:pPr>
            <w:r>
              <w:rPr>
                <w:rFonts w:ascii="Arial" w:cs="Arial" w:eastAsia="Arial" w:hAnsi="Arial"/>
                <w:sz w:val="15"/>
                <w:szCs w:val="15"/>
                <w:color w:val="auto"/>
              </w:rPr>
              <w:t>GCA, SSIR, DSM, Gas Price Risk</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Management Rider, Energy Assistance</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Benefit Charge</w:t>
            </w:r>
          </w:p>
        </w:tc>
        <w:tc>
          <w:tcPr>
            <w:tcW w:w="0" w:type="dxa"/>
            <w:vAlign w:val="bottom"/>
          </w:tcPr>
          <w:p>
            <w:pPr>
              <w:spacing w:after="0"/>
              <w:rPr>
                <w:sz w:val="1"/>
                <w:szCs w:val="1"/>
                <w:color w:val="auto"/>
              </w:rPr>
            </w:pPr>
          </w:p>
        </w:tc>
      </w:tr>
      <w:tr>
        <w:trPr>
          <w:trHeight w:val="145"/>
        </w:trPr>
        <w:tc>
          <w:tcPr>
            <w:tcW w:w="1500" w:type="dxa"/>
            <w:vAlign w:val="bottom"/>
            <w:shd w:val="clear" w:color="auto" w:fill="CFF0FC"/>
          </w:tcPr>
          <w:p>
            <w:pPr>
              <w:ind w:left="20"/>
              <w:spacing w:after="0" w:line="145" w:lineRule="exact"/>
              <w:rPr>
                <w:sz w:val="20"/>
                <w:szCs w:val="20"/>
                <w:color w:val="auto"/>
              </w:rPr>
            </w:pPr>
            <w:r>
              <w:rPr>
                <w:rFonts w:ascii="Arial" w:cs="Arial" w:eastAsia="Arial" w:hAnsi="Arial"/>
                <w:sz w:val="12"/>
                <w:szCs w:val="12"/>
                <w:color w:val="auto"/>
              </w:rPr>
              <w:t xml:space="preserve">RMNG </w:t>
            </w:r>
            <w:r>
              <w:rPr>
                <w:rFonts w:ascii="Arial" w:cs="Arial" w:eastAsia="Arial" w:hAnsi="Arial"/>
                <w:sz w:val="16"/>
                <w:szCs w:val="16"/>
                <w:color w:val="auto"/>
                <w:vertAlign w:val="superscript"/>
              </w:rPr>
              <w:t>(a)</w:t>
            </w:r>
          </w:p>
        </w:tc>
        <w:tc>
          <w:tcPr>
            <w:tcW w:w="1040" w:type="dxa"/>
            <w:vAlign w:val="bottom"/>
            <w:shd w:val="clear" w:color="auto" w:fill="CFF0FC"/>
          </w:tcPr>
          <w:p>
            <w:pPr>
              <w:jc w:val="center"/>
              <w:ind w:left="64"/>
              <w:spacing w:after="0" w:line="145" w:lineRule="exact"/>
              <w:rPr>
                <w:sz w:val="20"/>
                <w:szCs w:val="20"/>
                <w:color w:val="auto"/>
              </w:rPr>
            </w:pPr>
            <w:r>
              <w:rPr>
                <w:rFonts w:ascii="Arial" w:cs="Arial" w:eastAsia="Arial" w:hAnsi="Arial"/>
                <w:sz w:val="15"/>
                <w:szCs w:val="15"/>
                <w:color w:val="auto"/>
                <w:w w:val="97"/>
              </w:rPr>
              <w:t>CO</w:t>
            </w:r>
          </w:p>
        </w:tc>
        <w:tc>
          <w:tcPr>
            <w:tcW w:w="130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9.50%-9.70%</w:t>
            </w:r>
          </w:p>
        </w:tc>
        <w:tc>
          <w:tcPr>
            <w:tcW w:w="118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w w:val="98"/>
              </w:rPr>
              <w:t>6.93%</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48%-50%/</w:t>
            </w:r>
          </w:p>
        </w:tc>
        <w:tc>
          <w:tcPr>
            <w:tcW w:w="11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$209.3</w:t>
            </w:r>
          </w:p>
        </w:tc>
        <w:tc>
          <w:tcPr>
            <w:tcW w:w="8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7/2023</w:t>
            </w:r>
          </w:p>
        </w:tc>
        <w:tc>
          <w:tcPr>
            <w:tcW w:w="3200" w:type="dxa"/>
            <w:vAlign w:val="bottom"/>
            <w:shd w:val="clear" w:color="auto" w:fill="CFF0FC"/>
          </w:tcPr>
          <w:p>
            <w:pPr>
              <w:ind w:left="80"/>
              <w:spacing w:after="0" w:line="145" w:lineRule="exact"/>
              <w:rPr>
                <w:sz w:val="20"/>
                <w:szCs w:val="20"/>
                <w:color w:val="auto"/>
              </w:rPr>
            </w:pPr>
            <w:r>
              <w:rPr>
                <w:rFonts w:ascii="Arial" w:cs="Arial" w:eastAsia="Arial" w:hAnsi="Arial"/>
                <w:sz w:val="15"/>
                <w:szCs w:val="15"/>
                <w:color w:val="auto"/>
              </w:rPr>
              <w:t>Liquids/Off-system/Market Center Services</w:t>
            </w:r>
          </w:p>
        </w:tc>
        <w:tc>
          <w:tcPr>
            <w:tcW w:w="0" w:type="dxa"/>
            <w:vAlign w:val="bottom"/>
          </w:tcPr>
          <w:p>
            <w:pPr>
              <w:spacing w:after="0"/>
              <w:rPr>
                <w:sz w:val="1"/>
                <w:szCs w:val="1"/>
                <w:color w:val="auto"/>
              </w:rPr>
            </w:pPr>
          </w:p>
        </w:tc>
      </w:tr>
      <w:tr>
        <w:trPr>
          <w:trHeight w:val="193"/>
        </w:trPr>
        <w:tc>
          <w:tcPr>
            <w:tcW w:w="1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5"/>
                <w:szCs w:val="15"/>
                <w:color w:val="auto"/>
              </w:rPr>
              <w:t>50%-52%</w:t>
            </w:r>
          </w:p>
        </w:tc>
        <w:tc>
          <w:tcPr>
            <w:tcW w:w="1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200" w:type="dxa"/>
            <w:vAlign w:val="bottom"/>
            <w:shd w:val="clear" w:color="auto" w:fill="CFF0FC"/>
          </w:tcPr>
          <w:p>
            <w:pPr>
              <w:ind w:left="80"/>
              <w:spacing w:after="0"/>
              <w:rPr>
                <w:sz w:val="20"/>
                <w:szCs w:val="20"/>
                <w:color w:val="auto"/>
              </w:rPr>
            </w:pPr>
            <w:r>
              <w:rPr>
                <w:rFonts w:ascii="Arial" w:cs="Arial" w:eastAsia="Arial" w:hAnsi="Arial"/>
                <w:sz w:val="15"/>
                <w:szCs w:val="15"/>
                <w:color w:val="auto"/>
              </w:rPr>
              <w:t>Revenue Sharing</w:t>
            </w:r>
          </w:p>
        </w:tc>
        <w:tc>
          <w:tcPr>
            <w:tcW w:w="0" w:type="dxa"/>
            <w:vAlign w:val="bottom"/>
          </w:tcPr>
          <w:p>
            <w:pPr>
              <w:spacing w:after="0"/>
              <w:rPr>
                <w:sz w:val="1"/>
                <w:szCs w:val="1"/>
                <w:color w:val="auto"/>
              </w:rPr>
            </w:pPr>
          </w:p>
        </w:tc>
      </w:tr>
      <w:tr>
        <w:trPr>
          <w:trHeight w:val="145"/>
        </w:trPr>
        <w:tc>
          <w:tcPr>
            <w:tcW w:w="1500" w:type="dxa"/>
            <w:vAlign w:val="bottom"/>
          </w:tcPr>
          <w:p>
            <w:pPr>
              <w:ind w:left="20"/>
              <w:spacing w:after="0" w:line="145" w:lineRule="exact"/>
              <w:rPr>
                <w:sz w:val="20"/>
                <w:szCs w:val="20"/>
                <w:color w:val="auto"/>
              </w:rPr>
            </w:pPr>
            <w:r>
              <w:rPr>
                <w:rFonts w:ascii="Arial" w:cs="Arial" w:eastAsia="Arial" w:hAnsi="Arial"/>
                <w:sz w:val="15"/>
                <w:szCs w:val="15"/>
                <w:color w:val="auto"/>
              </w:rPr>
              <w:t>Iowa Gas</w:t>
            </w:r>
          </w:p>
        </w:tc>
        <w:tc>
          <w:tcPr>
            <w:tcW w:w="1040" w:type="dxa"/>
            <w:vAlign w:val="bottom"/>
          </w:tcPr>
          <w:p>
            <w:pPr>
              <w:jc w:val="center"/>
              <w:ind w:left="64"/>
              <w:spacing w:after="0" w:line="145" w:lineRule="exact"/>
              <w:rPr>
                <w:sz w:val="20"/>
                <w:szCs w:val="20"/>
                <w:color w:val="auto"/>
              </w:rPr>
            </w:pPr>
            <w:r>
              <w:rPr>
                <w:rFonts w:ascii="Arial" w:cs="Arial" w:eastAsia="Arial" w:hAnsi="Arial"/>
                <w:sz w:val="15"/>
                <w:szCs w:val="15"/>
                <w:color w:val="auto"/>
                <w:w w:val="98"/>
              </w:rPr>
              <w:t>IA</w:t>
            </w:r>
          </w:p>
        </w:tc>
        <w:tc>
          <w:tcPr>
            <w:tcW w:w="1300" w:type="dxa"/>
            <w:vAlign w:val="bottom"/>
          </w:tcPr>
          <w:p>
            <w:pPr>
              <w:jc w:val="center"/>
              <w:spacing w:after="0" w:line="145" w:lineRule="exact"/>
              <w:rPr>
                <w:sz w:val="20"/>
                <w:szCs w:val="20"/>
                <w:color w:val="auto"/>
              </w:rPr>
            </w:pPr>
            <w:r>
              <w:rPr>
                <w:rFonts w:ascii="Arial" w:cs="Arial" w:eastAsia="Arial" w:hAnsi="Arial"/>
                <w:sz w:val="15"/>
                <w:szCs w:val="15"/>
                <w:color w:val="auto"/>
              </w:rPr>
              <w:t>9.60%</w:t>
            </w:r>
          </w:p>
        </w:tc>
        <w:tc>
          <w:tcPr>
            <w:tcW w:w="1180" w:type="dxa"/>
            <w:vAlign w:val="bottom"/>
          </w:tcPr>
          <w:p>
            <w:pPr>
              <w:jc w:val="center"/>
              <w:spacing w:after="0" w:line="145" w:lineRule="exact"/>
              <w:rPr>
                <w:sz w:val="20"/>
                <w:szCs w:val="20"/>
                <w:color w:val="auto"/>
              </w:rPr>
            </w:pPr>
            <w:r>
              <w:rPr>
                <w:rFonts w:ascii="Arial" w:cs="Arial" w:eastAsia="Arial" w:hAnsi="Arial"/>
                <w:sz w:val="15"/>
                <w:szCs w:val="15"/>
                <w:color w:val="auto"/>
                <w:w w:val="98"/>
              </w:rPr>
              <w:t>6.75%</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50%/50%</w:t>
            </w:r>
          </w:p>
        </w:tc>
        <w:tc>
          <w:tcPr>
            <w:tcW w:w="1160" w:type="dxa"/>
            <w:vAlign w:val="bottom"/>
          </w:tcPr>
          <w:p>
            <w:pPr>
              <w:jc w:val="center"/>
              <w:spacing w:after="0" w:line="145" w:lineRule="exact"/>
              <w:rPr>
                <w:sz w:val="20"/>
                <w:szCs w:val="20"/>
                <w:color w:val="auto"/>
              </w:rPr>
            </w:pPr>
            <w:r>
              <w:rPr>
                <w:rFonts w:ascii="Arial" w:cs="Arial" w:eastAsia="Arial" w:hAnsi="Arial"/>
                <w:sz w:val="15"/>
                <w:szCs w:val="15"/>
                <w:color w:val="auto"/>
              </w:rPr>
              <w:t>$300.9</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1/2022</w:t>
            </w:r>
          </w:p>
        </w:tc>
        <w:tc>
          <w:tcPr>
            <w:tcW w:w="3200" w:type="dxa"/>
            <w:vAlign w:val="bottom"/>
          </w:tcPr>
          <w:p>
            <w:pPr>
              <w:ind w:left="80"/>
              <w:spacing w:after="0" w:line="145" w:lineRule="exact"/>
              <w:rPr>
                <w:sz w:val="20"/>
                <w:szCs w:val="20"/>
                <w:color w:val="auto"/>
              </w:rPr>
            </w:pPr>
            <w:r>
              <w:rPr>
                <w:rFonts w:ascii="Arial" w:cs="Arial" w:eastAsia="Arial" w:hAnsi="Arial"/>
                <w:sz w:val="15"/>
                <w:szCs w:val="15"/>
                <w:color w:val="auto"/>
              </w:rPr>
              <w:t>GCA, EECR, System Safety and</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Maintenance Adjustment Rider, Gas Supply</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Optimization revenue sharing</w:t>
            </w:r>
          </w:p>
        </w:tc>
        <w:tc>
          <w:tcPr>
            <w:tcW w:w="0" w:type="dxa"/>
            <w:vAlign w:val="bottom"/>
          </w:tcPr>
          <w:p>
            <w:pPr>
              <w:spacing w:after="0"/>
              <w:rPr>
                <w:sz w:val="1"/>
                <w:szCs w:val="1"/>
                <w:color w:val="auto"/>
              </w:rPr>
            </w:pPr>
          </w:p>
        </w:tc>
      </w:tr>
      <w:tr>
        <w:trPr>
          <w:trHeight w:val="145"/>
        </w:trPr>
        <w:tc>
          <w:tcPr>
            <w:tcW w:w="1500" w:type="dxa"/>
            <w:vAlign w:val="bottom"/>
            <w:shd w:val="clear" w:color="auto" w:fill="CFF0FC"/>
          </w:tcPr>
          <w:p>
            <w:pPr>
              <w:ind w:left="20"/>
              <w:spacing w:after="0" w:line="145" w:lineRule="exact"/>
              <w:rPr>
                <w:sz w:val="20"/>
                <w:szCs w:val="20"/>
                <w:color w:val="auto"/>
              </w:rPr>
            </w:pPr>
            <w:r>
              <w:rPr>
                <w:rFonts w:ascii="Arial" w:cs="Arial" w:eastAsia="Arial" w:hAnsi="Arial"/>
                <w:sz w:val="15"/>
                <w:szCs w:val="15"/>
                <w:color w:val="auto"/>
              </w:rPr>
              <w:t>Kansas Gas</w:t>
            </w:r>
          </w:p>
        </w:tc>
        <w:tc>
          <w:tcPr>
            <w:tcW w:w="1040" w:type="dxa"/>
            <w:vAlign w:val="bottom"/>
            <w:shd w:val="clear" w:color="auto" w:fill="CFF0FC"/>
          </w:tcPr>
          <w:p>
            <w:pPr>
              <w:jc w:val="center"/>
              <w:ind w:left="84"/>
              <w:spacing w:after="0" w:line="145" w:lineRule="exact"/>
              <w:rPr>
                <w:sz w:val="20"/>
                <w:szCs w:val="20"/>
                <w:color w:val="auto"/>
              </w:rPr>
            </w:pPr>
            <w:r>
              <w:rPr>
                <w:rFonts w:ascii="Arial" w:cs="Arial" w:eastAsia="Arial" w:hAnsi="Arial"/>
                <w:sz w:val="15"/>
                <w:szCs w:val="15"/>
                <w:color w:val="auto"/>
                <w:w w:val="99"/>
              </w:rPr>
              <w:t>KS</w:t>
            </w:r>
          </w:p>
        </w:tc>
        <w:tc>
          <w:tcPr>
            <w:tcW w:w="130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Global Settlement</w:t>
            </w:r>
          </w:p>
        </w:tc>
        <w:tc>
          <w:tcPr>
            <w:tcW w:w="1180" w:type="dxa"/>
            <w:vAlign w:val="bottom"/>
            <w:shd w:val="clear" w:color="auto" w:fill="CFF0FC"/>
          </w:tcPr>
          <w:p>
            <w:pPr>
              <w:jc w:val="center"/>
              <w:ind w:right="25"/>
              <w:spacing w:after="0" w:line="145" w:lineRule="exact"/>
              <w:rPr>
                <w:sz w:val="20"/>
                <w:szCs w:val="20"/>
                <w:color w:val="auto"/>
              </w:rPr>
            </w:pPr>
            <w:r>
              <w:rPr>
                <w:rFonts w:ascii="Arial" w:cs="Arial" w:eastAsia="Arial" w:hAnsi="Arial"/>
                <w:sz w:val="15"/>
                <w:szCs w:val="15"/>
                <w:color w:val="auto"/>
              </w:rPr>
              <w:t>Global</w:t>
            </w:r>
          </w:p>
        </w:tc>
        <w:tc>
          <w:tcPr>
            <w:tcW w:w="104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Global</w:t>
            </w:r>
          </w:p>
        </w:tc>
        <w:tc>
          <w:tcPr>
            <w:tcW w:w="116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Global</w:t>
            </w:r>
          </w:p>
        </w:tc>
        <w:tc>
          <w:tcPr>
            <w:tcW w:w="820" w:type="dxa"/>
            <w:vAlign w:val="bottom"/>
            <w:shd w:val="clear" w:color="auto" w:fill="CFF0FC"/>
          </w:tcPr>
          <w:p>
            <w:pPr>
              <w:jc w:val="center"/>
              <w:spacing w:after="0" w:line="145" w:lineRule="exact"/>
              <w:rPr>
                <w:sz w:val="20"/>
                <w:szCs w:val="20"/>
                <w:color w:val="auto"/>
              </w:rPr>
            </w:pPr>
            <w:r>
              <w:rPr>
                <w:rFonts w:ascii="Arial" w:cs="Arial" w:eastAsia="Arial" w:hAnsi="Arial"/>
                <w:sz w:val="15"/>
                <w:szCs w:val="15"/>
                <w:color w:val="auto"/>
              </w:rPr>
              <w:t>1/2022</w:t>
            </w:r>
          </w:p>
        </w:tc>
        <w:tc>
          <w:tcPr>
            <w:tcW w:w="3200" w:type="dxa"/>
            <w:vAlign w:val="bottom"/>
            <w:shd w:val="clear" w:color="auto" w:fill="CFF0FC"/>
          </w:tcPr>
          <w:p>
            <w:pPr>
              <w:ind w:left="80"/>
              <w:spacing w:after="0" w:line="145" w:lineRule="exact"/>
              <w:rPr>
                <w:sz w:val="20"/>
                <w:szCs w:val="20"/>
                <w:color w:val="auto"/>
              </w:rPr>
            </w:pPr>
            <w:r>
              <w:rPr>
                <w:rFonts w:ascii="Arial" w:cs="Arial" w:eastAsia="Arial" w:hAnsi="Arial"/>
                <w:sz w:val="15"/>
                <w:szCs w:val="15"/>
                <w:color w:val="auto"/>
              </w:rPr>
              <w:t>GCA, Weather Normalization Tariff, Gas</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180" w:type="dxa"/>
            <w:vAlign w:val="bottom"/>
            <w:shd w:val="clear" w:color="auto" w:fill="CFF0FC"/>
          </w:tcPr>
          <w:p>
            <w:pPr>
              <w:jc w:val="center"/>
              <w:spacing w:after="0" w:line="162" w:lineRule="exact"/>
              <w:rPr>
                <w:sz w:val="20"/>
                <w:szCs w:val="20"/>
                <w:color w:val="auto"/>
              </w:rPr>
            </w:pPr>
            <w:r>
              <w:rPr>
                <w:rFonts w:ascii="Arial" w:cs="Arial" w:eastAsia="Arial" w:hAnsi="Arial"/>
                <w:sz w:val="15"/>
                <w:szCs w:val="15"/>
                <w:color w:val="auto"/>
              </w:rPr>
              <w:t>Settlement</w:t>
            </w:r>
          </w:p>
        </w:tc>
        <w:tc>
          <w:tcPr>
            <w:tcW w:w="1040" w:type="dxa"/>
            <w:vAlign w:val="bottom"/>
            <w:shd w:val="clear" w:color="auto" w:fill="CFF0FC"/>
          </w:tcPr>
          <w:p>
            <w:pPr>
              <w:jc w:val="center"/>
              <w:spacing w:after="0" w:line="162" w:lineRule="exact"/>
              <w:rPr>
                <w:sz w:val="20"/>
                <w:szCs w:val="20"/>
                <w:color w:val="auto"/>
              </w:rPr>
            </w:pPr>
            <w:r>
              <w:rPr>
                <w:rFonts w:ascii="Arial" w:cs="Arial" w:eastAsia="Arial" w:hAnsi="Arial"/>
                <w:sz w:val="15"/>
                <w:szCs w:val="15"/>
                <w:color w:val="auto"/>
              </w:rPr>
              <w:t>Settlement</w:t>
            </w:r>
          </w:p>
        </w:tc>
        <w:tc>
          <w:tcPr>
            <w:tcW w:w="1160" w:type="dxa"/>
            <w:vAlign w:val="bottom"/>
            <w:shd w:val="clear" w:color="auto" w:fill="CFF0FC"/>
          </w:tcPr>
          <w:p>
            <w:pPr>
              <w:jc w:val="center"/>
              <w:spacing w:after="0" w:line="162" w:lineRule="exact"/>
              <w:rPr>
                <w:sz w:val="20"/>
                <w:szCs w:val="20"/>
                <w:color w:val="auto"/>
              </w:rPr>
            </w:pPr>
            <w:r>
              <w:rPr>
                <w:rFonts w:ascii="Arial" w:cs="Arial" w:eastAsia="Arial" w:hAnsi="Arial"/>
                <w:sz w:val="15"/>
                <w:szCs w:val="15"/>
                <w:color w:val="auto"/>
              </w:rPr>
              <w:t>Settlement</w:t>
            </w: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System Reliability Surcharge, Ad Valorem</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Tax Surcharge, Cost of Bad Debt Collected</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through GCA, Pension Levelized Adjustment,</w:t>
            </w:r>
          </w:p>
        </w:tc>
        <w:tc>
          <w:tcPr>
            <w:tcW w:w="0" w:type="dxa"/>
            <w:vAlign w:val="bottom"/>
          </w:tcPr>
          <w:p>
            <w:pPr>
              <w:spacing w:after="0"/>
              <w:rPr>
                <w:sz w:val="1"/>
                <w:szCs w:val="1"/>
                <w:color w:val="auto"/>
              </w:rPr>
            </w:pPr>
          </w:p>
        </w:tc>
      </w:tr>
      <w:tr>
        <w:trPr>
          <w:trHeight w:val="162"/>
        </w:trPr>
        <w:tc>
          <w:tcPr>
            <w:tcW w:w="15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3200" w:type="dxa"/>
            <w:vAlign w:val="bottom"/>
            <w:shd w:val="clear" w:color="auto" w:fill="CFF0FC"/>
          </w:tcPr>
          <w:p>
            <w:pPr>
              <w:ind w:left="80"/>
              <w:spacing w:after="0" w:line="162" w:lineRule="exact"/>
              <w:rPr>
                <w:sz w:val="20"/>
                <w:szCs w:val="20"/>
                <w:color w:val="auto"/>
              </w:rPr>
            </w:pPr>
            <w:r>
              <w:rPr>
                <w:rFonts w:ascii="Arial" w:cs="Arial" w:eastAsia="Arial" w:hAnsi="Arial"/>
                <w:sz w:val="15"/>
                <w:szCs w:val="15"/>
                <w:color w:val="auto"/>
              </w:rPr>
              <w:t>Tax Adjustment Rider, Gas Supply</w:t>
            </w:r>
          </w:p>
        </w:tc>
        <w:tc>
          <w:tcPr>
            <w:tcW w:w="0" w:type="dxa"/>
            <w:vAlign w:val="bottom"/>
          </w:tcPr>
          <w:p>
            <w:pPr>
              <w:spacing w:after="0"/>
              <w:rPr>
                <w:sz w:val="1"/>
                <w:szCs w:val="1"/>
                <w:color w:val="auto"/>
              </w:rPr>
            </w:pPr>
          </w:p>
        </w:tc>
      </w:tr>
      <w:tr>
        <w:trPr>
          <w:trHeight w:val="193"/>
        </w:trPr>
        <w:tc>
          <w:tcPr>
            <w:tcW w:w="15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3200" w:type="dxa"/>
            <w:vAlign w:val="bottom"/>
            <w:shd w:val="clear" w:color="auto" w:fill="CFF0FC"/>
          </w:tcPr>
          <w:p>
            <w:pPr>
              <w:ind w:left="80"/>
              <w:spacing w:after="0"/>
              <w:rPr>
                <w:sz w:val="20"/>
                <w:szCs w:val="20"/>
                <w:color w:val="auto"/>
              </w:rPr>
            </w:pPr>
            <w:r>
              <w:rPr>
                <w:rFonts w:ascii="Arial" w:cs="Arial" w:eastAsia="Arial" w:hAnsi="Arial"/>
                <w:sz w:val="15"/>
                <w:szCs w:val="15"/>
                <w:color w:val="auto"/>
              </w:rPr>
              <w:t>Optimization revenue sharing</w:t>
            </w:r>
          </w:p>
        </w:tc>
        <w:tc>
          <w:tcPr>
            <w:tcW w:w="0" w:type="dxa"/>
            <w:vAlign w:val="bottom"/>
          </w:tcPr>
          <w:p>
            <w:pPr>
              <w:spacing w:after="0"/>
              <w:rPr>
                <w:sz w:val="1"/>
                <w:szCs w:val="1"/>
                <w:color w:val="auto"/>
              </w:rPr>
            </w:pPr>
          </w:p>
        </w:tc>
      </w:tr>
      <w:tr>
        <w:trPr>
          <w:trHeight w:val="145"/>
        </w:trPr>
        <w:tc>
          <w:tcPr>
            <w:tcW w:w="1500" w:type="dxa"/>
            <w:vAlign w:val="bottom"/>
          </w:tcPr>
          <w:p>
            <w:pPr>
              <w:ind w:left="20"/>
              <w:spacing w:after="0" w:line="145" w:lineRule="exact"/>
              <w:rPr>
                <w:sz w:val="20"/>
                <w:szCs w:val="20"/>
                <w:color w:val="auto"/>
              </w:rPr>
            </w:pPr>
            <w:r>
              <w:rPr>
                <w:rFonts w:ascii="Arial" w:cs="Arial" w:eastAsia="Arial" w:hAnsi="Arial"/>
                <w:sz w:val="12"/>
                <w:szCs w:val="12"/>
                <w:color w:val="auto"/>
              </w:rPr>
              <w:t xml:space="preserve">Nebraska Gas </w:t>
            </w:r>
            <w:r>
              <w:rPr>
                <w:rFonts w:ascii="Arial" w:cs="Arial" w:eastAsia="Arial" w:hAnsi="Arial"/>
                <w:sz w:val="16"/>
                <w:szCs w:val="16"/>
                <w:color w:val="auto"/>
                <w:vertAlign w:val="superscript"/>
              </w:rPr>
              <w:t>(d)</w:t>
            </w:r>
          </w:p>
        </w:tc>
        <w:tc>
          <w:tcPr>
            <w:tcW w:w="1040" w:type="dxa"/>
            <w:vAlign w:val="bottom"/>
          </w:tcPr>
          <w:p>
            <w:pPr>
              <w:jc w:val="center"/>
              <w:ind w:left="64"/>
              <w:spacing w:after="0" w:line="145" w:lineRule="exact"/>
              <w:rPr>
                <w:sz w:val="20"/>
                <w:szCs w:val="20"/>
                <w:color w:val="auto"/>
              </w:rPr>
            </w:pPr>
            <w:r>
              <w:rPr>
                <w:rFonts w:ascii="Arial" w:cs="Arial" w:eastAsia="Arial" w:hAnsi="Arial"/>
                <w:sz w:val="15"/>
                <w:szCs w:val="15"/>
                <w:color w:val="auto"/>
              </w:rPr>
              <w:t>NE</w:t>
            </w:r>
          </w:p>
        </w:tc>
        <w:tc>
          <w:tcPr>
            <w:tcW w:w="1300" w:type="dxa"/>
            <w:vAlign w:val="bottom"/>
          </w:tcPr>
          <w:p>
            <w:pPr>
              <w:jc w:val="center"/>
              <w:spacing w:after="0" w:line="145" w:lineRule="exact"/>
              <w:rPr>
                <w:sz w:val="20"/>
                <w:szCs w:val="20"/>
                <w:color w:val="auto"/>
              </w:rPr>
            </w:pPr>
            <w:r>
              <w:rPr>
                <w:rFonts w:ascii="Arial" w:cs="Arial" w:eastAsia="Arial" w:hAnsi="Arial"/>
                <w:sz w:val="15"/>
                <w:szCs w:val="15"/>
                <w:color w:val="auto"/>
              </w:rPr>
              <w:t>9.50%</w:t>
            </w:r>
          </w:p>
        </w:tc>
        <w:tc>
          <w:tcPr>
            <w:tcW w:w="1180" w:type="dxa"/>
            <w:vAlign w:val="bottom"/>
          </w:tcPr>
          <w:p>
            <w:pPr>
              <w:jc w:val="center"/>
              <w:spacing w:after="0" w:line="145" w:lineRule="exact"/>
              <w:rPr>
                <w:sz w:val="20"/>
                <w:szCs w:val="20"/>
                <w:color w:val="auto"/>
              </w:rPr>
            </w:pPr>
            <w:r>
              <w:rPr>
                <w:rFonts w:ascii="Arial" w:cs="Arial" w:eastAsia="Arial" w:hAnsi="Arial"/>
                <w:sz w:val="15"/>
                <w:szCs w:val="15"/>
                <w:color w:val="auto"/>
                <w:w w:val="98"/>
              </w:rPr>
              <w:t>6.71%</w:t>
            </w:r>
          </w:p>
        </w:tc>
        <w:tc>
          <w:tcPr>
            <w:tcW w:w="1040" w:type="dxa"/>
            <w:vAlign w:val="bottom"/>
          </w:tcPr>
          <w:p>
            <w:pPr>
              <w:jc w:val="center"/>
              <w:spacing w:after="0" w:line="145" w:lineRule="exact"/>
              <w:rPr>
                <w:sz w:val="20"/>
                <w:szCs w:val="20"/>
                <w:color w:val="auto"/>
              </w:rPr>
            </w:pPr>
            <w:r>
              <w:rPr>
                <w:rFonts w:ascii="Arial" w:cs="Arial" w:eastAsia="Arial" w:hAnsi="Arial"/>
                <w:sz w:val="15"/>
                <w:szCs w:val="15"/>
                <w:color w:val="auto"/>
              </w:rPr>
              <w:t>50%/50%</w:t>
            </w:r>
          </w:p>
        </w:tc>
        <w:tc>
          <w:tcPr>
            <w:tcW w:w="1160" w:type="dxa"/>
            <w:vAlign w:val="bottom"/>
          </w:tcPr>
          <w:p>
            <w:pPr>
              <w:jc w:val="center"/>
              <w:spacing w:after="0" w:line="145" w:lineRule="exact"/>
              <w:rPr>
                <w:sz w:val="20"/>
                <w:szCs w:val="20"/>
                <w:color w:val="auto"/>
              </w:rPr>
            </w:pPr>
            <w:r>
              <w:rPr>
                <w:rFonts w:ascii="Arial" w:cs="Arial" w:eastAsia="Arial" w:hAnsi="Arial"/>
                <w:sz w:val="12"/>
                <w:szCs w:val="12"/>
                <w:color w:val="auto"/>
              </w:rPr>
              <w:t xml:space="preserve">$504.2 </w:t>
            </w:r>
            <w:r>
              <w:rPr>
                <w:rFonts w:ascii="Arial" w:cs="Arial" w:eastAsia="Arial" w:hAnsi="Arial"/>
                <w:sz w:val="16"/>
                <w:szCs w:val="16"/>
                <w:color w:val="auto"/>
                <w:vertAlign w:val="superscript"/>
              </w:rPr>
              <w:t>(e)</w:t>
            </w:r>
          </w:p>
        </w:tc>
        <w:tc>
          <w:tcPr>
            <w:tcW w:w="820" w:type="dxa"/>
            <w:vAlign w:val="bottom"/>
          </w:tcPr>
          <w:p>
            <w:pPr>
              <w:jc w:val="center"/>
              <w:spacing w:after="0" w:line="145" w:lineRule="exact"/>
              <w:rPr>
                <w:sz w:val="20"/>
                <w:szCs w:val="20"/>
                <w:color w:val="auto"/>
              </w:rPr>
            </w:pPr>
            <w:r>
              <w:rPr>
                <w:rFonts w:ascii="Arial" w:cs="Arial" w:eastAsia="Arial" w:hAnsi="Arial"/>
                <w:sz w:val="15"/>
                <w:szCs w:val="15"/>
                <w:color w:val="auto"/>
              </w:rPr>
              <w:t>3/2021</w:t>
            </w:r>
          </w:p>
        </w:tc>
        <w:tc>
          <w:tcPr>
            <w:tcW w:w="3200" w:type="dxa"/>
            <w:vAlign w:val="bottom"/>
          </w:tcPr>
          <w:p>
            <w:pPr>
              <w:ind w:left="80"/>
              <w:spacing w:after="0" w:line="145" w:lineRule="exact"/>
              <w:rPr>
                <w:sz w:val="20"/>
                <w:szCs w:val="20"/>
                <w:color w:val="auto"/>
              </w:rPr>
            </w:pPr>
            <w:r>
              <w:rPr>
                <w:rFonts w:ascii="Arial" w:cs="Arial" w:eastAsia="Arial" w:hAnsi="Arial"/>
                <w:sz w:val="15"/>
                <w:szCs w:val="15"/>
                <w:color w:val="auto"/>
              </w:rPr>
              <w:t>GCA, Cost of Bad Debt Collected through</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GCA, Infrastructure System Replacement</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Cost Recovery Surcharge, Choice Gas</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Program, SSIR, Bad Debt expense recovered</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through Choice Supplier Fee, Line Locate</w:t>
            </w:r>
          </w:p>
        </w:tc>
        <w:tc>
          <w:tcPr>
            <w:tcW w:w="0" w:type="dxa"/>
            <w:vAlign w:val="bottom"/>
          </w:tcPr>
          <w:p>
            <w:pPr>
              <w:spacing w:after="0"/>
              <w:rPr>
                <w:sz w:val="1"/>
                <w:szCs w:val="1"/>
                <w:color w:val="auto"/>
              </w:rPr>
            </w:pPr>
          </w:p>
        </w:tc>
      </w:tr>
      <w:tr>
        <w:trPr>
          <w:trHeight w:val="175"/>
        </w:trPr>
        <w:tc>
          <w:tcPr>
            <w:tcW w:w="1500" w:type="dxa"/>
            <w:vAlign w:val="bottom"/>
            <w:vMerge w:val="restart"/>
          </w:tcPr>
          <w:p>
            <w:pPr>
              <w:ind w:left="20"/>
              <w:spacing w:after="0"/>
              <w:rPr>
                <w:sz w:val="20"/>
                <w:szCs w:val="20"/>
                <w:color w:val="auto"/>
              </w:rPr>
            </w:pPr>
            <w:r>
              <w:rPr>
                <w:rFonts w:ascii="Arial" w:cs="Arial" w:eastAsia="Arial" w:hAnsi="Arial"/>
                <w:sz w:val="15"/>
                <w:szCs w:val="15"/>
                <w:color w:val="auto"/>
              </w:rPr>
              <w:t xml:space="preserve">Wyoming Gas </w:t>
            </w:r>
            <w:r>
              <w:rPr>
                <w:rFonts w:ascii="Arial" w:cs="Arial" w:eastAsia="Arial" w:hAnsi="Arial"/>
                <w:sz w:val="20"/>
                <w:szCs w:val="20"/>
                <w:color w:val="auto"/>
                <w:vertAlign w:val="superscript"/>
              </w:rPr>
              <w:t>(a)(d)</w:t>
            </w:r>
          </w:p>
        </w:tc>
        <w:tc>
          <w:tcPr>
            <w:tcW w:w="1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Surcharge, HEAT Program</w:t>
            </w:r>
          </w:p>
        </w:tc>
        <w:tc>
          <w:tcPr>
            <w:tcW w:w="0" w:type="dxa"/>
            <w:vAlign w:val="bottom"/>
          </w:tcPr>
          <w:p>
            <w:pPr>
              <w:spacing w:after="0"/>
              <w:rPr>
                <w:sz w:val="1"/>
                <w:szCs w:val="1"/>
                <w:color w:val="auto"/>
              </w:rPr>
            </w:pPr>
          </w:p>
        </w:tc>
      </w:tr>
      <w:tr>
        <w:trPr>
          <w:trHeight w:val="162"/>
        </w:trPr>
        <w:tc>
          <w:tcPr>
            <w:tcW w:w="1500" w:type="dxa"/>
            <w:vAlign w:val="bottom"/>
            <w:vMerge w:val="continue"/>
          </w:tcPr>
          <w:p>
            <w:pPr>
              <w:spacing w:after="0"/>
              <w:rPr>
                <w:sz w:val="14"/>
                <w:szCs w:val="14"/>
                <w:color w:val="auto"/>
              </w:rPr>
            </w:pPr>
          </w:p>
        </w:tc>
        <w:tc>
          <w:tcPr>
            <w:tcW w:w="1040" w:type="dxa"/>
            <w:vAlign w:val="bottom"/>
          </w:tcPr>
          <w:p>
            <w:pPr>
              <w:jc w:val="center"/>
              <w:ind w:left="84"/>
              <w:spacing w:after="0" w:line="162" w:lineRule="exact"/>
              <w:rPr>
                <w:sz w:val="20"/>
                <w:szCs w:val="20"/>
                <w:color w:val="auto"/>
              </w:rPr>
            </w:pPr>
            <w:r>
              <w:rPr>
                <w:rFonts w:ascii="Arial" w:cs="Arial" w:eastAsia="Arial" w:hAnsi="Arial"/>
                <w:sz w:val="15"/>
                <w:szCs w:val="15"/>
                <w:color w:val="auto"/>
                <w:w w:val="99"/>
              </w:rPr>
              <w:t>WY</w:t>
            </w:r>
          </w:p>
        </w:tc>
        <w:tc>
          <w:tcPr>
            <w:tcW w:w="1300" w:type="dxa"/>
            <w:vAlign w:val="bottom"/>
          </w:tcPr>
          <w:p>
            <w:pPr>
              <w:jc w:val="center"/>
              <w:spacing w:after="0" w:line="162" w:lineRule="exact"/>
              <w:rPr>
                <w:sz w:val="20"/>
                <w:szCs w:val="20"/>
                <w:color w:val="auto"/>
              </w:rPr>
            </w:pPr>
            <w:r>
              <w:rPr>
                <w:rFonts w:ascii="Arial" w:cs="Arial" w:eastAsia="Arial" w:hAnsi="Arial"/>
                <w:sz w:val="15"/>
                <w:szCs w:val="15"/>
                <w:color w:val="auto"/>
              </w:rPr>
              <w:t>9.85%</w:t>
            </w:r>
          </w:p>
        </w:tc>
        <w:tc>
          <w:tcPr>
            <w:tcW w:w="1180" w:type="dxa"/>
            <w:vAlign w:val="bottom"/>
          </w:tcPr>
          <w:p>
            <w:pPr>
              <w:jc w:val="center"/>
              <w:spacing w:after="0" w:line="162" w:lineRule="exact"/>
              <w:rPr>
                <w:sz w:val="20"/>
                <w:szCs w:val="20"/>
                <w:color w:val="auto"/>
              </w:rPr>
            </w:pPr>
            <w:r>
              <w:rPr>
                <w:rFonts w:ascii="Arial" w:cs="Arial" w:eastAsia="Arial" w:hAnsi="Arial"/>
                <w:sz w:val="15"/>
                <w:szCs w:val="15"/>
                <w:color w:val="auto"/>
                <w:w w:val="98"/>
              </w:rPr>
              <w:t>7.33%</w:t>
            </w:r>
          </w:p>
        </w:tc>
        <w:tc>
          <w:tcPr>
            <w:tcW w:w="1040" w:type="dxa"/>
            <w:vAlign w:val="bottom"/>
          </w:tcPr>
          <w:p>
            <w:pPr>
              <w:jc w:val="center"/>
              <w:spacing w:after="0" w:line="162" w:lineRule="exact"/>
              <w:rPr>
                <w:sz w:val="20"/>
                <w:szCs w:val="20"/>
                <w:color w:val="auto"/>
              </w:rPr>
            </w:pPr>
            <w:r>
              <w:rPr>
                <w:rFonts w:ascii="Arial" w:cs="Arial" w:eastAsia="Arial" w:hAnsi="Arial"/>
                <w:sz w:val="15"/>
                <w:szCs w:val="15"/>
                <w:color w:val="auto"/>
              </w:rPr>
              <w:t>49%/51%</w:t>
            </w:r>
          </w:p>
        </w:tc>
        <w:tc>
          <w:tcPr>
            <w:tcW w:w="1160" w:type="dxa"/>
            <w:vAlign w:val="bottom"/>
          </w:tcPr>
          <w:p>
            <w:pPr>
              <w:jc w:val="center"/>
              <w:spacing w:after="0" w:line="162" w:lineRule="exact"/>
              <w:rPr>
                <w:sz w:val="20"/>
                <w:szCs w:val="20"/>
                <w:color w:val="auto"/>
              </w:rPr>
            </w:pPr>
            <w:r>
              <w:rPr>
                <w:rFonts w:ascii="Arial" w:cs="Arial" w:eastAsia="Arial" w:hAnsi="Arial"/>
                <w:sz w:val="15"/>
                <w:szCs w:val="15"/>
                <w:color w:val="auto"/>
              </w:rPr>
              <w:t>$450.8</w:t>
            </w:r>
          </w:p>
        </w:tc>
        <w:tc>
          <w:tcPr>
            <w:tcW w:w="820" w:type="dxa"/>
            <w:vAlign w:val="bottom"/>
          </w:tcPr>
          <w:p>
            <w:pPr>
              <w:jc w:val="center"/>
              <w:spacing w:after="0" w:line="162" w:lineRule="exact"/>
              <w:rPr>
                <w:sz w:val="20"/>
                <w:szCs w:val="20"/>
                <w:color w:val="auto"/>
              </w:rPr>
            </w:pPr>
            <w:r>
              <w:rPr>
                <w:rFonts w:ascii="Arial" w:cs="Arial" w:eastAsia="Arial" w:hAnsi="Arial"/>
                <w:sz w:val="15"/>
                <w:szCs w:val="15"/>
                <w:color w:val="auto"/>
              </w:rPr>
              <w:t>1/2024</w:t>
            </w: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GCA, EECR, Rate Base Recovery on</w:t>
            </w:r>
          </w:p>
        </w:tc>
        <w:tc>
          <w:tcPr>
            <w:tcW w:w="0" w:type="dxa"/>
            <w:vAlign w:val="bottom"/>
          </w:tcPr>
          <w:p>
            <w:pPr>
              <w:spacing w:after="0"/>
              <w:rPr>
                <w:sz w:val="1"/>
                <w:szCs w:val="1"/>
                <w:color w:val="auto"/>
              </w:rPr>
            </w:pPr>
          </w:p>
        </w:tc>
      </w:tr>
      <w:tr>
        <w:trPr>
          <w:trHeight w:val="162"/>
        </w:trPr>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0" w:type="dxa"/>
            <w:vAlign w:val="bottom"/>
          </w:tcPr>
          <w:p>
            <w:pPr>
              <w:ind w:left="80"/>
              <w:spacing w:after="0" w:line="162" w:lineRule="exact"/>
              <w:rPr>
                <w:sz w:val="20"/>
                <w:szCs w:val="20"/>
                <w:color w:val="auto"/>
              </w:rPr>
            </w:pPr>
            <w:r>
              <w:rPr>
                <w:rFonts w:ascii="Arial" w:cs="Arial" w:eastAsia="Arial" w:hAnsi="Arial"/>
                <w:sz w:val="15"/>
                <w:szCs w:val="15"/>
                <w:color w:val="auto"/>
              </w:rPr>
              <w:t>Acquisition Adjustment, Wyoming Integrity</w:t>
            </w:r>
          </w:p>
        </w:tc>
        <w:tc>
          <w:tcPr>
            <w:tcW w:w="0" w:type="dxa"/>
            <w:vAlign w:val="bottom"/>
          </w:tcPr>
          <w:p>
            <w:pPr>
              <w:spacing w:after="0"/>
              <w:rPr>
                <w:sz w:val="1"/>
                <w:szCs w:val="1"/>
                <w:color w:val="auto"/>
              </w:rPr>
            </w:pPr>
          </w:p>
        </w:tc>
      </w:tr>
      <w:tr>
        <w:trPr>
          <w:trHeight w:val="190"/>
        </w:trPr>
        <w:tc>
          <w:tcPr>
            <w:tcW w:w="1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0" w:type="dxa"/>
            <w:vAlign w:val="bottom"/>
          </w:tcPr>
          <w:p>
            <w:pPr>
              <w:ind w:left="80"/>
              <w:spacing w:after="0"/>
              <w:rPr>
                <w:sz w:val="20"/>
                <w:szCs w:val="20"/>
                <w:color w:val="auto"/>
              </w:rPr>
            </w:pPr>
            <w:r>
              <w:rPr>
                <w:rFonts w:ascii="Arial" w:cs="Arial" w:eastAsia="Arial" w:hAnsi="Arial"/>
                <w:sz w:val="15"/>
                <w:szCs w:val="15"/>
                <w:color w:val="auto"/>
              </w:rPr>
              <w:t>Rider, Choice Gas Program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3175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right="200" w:hanging="512"/>
        <w:spacing w:after="0" w:line="25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Colorado Gas regulatory information presented above does not reflect the recent settlement agreement which is subject to CPUC approval. For additional information regarding recent rate review updates,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Notes to Consolidated Financial Statements in this Annual Report on Form 10-K.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certain liabilities from rate review capital structure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Arkansas Gas rate base is adjusted to include certain liabilities for comparison with other subsidiaries.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Choice Gas Program mechanisms are applicable to only a portion of Nebraska Gas and Wyoming Gas customers.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amounts to serve non-jurisdictional and agriculture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2039620</wp:posOffset>
            </wp:positionH>
            <wp:positionV relativeFrom="paragraph">
              <wp:posOffset>-421640</wp:posOffset>
            </wp:positionV>
            <wp:extent cx="269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22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5900" w:type="dxa"/>
            <w:vAlign w:val="bottom"/>
            <w:gridSpan w:val="5"/>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7260" w:type="dxa"/>
            <w:vAlign w:val="bottom"/>
            <w:gridSpan w:val="6"/>
          </w:tcPr>
          <w:p>
            <w:pPr>
              <w:spacing w:after="0"/>
              <w:rPr>
                <w:sz w:val="20"/>
                <w:szCs w:val="20"/>
                <w:color w:val="auto"/>
              </w:rPr>
            </w:pPr>
            <w:r>
              <w:rPr>
                <w:rFonts w:ascii="Arial" w:cs="Arial" w:eastAsia="Arial" w:hAnsi="Arial"/>
                <w:sz w:val="16"/>
                <w:szCs w:val="16"/>
                <w:color w:val="auto"/>
              </w:rPr>
              <w:t>The following table summarizes the mechanisms we have in place for each of our Gas Utilities:</w:t>
            </w: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260" w:type="dxa"/>
            <w:vAlign w:val="bottom"/>
            <w:gridSpan w:val="2"/>
            <w:vMerge w:val="restart"/>
          </w:tcPr>
          <w:p>
            <w:pPr>
              <w:ind w:left="120"/>
              <w:spacing w:after="0"/>
              <w:rPr>
                <w:sz w:val="20"/>
                <w:szCs w:val="20"/>
                <w:color w:val="auto"/>
              </w:rPr>
            </w:pPr>
            <w:r>
              <w:rPr>
                <w:rFonts w:ascii="Arial" w:cs="Arial" w:eastAsia="Arial" w:hAnsi="Arial"/>
                <w:sz w:val="16"/>
                <w:szCs w:val="16"/>
                <w:color w:val="auto"/>
              </w:rPr>
              <w:t>Gas Utility Jurisdiction</w:t>
            </w:r>
          </w:p>
        </w:tc>
        <w:tc>
          <w:tcPr>
            <w:tcW w:w="1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3"/>
          </w:tcPr>
          <w:p>
            <w:pPr>
              <w:ind w:left="860"/>
              <w:spacing w:after="0"/>
              <w:rPr>
                <w:sz w:val="20"/>
                <w:szCs w:val="20"/>
                <w:color w:val="auto"/>
              </w:rPr>
            </w:pPr>
            <w:r>
              <w:rPr>
                <w:rFonts w:ascii="Arial" w:cs="Arial" w:eastAsia="Arial" w:hAnsi="Arial"/>
                <w:sz w:val="16"/>
                <w:szCs w:val="16"/>
                <w:color w:val="auto"/>
              </w:rPr>
              <w:t>Cost Recovery Mechanisms</w:t>
            </w:r>
          </w:p>
        </w:tc>
        <w:tc>
          <w:tcPr>
            <w:tcW w:w="1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260" w:type="dxa"/>
            <w:vAlign w:val="bottom"/>
            <w:gridSpan w:val="2"/>
            <w:vMerge w:val="continue"/>
          </w:tcPr>
          <w:p>
            <w:pPr>
              <w:spacing w:after="0"/>
              <w:rPr>
                <w:sz w:val="15"/>
                <w:szCs w:val="15"/>
                <w:color w:val="auto"/>
              </w:rPr>
            </w:pPr>
          </w:p>
        </w:tc>
        <w:tc>
          <w:tcPr>
            <w:tcW w:w="1440" w:type="dxa"/>
            <w:vAlign w:val="bottom"/>
          </w:tcPr>
          <w:p>
            <w:pPr>
              <w:spacing w:after="0"/>
              <w:rPr>
                <w:sz w:val="15"/>
                <w:szCs w:val="15"/>
                <w:color w:val="auto"/>
              </w:rPr>
            </w:pPr>
          </w:p>
        </w:tc>
        <w:tc>
          <w:tcPr>
            <w:tcW w:w="1180" w:type="dxa"/>
            <w:vAlign w:val="bottom"/>
          </w:tcPr>
          <w:p>
            <w:pPr>
              <w:jc w:val="center"/>
              <w:spacing w:after="0" w:line="183" w:lineRule="exact"/>
              <w:rPr>
                <w:sz w:val="20"/>
                <w:szCs w:val="20"/>
                <w:color w:val="auto"/>
              </w:rPr>
            </w:pPr>
            <w:r>
              <w:rPr>
                <w:rFonts w:ascii="Arial" w:cs="Arial" w:eastAsia="Arial" w:hAnsi="Arial"/>
                <w:sz w:val="16"/>
                <w:szCs w:val="16"/>
                <w:color w:val="auto"/>
                <w:w w:val="98"/>
              </w:rPr>
              <w:t>Integrity</w:t>
            </w:r>
          </w:p>
        </w:tc>
        <w:tc>
          <w:tcPr>
            <w:tcW w:w="1220" w:type="dxa"/>
            <w:vAlign w:val="bottom"/>
          </w:tcPr>
          <w:p>
            <w:pPr>
              <w:spacing w:after="0"/>
              <w:rPr>
                <w:sz w:val="15"/>
                <w:szCs w:val="15"/>
                <w:color w:val="auto"/>
              </w:rPr>
            </w:pPr>
          </w:p>
        </w:tc>
        <w:tc>
          <w:tcPr>
            <w:tcW w:w="1160" w:type="dxa"/>
            <w:vAlign w:val="bottom"/>
          </w:tcPr>
          <w:p>
            <w:pPr>
              <w:jc w:val="center"/>
              <w:spacing w:after="0" w:line="183" w:lineRule="exact"/>
              <w:rPr>
                <w:sz w:val="20"/>
                <w:szCs w:val="20"/>
                <w:color w:val="auto"/>
              </w:rPr>
            </w:pPr>
            <w:r>
              <w:rPr>
                <w:rFonts w:ascii="Arial" w:cs="Arial" w:eastAsia="Arial" w:hAnsi="Arial"/>
                <w:sz w:val="16"/>
                <w:szCs w:val="16"/>
                <w:color w:val="auto"/>
              </w:rPr>
              <w:t>Weather</w:t>
            </w:r>
          </w:p>
        </w:tc>
        <w:tc>
          <w:tcPr>
            <w:tcW w:w="1220" w:type="dxa"/>
            <w:vAlign w:val="bottom"/>
          </w:tcPr>
          <w:p>
            <w:pPr>
              <w:jc w:val="center"/>
              <w:spacing w:after="0" w:line="183" w:lineRule="exact"/>
              <w:rPr>
                <w:sz w:val="20"/>
                <w:szCs w:val="20"/>
                <w:color w:val="auto"/>
              </w:rPr>
            </w:pPr>
            <w:r>
              <w:rPr>
                <w:rFonts w:ascii="Arial" w:cs="Arial" w:eastAsia="Arial" w:hAnsi="Arial"/>
                <w:sz w:val="16"/>
                <w:szCs w:val="16"/>
                <w:color w:val="auto"/>
              </w:rPr>
              <w:t>Pension</w:t>
            </w:r>
          </w:p>
        </w:tc>
        <w:tc>
          <w:tcPr>
            <w:tcW w:w="1400" w:type="dxa"/>
            <w:vAlign w:val="bottom"/>
            <w:vMerge w:val="restart"/>
          </w:tcPr>
          <w:p>
            <w:pPr>
              <w:jc w:val="center"/>
              <w:spacing w:after="0"/>
              <w:rPr>
                <w:sz w:val="20"/>
                <w:szCs w:val="20"/>
                <w:color w:val="auto"/>
              </w:rPr>
            </w:pPr>
            <w:r>
              <w:rPr>
                <w:rFonts w:ascii="Arial" w:cs="Arial" w:eastAsia="Arial" w:hAnsi="Arial"/>
                <w:sz w:val="16"/>
                <w:szCs w:val="16"/>
                <w:color w:val="auto"/>
                <w:w w:val="97"/>
              </w:rPr>
              <w:t xml:space="preserve">Gas Cost </w:t>
            </w:r>
            <w:r>
              <w:rPr>
                <w:rFonts w:ascii="Arial" w:cs="Arial" w:eastAsia="Arial" w:hAnsi="Arial"/>
                <w:sz w:val="21"/>
                <w:szCs w:val="21"/>
                <w:color w:val="auto"/>
                <w:w w:val="97"/>
                <w:vertAlign w:val="superscript"/>
              </w:rPr>
              <w:t>(a)</w:t>
            </w:r>
          </w:p>
        </w:tc>
        <w:tc>
          <w:tcPr>
            <w:tcW w:w="1360" w:type="dxa"/>
            <w:vAlign w:val="bottom"/>
          </w:tcPr>
          <w:p>
            <w:pPr>
              <w:jc w:val="center"/>
              <w:spacing w:after="0" w:line="183" w:lineRule="exact"/>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17"/>
        </w:trPr>
        <w:tc>
          <w:tcPr>
            <w:tcW w:w="1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EECR/DSM</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Additions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Bad Debt</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Normal</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Recovery</w:t>
            </w:r>
          </w:p>
        </w:tc>
        <w:tc>
          <w:tcPr>
            <w:tcW w:w="140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Decoupling</w:t>
            </w:r>
          </w:p>
        </w:tc>
        <w:tc>
          <w:tcPr>
            <w:tcW w:w="0" w:type="dxa"/>
            <w:vAlign w:val="bottom"/>
          </w:tcPr>
          <w:p>
            <w:pPr>
              <w:spacing w:after="0"/>
              <w:rPr>
                <w:sz w:val="1"/>
                <w:szCs w:val="1"/>
                <w:color w:val="auto"/>
              </w:rPr>
            </w:pPr>
          </w:p>
        </w:tc>
      </w:tr>
      <w:tr>
        <w:trPr>
          <w:trHeight w:val="209"/>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Arkansas Gas</w:t>
            </w:r>
          </w:p>
        </w:tc>
        <w:tc>
          <w:tcPr>
            <w:tcW w:w="14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spacing w:after="0"/>
              <w:rPr>
                <w:sz w:val="18"/>
                <w:szCs w:val="18"/>
                <w:color w:val="auto"/>
              </w:rPr>
            </w:pPr>
          </w:p>
        </w:tc>
        <w:tc>
          <w:tcPr>
            <w:tcW w:w="11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Colorado Gas</w:t>
            </w:r>
          </w:p>
        </w:tc>
        <w:tc>
          <w:tcPr>
            <w:tcW w:w="1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RMNG</w:t>
            </w: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Iowa Gas</w:t>
            </w:r>
          </w:p>
        </w:tc>
        <w:tc>
          <w:tcPr>
            <w:tcW w:w="1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Kansas Gas</w:t>
            </w:r>
          </w:p>
        </w:tc>
        <w:tc>
          <w:tcPr>
            <w:tcW w:w="1440" w:type="dxa"/>
            <w:vAlign w:val="bottom"/>
            <w:shd w:val="clear" w:color="auto" w:fill="CFF0FC"/>
          </w:tcPr>
          <w:p>
            <w:pPr>
              <w:spacing w:after="0"/>
              <w:rPr>
                <w:sz w:val="18"/>
                <w:szCs w:val="18"/>
                <w:color w:val="auto"/>
              </w:rPr>
            </w:pP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16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22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40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tcPr>
          <w:p>
            <w:pPr>
              <w:ind w:left="120"/>
              <w:spacing w:after="0"/>
              <w:rPr>
                <w:sz w:val="20"/>
                <w:szCs w:val="20"/>
                <w:color w:val="auto"/>
              </w:rPr>
            </w:pPr>
            <w:r>
              <w:rPr>
                <w:rFonts w:ascii="Arial" w:cs="Arial" w:eastAsia="Arial" w:hAnsi="Arial"/>
                <w:sz w:val="16"/>
                <w:szCs w:val="16"/>
                <w:color w:val="auto"/>
              </w:rPr>
              <w:t>Nebraska Gas</w:t>
            </w:r>
          </w:p>
        </w:tc>
        <w:tc>
          <w:tcPr>
            <w:tcW w:w="1440" w:type="dxa"/>
            <w:vAlign w:val="bottom"/>
          </w:tcPr>
          <w:p>
            <w:pPr>
              <w:spacing w:after="0"/>
              <w:rPr>
                <w:sz w:val="18"/>
                <w:szCs w:val="18"/>
                <w:color w:val="auto"/>
              </w:rPr>
            </w:pPr>
          </w:p>
        </w:tc>
        <w:tc>
          <w:tcPr>
            <w:tcW w:w="118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Wyoming Gas</w:t>
            </w:r>
          </w:p>
        </w:tc>
        <w:tc>
          <w:tcPr>
            <w:tcW w:w="144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18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99"/>
              </w:rPr>
              <w:t>☑</w:t>
            </w:r>
          </w:p>
        </w:tc>
        <w:tc>
          <w:tcPr>
            <w:tcW w:w="1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0" w:type="dxa"/>
            <w:vAlign w:val="bottom"/>
            <w:shd w:val="clear" w:color="auto" w:fill="CFF0FC"/>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20"/>
                <w:szCs w:val="20"/>
                <w:color w:val="auto"/>
              </w:rPr>
            </w:pPr>
            <w:r>
              <w:rPr>
                <w:rFonts w:ascii="Arial" w:cs="Arial" w:eastAsia="Arial" w:hAnsi="Arial"/>
                <w:sz w:val="11"/>
                <w:szCs w:val="11"/>
                <w:color w:val="auto"/>
              </w:rPr>
              <w:t>____________________</w:t>
            </w:r>
          </w:p>
        </w:tc>
        <w:tc>
          <w:tcPr>
            <w:tcW w:w="9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520" w:right="20" w:hanging="512"/>
        <w:spacing w:after="0" w:line="285"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All of our Gas Utilities, except where the Choice Gas Program is the only option, have GCAs that allow us to pass the prudently-incurred cost of gas and certain services through to the customer between rate reviews.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Tariff Filings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information regarding current regulatory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FERC</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The Federal Power Act gives FERC exclusive rate-making jurisdiction over wholesale sales of electricity and the transmission of 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electric utility subsidiaries provide FERC-jurisdictional services subject to FERC’s oversight.</w:t>
      </w:r>
    </w:p>
    <w:p>
      <w:pPr>
        <w:spacing w:after="0" w:line="15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Our Electric Utilities entities are authorized by FERC to make wholesale sales of electric capacity and energy at market-based rates under tariffs on file with FERC. As a condition of their market-based rate authority, Electric Quarterly Reports are filed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151"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PUHCA 2005 provides FERC authority with respect to the books and records of a utility holding company. As a utility holding company whose assets consist primarily of investments in our subsidiaries, including subsidiaries that are public utilities and also a centralized service company subsidiary, BHSC, we are subject to FERC’s authority under PUHCA 2005.</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PUHCA 2005 reiterated the definition and benefits of EWG status. Under PUHCA 2005, an EWG is an entity or generator engaged, directly or indirectly through one or more affiliates, exclusively in the business of owning, operating or both owning and operating all or part of one or more eligible facilities and selling electric energy at wholesale. Though EWGs are public utilities within the definition set forth in the Federal Power Act and are subject to FERC regulation of rates and charges, they are exempt from other FERC requirements. Through its subsidiaries, Black Hills Corporation is affiliated with two EWGs, Wygen I and Pueblo Airport Generation (facilities #4-5). Both of these EWGs have been granted market-based rate authority.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NERC</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Energy Policy Act of 2005 included provisions to create an Electric Reliability Organization, which is required to promulgate mandatory reliability standards governing the operation of the bulk power system in the U.S. FERC certified NERC as the Electric Reliability Organization and also issued an initial order approving many reliability standards that went into effect in 2007. Entities that violate standards can be subject to fines and can also be assessed non-monetary penalties, depending upon the nature and severity of the violation.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Pipeline Security</w:t>
      </w:r>
    </w:p>
    <w:p>
      <w:pPr>
        <w:spacing w:after="0" w:line="194"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In May and July 2021, the TSA issued security directives in response to a ransomware attack on the Colonial Pipeline that occurred earlier in 2021 that included several new cybersecurity requirements for critical pipeline owners and operators. Among these requirements is the implementation of specific mitigation measures to protect against ransomware attacks and other known threats to information and operational technology systems; development and implementation of a cybersecurity contingency and recovery plan; and performance of a cybersecurity architecture design review. Compliance with these measures has not had a material impact on our operations. We continue to evaluate the potential effect of these directives on our operations and facilities and will continue to monitor for any clarifications or amendments to these directives.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Pipeline and Storage Integrity and Safety</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are subject to regulation by PHMSA, which requires the following for certain gas distribution and transmission pipelines and underground storage facilities: inspection and maintenance plans; integrity management programs, including the determination of pipeline integrity risks and periodic assessments on certain pipeline segments; an operator qualification program, which includes certain trainings; a public awareness program that provides certain information; and a control room management plan. If we fail to comply with applicable statutes and the PHMSA Office of Pipeline Safety’s rules and related regulations and orders, we could be subject to significant penalties and fines.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 xml:space="preserve">We have clean energy goals to reduce GHG emissions that are based on prudent and proven solutions while minimizing cost impacts to and ensuring safety of our customers. See more information in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1948815</wp:posOffset>
            </wp:positionH>
            <wp:positionV relativeFrom="paragraph">
              <wp:posOffset>-156210</wp:posOffset>
            </wp:positionV>
            <wp:extent cx="178371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783715" cy="8255"/>
                    </a:xfrm>
                    <a:prstGeom prst="rect">
                      <a:avLst/>
                    </a:prstGeom>
                    <a:noFill/>
                  </pic:spPr>
                </pic:pic>
              </a:graphicData>
            </a:graphic>
          </wp:anchor>
        </w:drawing>
        <w:drawing>
          <wp:anchor simplePos="0" relativeHeight="251657728" behindDoc="1" locked="0" layoutInCell="0" allowOverlap="1">
            <wp:simplePos x="0" y="0"/>
            <wp:positionH relativeFrom="column">
              <wp:posOffset>1131570</wp:posOffset>
            </wp:positionH>
            <wp:positionV relativeFrom="paragraph">
              <wp:posOffset>-36195</wp:posOffset>
            </wp:positionV>
            <wp:extent cx="28575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2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are subject to significant state and federal environmental regulations that encourage the use of clean energy technologies and regulate emissions of GHGs. We have undertaken initiatives to meet current requirements and to prepare for anticipated future regulations, reduce GHG emissions, and respond to state renewable and energy efficiency goals. Compliance with future environmental regulations could result in substantial cost.</w:t>
      </w:r>
    </w:p>
    <w:p>
      <w:pPr>
        <w:spacing w:after="0" w:line="14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In July of 2019, the EPA adopted the Affordable Clean Energy rule, which requires states to develop plans by 2022 for GHG reductions from coal-fired power plants. On May 23, 2023, the EPA proposed to repeal the Affordable Clean Energy rule and at the same time issued a replacement rule to establish emissions limits for GHG emissions from existing coal-fired and oil/gas-fired electric power generating boilers. The EPA also proposed GHG emission limits for existing stationary combustion turbines. The proposed emissions limitations are based upon the application of carbon capture controls or the use of hydrogen fuel beginning in 2030. The EPA is expected to issue a final rule in the first half of 2024. We will continue to monitor any related guidelines and rulemakings issued by the EPA or state regulatory authorities.</w:t>
      </w:r>
    </w:p>
    <w:p>
      <w:pPr>
        <w:spacing w:after="0" w:line="18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In February 2022, the EPA proposed the Good Neighbor Rule Provisions, which are part of the CSAPR framework and is intended to address ozone transport for the 2015 ozone NAAQS. The proposed rule included the state of Wyoming and imposed a NOx emissions trading program on fossil fueled electricity generating plants within the state. The EPA’s consideration of revised NOx emissions inventories and revised ozone modeling resulted in Wyoming’s exclusion from the final Good Neighbor Rule published on June 5, 2023. In a subsequent action published on August 14, 2023, the EPA approved Wyoming’s State Implementation Plan submission addressing interstate transport for the 2015 8-hour ozone NAAQS, and Wyoming sources will not be subject to the CSAPR.</w:t>
      </w:r>
    </w:p>
    <w:p>
      <w:pPr>
        <w:spacing w:after="0" w:line="155"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Environmental risk changes constantly with the implementation of new or modified regulations, changing stakeholder interests and needs, and through the introduction of innovative work practices and technologies. We continually assess risk and develop mitigation strategies to manage and ensure compliance across the enterprise successfully and responsibly. For additional information on environmental matters, see </w:t>
      </w:r>
      <w:r>
        <w:rPr>
          <w:rFonts w:ascii="Arial" w:cs="Arial" w:eastAsia="Arial" w:hAnsi="Arial"/>
          <w:sz w:val="16"/>
          <w:szCs w:val="16"/>
          <w:u w:val="single" w:color="auto"/>
          <w:color w:val="0000FF"/>
        </w:rPr>
        <w:t>Item 1A</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4949190</wp:posOffset>
            </wp:positionH>
            <wp:positionV relativeFrom="paragraph">
              <wp:posOffset>-151765</wp:posOffset>
            </wp:positionV>
            <wp:extent cx="8864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Human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are committed to retaining, attracting and cultivating a talented, engaged and thriving team. By making our people and culture a strategic priority, our employees are engaged and empowered to contribute to the success of our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Borders>
              <w:bottom w:val="single" w:sz="8" w:color="auto"/>
            </w:tcBorders>
          </w:tcPr>
          <w:p>
            <w:pPr>
              <w:ind w:left="2600"/>
              <w:spacing w:after="0"/>
              <w:rPr>
                <w:sz w:val="20"/>
                <w:szCs w:val="20"/>
                <w:color w:val="auto"/>
              </w:rPr>
            </w:pPr>
            <w:r>
              <w:rPr>
                <w:rFonts w:ascii="Arial" w:cs="Arial" w:eastAsia="Arial" w:hAnsi="Arial"/>
                <w:sz w:val="16"/>
                <w:szCs w:val="16"/>
                <w:b w:val="1"/>
                <w:bCs w:val="1"/>
                <w:color w:val="auto"/>
              </w:rPr>
              <w:t>Our Team</w:t>
            </w:r>
          </w:p>
        </w:tc>
        <w:tc>
          <w:tcPr>
            <w:tcW w:w="352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As of December 31, 2023</w:t>
            </w:r>
          </w:p>
        </w:tc>
        <w:tc>
          <w:tcPr>
            <w:tcW w:w="264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As of December 31, 2022</w:t>
            </w:r>
          </w:p>
        </w:tc>
      </w:tr>
      <w:tr>
        <w:trPr>
          <w:trHeight w:val="209"/>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employees</w:t>
            </w:r>
          </w:p>
        </w:tc>
        <w:tc>
          <w:tcPr>
            <w:tcW w:w="3520" w:type="dxa"/>
            <w:vAlign w:val="bottom"/>
            <w:shd w:val="clear" w:color="auto" w:fill="CFF0FC"/>
          </w:tcPr>
          <w:p>
            <w:pPr>
              <w:jc w:val="center"/>
              <w:ind w:left="759"/>
              <w:spacing w:after="0"/>
              <w:rPr>
                <w:sz w:val="20"/>
                <w:szCs w:val="20"/>
                <w:color w:val="auto"/>
              </w:rPr>
            </w:pPr>
            <w:r>
              <w:rPr>
                <w:rFonts w:ascii="Arial" w:cs="Arial" w:eastAsia="Arial" w:hAnsi="Arial"/>
                <w:sz w:val="16"/>
                <w:szCs w:val="16"/>
                <w:color w:val="auto"/>
                <w:w w:val="99"/>
              </w:rPr>
              <w:t>2,874</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2,982</w:t>
            </w:r>
          </w:p>
        </w:tc>
      </w:tr>
      <w:tr>
        <w:trPr>
          <w:trHeight w:val="216"/>
        </w:trPr>
        <w:tc>
          <w:tcPr>
            <w:tcW w:w="50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Women in executive leadership positions </w:t>
            </w:r>
            <w:r>
              <w:rPr>
                <w:rFonts w:ascii="Arial" w:cs="Arial" w:eastAsia="Arial" w:hAnsi="Arial"/>
                <w:sz w:val="21"/>
                <w:szCs w:val="21"/>
                <w:color w:val="auto"/>
                <w:vertAlign w:val="superscript"/>
              </w:rPr>
              <w:t>(a)</w:t>
            </w:r>
          </w:p>
        </w:tc>
        <w:tc>
          <w:tcPr>
            <w:tcW w:w="3520" w:type="dxa"/>
            <w:vAlign w:val="bottom"/>
          </w:tcPr>
          <w:p>
            <w:pPr>
              <w:jc w:val="center"/>
              <w:ind w:left="759"/>
              <w:spacing w:after="0"/>
              <w:rPr>
                <w:sz w:val="20"/>
                <w:szCs w:val="20"/>
                <w:color w:val="auto"/>
              </w:rPr>
            </w:pPr>
            <w:r>
              <w:rPr>
                <w:rFonts w:ascii="Arial" w:cs="Arial" w:eastAsia="Arial" w:hAnsi="Arial"/>
                <w:sz w:val="16"/>
                <w:szCs w:val="16"/>
                <w:color w:val="auto"/>
                <w:w w:val="99"/>
              </w:rPr>
              <w:t>29%</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33%</w:t>
            </w:r>
          </w:p>
        </w:tc>
      </w:tr>
      <w:tr>
        <w:trPr>
          <w:trHeight w:val="216"/>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Gender diversity (women as a % of total employees)</w:t>
            </w:r>
          </w:p>
        </w:tc>
        <w:tc>
          <w:tcPr>
            <w:tcW w:w="3520" w:type="dxa"/>
            <w:vAlign w:val="bottom"/>
            <w:shd w:val="clear" w:color="auto" w:fill="CFF0FC"/>
          </w:tcPr>
          <w:p>
            <w:pPr>
              <w:jc w:val="center"/>
              <w:ind w:left="759"/>
              <w:spacing w:after="0"/>
              <w:rPr>
                <w:sz w:val="20"/>
                <w:szCs w:val="20"/>
                <w:color w:val="auto"/>
              </w:rPr>
            </w:pPr>
            <w:r>
              <w:rPr>
                <w:rFonts w:ascii="Arial" w:cs="Arial" w:eastAsia="Arial" w:hAnsi="Arial"/>
                <w:sz w:val="16"/>
                <w:szCs w:val="16"/>
                <w:color w:val="auto"/>
                <w:w w:val="99"/>
              </w:rPr>
              <w:t>24%</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25%</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Represented by a union</w:t>
            </w:r>
          </w:p>
        </w:tc>
        <w:tc>
          <w:tcPr>
            <w:tcW w:w="3520" w:type="dxa"/>
            <w:vAlign w:val="bottom"/>
          </w:tcPr>
          <w:p>
            <w:pPr>
              <w:jc w:val="center"/>
              <w:ind w:left="759"/>
              <w:spacing w:after="0"/>
              <w:rPr>
                <w:sz w:val="20"/>
                <w:szCs w:val="20"/>
                <w:color w:val="auto"/>
              </w:rPr>
            </w:pPr>
            <w:r>
              <w:rPr>
                <w:rFonts w:ascii="Arial" w:cs="Arial" w:eastAsia="Arial" w:hAnsi="Arial"/>
                <w:sz w:val="16"/>
                <w:szCs w:val="16"/>
                <w:color w:val="auto"/>
                <w:w w:val="99"/>
              </w:rPr>
              <w:t>25%</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25%</w:t>
            </w:r>
          </w:p>
        </w:tc>
      </w:tr>
      <w:tr>
        <w:trPr>
          <w:trHeight w:val="217"/>
        </w:trPr>
        <w:tc>
          <w:tcPr>
            <w:tcW w:w="5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Military veterans</w:t>
            </w:r>
          </w:p>
        </w:tc>
        <w:tc>
          <w:tcPr>
            <w:tcW w:w="3520" w:type="dxa"/>
            <w:vAlign w:val="bottom"/>
            <w:shd w:val="clear" w:color="auto" w:fill="CFF0FC"/>
          </w:tcPr>
          <w:p>
            <w:pPr>
              <w:jc w:val="center"/>
              <w:ind w:left="759"/>
              <w:spacing w:after="0"/>
              <w:rPr>
                <w:sz w:val="20"/>
                <w:szCs w:val="20"/>
                <w:color w:val="auto"/>
              </w:rPr>
            </w:pPr>
            <w:r>
              <w:rPr>
                <w:rFonts w:ascii="Arial" w:cs="Arial" w:eastAsia="Arial" w:hAnsi="Arial"/>
                <w:sz w:val="16"/>
                <w:szCs w:val="16"/>
                <w:color w:val="auto"/>
                <w:w w:val="99"/>
              </w:rPr>
              <w:t>10%</w:t>
            </w:r>
          </w:p>
        </w:tc>
        <w:tc>
          <w:tcPr>
            <w:tcW w:w="2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11%</w:t>
            </w:r>
          </w:p>
        </w:tc>
      </w:tr>
      <w:tr>
        <w:trPr>
          <w:trHeight w:val="215"/>
        </w:trPr>
        <w:tc>
          <w:tcPr>
            <w:tcW w:w="5080" w:type="dxa"/>
            <w:vAlign w:val="bottom"/>
          </w:tcPr>
          <w:p>
            <w:pPr>
              <w:ind w:left="20"/>
              <w:spacing w:after="0"/>
              <w:rPr>
                <w:sz w:val="20"/>
                <w:szCs w:val="20"/>
                <w:color w:val="auto"/>
              </w:rPr>
            </w:pPr>
            <w:r>
              <w:rPr>
                <w:rFonts w:ascii="Arial" w:cs="Arial" w:eastAsia="Arial" w:hAnsi="Arial"/>
                <w:sz w:val="16"/>
                <w:szCs w:val="16"/>
                <w:color w:val="auto"/>
              </w:rPr>
              <w:t>Ethnic diversity (non-white employees as a % of total)</w:t>
            </w:r>
          </w:p>
        </w:tc>
        <w:tc>
          <w:tcPr>
            <w:tcW w:w="3520" w:type="dxa"/>
            <w:vAlign w:val="bottom"/>
          </w:tcPr>
          <w:p>
            <w:pPr>
              <w:jc w:val="center"/>
              <w:ind w:left="759"/>
              <w:spacing w:after="0"/>
              <w:rPr>
                <w:sz w:val="20"/>
                <w:szCs w:val="20"/>
                <w:color w:val="auto"/>
              </w:rPr>
            </w:pPr>
            <w:r>
              <w:rPr>
                <w:rFonts w:ascii="Arial" w:cs="Arial" w:eastAsia="Arial" w:hAnsi="Arial"/>
                <w:sz w:val="16"/>
                <w:szCs w:val="16"/>
                <w:color w:val="auto"/>
                <w:w w:val="99"/>
              </w:rPr>
              <w:t>15%</w:t>
            </w:r>
          </w:p>
        </w:tc>
        <w:tc>
          <w:tcPr>
            <w:tcW w:w="2640" w:type="dxa"/>
            <w:vAlign w:val="bottom"/>
          </w:tcPr>
          <w:p>
            <w:pPr>
              <w:jc w:val="center"/>
              <w:spacing w:after="0"/>
              <w:rPr>
                <w:sz w:val="20"/>
                <w:szCs w:val="20"/>
                <w:color w:val="auto"/>
              </w:rPr>
            </w:pPr>
            <w:r>
              <w:rPr>
                <w:rFonts w:ascii="Arial" w:cs="Arial" w:eastAsia="Arial" w:hAnsi="Arial"/>
                <w:sz w:val="16"/>
                <w:szCs w:val="16"/>
                <w:color w:val="auto"/>
                <w:w w:val="99"/>
              </w:rPr>
              <w:t>14%</w:t>
            </w:r>
          </w:p>
        </w:tc>
      </w:tr>
    </w:tbl>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40" w:type="dxa"/>
            <w:vAlign w:val="bottom"/>
          </w:tcPr>
          <w:p>
            <w:pPr>
              <w:spacing w:after="0"/>
              <w:rPr>
                <w:sz w:val="16"/>
                <w:szCs w:val="16"/>
                <w:color w:val="auto"/>
              </w:rPr>
            </w:pPr>
          </w:p>
        </w:tc>
        <w:tc>
          <w:tcPr>
            <w:tcW w:w="2620" w:type="dxa"/>
            <w:vAlign w:val="bottom"/>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2680" w:type="dxa"/>
            <w:vAlign w:val="bottom"/>
          </w:tcPr>
          <w:p>
            <w:pPr>
              <w:ind w:left="60"/>
              <w:spacing w:after="0"/>
              <w:rPr>
                <w:sz w:val="20"/>
                <w:szCs w:val="20"/>
                <w:color w:val="auto"/>
              </w:rPr>
            </w:pPr>
            <w:r>
              <w:rPr>
                <w:rFonts w:ascii="Arial" w:cs="Arial" w:eastAsia="Arial" w:hAnsi="Arial"/>
                <w:sz w:val="16"/>
                <w:szCs w:val="16"/>
                <w:b w:val="1"/>
                <w:bCs w:val="1"/>
                <w:color w:val="auto"/>
              </w:rPr>
              <w:t>For the year ended December 31,</w:t>
            </w:r>
          </w:p>
        </w:tc>
      </w:tr>
      <w:tr>
        <w:trPr>
          <w:trHeight w:val="217"/>
        </w:trPr>
        <w:tc>
          <w:tcPr>
            <w:tcW w:w="5940" w:type="dxa"/>
            <w:vAlign w:val="bottom"/>
          </w:tcPr>
          <w:p>
            <w:pPr>
              <w:spacing w:after="0"/>
              <w:rPr>
                <w:sz w:val="18"/>
                <w:szCs w:val="18"/>
                <w:color w:val="auto"/>
              </w:rPr>
            </w:pPr>
          </w:p>
        </w:tc>
        <w:tc>
          <w:tcPr>
            <w:tcW w:w="2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210"/>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Number of external hires</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293</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487</w:t>
            </w: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color w:val="auto"/>
              </w:rPr>
              <w:t>External hires gender diversity (as a % of total external hires)</w:t>
            </w: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27%</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30%</w:t>
            </w:r>
          </w:p>
        </w:tc>
      </w:tr>
      <w:tr>
        <w:trPr>
          <w:trHeight w:val="217"/>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External hires ethnic diversity (as a % of total external hires)</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24%</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23%</w:t>
            </w:r>
          </w:p>
        </w:tc>
      </w:tr>
      <w:tr>
        <w:trPr>
          <w:trHeight w:val="216"/>
        </w:trPr>
        <w:tc>
          <w:tcPr>
            <w:tcW w:w="59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Turnover rate </w:t>
            </w:r>
            <w:r>
              <w:rPr>
                <w:rFonts w:ascii="Arial" w:cs="Arial" w:eastAsia="Arial" w:hAnsi="Arial"/>
                <w:sz w:val="21"/>
                <w:szCs w:val="21"/>
                <w:color w:val="auto"/>
                <w:vertAlign w:val="superscript"/>
              </w:rPr>
              <w:t>(b)</w:t>
            </w:r>
          </w:p>
        </w:tc>
        <w:tc>
          <w:tcPr>
            <w:tcW w:w="262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2680" w:type="dxa"/>
            <w:vAlign w:val="bottom"/>
          </w:tcPr>
          <w:p>
            <w:pPr>
              <w:jc w:val="center"/>
              <w:spacing w:after="0"/>
              <w:rPr>
                <w:sz w:val="20"/>
                <w:szCs w:val="20"/>
                <w:color w:val="auto"/>
              </w:rPr>
            </w:pPr>
            <w:r>
              <w:rPr>
                <w:rFonts w:ascii="Arial" w:cs="Arial" w:eastAsia="Arial" w:hAnsi="Arial"/>
                <w:sz w:val="16"/>
                <w:szCs w:val="16"/>
                <w:color w:val="auto"/>
                <w:w w:val="99"/>
              </w:rPr>
              <w:t>13%</w:t>
            </w:r>
          </w:p>
        </w:tc>
      </w:tr>
      <w:tr>
        <w:trPr>
          <w:trHeight w:val="216"/>
        </w:trPr>
        <w:tc>
          <w:tcPr>
            <w:tcW w:w="5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Retirement rate</w:t>
            </w:r>
          </w:p>
        </w:tc>
        <w:tc>
          <w:tcPr>
            <w:tcW w:w="26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26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142"/>
        </w:trPr>
        <w:tc>
          <w:tcPr>
            <w:tcW w:w="5940" w:type="dxa"/>
            <w:vAlign w:val="bottom"/>
          </w:tcPr>
          <w:p>
            <w:pPr>
              <w:spacing w:after="0"/>
              <w:rPr>
                <w:sz w:val="20"/>
                <w:szCs w:val="20"/>
                <w:color w:val="auto"/>
              </w:rPr>
            </w:pPr>
            <w:r>
              <w:rPr>
                <w:rFonts w:ascii="Arial" w:cs="Arial" w:eastAsia="Arial" w:hAnsi="Arial"/>
                <w:sz w:val="11"/>
                <w:szCs w:val="11"/>
                <w:color w:val="auto"/>
              </w:rPr>
              <w:t>____________________</w:t>
            </w:r>
          </w:p>
        </w:tc>
        <w:tc>
          <w:tcPr>
            <w:tcW w:w="2620" w:type="dxa"/>
            <w:vAlign w:val="bottom"/>
          </w:tcPr>
          <w:p>
            <w:pPr>
              <w:spacing w:after="0"/>
              <w:rPr>
                <w:sz w:val="12"/>
                <w:szCs w:val="12"/>
                <w:color w:val="auto"/>
              </w:rPr>
            </w:pPr>
          </w:p>
        </w:tc>
        <w:tc>
          <w:tcPr>
            <w:tcW w:w="2680" w:type="dxa"/>
            <w:vAlign w:val="bottom"/>
          </w:tcPr>
          <w:p>
            <w:pPr>
              <w:spacing w:after="0"/>
              <w:rPr>
                <w:sz w:val="12"/>
                <w:szCs w:val="12"/>
                <w:color w:val="auto"/>
              </w:rPr>
            </w:pPr>
          </w:p>
        </w:tc>
      </w:tr>
    </w:tbl>
    <w:p>
      <w:pPr>
        <w:spacing w:after="0" w:line="11"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Executive leadership positions are defined as positions with Vice President, Senior Vice President or Chief in their title.</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voluntary and involuntary separations but excludes internships.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20" w:type="dxa"/>
            <w:vAlign w:val="bottom"/>
          </w:tcPr>
          <w:p>
            <w:pPr>
              <w:spacing w:after="0"/>
              <w:rPr>
                <w:sz w:val="20"/>
                <w:szCs w:val="20"/>
                <w:color w:val="auto"/>
              </w:rPr>
            </w:pPr>
            <w:r>
              <w:rPr>
                <w:rFonts w:ascii="Arial" w:cs="Arial" w:eastAsia="Arial" w:hAnsi="Arial"/>
                <w:sz w:val="16"/>
                <w:szCs w:val="16"/>
                <w:i w:val="1"/>
                <w:iCs w:val="1"/>
                <w:color w:val="auto"/>
              </w:rPr>
              <w:t>Total Employees</w:t>
            </w:r>
          </w:p>
        </w:tc>
        <w:tc>
          <w:tcPr>
            <w:tcW w:w="3920" w:type="dxa"/>
            <w:vAlign w:val="bottom"/>
          </w:tcPr>
          <w:p>
            <w:pPr>
              <w:spacing w:after="0"/>
              <w:rPr>
                <w:sz w:val="18"/>
                <w:szCs w:val="18"/>
                <w:color w:val="auto"/>
              </w:rPr>
            </w:pPr>
          </w:p>
        </w:tc>
      </w:tr>
      <w:tr>
        <w:trPr>
          <w:trHeight w:val="393"/>
        </w:trPr>
        <w:tc>
          <w:tcPr>
            <w:tcW w:w="7320" w:type="dxa"/>
            <w:vAlign w:val="bottom"/>
          </w:tcPr>
          <w:p>
            <w:pPr>
              <w:spacing w:after="0"/>
              <w:rPr>
                <w:sz w:val="24"/>
                <w:szCs w:val="24"/>
                <w:color w:val="auto"/>
              </w:rPr>
            </w:pPr>
          </w:p>
        </w:tc>
        <w:tc>
          <w:tcPr>
            <w:tcW w:w="3920" w:type="dxa"/>
            <w:vAlign w:val="bottom"/>
          </w:tcPr>
          <w:p>
            <w:pPr>
              <w:jc w:val="right"/>
              <w:ind w:right="1079"/>
              <w:spacing w:after="0"/>
              <w:rPr>
                <w:sz w:val="20"/>
                <w:szCs w:val="20"/>
                <w:color w:val="auto"/>
              </w:rPr>
            </w:pPr>
            <w:r>
              <w:rPr>
                <w:rFonts w:ascii="Arial" w:cs="Arial" w:eastAsia="Arial" w:hAnsi="Arial"/>
                <w:sz w:val="16"/>
                <w:szCs w:val="16"/>
                <w:b w:val="1"/>
                <w:bCs w:val="1"/>
                <w:color w:val="auto"/>
              </w:rPr>
              <w:t>Number of Employees</w:t>
            </w:r>
          </w:p>
        </w:tc>
      </w:tr>
      <w:tr>
        <w:trPr>
          <w:trHeight w:val="217"/>
        </w:trPr>
        <w:tc>
          <w:tcPr>
            <w:tcW w:w="7320" w:type="dxa"/>
            <w:vAlign w:val="bottom"/>
          </w:tcPr>
          <w:p>
            <w:pPr>
              <w:spacing w:after="0"/>
              <w:rPr>
                <w:sz w:val="18"/>
                <w:szCs w:val="18"/>
                <w:color w:val="auto"/>
              </w:rPr>
            </w:pPr>
          </w:p>
        </w:tc>
        <w:tc>
          <w:tcPr>
            <w:tcW w:w="392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As of December 31, 2023</w:t>
            </w:r>
          </w:p>
        </w:tc>
      </w:tr>
      <w:tr>
        <w:trPr>
          <w:trHeight w:val="210"/>
        </w:trPr>
        <w:tc>
          <w:tcPr>
            <w:tcW w:w="7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3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425</w:t>
            </w:r>
          </w:p>
        </w:tc>
      </w:tr>
      <w:tr>
        <w:trPr>
          <w:trHeight w:val="215"/>
        </w:trPr>
        <w:tc>
          <w:tcPr>
            <w:tcW w:w="7320" w:type="dxa"/>
            <w:vAlign w:val="bottom"/>
          </w:tcPr>
          <w:p>
            <w:pPr>
              <w:ind w:left="20"/>
              <w:spacing w:after="0"/>
              <w:rPr>
                <w:sz w:val="20"/>
                <w:szCs w:val="20"/>
                <w:color w:val="auto"/>
              </w:rPr>
            </w:pPr>
            <w:r>
              <w:rPr>
                <w:rFonts w:ascii="Arial" w:cs="Arial" w:eastAsia="Arial" w:hAnsi="Arial"/>
                <w:sz w:val="16"/>
                <w:szCs w:val="16"/>
                <w:color w:val="auto"/>
              </w:rPr>
              <w:t>Gas Utilities</w:t>
            </w:r>
          </w:p>
        </w:tc>
        <w:tc>
          <w:tcPr>
            <w:tcW w:w="3920" w:type="dxa"/>
            <w:vAlign w:val="bottom"/>
          </w:tcPr>
          <w:p>
            <w:pPr>
              <w:jc w:val="right"/>
              <w:ind w:right="39"/>
              <w:spacing w:after="0"/>
              <w:rPr>
                <w:sz w:val="20"/>
                <w:szCs w:val="20"/>
                <w:color w:val="auto"/>
              </w:rPr>
            </w:pPr>
            <w:r>
              <w:rPr>
                <w:rFonts w:ascii="Arial" w:cs="Arial" w:eastAsia="Arial" w:hAnsi="Arial"/>
                <w:sz w:val="16"/>
                <w:szCs w:val="16"/>
                <w:color w:val="auto"/>
              </w:rPr>
              <w:t>1,198</w:t>
            </w: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Corporate and Other</w:t>
            </w:r>
          </w:p>
        </w:tc>
        <w:tc>
          <w:tcPr>
            <w:tcW w:w="3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1,251</w:t>
            </w:r>
          </w:p>
        </w:tc>
      </w:tr>
      <w:tr>
        <w:trPr>
          <w:trHeight w:val="210"/>
        </w:trPr>
        <w:tc>
          <w:tcPr>
            <w:tcW w:w="7320" w:type="dxa"/>
            <w:vAlign w:val="bottom"/>
          </w:tcPr>
          <w:p>
            <w:pPr>
              <w:ind w:left="20"/>
              <w:spacing w:after="0"/>
              <w:rPr>
                <w:sz w:val="20"/>
                <w:szCs w:val="20"/>
                <w:color w:val="auto"/>
              </w:rPr>
            </w:pPr>
            <w:r>
              <w:rPr>
                <w:rFonts w:ascii="Arial" w:cs="Arial" w:eastAsia="Arial" w:hAnsi="Arial"/>
                <w:sz w:val="16"/>
                <w:szCs w:val="16"/>
                <w:color w:val="auto"/>
              </w:rPr>
              <w:t>Total</w:t>
            </w:r>
          </w:p>
        </w:tc>
        <w:tc>
          <w:tcPr>
            <w:tcW w:w="3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2,874</w:t>
            </w:r>
          </w:p>
        </w:tc>
      </w:tr>
      <w:tr>
        <w:trPr>
          <w:trHeight w:val="20"/>
        </w:trPr>
        <w:tc>
          <w:tcPr>
            <w:tcW w:w="73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At December 31, 2023, approximately 18% of our total employees and 20% of our Electric and Gas Utilities employees were eligible for retirement (age 55 with at least 5 years of service).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Collective Bargaining Agreements</w:t>
      </w:r>
    </w:p>
    <w:p>
      <w:pPr>
        <w:spacing w:after="0" w:line="19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At December 31, 2023, certain employees of our Electric Utilities and Gas Utilities were covered by the collective bargaining agreements as shown in the table below. We have not experienced any labor stoppages in decades.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1320" w:type="dxa"/>
            <w:vAlign w:val="bottom"/>
          </w:tcPr>
          <w:p>
            <w:pPr>
              <w:ind w:left="400"/>
              <w:spacing w:after="0"/>
              <w:rPr>
                <w:sz w:val="20"/>
                <w:szCs w:val="20"/>
                <w:color w:val="auto"/>
              </w:rPr>
            </w:pPr>
            <w:r>
              <w:rPr>
                <w:rFonts w:ascii="Arial" w:cs="Arial" w:eastAsia="Arial" w:hAnsi="Arial"/>
                <w:sz w:val="16"/>
                <w:szCs w:val="16"/>
                <w:b w:val="1"/>
                <w:bCs w:val="1"/>
                <w:color w:val="auto"/>
              </w:rPr>
              <w:t>Number of</w:t>
            </w:r>
          </w:p>
        </w:tc>
        <w:tc>
          <w:tcPr>
            <w:tcW w:w="4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3700" w:type="dxa"/>
            <w:vAlign w:val="bottom"/>
          </w:tcPr>
          <w:p>
            <w:pPr>
              <w:jc w:val="center"/>
              <w:ind w:left="139"/>
              <w:spacing w:after="0"/>
              <w:rPr>
                <w:sz w:val="20"/>
                <w:szCs w:val="20"/>
                <w:color w:val="auto"/>
              </w:rPr>
            </w:pPr>
            <w:r>
              <w:rPr>
                <w:rFonts w:ascii="Arial" w:cs="Arial" w:eastAsia="Arial" w:hAnsi="Arial"/>
                <w:sz w:val="16"/>
                <w:szCs w:val="16"/>
                <w:b w:val="1"/>
                <w:bCs w:val="1"/>
                <w:color w:val="auto"/>
              </w:rPr>
              <w:t>Expiration Date of Collective Bargaining</w:t>
            </w:r>
          </w:p>
        </w:tc>
        <w:tc>
          <w:tcPr>
            <w:tcW w:w="0" w:type="dxa"/>
            <w:vAlign w:val="bottom"/>
          </w:tcPr>
          <w:p>
            <w:pPr>
              <w:spacing w:after="0"/>
              <w:rPr>
                <w:sz w:val="1"/>
                <w:szCs w:val="1"/>
                <w:color w:val="auto"/>
              </w:rPr>
            </w:pPr>
          </w:p>
        </w:tc>
      </w:tr>
      <w:tr>
        <w:trPr>
          <w:trHeight w:val="217"/>
        </w:trPr>
        <w:tc>
          <w:tcPr>
            <w:tcW w:w="2560" w:type="dxa"/>
            <w:vAlign w:val="bottom"/>
            <w:tcBorders>
              <w:bottom w:val="single" w:sz="8" w:color="auto"/>
            </w:tcBorders>
          </w:tcPr>
          <w:p>
            <w:pPr>
              <w:ind w:left="1060"/>
              <w:spacing w:after="0"/>
              <w:rPr>
                <w:sz w:val="20"/>
                <w:szCs w:val="20"/>
                <w:color w:val="auto"/>
              </w:rPr>
            </w:pPr>
            <w:r>
              <w:rPr>
                <w:rFonts w:ascii="Arial" w:cs="Arial" w:eastAsia="Arial" w:hAnsi="Arial"/>
                <w:sz w:val="16"/>
                <w:szCs w:val="16"/>
                <w:b w:val="1"/>
                <w:bCs w:val="1"/>
                <w:color w:val="auto"/>
              </w:rPr>
              <w:t>Utility</w:t>
            </w: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rPr>
              <w:t>Employees</w:t>
            </w:r>
          </w:p>
        </w:tc>
        <w:tc>
          <w:tcPr>
            <w:tcW w:w="44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Union Affiliation</w:t>
            </w:r>
          </w:p>
        </w:tc>
        <w:tc>
          <w:tcPr>
            <w:tcW w:w="370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Agreement</w:t>
            </w:r>
          </w:p>
        </w:tc>
        <w:tc>
          <w:tcPr>
            <w:tcW w:w="0" w:type="dxa"/>
            <w:vAlign w:val="bottom"/>
          </w:tcPr>
          <w:p>
            <w:pPr>
              <w:spacing w:after="0"/>
              <w:rPr>
                <w:sz w:val="1"/>
                <w:szCs w:val="1"/>
                <w:color w:val="auto"/>
              </w:rPr>
            </w:pPr>
          </w:p>
        </w:tc>
      </w:tr>
      <w:tr>
        <w:trPr>
          <w:trHeight w:val="210"/>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w:t>
            </w:r>
          </w:p>
        </w:tc>
        <w:tc>
          <w:tcPr>
            <w:tcW w:w="32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IBEW Local 667</w:t>
            </w:r>
          </w:p>
        </w:tc>
        <w:tc>
          <w:tcPr>
            <w:tcW w:w="37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April 15, 2027</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132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122</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IBEW Local 1250</w:t>
            </w:r>
          </w:p>
        </w:tc>
        <w:tc>
          <w:tcPr>
            <w:tcW w:w="3700" w:type="dxa"/>
            <w:vAlign w:val="bottom"/>
          </w:tcPr>
          <w:p>
            <w:pPr>
              <w:jc w:val="center"/>
              <w:ind w:left="179"/>
              <w:spacing w:after="0"/>
              <w:rPr>
                <w:sz w:val="20"/>
                <w:szCs w:val="20"/>
                <w:color w:val="auto"/>
              </w:rPr>
            </w:pPr>
            <w:r>
              <w:rPr>
                <w:rFonts w:ascii="Arial" w:cs="Arial" w:eastAsia="Arial" w:hAnsi="Arial"/>
                <w:sz w:val="16"/>
                <w:szCs w:val="16"/>
                <w:color w:val="auto"/>
              </w:rPr>
              <w:t>March 31, 2027</w:t>
            </w:r>
          </w:p>
        </w:tc>
        <w:tc>
          <w:tcPr>
            <w:tcW w:w="0" w:type="dxa"/>
            <w:vAlign w:val="bottom"/>
          </w:tcPr>
          <w:p>
            <w:pPr>
              <w:spacing w:after="0"/>
              <w:rPr>
                <w:sz w:val="1"/>
                <w:szCs w:val="1"/>
                <w:color w:val="auto"/>
              </w:rPr>
            </w:pPr>
          </w:p>
        </w:tc>
      </w:tr>
      <w:tr>
        <w:trPr>
          <w:trHeight w:val="217"/>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13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3220" w:type="dxa"/>
            <w:vAlign w:val="bottom"/>
            <w:tcBorders>
              <w:bottom w:val="single" w:sz="8" w:color="CFF0FC"/>
            </w:tcBorders>
            <w:shd w:val="clear" w:color="auto" w:fill="CFF0FC"/>
          </w:tcPr>
          <w:p>
            <w:pPr>
              <w:jc w:val="center"/>
              <w:ind w:left="199"/>
              <w:spacing w:after="0"/>
              <w:rPr>
                <w:sz w:val="20"/>
                <w:szCs w:val="20"/>
                <w:color w:val="auto"/>
              </w:rPr>
            </w:pPr>
            <w:r>
              <w:rPr>
                <w:rFonts w:ascii="Arial" w:cs="Arial" w:eastAsia="Arial" w:hAnsi="Arial"/>
                <w:sz w:val="16"/>
                <w:szCs w:val="16"/>
                <w:color w:val="auto"/>
                <w:w w:val="99"/>
              </w:rPr>
              <w:t>IBEW Local 111</w:t>
            </w:r>
          </w:p>
        </w:tc>
        <w:tc>
          <w:tcPr>
            <w:tcW w:w="3700" w:type="dxa"/>
            <w:vAlign w:val="bottom"/>
            <w:tcBorders>
              <w:bottom w:val="single" w:sz="8" w:color="CFF0FC"/>
            </w:tcBorders>
            <w:shd w:val="clear" w:color="auto" w:fill="CFF0FC"/>
          </w:tcPr>
          <w:p>
            <w:pPr>
              <w:jc w:val="center"/>
              <w:ind w:left="179"/>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09"/>
        </w:trPr>
        <w:tc>
          <w:tcPr>
            <w:tcW w:w="2560" w:type="dxa"/>
            <w:vAlign w:val="bottom"/>
          </w:tcPr>
          <w:p>
            <w:pPr>
              <w:ind w:left="20"/>
              <w:spacing w:after="0"/>
              <w:rPr>
                <w:sz w:val="20"/>
                <w:szCs w:val="20"/>
                <w:color w:val="auto"/>
              </w:rPr>
            </w:pPr>
            <w:r>
              <w:rPr>
                <w:rFonts w:ascii="Arial" w:cs="Arial" w:eastAsia="Arial" w:hAnsi="Arial"/>
                <w:sz w:val="16"/>
                <w:szCs w:val="16"/>
                <w:b w:val="1"/>
                <w:bCs w:val="1"/>
                <w:color w:val="auto"/>
              </w:rPr>
              <w:t>Total Electric Utilities</w:t>
            </w: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259</w:t>
            </w:r>
          </w:p>
        </w:tc>
        <w:tc>
          <w:tcPr>
            <w:tcW w:w="3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129</w:t>
            </w:r>
          </w:p>
        </w:tc>
        <w:tc>
          <w:tcPr>
            <w:tcW w:w="32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IBEW Local 204</w:t>
            </w:r>
          </w:p>
        </w:tc>
        <w:tc>
          <w:tcPr>
            <w:tcW w:w="37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January 31, 2026</w:t>
            </w:r>
          </w:p>
        </w:tc>
        <w:tc>
          <w:tcPr>
            <w:tcW w:w="0" w:type="dxa"/>
            <w:vAlign w:val="bottom"/>
          </w:tcPr>
          <w:p>
            <w:pPr>
              <w:spacing w:after="0"/>
              <w:rPr>
                <w:sz w:val="1"/>
                <w:szCs w:val="1"/>
                <w:color w:val="auto"/>
              </w:rPr>
            </w:pPr>
          </w:p>
        </w:tc>
      </w:tr>
      <w:tr>
        <w:trPr>
          <w:trHeight w:val="188"/>
        </w:trPr>
        <w:tc>
          <w:tcPr>
            <w:tcW w:w="2560" w:type="dxa"/>
            <w:vAlign w:val="bottom"/>
            <w:vMerge w:val="restart"/>
          </w:tcPr>
          <w:p>
            <w:pPr>
              <w:ind w:left="20"/>
              <w:spacing w:after="0"/>
              <w:rPr>
                <w:sz w:val="20"/>
                <w:szCs w:val="20"/>
                <w:color w:val="auto"/>
              </w:rPr>
            </w:pPr>
            <w:r>
              <w:rPr>
                <w:rFonts w:ascii="Arial" w:cs="Arial" w:eastAsia="Arial" w:hAnsi="Arial"/>
                <w:sz w:val="16"/>
                <w:szCs w:val="16"/>
                <w:color w:val="auto"/>
              </w:rPr>
              <w:t>Kansas Gas</w:t>
            </w:r>
          </w:p>
        </w:tc>
        <w:tc>
          <w:tcPr>
            <w:tcW w:w="1320" w:type="dxa"/>
            <w:vAlign w:val="bottom"/>
          </w:tcPr>
          <w:p>
            <w:pPr>
              <w:spacing w:after="0"/>
              <w:rPr>
                <w:sz w:val="16"/>
                <w:szCs w:val="16"/>
                <w:color w:val="auto"/>
              </w:rPr>
            </w:pPr>
          </w:p>
        </w:tc>
        <w:tc>
          <w:tcPr>
            <w:tcW w:w="440" w:type="dxa"/>
            <w:vAlign w:val="bottom"/>
            <w:vMerge w:val="restart"/>
          </w:tcPr>
          <w:p>
            <w:pPr>
              <w:jc w:val="right"/>
              <w:ind w:right="39"/>
              <w:spacing w:after="0"/>
              <w:rPr>
                <w:sz w:val="20"/>
                <w:szCs w:val="20"/>
                <w:color w:val="auto"/>
              </w:rPr>
            </w:pPr>
            <w:r>
              <w:rPr>
                <w:rFonts w:ascii="Arial" w:cs="Arial" w:eastAsia="Arial" w:hAnsi="Arial"/>
                <w:sz w:val="16"/>
                <w:szCs w:val="16"/>
                <w:color w:val="auto"/>
              </w:rPr>
              <w:t>15</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rPr>
              <w:t>Communications Workers of</w:t>
            </w:r>
          </w:p>
        </w:tc>
        <w:tc>
          <w:tcPr>
            <w:tcW w:w="3700" w:type="dxa"/>
            <w:vAlign w:val="bottom"/>
            <w:vMerge w:val="restart"/>
          </w:tcPr>
          <w:p>
            <w:pPr>
              <w:jc w:val="center"/>
              <w:ind w:left="179"/>
              <w:spacing w:after="0"/>
              <w:rPr>
                <w:sz w:val="20"/>
                <w:szCs w:val="20"/>
                <w:color w:val="auto"/>
              </w:rPr>
            </w:pPr>
            <w:r>
              <w:rPr>
                <w:rFonts w:ascii="Arial" w:cs="Arial" w:eastAsia="Arial" w:hAnsi="Arial"/>
                <w:sz w:val="16"/>
                <w:szCs w:val="16"/>
                <w:color w:val="auto"/>
              </w:rPr>
              <w:t>December 31, 2024</w:t>
            </w:r>
          </w:p>
        </w:tc>
        <w:tc>
          <w:tcPr>
            <w:tcW w:w="0" w:type="dxa"/>
            <w:vAlign w:val="bottom"/>
          </w:tcPr>
          <w:p>
            <w:pPr>
              <w:spacing w:after="0"/>
              <w:rPr>
                <w:sz w:val="1"/>
                <w:szCs w:val="1"/>
                <w:color w:val="auto"/>
              </w:rPr>
            </w:pPr>
          </w:p>
        </w:tc>
      </w:tr>
      <w:tr>
        <w:trPr>
          <w:trHeight w:val="120"/>
        </w:trPr>
        <w:tc>
          <w:tcPr>
            <w:tcW w:w="2560" w:type="dxa"/>
            <w:vAlign w:val="bottom"/>
            <w:vMerge w:val="continue"/>
          </w:tcPr>
          <w:p>
            <w:pPr>
              <w:spacing w:after="0"/>
              <w:rPr>
                <w:sz w:val="10"/>
                <w:szCs w:val="10"/>
                <w:color w:val="auto"/>
              </w:rPr>
            </w:pPr>
          </w:p>
        </w:tc>
        <w:tc>
          <w:tcPr>
            <w:tcW w:w="13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3220" w:type="dxa"/>
            <w:vAlign w:val="bottom"/>
            <w:vMerge w:val="restart"/>
          </w:tcPr>
          <w:p>
            <w:pPr>
              <w:jc w:val="center"/>
              <w:ind w:left="179"/>
              <w:spacing w:after="0"/>
              <w:rPr>
                <w:sz w:val="20"/>
                <w:szCs w:val="20"/>
                <w:color w:val="auto"/>
              </w:rPr>
            </w:pPr>
            <w:r>
              <w:rPr>
                <w:rFonts w:ascii="Arial" w:cs="Arial" w:eastAsia="Arial" w:hAnsi="Arial"/>
                <w:sz w:val="16"/>
                <w:szCs w:val="16"/>
                <w:color w:val="auto"/>
              </w:rPr>
              <w:t>America, AFL-CIO Local 6407</w:t>
            </w:r>
          </w:p>
        </w:tc>
        <w:tc>
          <w:tcPr>
            <w:tcW w:w="3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56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20" w:type="dxa"/>
            <w:vAlign w:val="bottom"/>
            <w:vMerge w:val="continue"/>
          </w:tcPr>
          <w:p>
            <w:pPr>
              <w:spacing w:after="0"/>
              <w:rPr>
                <w:sz w:val="8"/>
                <w:szCs w:val="8"/>
                <w:color w:val="auto"/>
              </w:rPr>
            </w:pPr>
          </w:p>
        </w:tc>
        <w:tc>
          <w:tcPr>
            <w:tcW w:w="3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w:t>
            </w:r>
          </w:p>
        </w:tc>
        <w:tc>
          <w:tcPr>
            <w:tcW w:w="322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IBEW Local 244</w:t>
            </w:r>
          </w:p>
        </w:tc>
        <w:tc>
          <w:tcPr>
            <w:tcW w:w="37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March 13, 2025</w:t>
            </w:r>
          </w:p>
        </w:tc>
        <w:tc>
          <w:tcPr>
            <w:tcW w:w="0" w:type="dxa"/>
            <w:vAlign w:val="bottom"/>
          </w:tcPr>
          <w:p>
            <w:pPr>
              <w:spacing w:after="0"/>
              <w:rPr>
                <w:sz w:val="1"/>
                <w:szCs w:val="1"/>
                <w:color w:val="auto"/>
              </w:rPr>
            </w:pPr>
          </w:p>
        </w:tc>
      </w:tr>
      <w:tr>
        <w:trPr>
          <w:trHeight w:val="215"/>
        </w:trPr>
        <w:tc>
          <w:tcPr>
            <w:tcW w:w="2560" w:type="dxa"/>
            <w:vAlign w:val="bottom"/>
          </w:tcPr>
          <w:p>
            <w:pPr>
              <w:ind w:left="20"/>
              <w:spacing w:after="0"/>
              <w:rPr>
                <w:sz w:val="20"/>
                <w:szCs w:val="20"/>
                <w:color w:val="auto"/>
              </w:rPr>
            </w:pPr>
            <w:r>
              <w:rPr>
                <w:rFonts w:ascii="Arial" w:cs="Arial" w:eastAsia="Arial" w:hAnsi="Arial"/>
                <w:sz w:val="16"/>
                <w:szCs w:val="16"/>
                <w:color w:val="auto"/>
              </w:rPr>
              <w:t>Nebraska Gas</w:t>
            </w:r>
          </w:p>
        </w:tc>
        <w:tc>
          <w:tcPr>
            <w:tcW w:w="1320" w:type="dxa"/>
            <w:vAlign w:val="bottom"/>
          </w:tcPr>
          <w:p>
            <w:pPr>
              <w:spacing w:after="0"/>
              <w:rPr>
                <w:sz w:val="18"/>
                <w:szCs w:val="18"/>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134</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w w:val="99"/>
              </w:rPr>
              <w:t>CWA Local 7476</w:t>
            </w:r>
          </w:p>
        </w:tc>
        <w:tc>
          <w:tcPr>
            <w:tcW w:w="3700" w:type="dxa"/>
            <w:vAlign w:val="bottom"/>
          </w:tcPr>
          <w:p>
            <w:pPr>
              <w:jc w:val="center"/>
              <w:ind w:left="179"/>
              <w:spacing w:after="0"/>
              <w:rPr>
                <w:sz w:val="20"/>
                <w:szCs w:val="20"/>
                <w:color w:val="auto"/>
              </w:rPr>
            </w:pPr>
            <w:r>
              <w:rPr>
                <w:rFonts w:ascii="Arial" w:cs="Arial" w:eastAsia="Arial" w:hAnsi="Arial"/>
                <w:sz w:val="16"/>
                <w:szCs w:val="16"/>
                <w:color w:val="auto"/>
              </w:rPr>
              <w:t>October 30, 2026</w:t>
            </w:r>
          </w:p>
        </w:tc>
        <w:tc>
          <w:tcPr>
            <w:tcW w:w="0" w:type="dxa"/>
            <w:vAlign w:val="bottom"/>
          </w:tcPr>
          <w:p>
            <w:pPr>
              <w:spacing w:after="0"/>
              <w:rPr>
                <w:sz w:val="1"/>
                <w:szCs w:val="1"/>
                <w:color w:val="auto"/>
              </w:rPr>
            </w:pPr>
          </w:p>
        </w:tc>
      </w:tr>
      <w:tr>
        <w:trPr>
          <w:trHeight w:val="217"/>
        </w:trPr>
        <w:tc>
          <w:tcPr>
            <w:tcW w:w="2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Gas</w:t>
            </w:r>
          </w:p>
        </w:tc>
        <w:tc>
          <w:tcPr>
            <w:tcW w:w="13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w:t>
            </w:r>
          </w:p>
        </w:tc>
        <w:tc>
          <w:tcPr>
            <w:tcW w:w="3220" w:type="dxa"/>
            <w:vAlign w:val="bottom"/>
            <w:shd w:val="clear" w:color="auto" w:fill="CFF0FC"/>
          </w:tcPr>
          <w:p>
            <w:pPr>
              <w:jc w:val="center"/>
              <w:ind w:left="199"/>
              <w:spacing w:after="0"/>
              <w:rPr>
                <w:sz w:val="20"/>
                <w:szCs w:val="20"/>
                <w:color w:val="auto"/>
              </w:rPr>
            </w:pPr>
            <w:r>
              <w:rPr>
                <w:rFonts w:ascii="Arial" w:cs="Arial" w:eastAsia="Arial" w:hAnsi="Arial"/>
                <w:sz w:val="16"/>
                <w:szCs w:val="16"/>
                <w:color w:val="auto"/>
                <w:w w:val="99"/>
              </w:rPr>
              <w:t>IBEW Local 111</w:t>
            </w:r>
          </w:p>
        </w:tc>
        <w:tc>
          <w:tcPr>
            <w:tcW w:w="370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rPr>
              <w:t>June 30, 2024</w:t>
            </w:r>
          </w:p>
        </w:tc>
        <w:tc>
          <w:tcPr>
            <w:tcW w:w="0" w:type="dxa"/>
            <w:vAlign w:val="bottom"/>
          </w:tcPr>
          <w:p>
            <w:pPr>
              <w:spacing w:after="0"/>
              <w:rPr>
                <w:sz w:val="1"/>
                <w:szCs w:val="1"/>
                <w:color w:val="auto"/>
              </w:rPr>
            </w:pPr>
          </w:p>
        </w:tc>
      </w:tr>
      <w:tr>
        <w:trPr>
          <w:trHeight w:val="216"/>
        </w:trPr>
        <w:tc>
          <w:tcPr>
            <w:tcW w:w="256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3220" w:type="dxa"/>
            <w:vAlign w:val="bottom"/>
          </w:tcPr>
          <w:p>
            <w:pPr>
              <w:jc w:val="center"/>
              <w:ind w:left="179"/>
              <w:spacing w:after="0"/>
              <w:rPr>
                <w:sz w:val="20"/>
                <w:szCs w:val="20"/>
                <w:color w:val="auto"/>
              </w:rPr>
            </w:pPr>
            <w:r>
              <w:rPr>
                <w:rFonts w:ascii="Arial" w:cs="Arial" w:eastAsia="Arial" w:hAnsi="Arial"/>
                <w:sz w:val="16"/>
                <w:szCs w:val="16"/>
                <w:color w:val="auto"/>
                <w:w w:val="99"/>
              </w:rPr>
              <w:t>CWA Local 7476</w:t>
            </w:r>
          </w:p>
        </w:tc>
        <w:tc>
          <w:tcPr>
            <w:tcW w:w="3700" w:type="dxa"/>
            <w:vAlign w:val="bottom"/>
          </w:tcPr>
          <w:p>
            <w:pPr>
              <w:jc w:val="center"/>
              <w:ind w:left="179"/>
              <w:spacing w:after="0"/>
              <w:rPr>
                <w:sz w:val="20"/>
                <w:szCs w:val="20"/>
                <w:color w:val="auto"/>
              </w:rPr>
            </w:pPr>
            <w:r>
              <w:rPr>
                <w:rFonts w:ascii="Arial" w:cs="Arial" w:eastAsia="Arial" w:hAnsi="Arial"/>
                <w:sz w:val="16"/>
                <w:szCs w:val="16"/>
                <w:color w:val="auto"/>
              </w:rPr>
              <w:t>October 30, 2026</w:t>
            </w:r>
          </w:p>
        </w:tc>
        <w:tc>
          <w:tcPr>
            <w:tcW w:w="0" w:type="dxa"/>
            <w:vAlign w:val="bottom"/>
          </w:tcPr>
          <w:p>
            <w:pPr>
              <w:spacing w:after="0"/>
              <w:rPr>
                <w:sz w:val="1"/>
                <w:szCs w:val="1"/>
                <w:color w:val="auto"/>
              </w:rPr>
            </w:pPr>
          </w:p>
        </w:tc>
      </w:tr>
      <w:tr>
        <w:trPr>
          <w:trHeight w:val="209"/>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Gas Utilities</w:t>
            </w:r>
          </w:p>
        </w:tc>
        <w:tc>
          <w:tcPr>
            <w:tcW w:w="13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466</w:t>
            </w:r>
          </w:p>
        </w:tc>
        <w:tc>
          <w:tcPr>
            <w:tcW w:w="3220" w:type="dxa"/>
            <w:vAlign w:val="bottom"/>
            <w:tcBorders>
              <w:bottom w:val="single" w:sz="8" w:color="CFF0FC"/>
            </w:tcBorders>
            <w:shd w:val="clear" w:color="auto" w:fill="CFF0FC"/>
          </w:tcPr>
          <w:p>
            <w:pPr>
              <w:spacing w:after="0"/>
              <w:rPr>
                <w:sz w:val="18"/>
                <w:szCs w:val="18"/>
                <w:color w:val="auto"/>
              </w:rPr>
            </w:pPr>
          </w:p>
        </w:tc>
        <w:tc>
          <w:tcPr>
            <w:tcW w:w="37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6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2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w:t>
            </w:r>
          </w:p>
        </w:tc>
        <w:tc>
          <w:tcPr>
            <w:tcW w:w="132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725</w:t>
            </w:r>
          </w:p>
        </w:tc>
        <w:tc>
          <w:tcPr>
            <w:tcW w:w="3220" w:type="dxa"/>
            <w:vAlign w:val="bottom"/>
            <w:tcBorders>
              <w:bottom w:val="single" w:sz="8" w:color="CFF0FC"/>
            </w:tcBorders>
            <w:shd w:val="clear" w:color="auto" w:fill="CFF0FC"/>
          </w:tcPr>
          <w:p>
            <w:pPr>
              <w:spacing w:after="0"/>
              <w:rPr>
                <w:sz w:val="21"/>
                <w:szCs w:val="21"/>
                <w:color w:val="auto"/>
              </w:rPr>
            </w:pPr>
          </w:p>
        </w:tc>
        <w:tc>
          <w:tcPr>
            <w:tcW w:w="37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-1696720</wp:posOffset>
            </wp:positionV>
            <wp:extent cx="220281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202815"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-316865</wp:posOffset>
            </wp:positionV>
            <wp:extent cx="22028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-25400</wp:posOffset>
            </wp:positionV>
            <wp:extent cx="22028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02815"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22028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Diversity, Equity &amp; Inclusion</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believe the benefits of diversity, equity and inclusion can be powerful, and we are committed to building a workforce whose diversity is representative of the communities we serve. Our recruiting strategies support our efforts to attract qualified individuals with targeted efforts to reach underrepresented talent. Our internship program and our partnerships and participation in outreach programs with local schools and colleges attract students to careers in the energy industry. Our commitment to equitable and inclusive hiring practices, including diverse candidate slates and interview panels and pay equity reviews, further supports our vision of retaining, attracting and cultivating an engaged and thriving team driven by improving life with energy. We continuously evaluate our recruitment strategies to determine their effectiveness to attract and build a talented, diverse workforce. Workforce diversity trends, which include new hires, promotions and turnover, are monitored at regular intervals throughout the year.</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Development and Retention</w:t>
      </w:r>
    </w:p>
    <w:p>
      <w:pPr>
        <w:spacing w:after="0" w:line="19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Developing and retaining talent is critical to our continued success. Our development and retention efforts include internal and external skills training, career development programs, and competitive compensation. Our compensation programs are designed to be strategically aligned, externally competitive, internally equitable, personally motivating, cost effective and legally compliant. We monitor employee engagement through bi-annual engagement surveys and quarterly pulse surveys. Every leader is responsible for creating and implementing an action plan based on their team’s engagement survey results. Our career development programs include management onboarding, leadership development programs, mentoring programs, individual development assessments, stretch opportunities, talent sharing and more. Internal training opportunities include corporate-wide and specialized training opportunities for different job functions. Our Field Career Path Program (FCPP) promotes career growth for our frontline customer-facing employees through established standards of knowledge, skills, abilities and performance.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Safety and Wellness</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Safety is one of our company values, a top priority in all we do and deeply embedded in our culture. Meetings of three or more employees begin with a safety share, a practice which contributes to keeping safety top of mind. Since 2009, we have reduced workplace injuries by more than 64% and continue to see long-term, sustained improvements in our safety practices and performance.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20" w:type="dxa"/>
            <w:vAlign w:val="bottom"/>
          </w:tcPr>
          <w:p>
            <w:pPr>
              <w:spacing w:after="0"/>
              <w:rPr>
                <w:sz w:val="16"/>
                <w:szCs w:val="16"/>
                <w:color w:val="auto"/>
              </w:rPr>
            </w:pPr>
          </w:p>
        </w:tc>
        <w:tc>
          <w:tcPr>
            <w:tcW w:w="3120" w:type="dxa"/>
            <w:vAlign w:val="bottom"/>
          </w:tcPr>
          <w:p>
            <w:pPr>
              <w:ind w:left="700"/>
              <w:spacing w:after="0"/>
              <w:rPr>
                <w:sz w:val="20"/>
                <w:szCs w:val="20"/>
                <w:color w:val="auto"/>
              </w:rPr>
            </w:pPr>
            <w:r>
              <w:rPr>
                <w:rFonts w:ascii="Arial" w:cs="Arial" w:eastAsia="Arial" w:hAnsi="Arial"/>
                <w:sz w:val="16"/>
                <w:szCs w:val="16"/>
                <w:b w:val="1"/>
                <w:bCs w:val="1"/>
                <w:color w:val="auto"/>
              </w:rPr>
              <w:t>For the year ended December</w:t>
            </w:r>
          </w:p>
        </w:tc>
      </w:tr>
      <w:tr>
        <w:trPr>
          <w:trHeight w:val="217"/>
        </w:trPr>
        <w:tc>
          <w:tcPr>
            <w:tcW w:w="812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b w:val="1"/>
                <w:bCs w:val="1"/>
                <w:color w:val="auto"/>
              </w:rPr>
              <w:t>31, 2023</w:t>
            </w:r>
          </w:p>
        </w:tc>
      </w:tr>
      <w:tr>
        <w:trPr>
          <w:trHeight w:val="210"/>
        </w:trPr>
        <w:tc>
          <w:tcPr>
            <w:tcW w:w="8120" w:type="dxa"/>
            <w:vAlign w:val="bottom"/>
            <w:shd w:val="clear" w:color="auto" w:fill="CFF0FC"/>
          </w:tcPr>
          <w:p>
            <w:pPr>
              <w:jc w:val="center"/>
              <w:ind w:left="519"/>
              <w:spacing w:after="0"/>
              <w:rPr>
                <w:sz w:val="20"/>
                <w:szCs w:val="20"/>
                <w:color w:val="auto"/>
              </w:rPr>
            </w:pPr>
            <w:r>
              <w:rPr>
                <w:rFonts w:ascii="Arial" w:cs="Arial" w:eastAsia="Arial" w:hAnsi="Arial"/>
                <w:sz w:val="16"/>
                <w:szCs w:val="16"/>
                <w:color w:val="auto"/>
              </w:rPr>
              <w:t>Total Case Incident Rate (incidents per 200,000 hours worked)</w:t>
            </w:r>
          </w:p>
        </w:tc>
        <w:tc>
          <w:tcPr>
            <w:tcW w:w="3120" w:type="dxa"/>
            <w:vAlign w:val="bottom"/>
            <w:shd w:val="clear" w:color="auto" w:fill="CFF0FC"/>
          </w:tcPr>
          <w:p>
            <w:pPr>
              <w:jc w:val="center"/>
              <w:ind w:left="519"/>
              <w:spacing w:after="0"/>
              <w:rPr>
                <w:sz w:val="20"/>
                <w:szCs w:val="20"/>
                <w:color w:val="auto"/>
              </w:rPr>
            </w:pPr>
            <w:r>
              <w:rPr>
                <w:rFonts w:ascii="Arial" w:cs="Arial" w:eastAsia="Arial" w:hAnsi="Arial"/>
                <w:sz w:val="16"/>
                <w:szCs w:val="16"/>
                <w:color w:val="auto"/>
              </w:rPr>
              <w:t>1.51</w:t>
            </w:r>
          </w:p>
        </w:tc>
      </w:tr>
      <w:tr>
        <w:trPr>
          <w:trHeight w:val="215"/>
        </w:trPr>
        <w:tc>
          <w:tcPr>
            <w:tcW w:w="8120" w:type="dxa"/>
            <w:vAlign w:val="bottom"/>
          </w:tcPr>
          <w:p>
            <w:pPr>
              <w:jc w:val="center"/>
              <w:ind w:left="519"/>
              <w:spacing w:after="0"/>
              <w:rPr>
                <w:sz w:val="20"/>
                <w:szCs w:val="20"/>
                <w:color w:val="auto"/>
              </w:rPr>
            </w:pPr>
            <w:r>
              <w:rPr>
                <w:rFonts w:ascii="Arial" w:cs="Arial" w:eastAsia="Arial" w:hAnsi="Arial"/>
                <w:sz w:val="16"/>
                <w:szCs w:val="16"/>
                <w:color w:val="auto"/>
              </w:rPr>
              <w:t>Preventable Motor Vehicle Incident Rate (vehicle accidents per 1 million miles driven)</w:t>
            </w:r>
          </w:p>
        </w:tc>
        <w:tc>
          <w:tcPr>
            <w:tcW w:w="3120" w:type="dxa"/>
            <w:vAlign w:val="bottom"/>
          </w:tcPr>
          <w:p>
            <w:pPr>
              <w:jc w:val="center"/>
              <w:ind w:left="519"/>
              <w:spacing w:after="0"/>
              <w:rPr>
                <w:sz w:val="20"/>
                <w:szCs w:val="20"/>
                <w:color w:val="auto"/>
              </w:rPr>
            </w:pPr>
            <w:r>
              <w:rPr>
                <w:rFonts w:ascii="Arial" w:cs="Arial" w:eastAsia="Arial" w:hAnsi="Arial"/>
                <w:sz w:val="16"/>
                <w:szCs w:val="16"/>
                <w:color w:val="auto"/>
              </w:rPr>
              <w:t>1.65</w:t>
            </w:r>
          </w:p>
        </w:tc>
      </w:tr>
      <w:tr>
        <w:trPr>
          <w:trHeight w:val="217"/>
        </w:trPr>
        <w:tc>
          <w:tcPr>
            <w:tcW w:w="8120" w:type="dxa"/>
            <w:vAlign w:val="bottom"/>
            <w:shd w:val="clear" w:color="auto" w:fill="CFF0FC"/>
          </w:tcPr>
          <w:p>
            <w:pPr>
              <w:jc w:val="center"/>
              <w:ind w:left="519"/>
              <w:spacing w:after="0"/>
              <w:rPr>
                <w:sz w:val="20"/>
                <w:szCs w:val="20"/>
                <w:color w:val="auto"/>
              </w:rPr>
            </w:pPr>
            <w:r>
              <w:rPr>
                <w:rFonts w:ascii="Arial" w:cs="Arial" w:eastAsia="Arial" w:hAnsi="Arial"/>
                <w:sz w:val="16"/>
                <w:szCs w:val="16"/>
                <w:color w:val="auto"/>
              </w:rPr>
              <w:t>Proactive Safety Activities per Employee</w:t>
            </w:r>
          </w:p>
        </w:tc>
        <w:tc>
          <w:tcPr>
            <w:tcW w:w="3120" w:type="dxa"/>
            <w:vAlign w:val="bottom"/>
            <w:shd w:val="clear" w:color="auto" w:fill="CFF0FC"/>
          </w:tcPr>
          <w:p>
            <w:pPr>
              <w:jc w:val="center"/>
              <w:ind w:left="519"/>
              <w:spacing w:after="0"/>
              <w:rPr>
                <w:sz w:val="20"/>
                <w:szCs w:val="20"/>
                <w:color w:val="auto"/>
              </w:rPr>
            </w:pPr>
            <w:r>
              <w:rPr>
                <w:rFonts w:ascii="Arial" w:cs="Arial" w:eastAsia="Arial" w:hAnsi="Arial"/>
                <w:sz w:val="16"/>
                <w:szCs w:val="16"/>
                <w:color w:val="auto"/>
                <w:w w:val="89"/>
              </w:rPr>
              <w:t>4</w:t>
            </w:r>
          </w:p>
        </w:tc>
      </w:tr>
      <w:tr>
        <w:trPr>
          <w:trHeight w:val="215"/>
        </w:trPr>
        <w:tc>
          <w:tcPr>
            <w:tcW w:w="8120" w:type="dxa"/>
            <w:vAlign w:val="bottom"/>
          </w:tcPr>
          <w:p>
            <w:pPr>
              <w:jc w:val="center"/>
              <w:ind w:left="519"/>
              <w:spacing w:after="0"/>
              <w:rPr>
                <w:sz w:val="20"/>
                <w:szCs w:val="20"/>
                <w:color w:val="auto"/>
              </w:rPr>
            </w:pPr>
            <w:r>
              <w:rPr>
                <w:rFonts w:ascii="Arial" w:cs="Arial" w:eastAsia="Arial" w:hAnsi="Arial"/>
                <w:sz w:val="16"/>
                <w:szCs w:val="16"/>
                <w:color w:val="auto"/>
              </w:rPr>
              <w:t>% of injuries reported within 1 day</w:t>
            </w:r>
          </w:p>
        </w:tc>
        <w:tc>
          <w:tcPr>
            <w:tcW w:w="3120" w:type="dxa"/>
            <w:vAlign w:val="bottom"/>
          </w:tcPr>
          <w:p>
            <w:pPr>
              <w:jc w:val="center"/>
              <w:ind w:left="499"/>
              <w:spacing w:after="0"/>
              <w:rPr>
                <w:sz w:val="20"/>
                <w:szCs w:val="20"/>
                <w:color w:val="auto"/>
              </w:rPr>
            </w:pPr>
            <w:r>
              <w:rPr>
                <w:rFonts w:ascii="Arial" w:cs="Arial" w:eastAsia="Arial" w:hAnsi="Arial"/>
                <w:sz w:val="16"/>
                <w:szCs w:val="16"/>
                <w:color w:val="auto"/>
              </w:rPr>
              <w:t>93.3%</w:t>
            </w:r>
          </w:p>
        </w:tc>
      </w:tr>
      <w:tr>
        <w:trPr>
          <w:trHeight w:val="418"/>
        </w:trPr>
        <w:tc>
          <w:tcPr>
            <w:tcW w:w="8120" w:type="dxa"/>
            <w:vAlign w:val="bottom"/>
          </w:tcPr>
          <w:p>
            <w:pPr>
              <w:jc w:val="right"/>
              <w:ind w:right="2319"/>
              <w:spacing w:after="0"/>
              <w:rPr>
                <w:sz w:val="20"/>
                <w:szCs w:val="20"/>
                <w:color w:val="auto"/>
              </w:rPr>
            </w:pPr>
            <w:r>
              <w:rPr>
                <w:rFonts w:ascii="Arial" w:cs="Arial" w:eastAsia="Arial" w:hAnsi="Arial"/>
                <w:sz w:val="16"/>
                <w:szCs w:val="16"/>
                <w:color w:val="auto"/>
              </w:rPr>
              <w:t>23</w:t>
            </w:r>
          </w:p>
        </w:tc>
        <w:tc>
          <w:tcPr>
            <w:tcW w:w="3120" w:type="dxa"/>
            <w:vAlign w:val="bottom"/>
          </w:tcPr>
          <w:p>
            <w:pPr>
              <w:spacing w:after="0"/>
              <w:rPr>
                <w:sz w:val="24"/>
                <w:szCs w:val="24"/>
                <w:color w:val="auto"/>
              </w:rPr>
            </w:pPr>
          </w:p>
        </w:tc>
      </w:tr>
      <w:tr>
        <w:trPr>
          <w:trHeight w:val="751"/>
        </w:trPr>
        <w:tc>
          <w:tcPr>
            <w:tcW w:w="812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94" w:lineRule="exact"/>
        <w:rPr>
          <w:sz w:val="20"/>
          <w:szCs w:val="20"/>
          <w:color w:val="auto"/>
        </w:rPr>
      </w:pPr>
    </w:p>
    <w:p>
      <w:pPr>
        <w:jc w:val="both"/>
        <w:ind w:right="160"/>
        <w:spacing w:after="0" w:line="266" w:lineRule="auto"/>
        <w:rPr>
          <w:sz w:val="20"/>
          <w:szCs w:val="20"/>
          <w:color w:val="auto"/>
        </w:rPr>
      </w:pPr>
      <w:r>
        <w:rPr>
          <w:rFonts w:ascii="Arial" w:cs="Arial" w:eastAsia="Arial" w:hAnsi="Arial"/>
          <w:sz w:val="16"/>
          <w:szCs w:val="16"/>
          <w:color w:val="auto"/>
        </w:rPr>
        <w:t>The nature of our business subjects us to a number of uncertainties and risks. Risks that may adversely affect our business operations, financial condition, results of operations or cash flows are described below. These risk factors, along with other risk factors that we discuss in our periodic reports filed with the SEC should be considered for a better understanding of our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STRATEGIC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continued success is dependent on execution of our business plan and growth strategy, including our capital investment program.</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 xml:space="preserve">Our continued success depends, in significant part, on our ability to execute our strategic business plans. Our strategy is centered on four critical priorities: </w:t>
      </w:r>
      <w:r>
        <w:rPr>
          <w:rFonts w:ascii="Arial" w:cs="Arial" w:eastAsia="Arial" w:hAnsi="Arial"/>
          <w:sz w:val="16"/>
          <w:szCs w:val="16"/>
          <w:i w:val="1"/>
          <w:iCs w:val="1"/>
          <w:color w:val="auto"/>
        </w:rPr>
        <w:t>Growth—</w:t>
      </w:r>
      <w:r>
        <w:rPr>
          <w:rFonts w:ascii="Arial" w:cs="Arial" w:eastAsia="Arial" w:hAnsi="Arial"/>
          <w:sz w:val="16"/>
          <w:szCs w:val="16"/>
          <w:color w:val="auto"/>
        </w:rPr>
        <w:t>to grow strategically and achieve strong financial performance,</w:t>
      </w:r>
      <w:r>
        <w:rPr>
          <w:rFonts w:ascii="Arial" w:cs="Arial" w:eastAsia="Arial" w:hAnsi="Arial"/>
          <w:sz w:val="16"/>
          <w:szCs w:val="16"/>
          <w:i w:val="1"/>
          <w:iCs w:val="1"/>
          <w:color w:val="auto"/>
        </w:rPr>
        <w:t xml:space="preserve"> Operational Excellence—</w:t>
      </w:r>
      <w:r>
        <w:rPr>
          <w:rFonts w:ascii="Arial" w:cs="Arial" w:eastAsia="Arial" w:hAnsi="Arial"/>
          <w:sz w:val="16"/>
          <w:szCs w:val="16"/>
          <w:color w:val="auto"/>
        </w:rPr>
        <w:t>delivering safe, reliable and cost-effective energy to meet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our customers’ needs,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positioned for growth, and </w:t>
      </w:r>
      <w:r>
        <w:rPr>
          <w:rFonts w:ascii="Arial" w:cs="Arial" w:eastAsia="Arial" w:hAnsi="Arial"/>
          <w:sz w:val="16"/>
          <w:szCs w:val="16"/>
          <w:i w:val="1"/>
          <w:iCs w:val="1"/>
          <w:color w:val="auto"/>
        </w:rPr>
        <w:t>People &amp; Culture</w:t>
      </w:r>
      <w:r>
        <w:rPr>
          <w:rFonts w:ascii="Arial" w:cs="Arial" w:eastAsia="Arial" w:hAnsi="Arial"/>
          <w:sz w:val="16"/>
          <w:szCs w:val="16"/>
          <w:color w:val="auto"/>
        </w:rPr>
        <w:t>—retain and attract a talented, engaged and thriving team. Our current plans and strategy may be negatively impacted by disruptive forces and innovations in the marketplace, workforce capabilities, changing political, business or regulatory conditions and technology advancements.</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addition, we have significant capital investment programs planned for the next five years that are key to our strategic business plans. The successful execution of our capital investment program depends on, or could be affected by, a variety of factors that include, but are not limited to: access to capital to fund projects, weather conditions, effective management of projects, availability of qualified construction personnel including contractors, changes in commodity and other prices, impacts of supply chain disruptions on availability and cost of materials, governmental approvals and permitting, regulatory cost recovery and return on investment.</w:t>
      </w:r>
    </w:p>
    <w:p>
      <w:pPr>
        <w:spacing w:after="0" w:line="153"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An inability to successfully and timely adapt to changing conditions and execute our strategic plans could materially affect our financial operating results including earnings, cash flow and liquidity.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LEGISLATIVE AND LEGAL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subject to unfavorable or untimely federal and state regulatory outcomes.</w:t>
      </w:r>
    </w:p>
    <w:p>
      <w:pPr>
        <w:spacing w:after="0" w:line="19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Our regulated Utilities are subject to cost-of-service/rate-of-return regulation and earnings oversight from federal and eight state utility commissions. This regulatory treatment does not provide any assurance as to achievement of desired earnings levels. Our customer rates are regulated based on an analysis of our costs and investments, as reviewed and approved in regulatory proceedings.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or timely recovery of our costs with a reasonable return on invested capital. In addition, adverse rate decisions, including rate moratoriums, rate refunds, limits on rate increases, lower allowed returns on investments or rate reductions, could be influenced by competitive, economic, political, legislative, public perception and regulatory pressures and adversely impact earnings, cash flow and liquidity.</w:t>
      </w:r>
    </w:p>
    <w:p>
      <w:pPr>
        <w:spacing w:after="0" w:line="156"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Each of our Utilities are permitted to recover certain costs (such as increased fuel and purchased power costs, including costs from certain severe weather events, or integrity capital investments) outside of a base rate review in order to stabilize customer rates and reduce regulatory lag. If regulators decide to discontinue these tariff-based recovery mechanisms, it could negatively impact earnings, cash flow and liquidity.</w:t>
      </w:r>
    </w:p>
    <w:p>
      <w:pPr>
        <w:spacing w:after="0" w:line="144" w:lineRule="exact"/>
        <w:rPr>
          <w:sz w:val="20"/>
          <w:szCs w:val="20"/>
          <w:color w:val="auto"/>
        </w:rPr>
      </w:pPr>
    </w:p>
    <w:p>
      <w:pPr>
        <w:ind w:right="400"/>
        <w:spacing w:after="0" w:line="296" w:lineRule="auto"/>
        <w:rPr>
          <w:sz w:val="20"/>
          <w:szCs w:val="20"/>
          <w:color w:val="auto"/>
        </w:rPr>
      </w:pPr>
      <w:r>
        <w:rPr>
          <w:rFonts w:ascii="Arial" w:cs="Arial" w:eastAsia="Arial" w:hAnsi="Arial"/>
          <w:sz w:val="16"/>
          <w:szCs w:val="16"/>
          <w:b w:val="1"/>
          <w:bCs w:val="1"/>
          <w:color w:val="auto"/>
        </w:rPr>
        <w:t>Costs could significantly increase to achieve or maintain compliance with existing or future environmental laws, regulations or requirements including those associated with climate change.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business segments are subject to numerous environmental laws and regulations affecting many aspects of present and future operations, including air emissions (i.e., SO</w:t>
      </w:r>
      <w:r>
        <w:rPr>
          <w:rFonts w:ascii="Arial" w:cs="Arial" w:eastAsia="Arial" w:hAnsi="Arial"/>
          <w:sz w:val="21"/>
          <w:szCs w:val="21"/>
          <w:color w:val="auto"/>
          <w:vertAlign w:val="subscript"/>
        </w:rPr>
        <w:t>2</w:t>
      </w:r>
      <w:r>
        <w:rPr>
          <w:rFonts w:ascii="Arial" w:cs="Arial" w:eastAsia="Arial" w:hAnsi="Arial"/>
          <w:sz w:val="16"/>
          <w:szCs w:val="16"/>
          <w:color w:val="auto"/>
        </w:rPr>
        <w:t>, NO</w:t>
      </w:r>
      <w:r>
        <w:rPr>
          <w:rFonts w:ascii="Arial" w:cs="Arial" w:eastAsia="Arial" w:hAnsi="Arial"/>
          <w:sz w:val="21"/>
          <w:szCs w:val="21"/>
          <w:color w:val="auto"/>
          <w:vertAlign w:val="subscript"/>
        </w:rPr>
        <w:t>x</w:t>
      </w:r>
      <w:r>
        <w:rPr>
          <w:rFonts w:ascii="Arial" w:cs="Arial" w:eastAsia="Arial" w:hAnsi="Arial"/>
          <w:sz w:val="16"/>
          <w:szCs w:val="16"/>
          <w:color w:val="auto"/>
        </w:rPr>
        <w:t>, volatile organic compounds, particulate matter and GHG), water quality, wastewater discharges, solid waste and hazardous waste.</w:t>
      </w:r>
    </w:p>
    <w:p>
      <w:pPr>
        <w:spacing w:after="0" w:line="169"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These laws and regulations may result in increased capital, operating and other costs. These laws and regulations generally require the business segments to obtain and comply with a wide variety of environmental licenses, permits, inspections and other government approvals. Compliance with environmental laws and regulations may require significant expenditures, including expenditures for cleanup costs and damages arising from contaminated properties. Failure or inability to comply with evolving environmental regulations may result in the imposition of fines, penalties and injunctive measures affecting operating assets.</w:t>
      </w:r>
    </w:p>
    <w:p>
      <w:pPr>
        <w:spacing w:after="0" w:line="153"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Our business segments may not be successful in recovering increased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There is significant uncertainty regarding if and when new climate legislation, regulations or administrative policies will be adopted to reduce or limit GHG and the impact any such regulations would have on us. 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capacity reductions of coal-fired power generation facilities or conversion to alternative fuels, and potential increased production from our combined cycle natural gas-fired generating units. Additional rules and regulations associated with fossil fuels and GHG emissions could result in the impairment or retirement of some of our existing or future transmission, distribution, generation and natural gas storage facilities or our coal mine. Further, these rules could create the need to purchase or build clean-energy fuel sources to fulfill obligations to our customers. These actions could also result in increased operating costs which could adversely impact customers and our financial operating results including earnings, cash flow and liquidity. We cannot definitively estimate the effect of GHG legislation or regulation on our earnings, cash flow and liquidity.</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Legislative and regulatory requirements may result in compliance penalties.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Business activities in the energy sector are heavily regulated, primarily by agencies of the federal government. Many agencies employ mandatory civil penalty structures for regulatory violations. The FERC, NERC, PHMSA, CFTC, EPA, OSHA, SEC, TSA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Municipal governments may seek to limit or deny our franchise privileges.</w:t>
      </w:r>
    </w:p>
    <w:p>
      <w:pPr>
        <w:spacing w:after="0" w:line="19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To date, we have been successful in resolving or defending most of these challenges.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 We also cannot quantify the impact that such action would have on the remainder of our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Federal tax law may significantly impact our business.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We are subject to taxation by the various taxing authorities at the federal, state and local levels where we operate. Sweeping legislation or regulation could be enacted by any of these governmental authorities which may affect our tax burden. Changes may include numerous provisions that affect businesses, including changes to corporate tax rates, business-related exclusions, and deductions and credits. The outcome of regulatory proceedings regarding the extent to which a change in corporate tax rate will affect our utility customers and the time period over which that change will occur could significantly impact future earnings and cash flows. Separately, a challenge by a taxing authority, changes in taxing authorities’ administrative interpretations, decisions, policies and positions, our ability to utilize tax benefits such as carryforwards or tax credits, or a deviation from other tax-related assumptions may cause actual financial results to deviate from previous estimates.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attract and retain an appropriately qualified workforce could have a negative impact on our operations and long-term business strategy.</w:t>
      </w:r>
    </w:p>
    <w:p>
      <w:pPr>
        <w:spacing w:after="0" w:line="194"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Recent trends, such as a competitive and tight labor market and an aging workforce may lead to higher costs and increased risk of negative outcomes for safety, compliance, customer service, and operations. Our ability to transition and replace our retirement-eligible utility employees is a risk; at December 31, 2023, approximately 18% of our employees were eligible for retirement. Our ability to avoid or minimize work stoppages and labor disputes is also a risk with approximately 25% of our employees represented by unions. Failure to hire and retain qualified employees, including the ability to transfer significant internal historical knowledge and expertise to new employees, may adversely affect our ability to manage and operate our business. If we are unable to successfully attract and retain an appropriately qualified workforce and maintain satisfactory collective bargaining agreements, safety, service reliability, customer satisfaction and our results of operations could be adversely affected</w:t>
      </w:r>
      <w:r>
        <w:rPr>
          <w:rFonts w:ascii="Times New Roman" w:cs="Times New Roman" w:eastAsia="Times New Roman" w:hAnsi="Times New Roman"/>
          <w:sz w:val="17"/>
          <w:szCs w:val="17"/>
          <w:color w:val="auto"/>
        </w:rPr>
        <w:t>.</w:t>
      </w:r>
      <w:r>
        <w:rPr>
          <w:rFonts w:ascii="Arial" w:cs="Arial" w:eastAsia="Arial" w:hAnsi="Arial"/>
          <w:sz w:val="16"/>
          <w:szCs w:val="16"/>
          <w:color w:val="auto"/>
        </w:rPr>
        <w:t xml:space="preserve"> As part of our strategic business plans, we will need to attract and retain personnel who are qualified to implement our strategy and may need to retrain or re-skill certain employees to support our long-term objectives.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Supply chain challenges could negatively impact our operations.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rely on various suppliers in our supply chain for the materials necessary to execute on our capital investment program that is key to our strategic business plans and to respond to a significant unplanned event such as a natural disaster. Our largest customers also rely on our supply chain and delays in critical materials could impact their ability to operate and grow as planned. Our supply chain, material costs, and capital investment program may be negatively impacted by:</w:t>
      </w:r>
    </w:p>
    <w:p>
      <w:pPr>
        <w:spacing w:after="0" w:line="70" w:lineRule="exact"/>
        <w:rPr>
          <w:sz w:val="20"/>
          <w:szCs w:val="20"/>
          <w:color w:val="auto"/>
        </w:rPr>
      </w:pPr>
    </w:p>
    <w:p>
      <w:pPr>
        <w:ind w:left="1020" w:right="480" w:hanging="503"/>
        <w:spacing w:after="0" w:line="285"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Unanticipated price increases due to recent macroeconomic factors, such as inflation, including wage inflation, or rising demand for raw materials associated with the Energy Transition; and</w:t>
      </w:r>
    </w:p>
    <w:p>
      <w:pPr>
        <w:spacing w:after="0" w:line="48" w:lineRule="exact"/>
        <w:rPr>
          <w:rFonts w:ascii="Times New Roman" w:cs="Times New Roman" w:eastAsia="Times New Roman" w:hAnsi="Times New Roman"/>
          <w:sz w:val="16"/>
          <w:szCs w:val="16"/>
          <w:color w:val="auto"/>
        </w:rPr>
      </w:pPr>
    </w:p>
    <w:p>
      <w:pPr>
        <w:ind w:left="1020" w:right="60" w:hanging="503"/>
        <w:spacing w:after="0" w:line="266"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Supply restrictions beyond our control or the control of our suppliers such as disruption of the freight system (e.g. labor union strikes), increased environmental threats from weather-related disasters, rising demand for raw materials associated with the Energy Transition and/or geopolitical unrest (e.g. Russia-Ukraine and Middle East conflicts).</w:t>
      </w:r>
    </w:p>
    <w:p>
      <w:pPr>
        <w:spacing w:after="0" w:line="18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An inability to successfully manage challenges in our supply chain network could materially affect our ability to execute our business plan and growth strategy and our financial operating results including earnings, cash flow and liquidity.</w:t>
      </w:r>
    </w:p>
    <w:p>
      <w:pPr>
        <w:spacing w:after="0" w:line="129" w:lineRule="exact"/>
        <w:rPr>
          <w:sz w:val="20"/>
          <w:szCs w:val="20"/>
          <w:color w:val="auto"/>
        </w:rPr>
      </w:pPr>
    </w:p>
    <w:p>
      <w:pPr>
        <w:ind w:right="600"/>
        <w:spacing w:after="0" w:line="296" w:lineRule="auto"/>
        <w:rPr>
          <w:sz w:val="20"/>
          <w:szCs w:val="20"/>
          <w:color w:val="auto"/>
        </w:rPr>
      </w:pPr>
      <w:r>
        <w:rPr>
          <w:rFonts w:ascii="Arial" w:cs="Arial" w:eastAsia="Arial" w:hAnsi="Arial"/>
          <w:sz w:val="16"/>
          <w:szCs w:val="16"/>
          <w:b w:val="1"/>
          <w:bCs w:val="1"/>
          <w:color w:val="auto"/>
        </w:rPr>
        <w:t>Our financial performance depends on the successful operation of electric generating facilities, electric and natural gas transmission and distribution systems, natural gas storage facilities and a coal mine.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risks associated with managing these operations include:</w:t>
      </w:r>
    </w:p>
    <w:p>
      <w:pPr>
        <w:spacing w:after="0" w:line="113" w:lineRule="exact"/>
        <w:rPr>
          <w:sz w:val="20"/>
          <w:szCs w:val="20"/>
          <w:color w:val="auto"/>
        </w:rPr>
      </w:pPr>
    </w:p>
    <w:p>
      <w:pPr>
        <w:ind w:left="1020" w:right="6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Operating hazards. Operating hazards such as leaks, mechanical problems and accidents, including fires or explosions, could impact employee and public safety, reliability and customer confidence;</w:t>
      </w:r>
    </w:p>
    <w:p>
      <w:pPr>
        <w:spacing w:after="0" w:line="48" w:lineRule="exact"/>
        <w:rPr>
          <w:rFonts w:ascii="Times New Roman" w:cs="Times New Roman" w:eastAsia="Times New Roman" w:hAnsi="Times New Roman"/>
          <w:sz w:val="16"/>
          <w:szCs w:val="16"/>
          <w:color w:val="auto"/>
        </w:rPr>
      </w:pPr>
    </w:p>
    <w:p>
      <w:pPr>
        <w:ind w:left="1020" w:right="4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Inherent dangers. Electricity and natural gas can be dangerous to employees and the general public. Failures of or contact with power lines, natural gas pipelines or service facilities and equipment may result in fires, explosions, property damage and personal injuries, including death. While we maintain liability and property insurance coverage, such policies are subject to certain limits and deductibles. The occurrence of any of these events may not be fully covered by our insurance;</w:t>
      </w:r>
    </w:p>
    <w:p>
      <w:pPr>
        <w:spacing w:after="0" w:line="6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Weather, natural conditions and disasters including impacts from climate change (discussed below);</w:t>
      </w:r>
    </w:p>
    <w:p>
      <w:pPr>
        <w:spacing w:after="0" w:line="125" w:lineRule="exact"/>
        <w:rPr>
          <w:rFonts w:ascii="Times New Roman" w:cs="Times New Roman" w:eastAsia="Times New Roman" w:hAnsi="Times New Roman"/>
          <w:sz w:val="16"/>
          <w:szCs w:val="16"/>
          <w:color w:val="auto"/>
        </w:rPr>
      </w:pPr>
    </w:p>
    <w:p>
      <w:pPr>
        <w:ind w:left="1020" w:right="1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Acts of sabotage, terrorism or other malicious physical attacks. Damage to our facilities due to deliberate acts could lead to outages or other adverse effects;</w:t>
      </w:r>
    </w:p>
    <w:p>
      <w:pPr>
        <w:spacing w:after="0" w:line="48" w:lineRule="exact"/>
        <w:rPr>
          <w:rFonts w:ascii="Times New Roman" w:cs="Times New Roman" w:eastAsia="Times New Roman" w:hAnsi="Times New Roman"/>
          <w:sz w:val="16"/>
          <w:szCs w:val="16"/>
          <w:color w:val="auto"/>
        </w:rPr>
      </w:pPr>
    </w:p>
    <w:p>
      <w:pPr>
        <w:ind w:left="1020" w:right="1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Equipment and processes. Breakdown or failure of equipment or processes, unavailability or increased cost of equipment, and performance below expected levels of output or efficiency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right="40" w:hanging="503"/>
        <w:spacing w:after="0" w:line="266"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Disrupted transmission and distribution. We depend on transmission and distribution facilities, including those operated by unaffiliated parties, to deliver the electricity and natural gas that we sell to our retail and wholesale customers. If transmission is interrupted physically, mechanically or with cyber means, our ability to sell or deliver utility services and satisfy our contractual obligations may be hindered;</w:t>
      </w:r>
    </w:p>
    <w:p>
      <w:pPr>
        <w:spacing w:after="0" w:line="62" w:lineRule="exact"/>
        <w:rPr>
          <w:rFonts w:ascii="Times New Roman" w:cs="Times New Roman" w:eastAsia="Times New Roman" w:hAnsi="Times New Roman"/>
          <w:sz w:val="16"/>
          <w:szCs w:val="16"/>
          <w:color w:val="auto"/>
        </w:rPr>
      </w:pPr>
    </w:p>
    <w:p>
      <w:pPr>
        <w:ind w:left="1020" w:right="14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Natural gas supply for generation and distribution. Our regulated Utilities and non-regulated entities purchase natural gas from a number of suppliers for our generating facilities and for distribution to our customers. Our results of operations could be negatively impacted by the lack of availability and cost of natural gas, and disruptions in the delivery of natural gas due to various factors, including but not limited to, transportation delays, labor relations, weather, sabotage, cyber-attacks and environmental regulations;</w:t>
      </w:r>
    </w:p>
    <w:p>
      <w:pPr>
        <w:spacing w:after="0" w:line="69" w:lineRule="exact"/>
        <w:rPr>
          <w:rFonts w:ascii="Times New Roman" w:cs="Times New Roman" w:eastAsia="Times New Roman" w:hAnsi="Times New Roman"/>
          <w:sz w:val="16"/>
          <w:szCs w:val="16"/>
          <w:color w:val="auto"/>
        </w:rPr>
      </w:pPr>
    </w:p>
    <w:p>
      <w:pPr>
        <w:ind w:left="1020" w:right="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Replacement power. The cost of supplying or securing replacement power during scheduled and unscheduled outages of generation facilities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right="8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Governmental permits. The inability to obtain required governmental permits and approvals along with the cost of complying with or satisfying conditions imposed upon such approvals could negatively impact our ability to operate and our results of operations;</w:t>
      </w:r>
    </w:p>
    <w:p>
      <w:pPr>
        <w:spacing w:after="0" w:line="48" w:lineRule="exact"/>
        <w:rPr>
          <w:rFonts w:ascii="Times New Roman" w:cs="Times New Roman" w:eastAsia="Times New Roman" w:hAnsi="Times New Roman"/>
          <w:sz w:val="16"/>
          <w:szCs w:val="16"/>
          <w:color w:val="auto"/>
        </w:rPr>
      </w:pPr>
    </w:p>
    <w:p>
      <w:pPr>
        <w:ind w:left="1020" w:right="36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Operational limitations. Operational limitations imposed by environmental and other regulatory requirements and contractual agreements, including those that restrict the timing of generation plant scheduled outages,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Increased costs. Increased capital and operating costs to comply with increasingly stringent laws and regulations, unexpected engineering, environmental and geological problems, and unanticipated cost overruns could negatively impact our results of operations;</w:t>
      </w:r>
    </w:p>
    <w:p>
      <w:pPr>
        <w:spacing w:after="0" w:line="48"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Supply chain challenges (discussed above);</w:t>
      </w:r>
    </w:p>
    <w:p>
      <w:pPr>
        <w:spacing w:after="0" w:line="125"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Workforce capabilities and labor relations (discussed above); and</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09"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6"/>
          <w:szCs w:val="16"/>
          <w:color w:val="auto"/>
        </w:rPr>
      </w:pPr>
      <w:r>
        <w:rPr>
          <w:rFonts w:ascii="Arial" w:cs="Arial" w:eastAsia="Arial" w:hAnsi="Arial"/>
          <w:sz w:val="16"/>
          <w:szCs w:val="16"/>
          <w:color w:val="auto"/>
        </w:rPr>
        <w:t>Public opposition. Opposition by members of public or special-interest groups could negatively impact our ability to operate our businesses.</w:t>
      </w:r>
    </w:p>
    <w:p>
      <w:pPr>
        <w:spacing w:after="0" w:line="207"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Any of these risks described above could damage our reputation and public confidence. These risks could also cause us to incur significant costs or be unable to deliver energy and/or operate below expected capacity levels, which in turn could reduce revenues or cause us to incur higher operating and maintenance costs and penalties. While we maintain insurance,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153"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auto"/>
        </w:rPr>
        <w:t>The nature of our business subjects us to climate-related risk, stemming from both physical risk and transition risk of climate change, over varying time horizons.</w:t>
      </w:r>
    </w:p>
    <w:p>
      <w:pPr>
        <w:spacing w:after="0" w:line="11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Physical risks of climate change refer to risks to our facilities or operations that may result from changes in the physical climate, such as changes to temperature and weather patterns. Our utility businesses are seasonal businesses and weather conditions and patterns can have a material impact on our operating results. To the extent weather conditions are affected by climate change, fluctuations in commodity prices and customers’ energy usage could be magnified. Climate change may lead to increased intensity and frequency of storms, resulting in increased likelihood of fire, wind and extreme temperature events. Severe weather events, such as snow and ice storms (e.g., Winter Storm Uri), fire, and strong winds could negatively impact our operations, including our ability to provide energy safely, reliably and profitably and our ability to complete construction, expansion or refurbishment of facilities as planned. Climate change may intensify these events or increase the frequency of their occurrence. Over time, we may need to make additional investments to protect our facilities from physical risks of climate change.</w:t>
      </w:r>
    </w:p>
    <w:p>
      <w:pPr>
        <w:spacing w:after="0" w:line="156"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Transition risks of climate change include changes to the energy systems as a result of new technologies, changing customer demand and/or expectations and voluntary GHG reduction goals, as well as local, state or federal regulatory requirements (discussed above). Policies such as a carbon or methane tax could increase costs associated with fossil fuel usage, resulting in higher operating costs including costs of energy generation, construction, and transportation. Risks of the transition to a low-carbon economy could result in shrinking customer demand for fossil fuel-based energy sources. This could come from increased use of behind the meter technology, such as residential solar and storage. Risk of investor pressure over climate risk and/or ESG standards, activist campaigns against coal producers, employee preferences to work for companies with certain sustainability goals and consumers preference for renewable energy could impact our reputation, ability to attract and retain an appropriately trained workforce, and overall access to capital and/or adequate insurance policies.</w:t>
      </w:r>
    </w:p>
    <w:p>
      <w:pPr>
        <w:spacing w:after="0" w:line="156"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Cybersecurity incidents, terrorism, or other malicious acts targeting our key technology systems could disrupt our operations or lead to a loss or misuse of confidential and proprietary information.</w:t>
      </w:r>
    </w:p>
    <w:p>
      <w:pPr>
        <w:spacing w:after="0" w:line="11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To effectively operate our business, we rely upon a sophisticated electronic control system, information and operation technology systems and network infrastructure to generate, distribute and deliver energy, and collect and retain sensitive information including personal information about our customers and employees. Cybersecurity incidents, terrorism or other malicious acts targeting electronic control systems could result in a full or partial disruption of our electric and/or natural gas operations. Attacks targeting other key technology systems, including our third-party vendors’ information systems, could further add to a full or partial disruption of our operations. The utility industry has been the target of several cyberattacks on operational systems and has seen an increased volume and sophistication of cybersecurity incidents from international activist organizations, other nation state actors and individuals. To date, we have not experienced a cybersecurity incident that has had a material impact on our business or results of operations. Any disruption of our electric and/or natural gas operations could result in a loss of service to customers and associated revenues, as well as significant expense to repair damages and remedy security breaches. In addition, any theft, loss and/or fraudulent use of customer, shareowner, employee or proprietary data could subject us to significant litigation, liability and costs, as well as adversely impact our reputation with customers and regulators, among others. We maintain cyber risk insurance to mitigate a portion, but not all, of these risks and losses.</w:t>
      </w:r>
    </w:p>
    <w:p>
      <w:pPr>
        <w:spacing w:after="0" w:line="160"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Utility Regulation Characteristics</w:t>
      </w:r>
      <w:r>
        <w:rPr>
          <w:rFonts w:ascii="Arial" w:cs="Arial" w:eastAsia="Arial" w:hAnsi="Arial"/>
          <w:sz w:val="16"/>
          <w:szCs w:val="16"/>
          <w:color w:val="auto"/>
        </w:rPr>
        <w:t xml:space="preserve"> above, in 2021 the TSA issued security directives that included several new cybersecurity requirements for critical pipeline owners and operators. Such directives or other requirements may require expenditure of significant additional resources to respond to cybersecurity incidents, to continue to modify or enhance protective measures, or to assess, investigate and remediate any critical infrastructure security vulnerabilities. Any failure to comply with such government regulations or failure in our cybersecurity protective measures may result in enforcement actions that may have a material adverse effect on our business, results of operations and financial condition. In addition, there is no certainty that costs incurred related to securing against threats will be recovered through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-629285</wp:posOffset>
            </wp:positionV>
            <wp:extent cx="14808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80820" cy="8255"/>
                    </a:xfrm>
                    <a:prstGeom prst="rect">
                      <a:avLst/>
                    </a:prstGeom>
                    <a:noFill/>
                  </pic:spPr>
                </pic:pic>
              </a:graphicData>
            </a:graphic>
          </wp:anchor>
        </w:drawing>
      </w:r>
    </w:p>
    <w:p>
      <w:pPr>
        <w:spacing w:after="0" w:line="135" w:lineRule="exact"/>
        <w:rPr>
          <w:sz w:val="20"/>
          <w:szCs w:val="20"/>
          <w:color w:val="auto"/>
        </w:rPr>
      </w:pPr>
    </w:p>
    <w:p>
      <w:pPr>
        <w:ind w:right="160"/>
        <w:spacing w:after="0" w:line="253" w:lineRule="auto"/>
        <w:rPr>
          <w:sz w:val="20"/>
          <w:szCs w:val="20"/>
          <w:color w:val="auto"/>
        </w:rPr>
      </w:pPr>
      <w:r>
        <w:rPr>
          <w:rFonts w:ascii="Arial" w:cs="Arial" w:eastAsia="Arial" w:hAnsi="Arial"/>
          <w:sz w:val="16"/>
          <w:szCs w:val="16"/>
          <w:color w:val="auto"/>
        </w:rPr>
        <w:t xml:space="preserve">As discussed in </w:t>
      </w:r>
      <w:r>
        <w:rPr>
          <w:rFonts w:ascii="Arial" w:cs="Arial" w:eastAsia="Arial" w:hAnsi="Arial"/>
          <w:sz w:val="16"/>
          <w:szCs w:val="16"/>
          <w:u w:val="single" w:color="auto"/>
          <w:color w:val="0000FF"/>
        </w:rPr>
        <w:t>Item 1C</w:t>
      </w:r>
      <w:r>
        <w:rPr>
          <w:rFonts w:ascii="Arial" w:cs="Arial" w:eastAsia="Arial" w:hAnsi="Arial"/>
          <w:sz w:val="16"/>
          <w:szCs w:val="16"/>
          <w:color w:val="auto"/>
        </w:rPr>
        <w:t xml:space="preserve"> in this Annual Report on Form 10-K, we have instituted security measures and safeguards to protect our operational systems and information technology assets against cybersecurity threats, including certain safeguards required by NERC. Despite our implementation of security measures and safeguards, all of our technology systems may still be vulnerable to disability, failures or unauthorized access.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748030</wp:posOffset>
            </wp:positionH>
            <wp:positionV relativeFrom="paragraph">
              <wp:posOffset>-257175</wp:posOffset>
            </wp:positionV>
            <wp:extent cx="36004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ind w:right="540"/>
        <w:spacing w:after="0" w:line="296" w:lineRule="auto"/>
        <w:rPr>
          <w:sz w:val="20"/>
          <w:szCs w:val="20"/>
          <w:color w:val="auto"/>
        </w:rPr>
      </w:pPr>
      <w:r>
        <w:rPr>
          <w:rFonts w:ascii="Arial" w:cs="Arial" w:eastAsia="Arial" w:hAnsi="Arial"/>
          <w:sz w:val="16"/>
          <w:szCs w:val="16"/>
          <w:b w:val="1"/>
          <w:bCs w:val="1"/>
          <w:color w:val="auto"/>
        </w:rPr>
        <w:t>Our operations are subject to various conditions that can result in fluctuations in customer usage, including customer growth and general economic conditions in our service territories, weather conditions, and responses to price increases and technological improvements.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cash flows are affected by the demand for electricity and natural gas, which can vary greatly based upon:</w:t>
      </w:r>
    </w:p>
    <w:p>
      <w:pPr>
        <w:spacing w:after="0" w:line="113" w:lineRule="exact"/>
        <w:rPr>
          <w:sz w:val="20"/>
          <w:szCs w:val="20"/>
          <w:color w:val="auto"/>
        </w:rPr>
      </w:pPr>
    </w:p>
    <w:p>
      <w:pPr>
        <w:ind w:left="1020" w:hanging="503"/>
        <w:spacing w:after="0" w:line="252"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Fluctuations in customer growth and general economic conditions in our service territories. Customer growth and energy use can be negatively impacted by population declines as well as adverse economic factors in our service territories, including recession, inflation, workforce reductions, stagnant wage growth, changing levels of support from state and local government for economic development, business closings, and reductions in the level of business investment. Our Utilities are impacted by economic cycles and the competitiveness of the commercial and industrial customers we serve. Any economic downturn, inflation, disruption of financial markets, or reduced incentives by state government for economic development could adversely affect the financial condition of our customers and demand for their products or services. These risks could directly influence the demand for electricity and natural gas as well as the need for additional power generation and generating facilities. We could also be exposed to greater risks of accounts receivable write-offs if customers are unable to pay their bills.</w:t>
      </w:r>
    </w:p>
    <w:p>
      <w:pPr>
        <w:spacing w:after="0" w:line="73" w:lineRule="exact"/>
        <w:rPr>
          <w:rFonts w:ascii="Times New Roman" w:cs="Times New Roman" w:eastAsia="Times New Roman" w:hAnsi="Times New Roman"/>
          <w:sz w:val="16"/>
          <w:szCs w:val="16"/>
          <w:color w:val="auto"/>
        </w:rPr>
      </w:pPr>
    </w:p>
    <w:p>
      <w:pPr>
        <w:ind w:left="1020" w:right="20" w:hanging="503"/>
        <w:spacing w:after="0" w:line="252"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Weather conditions. Our Utilities are seasonal businesses and weather conditions and patterns can have a material impact on our operating performance.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Utilities have historically generated lower revenues, income and cash flows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financial operating results, including earnings, cash flow and liquidity.</w:t>
      </w:r>
    </w:p>
    <w:p>
      <w:pPr>
        <w:spacing w:after="0" w:line="73" w:lineRule="exact"/>
        <w:rPr>
          <w:rFonts w:ascii="Times New Roman" w:cs="Times New Roman" w:eastAsia="Times New Roman" w:hAnsi="Times New Roman"/>
          <w:sz w:val="16"/>
          <w:szCs w:val="16"/>
          <w:color w:val="auto"/>
        </w:rPr>
      </w:pPr>
    </w:p>
    <w:p>
      <w:pPr>
        <w:ind w:left="1020" w:right="40" w:hanging="503"/>
        <w:spacing w:after="0" w:line="249" w:lineRule="auto"/>
        <w:tabs>
          <w:tab w:leader="none" w:pos="102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6"/>
          <w:szCs w:val="16"/>
          <w:color w:val="auto"/>
        </w:rPr>
        <w:t>Our customers' focus on energy conservation. Customer growth and usage may be impacted by the voluntary reduction in consumption of electricity and natural gas by our customers in response to increases in prices and energy efficiency programs, electrification initiatives that could negatively impact the demand for natural gas, economic conditions (i.e., inflation, recession) impacting customers’ disposable income and the use of distributed generation resources or other emerging technologies. 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could decline.</w:t>
      </w:r>
    </w:p>
    <w:p>
      <w:pPr>
        <w:spacing w:after="0" w:line="3" w:lineRule="exact"/>
        <w:rPr>
          <w:rFonts w:ascii="Times New Roman" w:cs="Times New Roman" w:eastAsia="Times New Roman" w:hAnsi="Times New Roman"/>
          <w:sz w:val="16"/>
          <w:szCs w:val="16"/>
          <w:color w:val="auto"/>
        </w:rPr>
      </w:pPr>
    </w:p>
    <w:p>
      <w:pPr>
        <w:ind w:left="1020" w:right="180"/>
        <w:spacing w:after="0" w:line="256" w:lineRule="auto"/>
        <w:rPr>
          <w:rFonts w:ascii="Times New Roman" w:cs="Times New Roman" w:eastAsia="Times New Roman" w:hAnsi="Times New Roman"/>
          <w:sz w:val="16"/>
          <w:szCs w:val="16"/>
          <w:color w:val="auto"/>
        </w:rPr>
      </w:pPr>
      <w:r>
        <w:rPr>
          <w:rFonts w:ascii="Arial" w:cs="Arial" w:eastAsia="Arial" w:hAnsi="Arial"/>
          <w:sz w:val="16"/>
          <w:szCs w:val="16"/>
          <w:color w:val="auto"/>
        </w:rPr>
        <w:t>Such developments could affect the price and/or delivery of energy, require further improvements to our distribution systems to address changing load demands and could make portions of our electric system power supply and transmission and/or distribution facilities obsolete prior to the end of their useful lives.</w:t>
      </w:r>
    </w:p>
    <w:p>
      <w:pPr>
        <w:spacing w:after="0" w:line="151"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Each of these factors described above could materially affect demand for electricity and natural gas which would impact our financial operating results including earnings, cash flow and liquidity.</w:t>
      </w:r>
    </w:p>
    <w:p>
      <w:pPr>
        <w:spacing w:after="0" w:line="129" w:lineRule="exact"/>
        <w:rPr>
          <w:sz w:val="20"/>
          <w:szCs w:val="20"/>
          <w:color w:val="auto"/>
        </w:rPr>
      </w:pPr>
    </w:p>
    <w:p>
      <w:pPr>
        <w:ind w:right="480"/>
        <w:spacing w:after="0" w:line="296" w:lineRule="auto"/>
        <w:rPr>
          <w:sz w:val="20"/>
          <w:szCs w:val="20"/>
          <w:color w:val="auto"/>
        </w:rPr>
      </w:pPr>
      <w:r>
        <w:rPr>
          <w:rFonts w:ascii="Arial" w:cs="Arial" w:eastAsia="Arial" w:hAnsi="Arial"/>
          <w:sz w:val="16"/>
          <w:szCs w:val="16"/>
          <w:b w:val="1"/>
          <w:bCs w:val="1"/>
          <w:color w:val="auto"/>
        </w:rPr>
        <w:t>If macroeconomic or other conditions adversely affect operations or require us to make changes to our strategic business plan, we may be forced to record a non-cash goodwill impairment charge.</w:t>
      </w:r>
    </w:p>
    <w:p>
      <w:pPr>
        <w:spacing w:after="0" w:line="11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We had approximately $1.3 billion of goodwill on our consolidated balance sheets as of December 31, 2023. If we make changes in our strategic business plan and growth strategy, or if macroeconomic or other conditions adversely affect operations in any of our businesses, we may be required to record a non-cash impairment charge. Goodwill is tested for impairment annually or whenever events or changes in circumstances indicate impairment may have occurred. If the testing performed indicates that impairment has occurred, we are required to record an impairment charge for the difference between the carrying value of the goodwill and the implied fair value of the goodwill in the period the determination is made. The testing of goodwill for impairment requires us to make significant estimates about our future performance and cash flows, as well as other assumptions. These estimates can be affected by numerous factors, including: future business operating performance, changes in macroeconomic conditions including recession, inflation and interest rates, changes in our regulatory environment, industry-specific market conditions, changes in business operations, changes in competition or changes in technologies. Any changes in key assumptions, or actual performance compared with key assumptions, about our business and its future prospects could affect the fair value of either or both of our operating segments, which may result in an impairment charge. See additional information in “</w:t>
      </w:r>
      <w:r>
        <w:rPr>
          <w:rFonts w:ascii="Arial" w:cs="Arial" w:eastAsia="Arial" w:hAnsi="Arial"/>
          <w:sz w:val="16"/>
          <w:szCs w:val="16"/>
          <w:u w:val="single" w:color="auto"/>
          <w:color w:val="0000FF"/>
        </w:rPr>
        <w:t>Critical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Estimates</w:t>
      </w:r>
      <w:r>
        <w:rPr>
          <w:rFonts w:ascii="Arial" w:cs="Arial" w:eastAsia="Arial" w:hAnsi="Arial"/>
          <w:sz w:val="16"/>
          <w:szCs w:val="16"/>
          <w:color w:val="000000"/>
        </w:rPr>
        <w:t>” under</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Item 7</w:t>
      </w:r>
      <w:r>
        <w:rPr>
          <w:rFonts w:ascii="Arial" w:cs="Arial" w:eastAsia="Arial" w:hAnsi="Arial"/>
          <w:sz w:val="16"/>
          <w:szCs w:val="16"/>
          <w:color w:val="000000"/>
        </w:rPr>
        <w:t>, Management’s Discussion and Analysis of Financial Condition and Results of Operations and</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Note 1</w:t>
      </w:r>
      <w:r>
        <w:rPr>
          <w:rFonts w:ascii="Arial" w:cs="Arial" w:eastAsia="Arial" w:hAnsi="Arial"/>
          <w:sz w:val="16"/>
          <w:szCs w:val="16"/>
          <w:color w:val="0000FF"/>
        </w:rPr>
        <w:t xml:space="preserve"> </w:t>
      </w:r>
      <w:r>
        <w:rPr>
          <w:rFonts w:ascii="Arial" w:cs="Arial" w:eastAsia="Arial" w:hAnsi="Arial"/>
          <w:sz w:val="16"/>
          <w:szCs w:val="16"/>
          <w:color w:val="000000"/>
        </w:rPr>
        <w:t>of the Notes to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-140970</wp:posOffset>
            </wp:positionV>
            <wp:extent cx="88011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0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4514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5148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-20955</wp:posOffset>
            </wp:positionV>
            <wp:extent cx="2857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575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-20955</wp:posOffset>
            </wp:positionV>
            <wp:extent cx="30289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Financial Statements in this 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RISKS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sub-investment grade credit rating could impact our ability to access capital markets.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Our senior unsecured debt rating is Baa2 (Stable outlook) by Moody’s; BBB+ (Stable outlook) by S&amp;P; and BBB+ (Negative outlook) by Fitch. Reduction of our investment grade credit ratings could impair our ability to refinance or repay our existing debt and complete new financings on reasonable terms.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 which may not be recoverable through existing regulatory rate structures and contracts with customers.</w:t>
      </w:r>
    </w:p>
    <w:p>
      <w:pPr>
        <w:spacing w:after="0" w:line="15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We may be unable to obtain financing on reasonable terms needed to refinance debt, fund planned capital expenditures or otherwise execute our operating strategy.</w:t>
      </w:r>
    </w:p>
    <w:p>
      <w:pPr>
        <w:spacing w:after="0" w:line="11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capital markets and the costs and terms of available financing depend on many factors, including changes in our credit ratings, general macroeconomic conditions which may drive changes in interest rates and cause volatility in our stock price, changes in the federal or state regulatory environment affecting energy companies and volatility in commodity prices.</w:t>
      </w:r>
    </w:p>
    <w:p>
      <w:pPr>
        <w:spacing w:after="0" w:line="1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associated with our healthcare plans and other benefits could increase significantly.</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costs of providing healthcare benefits to our employees and retirees have increased substantially in recent years. We believe that our employee benefit costs, including costs related to healthcare plans for our employees and former employees, will continue to rise. Significant regulatory developments have required, and likely will continue to require, changes to our current employee benefit plans and supporting administrative processes. Our electric and natural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however, there is no assurance that the utility commissions will allow recovery of these increased costs. The rising employee benefit costs, or inadequate recovery of such costs, may adversely affect our financial operating results including earnings, cash flow, and liquidity.</w:t>
      </w:r>
    </w:p>
    <w:p>
      <w:pPr>
        <w:spacing w:after="0" w:line="154"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We may be unable to obtain insurance coverage, and the coverage we currently have may not apply or may be insufficient to cover a significant loss.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ability to obtain insurance, as well as the cost of such insurance, could be impacted by developments affecting the insurance industry and the financial condition of insurers. Additionally, insurance providers could deny coverage or decline to extend coverage under the same or similar terms that are presently available to us. A loss for which we are not adequately insured could materially affect our financial results. The coverage we currently have in place may not apply to a particular loss, or it may not be sufficient to cover all liabilities to which we may be subject, including liability and losses associated with wildfires, natural gas and storage field explosions, cyber-security breaches, environmental hazards and natural disasters.</w:t>
      </w:r>
    </w:p>
    <w:p>
      <w:pPr>
        <w:spacing w:after="0" w:line="153" w:lineRule="exact"/>
        <w:rPr>
          <w:sz w:val="20"/>
          <w:szCs w:val="20"/>
          <w:color w:val="auto"/>
        </w:rPr>
      </w:pPr>
    </w:p>
    <w:p>
      <w:pPr>
        <w:ind w:right="240"/>
        <w:spacing w:after="0" w:line="296" w:lineRule="auto"/>
        <w:rPr>
          <w:sz w:val="20"/>
          <w:szCs w:val="20"/>
          <w:color w:val="auto"/>
        </w:rPr>
      </w:pPr>
      <w:r>
        <w:rPr>
          <w:rFonts w:ascii="Arial" w:cs="Arial" w:eastAsia="Arial" w:hAnsi="Arial"/>
          <w:sz w:val="16"/>
          <w:szCs w:val="16"/>
          <w:b w:val="1"/>
          <w:bCs w:val="1"/>
          <w:color w:val="auto"/>
        </w:rPr>
        <w:t>We have a holding company corporate structure with multiple subsidiaries. Corporate dividends and debt payments are dependent upon cash distributions to the holding company from the subsidiaries.</w:t>
      </w:r>
    </w:p>
    <w:p>
      <w:pPr>
        <w:spacing w:after="0" w:line="11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 xml:space="preserve">There is no assurance as to the amount, if any, of future dividends to the holding company because these subsidiaries depend on future earnings, capital requirements and financial conditions to fund such dividends. See “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within Management’s Discussion and Analysis of Financial Condition and Results of Operations in </w:t>
      </w:r>
      <w:r>
        <w:rPr>
          <w:rFonts w:ascii="Arial" w:cs="Arial" w:eastAsia="Arial" w:hAnsi="Arial"/>
          <w:sz w:val="16"/>
          <w:szCs w:val="16"/>
          <w:u w:val="single" w:color="auto"/>
          <w:color w:val="0000FF"/>
        </w:rPr>
        <w:t>Item 7</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of this Annual Report on Form 10-K for further information regarding these restrictions and their impact on our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-271780</wp:posOffset>
            </wp:positionV>
            <wp:extent cx="14465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46530" cy="8255"/>
                    </a:xfrm>
                    <a:prstGeom prst="rect">
                      <a:avLst/>
                    </a:prstGeom>
                    <a:noFill/>
                  </pic:spPr>
                </pic:pic>
              </a:graphicData>
            </a:graphic>
          </wp:anchor>
        </w:drawing>
        <w:drawing>
          <wp:anchor simplePos="0" relativeHeight="251657728" behindDoc="1" locked="0" layoutInCell="0" allowOverlap="1">
            <wp:simplePos x="0" y="0"/>
            <wp:positionH relativeFrom="column">
              <wp:posOffset>2235200</wp:posOffset>
            </wp:positionH>
            <wp:positionV relativeFrom="paragraph">
              <wp:posOffset>-151765</wp:posOffset>
            </wp:positionV>
            <wp:extent cx="2857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0" cy="8890"/>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-151765</wp:posOffset>
            </wp:positionV>
            <wp:extent cx="302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b w:val="1"/>
          <w:bCs w:val="1"/>
          <w:color w:val="auto"/>
        </w:rPr>
        <w:t>Market performance or changes in key valuation assumptions could require us to make significant unplanned contributions to our pension plan and other postretirement benefit plans.</w:t>
      </w:r>
    </w:p>
    <w:p>
      <w:pPr>
        <w:spacing w:after="0" w:line="11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 xml:space="preserve">Assumptions related to interest rates, expected return on investments, mortality and other key actuarial assumptions have a significant impact on our funding requirements and the expense recognized related to our pension and other postretirement benefit plans. An adverse change to key assumptions associated with our defined benefit retirement plans may require significant unplanned contributions to the plans which could adversely affect our financial operating results including earnings, cash flow and liquidity. See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of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2484755</wp:posOffset>
            </wp:positionH>
            <wp:positionV relativeFrom="paragraph">
              <wp:posOffset>-150495</wp:posOffset>
            </wp:positionV>
            <wp:extent cx="3600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ind w:right="500"/>
        <w:spacing w:after="0" w:line="296" w:lineRule="auto"/>
        <w:rPr>
          <w:sz w:val="20"/>
          <w:szCs w:val="20"/>
          <w:color w:val="auto"/>
        </w:rPr>
      </w:pPr>
      <w:r>
        <w:rPr>
          <w:rFonts w:ascii="Arial" w:cs="Arial" w:eastAsia="Arial" w:hAnsi="Arial"/>
          <w:sz w:val="16"/>
          <w:szCs w:val="16"/>
          <w:b w:val="1"/>
          <w:bCs w:val="1"/>
          <w:color w:val="auto"/>
        </w:rPr>
        <w:t>Our use of derivative financial instruments as hedges against commodity prices and financial market risks could result in material financial losses.</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use various financial and physical derivatives, including futures, forwards, options and swaps, to manage commodity price and interest rate risks. The timing of the recognition of gains or losses on these economic hedges in accordance with GAAP may not consistently match up with the gains or losses on the commodities being hedged. For Black Hills Energy Services under the Choice Gas Program, and in certain instances within our regulated Utilities where unrealized and realized gains and losses from derivative instruments are not approved for regulatory accounting treatment, fluctuating commodity prices may cause fluctuations in reported financial results due to mark-to-market accounting treatment.</w:t>
      </w:r>
    </w:p>
    <w:p>
      <w:pPr>
        <w:spacing w:after="0" w:line="15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Additionally, our exchange-traded futures contracts are subject to futures margin posting requirements. To the extent we are unable to meet these requirements, this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Further, a requirement for our counterparties to post collateral could result in additional costs being passed on to us, thereby decreasing our profitability.</w:t>
      </w:r>
    </w:p>
    <w:p>
      <w:pPr>
        <w:spacing w:after="0" w:line="153"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1C.</w:t>
      </w:r>
      <w:r>
        <w:rPr>
          <w:sz w:val="20"/>
          <w:szCs w:val="20"/>
          <w:color w:val="auto"/>
        </w:rPr>
        <w:tab/>
      </w:r>
      <w:r>
        <w:rPr>
          <w:rFonts w:ascii="Arial" w:cs="Arial" w:eastAsia="Arial" w:hAnsi="Arial"/>
          <w:sz w:val="16"/>
          <w:szCs w:val="16"/>
          <w:b w:val="1"/>
          <w:bCs w:val="1"/>
          <w:color w:val="auto"/>
        </w:rPr>
        <w:t>CYBERSECURITY</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utility industry has been the target of several cyberattacks on operational systems and has seen an increased volume and sophistication of cybersecurity incidents from international activist organizations, other nation state actors and individuals. We expect to continue to experience attempts to compromise our information technology and control systems, network infrastructure and other assets. To date, we have not experienced a cybersecurity incident that has had a material impact on our business or results of operations.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Risk Management and Strategy</w:t>
      </w:r>
    </w:p>
    <w:p>
      <w:pPr>
        <w:spacing w:after="0" w:line="192"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Our enterprise risk management program, which includes cybersecurity risks that are identified through our cybersecurity risk management program, is designed to identify, report, and manage relevant material risks and opportunities.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Management of the identified risks is embedded into business processes and key decision making at every level of the Company. Our enterprise risk management team works closely with our Chief Security Officer ("CSO") and IT risk management team to evaluate and address material cybersecurity risks in alignment with our business strategy and operational needs.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have a cybersecurity risk management program that is managed by a team of full-time cybersecurity professionals that utilizes a variety of tools and techniques to identify and assess material cybersecurity threats, their potential impact and opportunities for mitigation. The industry-standard security frameworks that we apply to our cyber environment include various security and risk assessments, such as internal threat assessments and internal control self-assessments. Because we are aware of the risks associated with third-party providers, we conduct third-party provider security assessments and benchmarking before engagement and maintain ongoing monitoring to ensure compliance with our cybersecurity standards. These assessments include evaluation of risk profiles through vendor questionnaires, review of System and Organization Controls attestation reports and monitoring on an ongoing basis by our IT risk management team. This approach is designed to mitigate risks related to data breaches or other security incidents originating from third-parties.</w:t>
      </w: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We regularly engage with third-party assessors and auditors as part of our ongoing cybersecurity risk assessment process to leverage specialized knowledge and insights and to identify areas for continued focus, improvement, compliance and effectiveness of mitigation. We also utilize government and industry-related security intelligence sources, and actively participate in industry peer groups and public-private partnerships to assist in the identification of potential threats. We conduct ongoing cybersecurity training and monthly email phishing drills for all employees.</w:t>
      </w:r>
    </w:p>
    <w:p>
      <w:pPr>
        <w:spacing w:after="0" w:line="15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also have a cybersecurity incident response plan and procedures to manage cybersecurity incidents. These procedures include steps to identify, classify, communicate, contain, eradicate, and recover from a cybersecurity incident. These procedures also include notification to a cross-functional management team to assess incident materiality and an escalation process to members of our senior management team and our Board of Directors.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Governance</w:t>
      </w:r>
    </w:p>
    <w:p>
      <w:pPr>
        <w:spacing w:after="0" w:line="19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Our Board of Directors is responsible for the oversight of risks from cybersecurity threats. Our Chief Information Officer provides our Board of Directors quarterly reports that summarize material cybersecurity threats and the countermeasures taken to mitigate the associated risks. These reports address a variety of topics including updates on strategic cyber initiatives, industry trends, threat vulnerability assessments, and efforts to prevent, detect and respond to internal and external critical threats. From time to time, our Board of Directors also engages third-party consultants to provide further education about cybersecurity risks.</w:t>
      </w:r>
    </w:p>
    <w:p>
      <w:pPr>
        <w:spacing w:after="0" w:line="15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Our cybersecurity risk management program, which is discussed above, is led by our CSO, who has 28 years of prior work experience in various roles involving managing information security of large-scale global security operations, including developing cybersecurity strategy and implementing effective information and cybersecurity programs. Our CSO maintains industry certifications, including an ISC2 Certified Information Systems Security Professional certification.</w:t>
      </w:r>
    </w:p>
    <w:p>
      <w:pPr>
        <w:spacing w:after="0" w:line="15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Through oversight of the cybersecurity risk management program, our CSO is continually informed about the status of the program, including the effectiveness of the process and controls to monitor, prevent, detect, mitigate, and remediate cybersecurity incidents. The CSO is also made aware of the latest developments in cybersecurity, including potential threats and innovative risk management techniques. The CSO, in his capacity, regularly informs the Chief Information Officer and other members of our senior management team of all aspects related to cybersecurity risks and incidents.</w:t>
      </w:r>
    </w:p>
    <w:p>
      <w:pPr>
        <w:spacing w:after="0" w:line="110"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w:t>
      </w:r>
      <w:r>
        <w:rPr>
          <w:rFonts w:ascii="Arial" w:cs="Arial" w:eastAsia="Arial" w:hAnsi="Arial"/>
          <w:sz w:val="16"/>
          <w:szCs w:val="16"/>
          <w:color w:val="auto"/>
        </w:rPr>
        <w:t xml:space="preserve"> for a description of our principal business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2857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7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In addition to the properties disclosed in the </w:t>
      </w:r>
      <w:r>
        <w:rPr>
          <w:rFonts w:ascii="Arial" w:cs="Arial" w:eastAsia="Arial" w:hAnsi="Arial"/>
          <w:sz w:val="16"/>
          <w:szCs w:val="16"/>
          <w:u w:val="single" w:color="auto"/>
          <w:color w:val="0000FF"/>
        </w:rPr>
        <w:t>Item 1</w:t>
      </w:r>
      <w:r>
        <w:rPr>
          <w:rFonts w:ascii="Arial" w:cs="Arial" w:eastAsia="Arial" w:hAnsi="Arial"/>
          <w:sz w:val="16"/>
          <w:szCs w:val="16"/>
          <w:color w:val="auto"/>
        </w:rPr>
        <w:t>, we own or lease several facilities throughout our service territories including a corporate headquarters building and various office, service center, storage, shop and warehouse space. Substantially all of the tangible utility properties of South Dakota Electric and Wyoming Electric are subject to liens securing first mortgage bonds issued by South Dakota Electric and Wyoming Electric,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2018030</wp:posOffset>
            </wp:positionH>
            <wp:positionV relativeFrom="paragraph">
              <wp:posOffset>-276225</wp:posOffset>
            </wp:positionV>
            <wp:extent cx="28575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124"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0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Information regarding our legal proceedings is incorporated herein by reference to the “Legal Proceedings” sub-caption within Item 8, </w:t>
      </w:r>
      <w:r>
        <w:rPr>
          <w:rFonts w:ascii="Arial" w:cs="Arial" w:eastAsia="Arial" w:hAnsi="Arial"/>
          <w:sz w:val="16"/>
          <w:szCs w:val="16"/>
          <w:u w:val="single" w:color="auto"/>
          <w:color w:val="0000FF"/>
        </w:rPr>
        <w:t>Note 3</w:t>
      </w:r>
      <w:r>
        <w:rPr>
          <w:rFonts w:ascii="Arial" w:cs="Arial" w:eastAsia="Arial" w:hAnsi="Arial"/>
          <w:sz w:val="16"/>
          <w:szCs w:val="16"/>
          <w:color w:val="auto"/>
        </w:rPr>
        <w:t>, “Commitments, Contingencies and Guarantees”,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6071870</wp:posOffset>
            </wp:positionH>
            <wp:positionV relativeFrom="paragraph">
              <wp:posOffset>-165735</wp:posOffset>
            </wp:positionV>
            <wp:extent cx="302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Information concerning mine safety violations or other regulatory matters required by Sections 1503(a) of the Dodd-Frank Wall Street Reform and Consumer Protection Act is included in </w:t>
      </w:r>
      <w:r>
        <w:rPr>
          <w:rFonts w:ascii="Arial" w:cs="Arial" w:eastAsia="Arial" w:hAnsi="Arial"/>
          <w:sz w:val="16"/>
          <w:szCs w:val="16"/>
          <w:u w:val="single" w:color="auto"/>
          <w:color w:val="0000FF"/>
        </w:rPr>
        <w:t>Exhibit 95</w:t>
      </w:r>
      <w:r>
        <w:rPr>
          <w:rFonts w:ascii="Arial" w:cs="Arial" w:eastAsia="Arial" w:hAnsi="Arial"/>
          <w:sz w:val="16"/>
          <w:szCs w:val="16"/>
          <w:color w:val="auto"/>
        </w:rPr>
        <w:t xml:space="preserv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1297305</wp:posOffset>
            </wp:positionH>
            <wp:positionV relativeFrom="paragraph">
              <wp:posOffset>-45720</wp:posOffset>
            </wp:positionV>
            <wp:extent cx="4514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1485" cy="8255"/>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INFORMATION ABOUT OUR EXECUTIVE OFFICERS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61,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22 years of experience with the Company.</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b w:val="1"/>
          <w:bCs w:val="1"/>
          <w:color w:val="auto"/>
        </w:rPr>
        <w:t xml:space="preserve">Brian G. Iverson, </w:t>
      </w:r>
      <w:r>
        <w:rPr>
          <w:rFonts w:ascii="Arial" w:cs="Arial" w:eastAsia="Arial" w:hAnsi="Arial"/>
          <w:sz w:val="16"/>
          <w:szCs w:val="16"/>
          <w:color w:val="auto"/>
        </w:rPr>
        <w:t>age 61, has been Senior Vice President, General Counsel and Chief Compliance Officer since August 26, 2019. He served 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General Counsel, Chief Compliance Officer and Corporate Secretary from February 1, 2019 to August 26, 2019, Senior Vice President, General Counsel and Chief Compliance Officer from 2016 to February 2019, Senior Vice President - Regulatory and Governmental Affairs and Assistant General Counsel from 2014 to 2016, Vice President and Treasurer from 2011 to 2014, Vice President - Electric Regulatory Services from 2008 to 2011 and as Corporate Counsel from 2004 to 2008. Mr. Iverson has 20 years of experience with the Company.</w:t>
      </w:r>
    </w:p>
    <w:p>
      <w:pPr>
        <w:spacing w:after="0" w:line="15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b w:val="1"/>
          <w:bCs w:val="1"/>
          <w:color w:val="auto"/>
        </w:rPr>
        <w:t xml:space="preserve">Todd Jacobs, </w:t>
      </w:r>
      <w:r>
        <w:rPr>
          <w:rFonts w:ascii="Arial" w:cs="Arial" w:eastAsia="Arial" w:hAnsi="Arial"/>
          <w:sz w:val="16"/>
          <w:szCs w:val="16"/>
          <w:color w:val="auto"/>
        </w:rPr>
        <w:t>age 55, has been Senior Vice President Growth and Strategy since June 15, 2023. Mr. Jacobs spent seven years in operations roles 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serving as the state leader for our Kansas and Arkansas utilities from 2014 to 2019 and then as the segment leader of our natural gas utilities from 2019 to 2021. He led our strategic planning and growth efforts from 2021 to 2023 before moving into this newly expanded role in 2023, which includes growth, strategic planning, business development, regulatory, government affairs, sustainability, communications and community affairs. He served in legal and corporate services leadership roles with other investor-owned utilities before joining the company in 2014. Mr. Jacobs served on active duty for seven years as a U.S. Army officer.</w:t>
      </w:r>
    </w:p>
    <w:p>
      <w:pPr>
        <w:spacing w:after="0" w:line="15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color w:val="auto"/>
        </w:rPr>
        <w:t>Marne M. Jones</w:t>
      </w:r>
      <w:r>
        <w:rPr>
          <w:rFonts w:ascii="Arial" w:cs="Arial" w:eastAsia="Arial" w:hAnsi="Arial"/>
          <w:sz w:val="16"/>
          <w:szCs w:val="16"/>
          <w:color w:val="auto"/>
        </w:rPr>
        <w:t>, age 50, has been Senior Vice President Utilities since June 15, 2023. She served as VP Electric Utilities from 2021 to 2023,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Regulatory and Finance from 2018 to 2021 and Vice President Regulatory from 2016 to 2018. Ms. Jones has a total of 22 years of experience with the Company and has advanced through roles of increasing responsibility in finance, accounting, corporate services, regulatory and utility operations.</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b w:val="1"/>
          <w:bCs w:val="1"/>
          <w:color w:val="auto"/>
        </w:rPr>
        <w:t>Erik D. Keller</w:t>
      </w:r>
      <w:r>
        <w:rPr>
          <w:rFonts w:ascii="Arial" w:cs="Arial" w:eastAsia="Arial" w:hAnsi="Arial"/>
          <w:sz w:val="16"/>
          <w:szCs w:val="16"/>
          <w:color w:val="auto"/>
        </w:rPr>
        <w:t>, age 60, joined the Company as Senior Vice President and Chief Information Officer on July 27, 2020. Prior to joining the company, he was an</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Technology consultant to Ontic Inc., a global provider of parts and services for legacy aerospace platforms, from January 2020 to July 2020, and Chief Information Officer for BBA Aviation, a global aviation support and aftermarket services provider, from February 2012 to January 2020.</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b w:val="1"/>
          <w:bCs w:val="1"/>
          <w:color w:val="auto"/>
        </w:rPr>
        <w:t>Kimberly F. Nooney</w:t>
      </w:r>
      <w:r>
        <w:rPr>
          <w:rFonts w:ascii="Arial" w:cs="Arial" w:eastAsia="Arial" w:hAnsi="Arial"/>
          <w:sz w:val="16"/>
          <w:szCs w:val="16"/>
          <w:color w:val="auto"/>
        </w:rPr>
        <w:t>, age 52, has been Senior Vice President and Chief Financial Officer since April 1, 2023. She served as Vice President – Treasurer from</w:t>
      </w:r>
      <w:r>
        <w:rPr>
          <w:rFonts w:ascii="Arial" w:cs="Arial" w:eastAsia="Arial" w:hAnsi="Arial"/>
          <w:sz w:val="16"/>
          <w:szCs w:val="16"/>
          <w:b w:val="1"/>
          <w:bCs w:val="1"/>
          <w:color w:val="auto"/>
        </w:rPr>
        <w:t xml:space="preserve"> </w:t>
      </w:r>
      <w:r>
        <w:rPr>
          <w:rFonts w:ascii="Arial" w:cs="Arial" w:eastAsia="Arial" w:hAnsi="Arial"/>
          <w:sz w:val="16"/>
          <w:szCs w:val="16"/>
          <w:color w:val="auto"/>
        </w:rPr>
        <w:t>2015 to 2023, and also served as the Corporate Controller from 2018 to 2022. Ms. Nooney has a total of 27 years of experience with the Company across numerous roles within accounting, internal audit, corporate development, accounting systems, treasury and financial planning and analysis.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w:t>
      </w:r>
    </w:p>
    <w:p>
      <w:pPr>
        <w:spacing w:after="0" w:line="194" w:lineRule="exact"/>
        <w:rPr>
          <w:sz w:val="20"/>
          <w:szCs w:val="20"/>
          <w:color w:val="auto"/>
        </w:rPr>
      </w:pPr>
    </w:p>
    <w:p>
      <w:pPr>
        <w:ind w:left="840" w:right="660" w:hanging="972"/>
        <w:spacing w:after="0" w:line="296" w:lineRule="auto"/>
        <w:tabs>
          <w:tab w:leader="none" w:pos="8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113"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Our common stock is traded on the New York Stock Exchange under the symbol BKH. As of January 31, 2024, we had 3,244 common shareholders of record and 63,074 beneficial owners, representing all 50 states, the District of Columbia, Puerto Rico and 5 foreign countries.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COMPARATIVE STOCK PERFORMANCE</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following performance graph compares the cumulative total stockholder return from Black Hills Corporation common stock, as compared with the S&amp;P 500 Index, S&amp;P 500 Utilities index, and our Performance Peer Group for the past five years. The graph assumes an initial investment of $100 on December 31, 2018, and assumes all dividends were reinvested. The stockholder return shown below for the five-year historical period may not be indicative of future performance. The information in this "Comparative Stock Performance" section shall not be deemed to be "soliciting material" or to be "filed" with the Securities and Exchange Commission or subject to Regulation 14A or 14C, or to the liabilities of Section 18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106045</wp:posOffset>
            </wp:positionV>
            <wp:extent cx="5349240" cy="258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924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of December 31,</w:t>
            </w: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34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r>
      <w:tr>
        <w:trPr>
          <w:trHeight w:val="210"/>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Corporation</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104.05</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123.69</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127.49</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102.08</w:t>
            </w:r>
          </w:p>
        </w:tc>
      </w:tr>
      <w:tr>
        <w:trPr>
          <w:trHeight w:val="215"/>
        </w:trPr>
        <w:tc>
          <w:tcPr>
            <w:tcW w:w="3400" w:type="dxa"/>
            <w:vAlign w:val="bottom"/>
          </w:tcPr>
          <w:p>
            <w:pPr>
              <w:ind w:left="20"/>
              <w:spacing w:after="0"/>
              <w:rPr>
                <w:sz w:val="20"/>
                <w:szCs w:val="20"/>
                <w:color w:val="auto"/>
              </w:rPr>
            </w:pPr>
            <w:r>
              <w:rPr>
                <w:rFonts w:ascii="Arial" w:cs="Arial" w:eastAsia="Arial" w:hAnsi="Arial"/>
                <w:sz w:val="16"/>
                <w:szCs w:val="16"/>
                <w:color w:val="auto"/>
              </w:rPr>
              <w:t>S&amp;P 500</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131.49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155.68</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200.37</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164.08</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207.21</w:t>
            </w:r>
          </w:p>
        </w:tc>
      </w:tr>
      <w:tr>
        <w:trPr>
          <w:trHeight w:val="217"/>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S&amp;P 500 Utilities</w:t>
            </w: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126.35</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126.96</w:t>
            </w:r>
          </w:p>
        </w:tc>
        <w:tc>
          <w:tcPr>
            <w:tcW w:w="3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149.39</w:t>
            </w: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151.73</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140.99</w:t>
            </w:r>
          </w:p>
        </w:tc>
      </w:tr>
      <w:tr>
        <w:trPr>
          <w:trHeight w:val="213"/>
        </w:trPr>
        <w:tc>
          <w:tcPr>
            <w:tcW w:w="340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Performance Peer Group </w:t>
            </w:r>
            <w:r>
              <w:rPr>
                <w:rFonts w:ascii="Arial" w:cs="Arial" w:eastAsia="Arial" w:hAnsi="Arial"/>
                <w:sz w:val="21"/>
                <w:szCs w:val="21"/>
                <w:color w:val="auto"/>
                <w:vertAlign w:val="superscript"/>
              </w:rPr>
              <w:t>(a)</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100.00</w:t>
            </w: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125.79</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124.33</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145.61</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147.29</w:t>
            </w:r>
          </w:p>
        </w:tc>
        <w:tc>
          <w:tcPr>
            <w:tcW w:w="280" w:type="dxa"/>
            <w:vAlign w:val="bottom"/>
          </w:tcPr>
          <w:p>
            <w:pPr>
              <w:spacing w:after="0"/>
              <w:rPr>
                <w:sz w:val="18"/>
                <w:szCs w:val="18"/>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134.47</w:t>
            </w:r>
          </w:p>
        </w:tc>
      </w:tr>
    </w:tbl>
    <w:p>
      <w:pPr>
        <w:spacing w:after="0"/>
        <w:rPr>
          <w:sz w:val="20"/>
          <w:szCs w:val="20"/>
          <w:color w:val="auto"/>
        </w:rPr>
      </w:pPr>
      <w:r>
        <w:rPr>
          <w:rFonts w:ascii="Arial" w:cs="Arial" w:eastAsia="Arial" w:hAnsi="Arial"/>
          <w:sz w:val="11"/>
          <w:szCs w:val="11"/>
          <w:color w:val="auto"/>
        </w:rPr>
        <w:t>____________________</w:t>
      </w:r>
    </w:p>
    <w:p>
      <w:pPr>
        <w:spacing w:after="0" w:line="30"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Performance Peer Group represents the Edison Electric Institute Index, which was used in our 2023 Proxy Statement filed with the SEC on March 15, 2023.</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94"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For information concerning dividends, our dividend policy and factors that may limit our ability to pay dividends, 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and “</w:t>
      </w:r>
      <w:r>
        <w:rPr>
          <w:rFonts w:ascii="Arial" w:cs="Arial" w:eastAsia="Arial" w:hAnsi="Arial"/>
          <w:sz w:val="16"/>
          <w:szCs w:val="16"/>
          <w:u w:val="single" w:color="auto"/>
          <w:color w:val="0000FF"/>
        </w:rPr>
        <w:t>Liquidity and Capital Resources</w:t>
      </w:r>
      <w:r>
        <w:rPr>
          <w:rFonts w:ascii="Arial" w:cs="Arial" w:eastAsia="Arial" w:hAnsi="Arial"/>
          <w:sz w:val="16"/>
          <w:szCs w:val="16"/>
          <w:color w:val="auto"/>
        </w:rPr>
        <w:t xml:space="preserve">” under </w:t>
      </w:r>
      <w:r>
        <w:rPr>
          <w:rFonts w:ascii="Arial" w:cs="Arial" w:eastAsia="Arial" w:hAnsi="Arial"/>
          <w:sz w:val="16"/>
          <w:szCs w:val="16"/>
          <w:u w:val="single" w:color="auto"/>
          <w:color w:val="0000FF"/>
        </w:rPr>
        <w:t>Item 7</w:t>
      </w:r>
      <w:r>
        <w:rPr>
          <w:rFonts w:ascii="Arial" w:cs="Arial" w:eastAsia="Arial" w:hAnsi="Arial"/>
          <w:sz w:val="16"/>
          <w:szCs w:val="16"/>
          <w:color w:val="auto"/>
        </w:rPr>
        <w:t>, Management’s Discussion and Analysis of Financial Condition and Results of Operations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-276225</wp:posOffset>
            </wp:positionV>
            <wp:extent cx="17837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83715" cy="825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-156210</wp:posOffset>
            </wp:positionV>
            <wp:extent cx="208661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08661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UNREGISTERED SECURITIES ISSUED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unregistered securities sold during 2023.</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12</w:t>
      </w:r>
      <w:r>
        <w:rPr>
          <w:rFonts w:ascii="Arial" w:cs="Arial" w:eastAsia="Arial" w:hAnsi="Arial"/>
          <w:sz w:val="16"/>
          <w:szCs w:val="16"/>
          <w:color w:val="auto"/>
        </w:rPr>
        <w:t xml:space="preserve"> in this Annual Report on Form 10-K for information regarding Securities Authorized for Issuance Under 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429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monthly information about our acquisitions of equity securities for the three months ended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40" w:type="dxa"/>
            <w:vAlign w:val="bottom"/>
          </w:tcPr>
          <w:p>
            <w:pPr>
              <w:jc w:val="center"/>
              <w:ind w:right="59"/>
              <w:spacing w:after="0"/>
              <w:rPr>
                <w:sz w:val="20"/>
                <w:szCs w:val="20"/>
                <w:color w:val="auto"/>
              </w:rPr>
            </w:pPr>
            <w:r>
              <w:rPr>
                <w:rFonts w:ascii="Arial" w:cs="Arial" w:eastAsia="Arial" w:hAnsi="Arial"/>
                <w:sz w:val="16"/>
                <w:szCs w:val="16"/>
                <w:b w:val="1"/>
                <w:bCs w:val="1"/>
                <w:color w:val="auto"/>
              </w:rPr>
              <w:t>Maximum Number (or</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40" w:type="dxa"/>
            <w:vAlign w:val="bottom"/>
          </w:tcPr>
          <w:p>
            <w:pPr>
              <w:jc w:val="center"/>
              <w:ind w:right="59"/>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20" w:type="dxa"/>
            <w:vAlign w:val="bottom"/>
          </w:tcPr>
          <w:p>
            <w:pPr>
              <w:jc w:val="center"/>
              <w:ind w:right="19"/>
              <w:spacing w:after="0"/>
              <w:rPr>
                <w:sz w:val="20"/>
                <w:szCs w:val="20"/>
                <w:color w:val="auto"/>
              </w:rPr>
            </w:pPr>
            <w:r>
              <w:rPr>
                <w:rFonts w:ascii="Arial" w:cs="Arial" w:eastAsia="Arial" w:hAnsi="Arial"/>
                <w:sz w:val="16"/>
                <w:szCs w:val="16"/>
                <w:b w:val="1"/>
                <w:bCs w:val="1"/>
                <w:color w:val="auto"/>
              </w:rPr>
              <w:t>Total Number of Shares</w:t>
            </w:r>
          </w:p>
        </w:tc>
        <w:tc>
          <w:tcPr>
            <w:tcW w:w="2040" w:type="dxa"/>
            <w:vAlign w:val="bottom"/>
          </w:tcPr>
          <w:p>
            <w:pPr>
              <w:jc w:val="center"/>
              <w:ind w:right="59"/>
              <w:spacing w:after="0"/>
              <w:rPr>
                <w:sz w:val="20"/>
                <w:szCs w:val="20"/>
                <w:color w:val="auto"/>
              </w:rPr>
            </w:pPr>
            <w:r>
              <w:rPr>
                <w:rFonts w:ascii="Arial" w:cs="Arial" w:eastAsia="Arial" w:hAnsi="Arial"/>
                <w:sz w:val="16"/>
                <w:szCs w:val="16"/>
                <w:b w:val="1"/>
                <w:bCs w:val="1"/>
                <w:color w:val="auto"/>
              </w:rPr>
              <w:t>Value) of Shares That</w:t>
            </w:r>
          </w:p>
        </w:tc>
        <w:tc>
          <w:tcPr>
            <w:tcW w:w="0" w:type="dxa"/>
            <w:vAlign w:val="bottom"/>
          </w:tcPr>
          <w:p>
            <w:pPr>
              <w:spacing w:after="0"/>
              <w:rPr>
                <w:sz w:val="1"/>
                <w:szCs w:val="1"/>
                <w:color w:val="auto"/>
              </w:rPr>
            </w:pPr>
          </w:p>
        </w:tc>
      </w:tr>
      <w:tr>
        <w:trPr>
          <w:trHeight w:val="189"/>
        </w:trPr>
        <w:tc>
          <w:tcPr>
            <w:tcW w:w="36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320" w:type="dxa"/>
            <w:vAlign w:val="bottom"/>
          </w:tcPr>
          <w:p>
            <w:pPr>
              <w:jc w:val="center"/>
              <w:ind w:right="19"/>
              <w:spacing w:after="0"/>
              <w:rPr>
                <w:sz w:val="20"/>
                <w:szCs w:val="20"/>
                <w:color w:val="auto"/>
              </w:rPr>
            </w:pPr>
            <w:r>
              <w:rPr>
                <w:rFonts w:ascii="Arial" w:cs="Arial" w:eastAsia="Arial" w:hAnsi="Arial"/>
                <w:sz w:val="16"/>
                <w:szCs w:val="16"/>
                <w:b w:val="1"/>
                <w:bCs w:val="1"/>
                <w:color w:val="auto"/>
              </w:rPr>
              <w:t>Purchased as Part of</w:t>
            </w:r>
          </w:p>
        </w:tc>
        <w:tc>
          <w:tcPr>
            <w:tcW w:w="204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3"/>
        </w:trPr>
        <w:tc>
          <w:tcPr>
            <w:tcW w:w="3620" w:type="dxa"/>
            <w:vAlign w:val="bottom"/>
          </w:tcPr>
          <w:p>
            <w:pPr>
              <w:spacing w:after="0"/>
              <w:rPr>
                <w:sz w:val="14"/>
                <w:szCs w:val="14"/>
                <w:color w:val="auto"/>
              </w:rPr>
            </w:pPr>
          </w:p>
        </w:tc>
        <w:tc>
          <w:tcPr>
            <w:tcW w:w="1800" w:type="dxa"/>
            <w:vAlign w:val="bottom"/>
          </w:tcPr>
          <w:p>
            <w:pPr>
              <w:jc w:val="right"/>
              <w:ind w:right="239"/>
              <w:spacing w:after="0" w:line="163" w:lineRule="exact"/>
              <w:rPr>
                <w:sz w:val="20"/>
                <w:szCs w:val="20"/>
                <w:color w:val="auto"/>
              </w:rPr>
            </w:pPr>
            <w:r>
              <w:rPr>
                <w:rFonts w:ascii="Arial" w:cs="Arial" w:eastAsia="Arial" w:hAnsi="Arial"/>
                <w:sz w:val="16"/>
                <w:szCs w:val="16"/>
                <w:b w:val="1"/>
                <w:bCs w:val="1"/>
                <w:color w:val="auto"/>
              </w:rPr>
              <w:t>Total Number of</w:t>
            </w:r>
          </w:p>
        </w:tc>
        <w:tc>
          <w:tcPr>
            <w:tcW w:w="180" w:type="dxa"/>
            <w:vAlign w:val="bottom"/>
          </w:tcPr>
          <w:p>
            <w:pPr>
              <w:spacing w:after="0"/>
              <w:rPr>
                <w:sz w:val="14"/>
                <w:szCs w:val="14"/>
                <w:color w:val="auto"/>
              </w:rPr>
            </w:pPr>
          </w:p>
        </w:tc>
        <w:tc>
          <w:tcPr>
            <w:tcW w:w="1280" w:type="dxa"/>
            <w:vAlign w:val="bottom"/>
          </w:tcPr>
          <w:p>
            <w:pPr>
              <w:jc w:val="right"/>
              <w:ind w:right="119"/>
              <w:spacing w:after="0" w:line="163" w:lineRule="exact"/>
              <w:rPr>
                <w:sz w:val="20"/>
                <w:szCs w:val="20"/>
                <w:color w:val="auto"/>
              </w:rPr>
            </w:pPr>
            <w:r>
              <w:rPr>
                <w:rFonts w:ascii="Arial" w:cs="Arial" w:eastAsia="Arial" w:hAnsi="Arial"/>
                <w:sz w:val="16"/>
                <w:szCs w:val="16"/>
                <w:b w:val="1"/>
                <w:bCs w:val="1"/>
                <w:color w:val="auto"/>
                <w:w w:val="99"/>
              </w:rPr>
              <w:t>Average Price</w:t>
            </w:r>
          </w:p>
        </w:tc>
        <w:tc>
          <w:tcPr>
            <w:tcW w:w="232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rPr>
              <w:t>Publicly Announced Plans</w:t>
            </w:r>
          </w:p>
        </w:tc>
        <w:tc>
          <w:tcPr>
            <w:tcW w:w="2040" w:type="dxa"/>
            <w:vAlign w:val="bottom"/>
          </w:tcPr>
          <w:p>
            <w:pPr>
              <w:jc w:val="center"/>
              <w:ind w:right="39"/>
              <w:spacing w:after="0" w:line="163"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43"/>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Period</w:t>
            </w:r>
          </w:p>
        </w:tc>
        <w:tc>
          <w:tcPr>
            <w:tcW w:w="1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 xml:space="preserve">Shares Purchased </w:t>
            </w:r>
            <w:r>
              <w:rPr>
                <w:rFonts w:ascii="Arial" w:cs="Arial" w:eastAsia="Arial" w:hAnsi="Arial"/>
                <w:sz w:val="21"/>
                <w:szCs w:val="21"/>
                <w:b w:val="1"/>
                <w:bCs w:val="1"/>
                <w:color w:val="auto"/>
                <w:vertAlign w:val="superscript"/>
              </w:rPr>
              <w:t>(a)</w:t>
            </w:r>
          </w:p>
        </w:tc>
        <w:tc>
          <w:tcPr>
            <w:tcW w:w="14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Paid per Share</w:t>
            </w: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or Programs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October 1, 2023 - October 31, 2023</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48.44</w:t>
            </w:r>
          </w:p>
        </w:tc>
        <w:tc>
          <w:tcPr>
            <w:tcW w:w="2320" w:type="dxa"/>
            <w:vAlign w:val="bottom"/>
            <w:shd w:val="clear" w:color="auto" w:fill="CFF0FC"/>
          </w:tcPr>
          <w:p>
            <w:pPr>
              <w:ind w:left="206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FF0FC"/>
          </w:tcPr>
          <w:p>
            <w:pPr>
              <w:ind w:left="1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November 1, 2023 - November 30, 2023</w:t>
            </w:r>
          </w:p>
        </w:tc>
        <w:tc>
          <w:tcPr>
            <w:tcW w:w="1800" w:type="dxa"/>
            <w:vAlign w:val="bottom"/>
          </w:tcPr>
          <w:p>
            <w:pPr>
              <w:jc w:val="right"/>
              <w:spacing w:after="0"/>
              <w:rPr>
                <w:sz w:val="20"/>
                <w:szCs w:val="20"/>
                <w:color w:val="auto"/>
              </w:rPr>
            </w:pPr>
            <w:r>
              <w:rPr>
                <w:rFonts w:ascii="Arial" w:cs="Arial" w:eastAsia="Arial" w:hAnsi="Arial"/>
                <w:sz w:val="16"/>
                <w:szCs w:val="16"/>
                <w:color w:val="auto"/>
              </w:rPr>
              <w:t>991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51.52</w:t>
            </w:r>
          </w:p>
        </w:tc>
        <w:tc>
          <w:tcPr>
            <w:tcW w:w="2320" w:type="dxa"/>
            <w:vAlign w:val="bottom"/>
          </w:tcPr>
          <w:p>
            <w:pPr>
              <w:ind w:left="2060"/>
              <w:spacing w:after="0"/>
              <w:rPr>
                <w:sz w:val="20"/>
                <w:szCs w:val="20"/>
                <w:color w:val="auto"/>
              </w:rPr>
            </w:pPr>
            <w:r>
              <w:rPr>
                <w:rFonts w:ascii="Arial" w:cs="Arial" w:eastAsia="Arial" w:hAnsi="Arial"/>
                <w:sz w:val="16"/>
                <w:szCs w:val="16"/>
                <w:color w:val="auto"/>
              </w:rPr>
              <w:t>—</w:t>
            </w:r>
          </w:p>
        </w:tc>
        <w:tc>
          <w:tcPr>
            <w:tcW w:w="2040" w:type="dxa"/>
            <w:vAlign w:val="bottom"/>
          </w:tcPr>
          <w:p>
            <w:pPr>
              <w:ind w:left="1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December 1, 2023 - December 31, 2023</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54.62</w:t>
            </w:r>
          </w:p>
        </w:tc>
        <w:tc>
          <w:tcPr>
            <w:tcW w:w="2320" w:type="dxa"/>
            <w:vAlign w:val="bottom"/>
            <w:tcBorders>
              <w:bottom w:val="single" w:sz="8" w:color="auto"/>
            </w:tcBorders>
            <w:shd w:val="clear" w:color="auto" w:fill="CFF0FC"/>
          </w:tcPr>
          <w:p>
            <w:pPr>
              <w:ind w:left="206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shd w:val="clear" w:color="auto" w:fill="CFF0FC"/>
          </w:tcPr>
          <w:p>
            <w:pPr>
              <w:ind w:left="1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620" w:type="dxa"/>
            <w:vAlign w:val="bottom"/>
          </w:tcPr>
          <w:p>
            <w:pPr>
              <w:ind w:left="200"/>
              <w:spacing w:after="0"/>
              <w:rPr>
                <w:sz w:val="20"/>
                <w:szCs w:val="20"/>
                <w:color w:val="auto"/>
              </w:rPr>
            </w:pPr>
            <w:r>
              <w:rPr>
                <w:rFonts w:ascii="Arial" w:cs="Arial" w:eastAsia="Arial" w:hAnsi="Arial"/>
                <w:sz w:val="16"/>
                <w:szCs w:val="16"/>
                <w:color w:val="auto"/>
              </w:rPr>
              <w:t>Total</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54.20</w:t>
            </w:r>
          </w:p>
        </w:tc>
        <w:tc>
          <w:tcPr>
            <w:tcW w:w="2320" w:type="dxa"/>
            <w:vAlign w:val="bottom"/>
            <w:tcBorders>
              <w:bottom w:val="single" w:sz="8" w:color="auto"/>
            </w:tcBorders>
          </w:tcPr>
          <w:p>
            <w:pPr>
              <w:ind w:left="2060"/>
              <w:spacing w:after="0"/>
              <w:rPr>
                <w:sz w:val="20"/>
                <w:szCs w:val="20"/>
                <w:color w:val="auto"/>
              </w:rPr>
            </w:pPr>
            <w:r>
              <w:rPr>
                <w:rFonts w:ascii="Arial" w:cs="Arial" w:eastAsia="Arial" w:hAnsi="Arial"/>
                <w:sz w:val="16"/>
                <w:szCs w:val="16"/>
                <w:color w:val="auto"/>
              </w:rPr>
              <w:t>—</w:t>
            </w:r>
          </w:p>
        </w:tc>
        <w:tc>
          <w:tcPr>
            <w:tcW w:w="2040" w:type="dxa"/>
            <w:vAlign w:val="bottom"/>
            <w:tcBorders>
              <w:bottom w:val="single" w:sz="8" w:color="auto"/>
            </w:tcBorders>
          </w:tcPr>
          <w:p>
            <w:pPr>
              <w:ind w:left="17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620" w:type="dxa"/>
            <w:vAlign w:val="bottom"/>
            <w:vMerge w:val="continue"/>
          </w:tcPr>
          <w:p>
            <w:pPr>
              <w:spacing w:after="0"/>
              <w:rPr>
                <w:sz w:val="9"/>
                <w:szCs w:val="9"/>
                <w:color w:val="auto"/>
              </w:rPr>
            </w:pPr>
          </w:p>
        </w:tc>
        <w:tc>
          <w:tcPr>
            <w:tcW w:w="1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520" w:right="360" w:hanging="512"/>
        <w:spacing w:after="0" w:line="285" w:lineRule="auto"/>
        <w:tabs>
          <w:tab w:leader="none" w:pos="5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Shares were acquired under the share withholding provisions of the Amended and Restated 2015 Omnibus Incentive Plan for payment of taxes associated with the vesting of various equity compensation plans.</w:t>
      </w:r>
    </w:p>
    <w:p>
      <w:pPr>
        <w:spacing w:after="0" w:line="31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6"/>
          <w:szCs w:val="16"/>
          <w:b w:val="1"/>
          <w:bCs w:val="1"/>
          <w:color w:val="auto"/>
        </w:rPr>
        <w:t>(RESERVED)</w:t>
      </w:r>
    </w:p>
    <w:p>
      <w:pPr>
        <w:spacing w:after="0" w:line="383" w:lineRule="exact"/>
        <w:rPr>
          <w:sz w:val="20"/>
          <w:szCs w:val="20"/>
          <w:color w:val="auto"/>
        </w:rPr>
      </w:pPr>
    </w:p>
    <w:p>
      <w:pPr>
        <w:ind w:left="840" w:right="2060" w:hanging="4845"/>
        <w:spacing w:after="0" w:line="501" w:lineRule="auto"/>
        <w:tabs>
          <w:tab w:leader="none" w:pos="8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 Executive Summary</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We are a customer-focused energy solutions provider with a mission of </w:t>
      </w:r>
      <w:r>
        <w:rPr>
          <w:rFonts w:ascii="Arial" w:cs="Arial" w:eastAsia="Arial" w:hAnsi="Arial"/>
          <w:sz w:val="16"/>
          <w:szCs w:val="16"/>
          <w:i w:val="1"/>
          <w:iCs w:val="1"/>
          <w:color w:val="auto"/>
        </w:rPr>
        <w:t>Improving Life with Energy</w:t>
      </w:r>
      <w:r>
        <w:rPr>
          <w:rFonts w:ascii="Arial" w:cs="Arial" w:eastAsia="Arial" w:hAnsi="Arial"/>
          <w:sz w:val="16"/>
          <w:szCs w:val="16"/>
          <w:color w:val="auto"/>
        </w:rPr>
        <w:t xml:space="preserve"> for more than 1.3 million customers and 800+ communities we serve. Our aspiration is to be the trusted energy partner across our growing eight-state footprint, including Arkansas, Colorado, Iowa, Kansas, Montana, Nebraska, South Dakota and Wyoming. Our strategy is centered on four critical priorities: </w:t>
      </w:r>
      <w:r>
        <w:rPr>
          <w:rFonts w:ascii="Arial" w:cs="Arial" w:eastAsia="Arial" w:hAnsi="Arial"/>
          <w:sz w:val="16"/>
          <w:szCs w:val="16"/>
          <w:i w:val="1"/>
          <w:iCs w:val="1"/>
          <w:color w:val="auto"/>
        </w:rPr>
        <w:t>Growth—</w:t>
      </w:r>
      <w:r>
        <w:rPr>
          <w:rFonts w:ascii="Arial" w:cs="Arial" w:eastAsia="Arial" w:hAnsi="Arial"/>
          <w:sz w:val="16"/>
          <w:szCs w:val="16"/>
          <w:color w:val="auto"/>
        </w:rPr>
        <w:t xml:space="preserve">to grow strategically and achieve strong financial performance, </w:t>
      </w:r>
      <w:r>
        <w:rPr>
          <w:rFonts w:ascii="Arial" w:cs="Arial" w:eastAsia="Arial" w:hAnsi="Arial"/>
          <w:sz w:val="16"/>
          <w:szCs w:val="16"/>
          <w:i w:val="1"/>
          <w:iCs w:val="1"/>
          <w:color w:val="auto"/>
        </w:rPr>
        <w:t>Operational Excellence—</w:t>
      </w:r>
      <w:r>
        <w:rPr>
          <w:rFonts w:ascii="Arial" w:cs="Arial" w:eastAsia="Arial" w:hAnsi="Arial"/>
          <w:sz w:val="16"/>
          <w:szCs w:val="16"/>
          <w:color w:val="auto"/>
        </w:rPr>
        <w:t xml:space="preserve">delivering safe, reliable and cost-effective energy to meet our customers’ needs, </w:t>
      </w:r>
      <w:r>
        <w:rPr>
          <w:rFonts w:ascii="Arial" w:cs="Arial" w:eastAsia="Arial" w:hAnsi="Arial"/>
          <w:sz w:val="16"/>
          <w:szCs w:val="16"/>
          <w:i w:val="1"/>
          <w:iCs w:val="1"/>
          <w:color w:val="auto"/>
        </w:rPr>
        <w:t>Transformation</w:t>
      </w:r>
      <w:r>
        <w:rPr>
          <w:rFonts w:ascii="Arial" w:cs="Arial" w:eastAsia="Arial" w:hAnsi="Arial"/>
          <w:sz w:val="16"/>
          <w:szCs w:val="16"/>
          <w:color w:val="auto"/>
        </w:rPr>
        <w:t xml:space="preserve">—be a simple and connected company positioned for growth, and </w:t>
      </w:r>
      <w:r>
        <w:rPr>
          <w:rFonts w:ascii="Arial" w:cs="Arial" w:eastAsia="Arial" w:hAnsi="Arial"/>
          <w:sz w:val="16"/>
          <w:szCs w:val="16"/>
          <w:i w:val="1"/>
          <w:iCs w:val="1"/>
          <w:color w:val="auto"/>
        </w:rPr>
        <w:t>People &amp; Culture</w:t>
      </w:r>
      <w:r>
        <w:rPr>
          <w:rFonts w:ascii="Arial" w:cs="Arial" w:eastAsia="Arial" w:hAnsi="Arial"/>
          <w:sz w:val="16"/>
          <w:szCs w:val="16"/>
          <w:color w:val="auto"/>
        </w:rPr>
        <w:t>—retain and attract a talented, engaged and thriving team.</w:t>
      </w:r>
    </w:p>
    <w:p>
      <w:pPr>
        <w:spacing w:after="0" w:line="153"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We conduct our business operations through two operating segments: Electric Utilities and Gas Utilities. Certain unallocated corporate expenses that support our operating segments are presented as Corporate and Other. We conduct our utility operations under the name Black Hills Energy predominantly in rural areas of the Rocky Mountains and Midwestern states. We consider ourself a domestic electric and natural gas utility company.</w:t>
      </w:r>
    </w:p>
    <w:p>
      <w:pPr>
        <w:spacing w:after="0" w:line="14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We have provided energy and served customers for 140 years, since the 1883 gold rush days in Deadwood, South Dakota. Throughout our history, the common thread that unites the past to the present is our commitment to serve our customers and communities. By being responsive and service focused, we can help our customers and communities thrive while meeting rapidly changing customer expectations.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Key Elements of our Business Strategy</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b w:val="1"/>
          <w:bCs w:val="1"/>
          <w:i w:val="1"/>
          <w:iCs w:val="1"/>
          <w:color w:val="auto"/>
        </w:rPr>
        <w:t xml:space="preserve">Explore opportunities as an energy solutions provider. </w:t>
      </w:r>
      <w:r>
        <w:rPr>
          <w:rFonts w:ascii="Arial" w:cs="Arial" w:eastAsia="Arial" w:hAnsi="Arial"/>
          <w:sz w:val="16"/>
          <w:szCs w:val="16"/>
          <w:color w:val="auto"/>
        </w:rPr>
        <w:t>A key strategic initiative is to grow our business through innovative energy solutions with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and partnerships. We see value creation by recruiting new customers and expanding existing partnerships with data centers and blockchain opportunities; exploring energy markets such as RTOs; and expanding our transmission capabilities, establishing a RNG program and expanding our RNG portfolio. A few recent examples of our initiatives to grow our business as an energy solutions provider include:</w:t>
      </w:r>
    </w:p>
    <w:p>
      <w:pPr>
        <w:spacing w:after="0" w:line="151" w:lineRule="exact"/>
        <w:rPr>
          <w:sz w:val="20"/>
          <w:szCs w:val="20"/>
          <w:color w:val="auto"/>
        </w:rPr>
      </w:pPr>
    </w:p>
    <w:p>
      <w:pPr>
        <w:ind w:left="1020" w:right="20" w:hanging="503"/>
        <w:spacing w:after="0" w:line="259"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Contracted Renewable Energy to Grow Data Center Partnerships: </w:t>
      </w:r>
      <w:r>
        <w:rPr>
          <w:rFonts w:ascii="Arial" w:cs="Arial" w:eastAsia="Arial" w:hAnsi="Arial"/>
          <w:sz w:val="16"/>
          <w:szCs w:val="16"/>
          <w:color w:val="auto"/>
        </w:rPr>
        <w:t>In 2022, Wyoming Electric entered into two new PPAs with third parties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up to 106 MW of wind energy and up to 150 MW of solar energy, upon construction of new renewable generation facilities (owned by third parties). The new wind generation facility was placed in service in December 2023 and the solar facility is expected to be completed in March 2024. The renewable energy from these PPAs will be used to serve our expanding partnerships with data centers.</w:t>
      </w:r>
    </w:p>
    <w:p>
      <w:pPr>
        <w:spacing w:after="0" w:line="177" w:lineRule="exact"/>
        <w:rPr>
          <w:rFonts w:ascii="Times New Roman" w:cs="Times New Roman" w:eastAsia="Times New Roman" w:hAnsi="Times New Roman"/>
          <w:sz w:val="16"/>
          <w:szCs w:val="16"/>
          <w:color w:val="auto"/>
        </w:rPr>
      </w:pPr>
    </w:p>
    <w:p>
      <w:pPr>
        <w:ind w:left="1020" w:right="100" w:hanging="503"/>
        <w:spacing w:after="0" w:line="254" w:lineRule="auto"/>
        <w:tabs>
          <w:tab w:leader="none" w:pos="1020" w:val="left"/>
        </w:tabs>
        <w:numPr>
          <w:ilvl w:val="0"/>
          <w:numId w:val="19"/>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 xml:space="preserve">Developed BCIS Tariff to Facilitate Growth: </w:t>
      </w:r>
      <w:r>
        <w:rPr>
          <w:rFonts w:ascii="Arial" w:cs="Arial" w:eastAsia="Arial" w:hAnsi="Arial"/>
          <w:sz w:val="16"/>
          <w:szCs w:val="16"/>
          <w:color w:val="auto"/>
        </w:rPr>
        <w:t>We have supported enabling legislation in Wyoming for the growing blockchain businesses while</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implementing our own BCIS Tariff to serve these customers. In June 2022, Wyoming Electric completed its first agreement, with a new customer in Cheyenne, Wyoming, under this Tariff. This five-year agreement provides delivery of up to 45 MW with an option to expand service up to 75 MW, which was exercised by the customer in 2023. Energy is sourced through the electric energy market and delivered through our Electric Utilities’ infrastructure. Under the agreement, the customer is responsible for costs of service, and the load is interruptible to prioritize the needs of Wyoming Electric’s existing retail customers.</w:t>
      </w:r>
    </w:p>
    <w:p>
      <w:pPr>
        <w:spacing w:after="0" w:line="167" w:lineRule="exact"/>
        <w:rPr>
          <w:rFonts w:ascii="Times New Roman" w:cs="Times New Roman" w:eastAsia="Times New Roman" w:hAnsi="Times New Roman"/>
          <w:sz w:val="16"/>
          <w:szCs w:val="16"/>
          <w:color w:val="auto"/>
        </w:rPr>
      </w:pPr>
    </w:p>
    <w:p>
      <w:pPr>
        <w:ind w:left="1020" w:hanging="503"/>
        <w:spacing w:after="0" w:line="248"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 xml:space="preserve">Established Green Forward: </w:t>
      </w:r>
      <w:r>
        <w:rPr>
          <w:rFonts w:ascii="Arial" w:cs="Arial" w:eastAsia="Arial" w:hAnsi="Arial"/>
          <w:sz w:val="16"/>
          <w:szCs w:val="16"/>
          <w:color w:val="auto"/>
        </w:rPr>
        <w:t>In 2022 and 2023, we filed regulatory applications to launch Green Forward, a voluntary RNG and carbon offset</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to eligible residential and small business natural gas customers to offset up to 100% or more of the emissions from their natural gas usage. Our teams continue to evaluate attractive RNG investment opportunities across our agriculture-rich service territories and explore value generation with our natural gas storage assets. We also continue to expand our RNG interconnections, with seven projects actively injecting RNG into our natural gas system.</w:t>
      </w:r>
    </w:p>
    <w:p>
      <w:pPr>
        <w:spacing w:after="0" w:line="173" w:lineRule="exact"/>
        <w:rPr>
          <w:rFonts w:ascii="Times New Roman" w:cs="Times New Roman" w:eastAsia="Times New Roman" w:hAnsi="Times New Roman"/>
          <w:sz w:val="18"/>
          <w:szCs w:val="18"/>
          <w:color w:val="auto"/>
        </w:rPr>
      </w:pPr>
    </w:p>
    <w:p>
      <w:pPr>
        <w:ind w:left="1020" w:right="180" w:hanging="503"/>
        <w:spacing w:after="0" w:line="248"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6"/>
          <w:szCs w:val="16"/>
          <w:i w:val="1"/>
          <w:iCs w:val="1"/>
          <w:color w:val="auto"/>
        </w:rPr>
        <w:t xml:space="preserve">Expanded RNG Portfolio: </w:t>
      </w:r>
      <w:r>
        <w:rPr>
          <w:rFonts w:ascii="Arial" w:cs="Arial" w:eastAsia="Arial" w:hAnsi="Arial"/>
          <w:sz w:val="16"/>
          <w:szCs w:val="16"/>
          <w:color w:val="auto"/>
        </w:rPr>
        <w:t>In January 2024, Black Hills Energy Renewable Resources acquired a RNG production facility at a landfill in</w:t>
      </w:r>
      <w:r>
        <w:rPr>
          <w:rFonts w:ascii="Arial" w:cs="Arial" w:eastAsia="Arial" w:hAnsi="Arial"/>
          <w:sz w:val="16"/>
          <w:szCs w:val="16"/>
          <w:i w:val="1"/>
          <w:iCs w:val="1"/>
          <w:color w:val="auto"/>
        </w:rPr>
        <w:t xml:space="preserve"> </w:t>
      </w:r>
      <w:r>
        <w:rPr>
          <w:rFonts w:ascii="Arial" w:cs="Arial" w:eastAsia="Arial" w:hAnsi="Arial"/>
          <w:sz w:val="16"/>
          <w:szCs w:val="16"/>
          <w:color w:val="auto"/>
        </w:rPr>
        <w:t>Dubuque, Iowa. The facility currently injects RNG into the natural gas distribution system serving Dubuque, which is owned and operated by Iowa Gas. This acquisition represents our entry into the production of RNG as a nonregulated business while leveraging our expertise in owning and operating regulated natural gas pipeline systems, including RNG interconnections. The RNG produced from the landfill facility captures methane that would otherwise vent into the atmosphere. It is delivered under long-term contracts to a third party that purchases the RNG and its related environmental attributes, in conformity with the EPA's Renewable Fuel Standard Program.</w:t>
      </w:r>
    </w:p>
    <w:p>
      <w:pPr>
        <w:spacing w:after="0" w:line="15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Modernize and operate utility infrastructure to provide customers with safe, reliable, cost-effective electric and natural gas service. </w:t>
      </w:r>
      <w:r>
        <w:rPr>
          <w:rFonts w:ascii="Arial" w:cs="Arial" w:eastAsia="Arial" w:hAnsi="Arial"/>
          <w:sz w:val="16"/>
          <w:szCs w:val="16"/>
          <w:color w:val="auto"/>
        </w:rPr>
        <w:t>Our utilities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 and operate large electric and natural gas infrastructure systems with a geographic footprint that spans nearly 1,600 miles. Our Electric Utilities own and operate 1,394 MW of generation capacity and 9,106 miles of transmission and distribution lines and our Gas Utilities own and operate approximately 47,000 miles of natural gas transmission and distribution pipelines.</w:t>
      </w:r>
    </w:p>
    <w:p>
      <w:pPr>
        <w:spacing w:after="0" w:line="151"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A key strategic focus is to modernize and harden our utility infrastructure to meet customers’ and communities’ varied energy needs, ensure the continued delivery of safe, reliable and cost-effective energy and reduce GHG emissions intensity. In addition, we invest in the expansion, capacity and integrity of our systems to meet customer growth.</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 xml:space="preserve">To meet our electric customers’ continued expectations of high levels of reliability, a key strength of the Company, our Electric Utilities utilize an integrity program to ensure the timely repair and replacement of aging infrastructure. In alignment with this program, in November 2021, Wyoming Electric announced its </w:t>
      </w:r>
      <w:r>
        <w:rPr>
          <w:rFonts w:ascii="Arial" w:cs="Arial" w:eastAsia="Arial" w:hAnsi="Arial"/>
          <w:sz w:val="16"/>
          <w:szCs w:val="16"/>
          <w:i w:val="1"/>
          <w:iCs w:val="1"/>
          <w:color w:val="auto"/>
        </w:rPr>
        <w:t>Ready Wyoming</w:t>
      </w:r>
      <w:r>
        <w:rPr>
          <w:rFonts w:ascii="Arial" w:cs="Arial" w:eastAsia="Arial" w:hAnsi="Arial"/>
          <w:sz w:val="16"/>
          <w:szCs w:val="16"/>
          <w:color w:val="auto"/>
        </w:rPr>
        <w:t xml:space="preserve"> electric transmission expansion initiative. The 260-mile, multi-phase transmission expansion project will provide customers long-term price stability and greater flexibility as power markets develop in the Western States. Construction of the project commenced in late 2023 and is expected to take place in multiple phases or segments through 2025 and will interconnect South Dakota Electric’s and Wyoming Electric’s transmission systems.</w:t>
      </w:r>
    </w:p>
    <w:p>
      <w:pPr>
        <w:spacing w:after="0" w:line="155"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Our Gas Utilities utilize a programmatic approach to system-wide pipeline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Our Gas Utilities are authorized to use system safety, integrity and replacement cost recovery mechanisms that provide for customer rate adjustments, between rate reviews, which allow timely recovery of costs incurred in repairing and replacing the gas delivery systems with a return on the investment.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As of December 31, 2023, we estimate our five-year capital investment to be approximately $4.3 billion, with most of that investment targeted toward upgrading existing utility infrastructure supporting customer and community growth needs, and complying with safety requirements. Our actual 2023 and forecasted capital expenditures for the next five years from 2024 through 2028 are as follows (in millions). Minor differences may result due to rounding.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xml:space="preserve">Actual </w:t>
            </w:r>
            <w:r>
              <w:rPr>
                <w:rFonts w:ascii="Arial" w:cs="Arial" w:eastAsia="Arial" w:hAnsi="Arial"/>
                <w:sz w:val="21"/>
                <w:szCs w:val="21"/>
                <w:b w:val="1"/>
                <w:bCs w:val="1"/>
                <w:color w:val="auto"/>
                <w:vertAlign w:val="superscript"/>
              </w:rPr>
              <w:t>(a)</w:t>
            </w:r>
          </w:p>
        </w:tc>
        <w:tc>
          <w:tcPr>
            <w:tcW w:w="3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 xml:space="preserve">Forecasted </w:t>
            </w:r>
            <w:r>
              <w:rPr>
                <w:rFonts w:ascii="Arial" w:cs="Arial" w:eastAsia="Arial" w:hAnsi="Arial"/>
                <w:sz w:val="21"/>
                <w:szCs w:val="21"/>
                <w:b w:val="1"/>
                <w:bCs w:val="1"/>
                <w:color w:val="auto"/>
                <w:vertAlign w:val="superscript"/>
              </w:rPr>
              <w:t>(b)</w:t>
            </w: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09"/>
        </w:trPr>
        <w:tc>
          <w:tcPr>
            <w:tcW w:w="3640" w:type="dxa"/>
            <w:vAlign w:val="bottom"/>
            <w:gridSpan w:val="2"/>
          </w:tcPr>
          <w:p>
            <w:pPr>
              <w:ind w:left="20"/>
              <w:spacing w:after="0"/>
              <w:rPr>
                <w:sz w:val="20"/>
                <w:szCs w:val="20"/>
                <w:color w:val="auto"/>
              </w:rPr>
            </w:pPr>
            <w:r>
              <w:rPr>
                <w:rFonts w:ascii="Arial" w:cs="Arial" w:eastAsia="Arial" w:hAnsi="Arial"/>
                <w:sz w:val="16"/>
                <w:szCs w:val="16"/>
                <w:b w:val="1"/>
                <w:bCs w:val="1"/>
                <w:color w:val="auto"/>
              </w:rPr>
              <w:t>Capital Expenditures By Segment:</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2027</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2028</w:t>
            </w:r>
          </w:p>
        </w:tc>
      </w:tr>
      <w:tr>
        <w:trPr>
          <w:trHeight w:val="210"/>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6"/>
                <w:szCs w:val="16"/>
                <w:i w:val="1"/>
                <w:iCs w:val="1"/>
                <w:color w:val="auto"/>
              </w:rPr>
              <w:t>(in millions)</w:t>
            </w: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15"/>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Electric Utilities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211</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287</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466</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199</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264</w:t>
            </w:r>
          </w:p>
        </w:tc>
      </w:tr>
      <w:tr>
        <w:trPr>
          <w:trHeight w:val="217"/>
        </w:trPr>
        <w:tc>
          <w:tcPr>
            <w:tcW w:w="36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Gas Utilities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32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372</w:t>
            </w: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373</w:t>
            </w:r>
          </w:p>
        </w:tc>
      </w:tr>
      <w:tr>
        <w:trPr>
          <w:trHeight w:val="215"/>
        </w:trPr>
        <w:tc>
          <w:tcPr>
            <w:tcW w:w="3640" w:type="dxa"/>
            <w:vAlign w:val="bottom"/>
            <w:gridSpan w:val="2"/>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w:t>
            </w:r>
          </w:p>
        </w:tc>
        <w:tc>
          <w:tcPr>
            <w:tcW w:w="32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29</w:t>
            </w:r>
          </w:p>
        </w:tc>
      </w:tr>
      <w:tr>
        <w:trPr>
          <w:trHeight w:val="216"/>
        </w:trPr>
        <w:tc>
          <w:tcPr>
            <w:tcW w:w="36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Strategic growth projects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400</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3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r>
      <w:tr>
        <w:trPr>
          <w:trHeight w:val="209"/>
        </w:trPr>
        <w:tc>
          <w:tcPr>
            <w:tcW w:w="3640" w:type="dxa"/>
            <w:vAlign w:val="bottom"/>
            <w:gridSpan w:val="2"/>
          </w:tcPr>
          <w:p>
            <w:pPr>
              <w:ind w:left="2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717</w:t>
            </w:r>
          </w:p>
        </w:tc>
      </w:tr>
      <w:tr>
        <w:trPr>
          <w:trHeight w:val="20"/>
        </w:trPr>
        <w:tc>
          <w:tcPr>
            <w:tcW w:w="3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31" w:lineRule="exact"/>
        <w:rPr>
          <w:sz w:val="20"/>
          <w:szCs w:val="20"/>
          <w:color w:val="auto"/>
        </w:rPr>
      </w:pPr>
    </w:p>
    <w:p>
      <w:pPr>
        <w:ind w:left="520" w:right="760" w:hanging="512"/>
        <w:spacing w:after="0" w:line="248" w:lineRule="auto"/>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as supplemental cash flow information in the </w:t>
      </w:r>
      <w:r>
        <w:rPr>
          <w:rFonts w:ascii="Arial" w:cs="Arial" w:eastAsia="Arial" w:hAnsi="Arial"/>
          <w:sz w:val="14"/>
          <w:szCs w:val="14"/>
          <w:u w:val="single" w:color="auto"/>
          <w:color w:val="0000FF"/>
        </w:rPr>
        <w:t>Consolidated Statements of Cash Flows</w:t>
      </w:r>
      <w:r>
        <w:rPr>
          <w:rFonts w:ascii="Arial" w:cs="Arial" w:eastAsia="Arial" w:hAnsi="Arial"/>
          <w:sz w:val="14"/>
          <w:szCs w:val="14"/>
          <w:color w:val="auto"/>
        </w:rPr>
        <w:t xml:space="preserve"> in the Consolidated Financial Statements in this Annual Report on Form 10-K. Capital expenditures are presented net of contributions in aid of construction in the Consolidated Statements of Cash Flows.</w:t>
      </w:r>
    </w:p>
    <w:p>
      <w:pPr>
        <w:ind w:left="520" w:hanging="512"/>
        <w:spacing w:after="0"/>
        <w:tabs>
          <w:tab w:leader="none" w:pos="5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Projects are being evaluated by our segments for timing, cost and other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4775200</wp:posOffset>
            </wp:positionH>
            <wp:positionV relativeFrom="paragraph">
              <wp:posOffset>-318770</wp:posOffset>
            </wp:positionV>
            <wp:extent cx="162496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624965" cy="8890"/>
                    </a:xfrm>
                    <a:prstGeom prst="rect">
                      <a:avLst/>
                    </a:prstGeom>
                    <a:noFill/>
                  </pic:spPr>
                </pic:pic>
              </a:graphicData>
            </a:graphic>
          </wp:anchor>
        </w:drawing>
      </w:r>
    </w:p>
    <w:p>
      <w:pPr>
        <w:spacing w:after="0" w:line="31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i w:val="1"/>
          <w:iCs w:val="1"/>
          <w:color w:val="auto"/>
        </w:rPr>
        <w:t xml:space="preserve">Efficiently plan, construct and operate power generation facilities to serve our Electric Utilities. </w:t>
      </w:r>
      <w:r>
        <w:rPr>
          <w:rFonts w:ascii="Arial" w:cs="Arial" w:eastAsia="Arial" w:hAnsi="Arial"/>
          <w:sz w:val="16"/>
          <w:szCs w:val="16"/>
          <w:color w:val="auto"/>
        </w:rPr>
        <w:t>We best serve customers and communities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is vertically integrated into our Electric Utilities and we retain control of the fuel source. This business model remains a core strength and strategy today as we invest in and operate efficient power generation resources to supply cost-effective electricity to our customers. These generation assets can be rate-based or non-regulated assets within our Electric Utilities segment. However, we believe that generation assets that are rate-based provide the most effective long-term benefits to customers.</w:t>
      </w:r>
    </w:p>
    <w:p>
      <w:pPr>
        <w:spacing w:after="0" w:line="153"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Our power production strategy focuses on low-cost construction and efficient operation of our generating facilities. Our low power production costs result from a variety of factors including low fuel costs (operations located near energy hubs), efficiency in converting fuel into energy and low per unit operating and maintenance costs. In addition, we operate our plants with high levels of Availability as compared to industry benchmarks.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Rate-Based Generation: </w:t>
      </w:r>
      <w:r>
        <w:rPr>
          <w:rFonts w:ascii="Arial" w:cs="Arial" w:eastAsia="Arial" w:hAnsi="Arial"/>
          <w:sz w:val="16"/>
          <w:szCs w:val="16"/>
          <w:color w:val="auto"/>
        </w:rPr>
        <w:t>We continue to believe that customers are best served when the power generation facilities are owned and rate-based by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Electric Utilities. Rate-based generation assets offer several advantages for customers and shareholders, including:</w:t>
      </w:r>
    </w:p>
    <w:p>
      <w:pPr>
        <w:spacing w:after="0" w:line="178" w:lineRule="exact"/>
        <w:rPr>
          <w:sz w:val="20"/>
          <w:szCs w:val="20"/>
          <w:color w:val="auto"/>
        </w:rPr>
      </w:pPr>
    </w:p>
    <w:p>
      <w:pPr>
        <w:ind w:left="1020" w:right="160" w:hanging="503"/>
        <w:spacing w:after="0" w:line="266"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or PPAs that are periodically re-priced to reflect current and varying market conditions;</w:t>
      </w:r>
    </w:p>
    <w:p>
      <w:pPr>
        <w:spacing w:after="0" w:line="143"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Regulators participate in a planning process where long-term investments are designed to match long-term energy demand;</w:t>
      </w:r>
    </w:p>
    <w:p>
      <w:pPr>
        <w:spacing w:after="0" w:line="206" w:lineRule="exact"/>
        <w:rPr>
          <w:rFonts w:ascii="Times New Roman" w:cs="Times New Roman" w:eastAsia="Times New Roman" w:hAnsi="Times New Roman"/>
          <w:sz w:val="16"/>
          <w:szCs w:val="16"/>
          <w:color w:val="auto"/>
        </w:rPr>
      </w:pPr>
    </w:p>
    <w:p>
      <w:pPr>
        <w:ind w:left="1020" w:right="400" w:hanging="503"/>
        <w:spacing w:after="0" w:line="285" w:lineRule="auto"/>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The lower-risk profile of rate-based generation assets contributes to stronger credit ratings which, in turn, can benefit both customers and investors by lowering the cost of capital; and</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21"/>
        </w:numPr>
        <w:rPr>
          <w:rFonts w:ascii="Times New Roman" w:cs="Times New Roman" w:eastAsia="Times New Roman" w:hAnsi="Times New Roman"/>
          <w:sz w:val="16"/>
          <w:szCs w:val="16"/>
          <w:color w:val="auto"/>
        </w:rPr>
      </w:pPr>
      <w:r>
        <w:rPr>
          <w:rFonts w:ascii="Arial" w:cs="Arial" w:eastAsia="Arial" w:hAnsi="Arial"/>
          <w:sz w:val="16"/>
          <w:szCs w:val="16"/>
          <w:color w:val="auto"/>
        </w:rPr>
        <w:t>Investors are provided a long-term and stable return on their investment.</w:t>
      </w:r>
    </w:p>
    <w:p>
      <w:pPr>
        <w:spacing w:after="0" w:line="207"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 xml:space="preserve">Integrated Generation: </w:t>
      </w:r>
      <w:r>
        <w:rPr>
          <w:rFonts w:ascii="Arial" w:cs="Arial" w:eastAsia="Arial" w:hAnsi="Arial"/>
          <w:sz w:val="16"/>
          <w:szCs w:val="16"/>
          <w:color w:val="auto"/>
        </w:rPr>
        <w:t>Our Electric Utilities segment also includes a power generation business that owns non-regulated generating facilities that are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contracted through long-term power purchase agreements with our electric utilities. Our power generation business has an experienced staff with significant expertise in planning, building and operating power plants. This team also provides shared services to our Electric Utilities’ generation facilities, resulting in efficient management of all of the Company’s generation assets. Our power generation business competitively bids for energy and capacity through requests for proposals by our Electric Utilities for energy resources necessary to serve customers. This business can bid competitively due to construction expertise, fuel supply advantages and by co-locating new plants at our existing Electric Utilities’ energy complexes, reducing infrastructure and operating costs. All power plants within this business are contracted to our Electric Utilities under long-term contracts, located at our utility-generating complexes and physically integrated into our Electric Utilities’ operations.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 xml:space="preserve">Generation Fuel Supply: </w:t>
      </w:r>
      <w:r>
        <w:rPr>
          <w:rFonts w:ascii="Arial" w:cs="Arial" w:eastAsia="Arial" w:hAnsi="Arial"/>
          <w:sz w:val="16"/>
          <w:szCs w:val="16"/>
          <w:color w:val="auto"/>
        </w:rPr>
        <w:t>Our generating facilities are strategically located close to energy hubs that help reduce fuel supply costs. Our Colorado and</w:t>
      </w:r>
      <w:r>
        <w:rPr>
          <w:rFonts w:ascii="Arial" w:cs="Arial" w:eastAsia="Arial" w:hAnsi="Arial"/>
          <w:sz w:val="16"/>
          <w:szCs w:val="16"/>
          <w:i w:val="1"/>
          <w:iCs w:val="1"/>
          <w:color w:val="auto"/>
        </w:rPr>
        <w:t xml:space="preserve"> </w:t>
      </w:r>
      <w:r>
        <w:rPr>
          <w:rFonts w:ascii="Arial" w:cs="Arial" w:eastAsia="Arial" w:hAnsi="Arial"/>
          <w:sz w:val="16"/>
          <w:szCs w:val="16"/>
          <w:color w:val="auto"/>
        </w:rPr>
        <w:t>Wyoming gas-fired generating facilities are located close to major natural gas energy hubs that provide trading liquidity and transparent pricing. Due to their location in the resource rich areas of Colorado and Wyoming, natural gas supply to fuel our gas-fired generation can be sourced at competitive prices. Our coal-fired power plants, all located at the Gillette Energy Complex in northeastern Wyoming, are supplied by our adjacent WRDC coal mine. WRDC provides approximately 3.7 million tons of low-sulfur coal directly to these power plants via a conveyor belt system, minimizing transportation costs. The fuel can be delivered to our adjacent power plants at very cost competitive prices (i.e., $1.14 per MMBtu for year ended December 31, 2023) when compared to alternatives. Nearly all the mine’s production is sold to these on-site generation facilities under long-term supply contracts. Approximately one-half of our production is sold under cost-plus contracts with affiliates. A small portion of the mine’s production is sold to off-site industrial customers and delivered by truck.</w:t>
      </w:r>
    </w:p>
    <w:p>
      <w:pPr>
        <w:spacing w:after="0" w:line="160"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b w:val="1"/>
          <w:bCs w:val="1"/>
          <w:i w:val="1"/>
          <w:iCs w:val="1"/>
          <w:color w:val="auto"/>
        </w:rPr>
        <w:t xml:space="preserve">Supporting the Energy Transition by proactively integrating alternative and renewable energy into our utility energy supply while mitigating customer rate impacts. </w:t>
      </w:r>
      <w:r>
        <w:rPr>
          <w:rFonts w:ascii="Arial" w:cs="Arial" w:eastAsia="Arial" w:hAnsi="Arial"/>
          <w:sz w:val="16"/>
          <w:szCs w:val="16"/>
          <w:color w:val="auto"/>
        </w:rPr>
        <w:t>A critical component of our strategy involves sustainable operations and supporting the Energy Transition. How we operate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for the social good has never been more important. We are committed to cleaner energy and a low carbon future, integrating the Energy Transition and more renewable energy into our overall strategy and decision making. In addition, we are committed to a more sustainable future by better managing our impacts to the planet, whether that is water usage, recycling, biodiversity, or other important measures.</w:t>
      </w:r>
    </w:p>
    <w:p>
      <w:pPr>
        <w:spacing w:after="0" w:line="15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In November 2020, we announced clean energy goals to reduce GHG emissions intensity for our Electric Utilities by 40% by 2030 and 70% by 2040 and achieve GHG reductions of 50% by 2035 for our Gas Utilities. Our goals are compared to a 2005 baseline. Electric Utility goals include Scope 1 emissions from electric utility generating units and Scope 3 emissions from purchased power for sales. Our Gas Utilities goal initially included only Scope 1 emissions from distribution system main and service lines. In August 2022, we announced a new "Net Zero by 2035" target for our Gas Utilities, which doubled the previous target of a 50% reduction by 2035 and expanded the scope of the goal to all Scope 1 sources of methane emissions on our distribution system. Net Zero will be achieved through pipeline material and main replacements, advanced leak detection, third-party damage reduction, expanding the use of RNG and hydrogen, and utilizing carbon credit offsets.</w:t>
      </w:r>
    </w:p>
    <w:p>
      <w:pPr>
        <w:spacing w:after="0" w:line="154"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Since 2005, we have reduced GHG emissions intensity from our Electric Utilities by one-third. We have plans in place today, without reliance on future technologies, to achieve our corporate climate goals calling for a 40% reduction in greenhouse gas emissions intensity from our electric utility operations by 2030 and 70% by 2040. Additionally, our Electric Utilities have reduced nitrogen oxide and sulfur dioxide emissions by more than 75% since 2005. Colorado Electric has achieved a nearly 50% reduction in GHG emissions since 2005 and is on track to reach the State of Colorado’s 80% carbon reduction goal by 2030. Our goals are based on prudent and proven solutions to reduce our emissions while minimizing cost impacts to our customers. This keeps our customers at the forefront of our decision-making, which is central to our values.</w:t>
      </w:r>
    </w:p>
    <w:p>
      <w:pPr>
        <w:spacing w:after="0" w:line="155"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More of our customers, particularly our larger customers, are demanding cleaner sources of energy to meet their sustainability goals. In addition, there is more interest from consumers, regulators and legislators to increase the use of renewable and other alternative energy sources. Recent efforts to support this interest include:</w:t>
      </w:r>
    </w:p>
    <w:p>
      <w:pPr>
        <w:spacing w:after="0" w:line="144" w:lineRule="exact"/>
        <w:rPr>
          <w:sz w:val="20"/>
          <w:szCs w:val="20"/>
          <w:color w:val="auto"/>
        </w:rPr>
      </w:pPr>
    </w:p>
    <w:p>
      <w:pPr>
        <w:ind w:left="1020" w:right="180" w:hanging="503"/>
        <w:spacing w:after="0" w:line="252"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 June 2021, South Dakota Electric and Wyoming Electric submitted an IRP to the SDPUC and WPSC. The IRP outlines a range of options for the two electric utilities over a 20-year planning horizon to meet long-term forecasted energy needs while strengthening reliability and resiliency of the grid. The analysis focused on the least-cost resource needs to best meet customers’ future peak energy needs while maintaining system flexibility and achieving the Company’s generation emissions reduction goals. The IRP’s preferred options for South Dakota Electric in the near-term planning period through 2026 are the addition of 100 MW of renewable generation, the conversion of Neil Simpson II to dual fuel (natural gas and coal) in 2025 and consideration of up to 20 MW of battery storage. In 2023, South Dakota Electric issued a request for proposals for 100 MW of utility-owned renewable energy resources to be in service in 2026. Negotiations are underway, with results to be presented to the SDPUC and included in a CPCN filing with the WPSC during the first quarter of 2024.</w:t>
      </w:r>
    </w:p>
    <w:p>
      <w:pPr>
        <w:spacing w:after="0" w:line="154"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22"/>
        </w:numPr>
        <w:rPr>
          <w:rFonts w:ascii="Times New Roman" w:cs="Times New Roman" w:eastAsia="Times New Roman" w:hAnsi="Times New Roman"/>
          <w:sz w:val="16"/>
          <w:szCs w:val="16"/>
          <w:color w:val="auto"/>
        </w:rPr>
      </w:pPr>
      <w:r>
        <w:rPr>
          <w:rFonts w:ascii="Arial" w:cs="Arial" w:eastAsia="Arial" w:hAnsi="Arial"/>
          <w:sz w:val="16"/>
          <w:szCs w:val="16"/>
          <w:color w:val="auto"/>
        </w:rPr>
        <w:t>In March 2023, the CPUC approved a unanimous settlement for Colorado Electric's Clean Energy Plan filed on May 25, 2022. The Clean Energy Plan supports Colorado Electric's voluntary election to reduce carbon emissions 80% from 2005 levels by 2030. In July 2023, Colorado Electric issued a request for proposals for approximately 400 MW of new renewable resources to be in service by 2029 to achieve objectives in its Clean Energy Plan. Colorado Electric received a strong response to its request for proposal and provided a bids summary to the CPUC as part of the approval process. A report with Colorado Electric's recommended resources is due to the CPUC in the second quarter of 2024.</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Many states have enacted, and others are considering, mandatory renewable energy standards, requiring utilities to meet certain thresholds of renewable energy generation. In addition, some states have either enacted or are considering legislation setting GHG emission reduction targets. Federal legislation for renewable energy standards and GHG emission reductions has been considered and may be implemented in the future. Mandates for the use of renewable energy or the reduction of GHG emissions will likely drive the need for significant investment in our Electric Utilities and Gas Utilities segments. These mandates will also likely increase prices for electricity and/or natural gas for our utility customers. As a regulated utility, we are responsible for providing safe, reliable and cost-effective sources of energy to our customers. Accordingly, we employ a customer-focused strategy for complying with standards and regulations that balances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Reduction Act</w:t>
      </w:r>
    </w:p>
    <w:p>
      <w:pPr>
        <w:spacing w:after="0" w:line="19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IRA, signed into law by President Biden in August 2022, features $370 billion in spending and tax incentives on clean energy provisions. Most notably, the IRA includes provisions that extend and expand the production and investment tax credits for wind and solar; includes energy storage, EVs, RNG, and carbon capture and sequestration; and allows for the transferability of clean energy tax credits on existing and qualifying new facilities. We see the IRA as generally supportive of our Energy Transition strategy with the potential to drive increased value for our customers and shareholders. We are still evaluating the impacts of the IRA provisions on our future capital projects.</w:t>
      </w:r>
    </w:p>
    <w:p>
      <w:pPr>
        <w:spacing w:after="0" w:line="153" w:lineRule="exact"/>
        <w:rPr>
          <w:sz w:val="20"/>
          <w:szCs w:val="20"/>
          <w:color w:val="auto"/>
        </w:rPr>
      </w:pPr>
    </w:p>
    <w:p>
      <w:pPr>
        <w:ind w:right="260"/>
        <w:spacing w:after="0" w:line="259" w:lineRule="auto"/>
        <w:rPr>
          <w:sz w:val="20"/>
          <w:szCs w:val="20"/>
          <w:color w:val="auto"/>
        </w:rPr>
      </w:pPr>
      <w:r>
        <w:rPr>
          <w:rFonts w:ascii="Arial" w:cs="Arial" w:eastAsia="Arial" w:hAnsi="Arial"/>
          <w:sz w:val="16"/>
          <w:szCs w:val="16"/>
          <w:b w:val="1"/>
          <w:bCs w:val="1"/>
          <w:i w:val="1"/>
          <w:iCs w:val="1"/>
          <w:color w:val="auto"/>
        </w:rPr>
        <w:t xml:space="preserve">Deliver a competitive total return to investors and maintain an investment grade credit rating. </w:t>
      </w:r>
      <w:r>
        <w:rPr>
          <w:rFonts w:ascii="Arial" w:cs="Arial" w:eastAsia="Arial" w:hAnsi="Arial"/>
          <w:sz w:val="16"/>
          <w:szCs w:val="16"/>
          <w:color w:val="auto"/>
        </w:rPr>
        <w:t>We are proud of our track record of annual dividend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increases for shareholders. 2023 represented our 53rd consecutive year of increasing dividends. In January 2024, our Board of Directors declared a quarterly dividend of $0.65 per share, equivalent to an annual dividend of $2.60 per share. We intend to continue our record of annual dividend increases with a targeted dividend payout ratio of 55% to 65% of net income.</w:t>
      </w:r>
    </w:p>
    <w:p>
      <w:pPr>
        <w:spacing w:after="0" w:line="151"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We require access to the capital markets to fund our planned capital investments or acquire strategic assets that support prudent and earnings-accretive business growth. We have demonstrated our ability to cost-effectively access the debt and equity markets, while maintaining our investment-grade issuer credit rating.</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Recent Developments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Macroeconomic Trends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We continue to monitor challenging macroeconomic trends including supply chain disruptions, rising interest rates, potential recession and inflationary pressures on the prices of materials, outside services and employee costs. </w:t>
      </w:r>
      <w:r>
        <w:rPr>
          <w:rFonts w:ascii="Arial" w:cs="Arial" w:eastAsia="Arial" w:hAnsi="Arial"/>
          <w:sz w:val="16"/>
          <w:szCs w:val="16"/>
          <w:color w:val="212529"/>
        </w:rPr>
        <w:t>To date, we have experienced moderate net impacts from these trends</w:t>
      </w:r>
      <w:r>
        <w:rPr>
          <w:rFonts w:ascii="Arial" w:cs="Arial" w:eastAsia="Arial" w:hAnsi="Arial"/>
          <w:sz w:val="16"/>
          <w:szCs w:val="16"/>
          <w:color w:val="auto"/>
        </w:rPr>
        <w:t>. However, if current macroeconomic conditions deteriorate in 2024, adverse impacts to our businesses may be magnified.</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212529"/>
        </w:rPr>
        <w:t>Inflation has increased our operating expenses, which included higher employee-related expenses in 2023 compared to the prior year.</w:t>
      </w:r>
    </w:p>
    <w:p>
      <w:pPr>
        <w:spacing w:after="0" w:line="194"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212529"/>
        </w:rPr>
        <w:t>We are proactively managing increased costs of materials and supply chain disruptions to achieve our forecasted capital investment targets. To support our 2024 capital investment program, we have contracts in place with key suppliers and we have contracted services for a significant portion of our largest forecasted projects. We continue to forecast multi-year key material requirements with suppliers to enhance predictable material availability, challenge vendor price increases to ensure best value and cost transparency and invest in our distribution network to ensure the safety and reliability of our system. We have also evaluated each of our forecasted projects and will prioritize them depending on future constraints. Project delays may occur if costs rise significantly or if materials are not available.</w:t>
      </w:r>
    </w:p>
    <w:p>
      <w:pPr>
        <w:spacing w:after="0" w:line="15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212529"/>
        </w:rPr>
        <w:t>Rising interest rates have led to increased interest expense on recent debt issuances. These impacts were partially offset by lower short-term, variable rate borrowings and higher interest income on our cash equivalents when compared to the prior year.</w:t>
      </w:r>
    </w:p>
    <w:p>
      <w:pPr>
        <w:spacing w:after="0" w:line="129"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deflationary trend in commodity prices throughout 2023 has partially offset macroeconomic headwinds from inflation and higher interest rates. Lower commodity prices have led to lower customer bills, lower cost of fuel, purchased power and natural gas sold, and improved cash flows from operations due to recoveries of deferred energy costs from customers (which were elevated at the end of 2022 and subsequently collected in 2023).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More detailed discussion of the future uncertainties can be found in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-4445</wp:posOffset>
            </wp:positionV>
            <wp:extent cx="10172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 Highlights and Corporate Activity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Electric Utilities</w:t>
      </w:r>
    </w:p>
    <w:p>
      <w:pPr>
        <w:spacing w:after="0" w:line="194" w:lineRule="exact"/>
        <w:rPr>
          <w:sz w:val="20"/>
          <w:szCs w:val="20"/>
          <w:color w:val="auto"/>
        </w:rPr>
      </w:pPr>
    </w:p>
    <w:p>
      <w:pPr>
        <w:ind w:left="1020" w:right="4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Wyoming Electric.</w:t>
      </w:r>
    </w:p>
    <w:p>
      <w:pPr>
        <w:spacing w:after="0" w:line="129"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section above for discussion of recent developments related to Ready Wyoming, Colorado Electric's Clean Energy Plan, and South Dakota Electric and Wyoming Electric's IRP.</w:t>
      </w:r>
    </w:p>
    <w:p>
      <w:pPr>
        <w:spacing w:after="0" w:line="129" w:lineRule="exact"/>
        <w:rPr>
          <w:rFonts w:ascii="Times New Roman" w:cs="Times New Roman" w:eastAsia="Times New Roman" w:hAnsi="Times New Roman"/>
          <w:sz w:val="16"/>
          <w:szCs w:val="16"/>
          <w:color w:val="auto"/>
        </w:rPr>
      </w:pPr>
    </w:p>
    <w:p>
      <w:pPr>
        <w:ind w:left="1020" w:right="44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January 11, 2024, Wyoming Electric set a new winter peak load of 314 MW, surpassing the previous winter peaks of 301 MW set on December 26, 2023, 299 MW set on October 31, 2023, and 281 MW set in December 2022.</w:t>
      </w:r>
    </w:p>
    <w:p>
      <w:pPr>
        <w:spacing w:after="0" w:line="129" w:lineRule="exact"/>
        <w:rPr>
          <w:rFonts w:ascii="Times New Roman" w:cs="Times New Roman" w:eastAsia="Times New Roman" w:hAnsi="Times New Roman"/>
          <w:sz w:val="16"/>
          <w:szCs w:val="16"/>
          <w:color w:val="auto"/>
        </w:rPr>
      </w:pPr>
    </w:p>
    <w:p>
      <w:pPr>
        <w:ind w:left="1020" w:right="240" w:hanging="503"/>
        <w:spacing w:after="0" w:line="285" w:lineRule="auto"/>
        <w:tabs>
          <w:tab w:leader="none" w:pos="102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On July 24, 2023, Wyoming Electric set a new all-time and summer peak load of 312 MW, surpassing the previous peak of 294 MW set on July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-1245870</wp:posOffset>
            </wp:positionV>
            <wp:extent cx="30289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-885825</wp:posOffset>
            </wp:positionV>
            <wp:extent cx="17837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Gas Utilities</w:t>
      </w:r>
    </w:p>
    <w:p>
      <w:pPr>
        <w:spacing w:after="0" w:line="194" w:lineRule="exact"/>
        <w:rPr>
          <w:sz w:val="20"/>
          <w:szCs w:val="20"/>
          <w:color w:val="auto"/>
        </w:rPr>
      </w:pPr>
    </w:p>
    <w:p>
      <w:pPr>
        <w:ind w:left="1020" w:right="4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recent rate review activity for Arkansas Gas, Colorado Gas, RMNG and Wyoming Gas.</w:t>
      </w:r>
    </w:p>
    <w:p>
      <w:pPr>
        <w:spacing w:after="0" w:line="129" w:lineRule="exact"/>
        <w:rPr>
          <w:rFonts w:ascii="Times New Roman" w:cs="Times New Roman" w:eastAsia="Times New Roman" w:hAnsi="Times New Roman"/>
          <w:sz w:val="16"/>
          <w:szCs w:val="16"/>
          <w:color w:val="auto"/>
        </w:rPr>
      </w:pPr>
    </w:p>
    <w:p>
      <w:pPr>
        <w:ind w:left="1020" w:right="300" w:hanging="503"/>
        <w:spacing w:after="0" w:line="285" w:lineRule="auto"/>
        <w:tabs>
          <w:tab w:leader="none" w:pos="102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section above for discussion of recent developments related to BHERR's purchase of a RNG production facility in Iowa.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-525780</wp:posOffset>
            </wp:positionV>
            <wp:extent cx="3028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-165735</wp:posOffset>
            </wp:positionV>
            <wp:extent cx="178371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and Other</w:t>
      </w:r>
    </w:p>
    <w:p>
      <w:pPr>
        <w:spacing w:after="0" w:line="194" w:lineRule="exact"/>
        <w:rPr>
          <w:sz w:val="20"/>
          <w:szCs w:val="20"/>
          <w:color w:val="auto"/>
        </w:rPr>
      </w:pPr>
    </w:p>
    <w:p>
      <w:pPr>
        <w:ind w:left="1020" w:right="40" w:hanging="503"/>
        <w:spacing w:after="0" w:line="26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September 15, 2023, we completed a public debt offering of $450 million, 6.15% 10-year senior unsecured notes due May 15, 2034. Net proceeds from the offering were used to repay our $525 million principal amount outstanding notes and for other general corporate purposes.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143" w:lineRule="exact"/>
        <w:rPr>
          <w:rFonts w:ascii="Times New Roman" w:cs="Times New Roman" w:eastAsia="Times New Roman" w:hAnsi="Times New Roman"/>
          <w:sz w:val="16"/>
          <w:szCs w:val="16"/>
          <w:color w:val="auto"/>
        </w:rPr>
      </w:pPr>
    </w:p>
    <w:p>
      <w:pPr>
        <w:ind w:left="1020" w:hanging="503"/>
        <w:spacing w:after="0" w:line="25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June 16, 2023, we filed a new shelf registration statement with the SEC and entered into a new Equity Distribution Sales Agreement. The new Equity Distribution Sales Agreement is similar to our prior agreement and allows us to sell shares of common stock up to an aggregate of $400 million through our ATM program utilizing our shelf registration statement. As of December 31, 2023, we have $329 million available to issue under this program.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151" w:lineRule="exact"/>
        <w:rPr>
          <w:rFonts w:ascii="Times New Roman" w:cs="Times New Roman" w:eastAsia="Times New Roman" w:hAnsi="Times New Roman"/>
          <w:sz w:val="16"/>
          <w:szCs w:val="16"/>
          <w:color w:val="auto"/>
        </w:rPr>
      </w:pPr>
    </w:p>
    <w:p>
      <w:pPr>
        <w:jc w:val="both"/>
        <w:ind w:left="1020" w:right="480" w:hanging="503"/>
        <w:spacing w:after="0" w:line="266" w:lineRule="auto"/>
        <w:tabs>
          <w:tab w:leader="none" w:pos="1020" w:val="left"/>
        </w:tabs>
        <w:numPr>
          <w:ilvl w:val="0"/>
          <w:numId w:val="25"/>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On March 7, 2023, we completed a public debt offering of $350 million, 5.95% 5-year senior unsecured notes due March 15, 2028. The proceeds from the offering were used to repay notes outstanding under our commercial paper program and for other general corporate purposes.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-1236345</wp:posOffset>
            </wp:positionV>
            <wp:extent cx="3028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02895" cy="8890"/>
                    </a:xfrm>
                    <a:prstGeom prst="rect">
                      <a:avLst/>
                    </a:prstGeom>
                    <a:noFill/>
                  </pic:spPr>
                </pic:pic>
              </a:graphicData>
            </a:graphic>
          </wp:anchor>
        </w:drawing>
        <w:drawing>
          <wp:anchor simplePos="0" relativeHeight="251657728" behindDoc="1" locked="0" layoutInCell="0" allowOverlap="1">
            <wp:simplePos x="0" y="0"/>
            <wp:positionH relativeFrom="column">
              <wp:posOffset>2052320</wp:posOffset>
            </wp:positionH>
            <wp:positionV relativeFrom="paragraph">
              <wp:posOffset>-636270</wp:posOffset>
            </wp:positionV>
            <wp:extent cx="3028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02895" cy="8255"/>
                    </a:xfrm>
                    <a:prstGeom prst="rect">
                      <a:avLst/>
                    </a:prstGeom>
                    <a:noFill/>
                  </pic:spPr>
                </pic:pic>
              </a:graphicData>
            </a:graphic>
          </wp:anchor>
        </w:drawing>
        <w:drawing>
          <wp:anchor simplePos="0" relativeHeight="251657728" behindDoc="1" locked="0" layoutInCell="0" allowOverlap="1">
            <wp:simplePos x="0" y="0"/>
            <wp:positionH relativeFrom="column">
              <wp:posOffset>1343660</wp:posOffset>
            </wp:positionH>
            <wp:positionV relativeFrom="paragraph">
              <wp:posOffset>-36195</wp:posOffset>
            </wp:positionV>
            <wp:extent cx="30289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Results of Operations</w:t>
      </w:r>
    </w:p>
    <w:p>
      <w:pPr>
        <w:spacing w:after="0" w:line="19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Our discussion and analysis for the year ended December 31, 2023, compared to 2022 is included herein. For discussion and analysis for the year ended December 31, 2022, compared to 2021, please refer to Item 7 of Part II, “Management’s Discussion and Analysis of Financial Condition and Results of Operations” in our Annual Report on Form 10-K for the year ended December 31, 2022, which was filed with the SEC on February 14, 2023.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All amounts are presented on a pre-tax basis unless otherwise indicated. Minor differences in amounts may result due to rounding.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980" w:type="dxa"/>
            <w:vAlign w:val="bottom"/>
            <w:gridSpan w:val="2"/>
          </w:tcPr>
          <w:p>
            <w:pPr>
              <w:spacing w:after="0"/>
              <w:rPr>
                <w:sz w:val="20"/>
                <w:szCs w:val="20"/>
                <w:color w:val="auto"/>
              </w:rPr>
            </w:pPr>
            <w:r>
              <w:rPr>
                <w:rFonts w:ascii="Arial" w:cs="Arial" w:eastAsia="Arial" w:hAnsi="Arial"/>
                <w:sz w:val="16"/>
                <w:szCs w:val="16"/>
                <w:b w:val="1"/>
                <w:bCs w:val="1"/>
                <w:color w:val="auto"/>
              </w:rPr>
              <w:t>Consolidated Summary and Overview</w:t>
            </w:r>
          </w:p>
        </w:tc>
        <w:tc>
          <w:tcPr>
            <w:tcW w:w="8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385"/>
        </w:trPr>
        <w:tc>
          <w:tcPr>
            <w:tcW w:w="3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Years Ended December 31,</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89"/>
        </w:trPr>
        <w:tc>
          <w:tcPr>
            <w:tcW w:w="3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239"/>
              <w:spacing w:after="0"/>
              <w:rPr>
                <w:sz w:val="20"/>
                <w:szCs w:val="20"/>
                <w:color w:val="auto"/>
              </w:rPr>
            </w:pPr>
            <w:r>
              <w:rPr>
                <w:rFonts w:ascii="Arial" w:cs="Arial" w:eastAsia="Arial" w:hAnsi="Arial"/>
                <w:sz w:val="16"/>
                <w:szCs w:val="16"/>
                <w:b w:val="1"/>
                <w:bCs w:val="1"/>
                <w:color w:val="auto"/>
              </w:rPr>
              <w:t>2023 vs 2022</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Arial" w:cs="Arial" w:eastAsia="Arial" w:hAnsi="Arial"/>
                <w:sz w:val="16"/>
                <w:szCs w:val="16"/>
                <w:b w:val="1"/>
                <w:bCs w:val="1"/>
                <w:color w:val="auto"/>
              </w:rPr>
              <w:t>2022 vs 2021</w:t>
            </w:r>
          </w:p>
        </w:tc>
      </w:tr>
      <w:tr>
        <w:trPr>
          <w:trHeight w:val="217"/>
        </w:trPr>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Variance</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Variance</w:t>
            </w:r>
          </w:p>
        </w:tc>
      </w:tr>
      <w:tr>
        <w:trPr>
          <w:trHeight w:val="209"/>
        </w:trPr>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gridSpan w:val="5"/>
          </w:tcPr>
          <w:p>
            <w:pPr>
              <w:jc w:val="right"/>
              <w:spacing w:after="0"/>
              <w:rPr>
                <w:sz w:val="20"/>
                <w:szCs w:val="20"/>
                <w:color w:val="auto"/>
              </w:rPr>
            </w:pPr>
            <w:r>
              <w:rPr>
                <w:rFonts w:ascii="Arial" w:cs="Arial" w:eastAsia="Arial" w:hAnsi="Arial"/>
                <w:sz w:val="16"/>
                <w:szCs w:val="16"/>
                <w:b w:val="1"/>
                <w:bCs w:val="1"/>
                <w:color w:val="auto"/>
              </w:rPr>
              <w:t>(in millions, except per share amounts)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Operating income (loss):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Electric Utilities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248.8</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214.3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34.5</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202.7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11.6</w:t>
            </w:r>
          </w:p>
        </w:tc>
      </w:tr>
      <w:tr>
        <w:trPr>
          <w:trHeight w:val="217"/>
        </w:trPr>
        <w:tc>
          <w:tcPr>
            <w:tcW w:w="3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Gas Utilities</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228.8</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(15.4 )</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211.2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w:t>
            </w:r>
          </w:p>
        </w:tc>
      </w:tr>
      <w:tr>
        <w:trPr>
          <w:trHeight w:val="216"/>
        </w:trPr>
        <w:tc>
          <w:tcPr>
            <w:tcW w:w="39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8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(4.9 )</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(3.3 )</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(4.5 )</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r>
      <w:tr>
        <w:trPr>
          <w:trHeight w:val="209"/>
        </w:trPr>
        <w:tc>
          <w:tcPr>
            <w:tcW w:w="3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Operating Income</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472.7</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455.2</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17.5</w:t>
            </w: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409.4</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45.8</w:t>
            </w:r>
          </w:p>
        </w:tc>
      </w:tr>
      <w:tr>
        <w:trPr>
          <w:trHeight w:val="210"/>
        </w:trPr>
        <w:tc>
          <w:tcPr>
            <w:tcW w:w="3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8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(167.9 )</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(161.0 )</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(6.9 )</w:t>
            </w:r>
          </w:p>
        </w:tc>
        <w:tc>
          <w:tcPr>
            <w:tcW w:w="2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(152.4 )</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(8.6 )</w:t>
            </w:r>
          </w:p>
        </w:tc>
      </w:tr>
      <w:tr>
        <w:trPr>
          <w:trHeight w:val="215"/>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8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(3.2 )</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1.8</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(5.0 )</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16"/>
        </w:trPr>
        <w:tc>
          <w:tcPr>
            <w:tcW w:w="3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(25.6 )</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(25.2 )</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(0.4 )</w:t>
            </w: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(7.2 )</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(18.0 )</w:t>
            </w:r>
          </w:p>
        </w:tc>
      </w:tr>
      <w:tr>
        <w:trPr>
          <w:trHeight w:val="210"/>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276.0</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270.8</w:t>
            </w:r>
          </w:p>
        </w:tc>
        <w:tc>
          <w:tcPr>
            <w:tcW w:w="140" w:type="dxa"/>
            <w:vAlign w:val="bottom"/>
          </w:tcPr>
          <w:p>
            <w:pPr>
              <w:spacing w:after="0"/>
              <w:rPr>
                <w:sz w:val="18"/>
                <w:szCs w:val="18"/>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5.2</w:t>
            </w:r>
          </w:p>
        </w:tc>
        <w:tc>
          <w:tcPr>
            <w:tcW w:w="280" w:type="dxa"/>
            <w:vAlign w:val="bottom"/>
          </w:tcPr>
          <w:p>
            <w:pPr>
              <w:spacing w:after="0"/>
              <w:rPr>
                <w:sz w:val="18"/>
                <w:szCs w:val="18"/>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251.3</w:t>
            </w:r>
          </w:p>
        </w:tc>
        <w:tc>
          <w:tcPr>
            <w:tcW w:w="1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19.5</w:t>
            </w:r>
          </w:p>
        </w:tc>
      </w:tr>
      <w:tr>
        <w:trPr>
          <w:trHeight w:val="216"/>
        </w:trPr>
        <w:tc>
          <w:tcPr>
            <w:tcW w:w="39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88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(13.8 )</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(12.4 )</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(1.4 )</w:t>
            </w: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(14.5 )</w:t>
            </w: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r>
      <w:tr>
        <w:trPr>
          <w:trHeight w:val="209"/>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262.2</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258.4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3.8</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21.7</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7"/>
        </w:trPr>
        <w:tc>
          <w:tcPr>
            <w:tcW w:w="30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15"/>
        </w:trPr>
        <w:tc>
          <w:tcPr>
            <w:tcW w:w="3980" w:type="dxa"/>
            <w:vAlign w:val="bottom"/>
            <w:gridSpan w:val="2"/>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(0.06 ) $</w:t>
            </w: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0.23</w:t>
            </w:r>
          </w:p>
        </w:tc>
      </w:tr>
      <w:tr>
        <w:trPr>
          <w:trHeight w:val="20"/>
        </w:trPr>
        <w:tc>
          <w:tcPr>
            <w:tcW w:w="3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inter-segment eliminations.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2023 Compared to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variance to the prior year included the following:</w:t>
      </w:r>
    </w:p>
    <w:p>
      <w:pPr>
        <w:spacing w:after="0" w:line="194" w:lineRule="exact"/>
        <w:rPr>
          <w:sz w:val="20"/>
          <w:szCs w:val="20"/>
          <w:color w:val="auto"/>
        </w:rPr>
      </w:pPr>
    </w:p>
    <w:p>
      <w:pPr>
        <w:ind w:left="1020" w:hanging="503"/>
        <w:spacing w:after="0" w:line="251"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Electric Utilities’ operating income increased $34.5 million primarily due to new rates and rider recovery, a one-time gain on the planned sale of Northern Iowa Windpower assets, a gain on a strategic sale of land in Wyoming to a customer to support continued load growth, and a one-time recovery from our business interruption insurance related to the 2021 Wygen I unplanned outage partially offset by unfavorable weather, higher depreciation expense and higher employee-related expenses;</w:t>
      </w:r>
    </w:p>
    <w:p>
      <w:pPr>
        <w:spacing w:after="0" w:line="1" w:lineRule="exact"/>
        <w:rPr>
          <w:rFonts w:ascii="Times New Roman" w:cs="Times New Roman" w:eastAsia="Times New Roman" w:hAnsi="Times New Roman"/>
          <w:sz w:val="16"/>
          <w:szCs w:val="16"/>
          <w:color w:val="auto"/>
        </w:rPr>
      </w:pPr>
    </w:p>
    <w:p>
      <w:pPr>
        <w:ind w:left="1020" w:right="240" w:hanging="503"/>
        <w:spacing w:after="0" w:line="246"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Gas Utilities’ operating income decreased $15.4 million primarily due to unfavorable weather, a prior year one-time true-up of carrying costs accrued on Winter Storm Uri regulatory assets and higher operating expenses partially offset by new rates and rider recovery and retail customer growth and demand;</w:t>
      </w:r>
    </w:p>
    <w:p>
      <w:pPr>
        <w:ind w:left="1020" w:right="480" w:hanging="503"/>
        <w:spacing w:after="0" w:line="246"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Interest expense increased $6.9 million due to higher interest rates partially offset by increased interest income on higher cash and cash equivalents balances; and</w:t>
      </w:r>
    </w:p>
    <w:p>
      <w:pPr>
        <w:ind w:left="1020" w:right="320" w:hanging="503"/>
        <w:spacing w:after="0" w:line="264" w:lineRule="auto"/>
        <w:tabs>
          <w:tab w:leader="none" w:pos="1020" w:val="left"/>
        </w:tabs>
        <w:numPr>
          <w:ilvl w:val="0"/>
          <w:numId w:val="27"/>
        </w:numPr>
        <w:rPr>
          <w:rFonts w:ascii="Times New Roman" w:cs="Times New Roman" w:eastAsia="Times New Roman" w:hAnsi="Times New Roman"/>
          <w:sz w:val="16"/>
          <w:szCs w:val="16"/>
          <w:color w:val="auto"/>
        </w:rPr>
      </w:pPr>
      <w:r>
        <w:rPr>
          <w:rFonts w:ascii="Arial" w:cs="Arial" w:eastAsia="Arial" w:hAnsi="Arial"/>
          <w:sz w:val="16"/>
          <w:szCs w:val="16"/>
          <w:color w:val="auto"/>
        </w:rPr>
        <w:t>Other expense, net increased $5.0 million primarily due to higher benefit plan non-service costs driven by higher discount rates and higher costs for our non-qualified deferred compensation plan driven by market performance.</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Operating Results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Non-GAAP Financial Measure</w:t>
      </w:r>
    </w:p>
    <w:p>
      <w:pPr>
        <w:spacing w:after="0" w:line="192"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Electric and Gas Utility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Electric and Gas Utility margin (revenue less cost of sales) is a non-GAAP financial measure due to the exclusion of operation and maintenance expenses, depreciation and amortization expenses, and property and production taxes from the measure.</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Electric Utility margin is calculated as operating revenue less cost of fuel and purchased power. Gas Utility margin is calculated as operating revenue less cost of natural gas sold. Our Electric and Gas Utility margin is impacted by the fluctuations in power and natural gas purchases and other fuel supply costs. However, while these fluctuating costs impact Electric and Gas Utility margin as a percentage of revenue, they only impact total Electric and Gas Utility margin if the costs cannot be passed through to our customers.</w:t>
      </w:r>
    </w:p>
    <w:p>
      <w:pPr>
        <w:spacing w:after="0" w:line="151"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Our Electric and Gas Utility margin measure may not be comparable to other companies’ Electric and Gas Utility margin measures. Furthermore, this measure is not intended to replace operating income as determined in accordance with GAAP as an indicator of operating performance.</w:t>
      </w: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Electric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years ended December 31 for the Electric Utilities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rPr>
              <w:t>2023 vs 2022</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217"/>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Variance</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Variance</w:t>
            </w:r>
          </w:p>
        </w:tc>
        <w:tc>
          <w:tcPr>
            <w:tcW w:w="0" w:type="dxa"/>
            <w:vAlign w:val="bottom"/>
          </w:tcPr>
          <w:p>
            <w:pPr>
              <w:spacing w:after="0"/>
              <w:rPr>
                <w:sz w:val="1"/>
                <w:szCs w:val="1"/>
                <w:color w:val="auto"/>
              </w:rPr>
            </w:pPr>
          </w:p>
        </w:tc>
      </w:tr>
      <w:tr>
        <w:trPr>
          <w:trHeight w:val="210"/>
        </w:trPr>
        <w:tc>
          <w:tcPr>
            <w:tcW w:w="32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gridSpan w:val="4"/>
          </w:tcPr>
          <w:p>
            <w:pPr>
              <w:ind w:left="200"/>
              <w:spacing w:after="0"/>
              <w:rPr>
                <w:sz w:val="20"/>
                <w:szCs w:val="20"/>
                <w:color w:val="auto"/>
              </w:rPr>
            </w:pPr>
            <w:r>
              <w:rPr>
                <w:rFonts w:ascii="Arial" w:cs="Arial" w:eastAsia="Arial" w:hAnsi="Arial"/>
                <w:sz w:val="16"/>
                <w:szCs w:val="16"/>
                <w:color w:val="auto"/>
              </w:rPr>
              <w:t>Electric - regulated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817.4</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852.2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760" w:type="dxa"/>
            <w:vAlign w:val="bottom"/>
            <w:gridSpan w:val="2"/>
          </w:tcPr>
          <w:p>
            <w:pPr>
              <w:jc w:val="right"/>
              <w:ind w:right="139"/>
              <w:spacing w:after="0"/>
              <w:rPr>
                <w:sz w:val="20"/>
                <w:szCs w:val="20"/>
                <w:color w:val="auto"/>
              </w:rPr>
            </w:pPr>
            <w:r>
              <w:rPr>
                <w:rFonts w:ascii="Arial" w:cs="Arial" w:eastAsia="Arial" w:hAnsi="Arial"/>
                <w:sz w:val="16"/>
                <w:szCs w:val="16"/>
                <w:color w:val="auto"/>
              </w:rPr>
              <w:t>(34.8 ) $</w:t>
            </w: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800.7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51.5</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gridSpan w:val="4"/>
            <w:shd w:val="clear" w:color="auto" w:fill="CFF0FC"/>
          </w:tcPr>
          <w:p>
            <w:pPr>
              <w:ind w:left="20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47.6</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(0.4 )</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41.5</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3240" w:type="dxa"/>
            <w:vAlign w:val="bottom"/>
            <w:gridSpan w:val="4"/>
          </w:tcPr>
          <w:p>
            <w:pPr>
              <w:ind w:left="38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865.0</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900.2</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(35.2 )</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842.2</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0"/>
        </w:trPr>
        <w:tc>
          <w:tcPr>
            <w:tcW w:w="15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gridSpan w:val="4"/>
          </w:tcPr>
          <w:p>
            <w:pPr>
              <w:ind w:left="20"/>
              <w:spacing w:after="0"/>
              <w:rPr>
                <w:sz w:val="20"/>
                <w:szCs w:val="20"/>
                <w:color w:val="auto"/>
              </w:rPr>
            </w:pPr>
            <w:r>
              <w:rPr>
                <w:rFonts w:ascii="Arial" w:cs="Arial" w:eastAsia="Arial" w:hAnsi="Arial"/>
                <w:sz w:val="16"/>
                <w:szCs w:val="16"/>
                <w:color w:val="auto"/>
              </w:rPr>
              <w:t>Fuel and Purchased Power:</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Electric - regulated</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198.3</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261.7</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(63.4 )</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15"/>
        </w:trPr>
        <w:tc>
          <w:tcPr>
            <w:tcW w:w="3240" w:type="dxa"/>
            <w:vAlign w:val="bottom"/>
            <w:gridSpan w:val="4"/>
          </w:tcPr>
          <w:p>
            <w:pPr>
              <w:ind w:left="200"/>
              <w:spacing w:after="0"/>
              <w:rPr>
                <w:sz w:val="20"/>
                <w:szCs w:val="20"/>
                <w:color w:val="auto"/>
              </w:rPr>
            </w:pPr>
            <w:r>
              <w:rPr>
                <w:rFonts w:ascii="Arial" w:cs="Arial" w:eastAsia="Arial" w:hAnsi="Arial"/>
                <w:sz w:val="16"/>
                <w:szCs w:val="16"/>
                <w:color w:val="auto"/>
              </w:rPr>
              <w:t>Other - non-regulated</w:t>
            </w: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0"/>
        </w:trPr>
        <w:tc>
          <w:tcPr>
            <w:tcW w:w="3240" w:type="dxa"/>
            <w:vAlign w:val="bottom"/>
            <w:tcBorders>
              <w:bottom w:val="single" w:sz="8" w:color="CFF0FC"/>
            </w:tcBorders>
            <w:gridSpan w:val="4"/>
            <w:shd w:val="clear" w:color="auto" w:fill="CFF0FC"/>
          </w:tcPr>
          <w:p>
            <w:pPr>
              <w:ind w:left="380"/>
              <w:spacing w:after="0"/>
              <w:rPr>
                <w:sz w:val="20"/>
                <w:szCs w:val="20"/>
                <w:color w:val="auto"/>
              </w:rPr>
            </w:pPr>
            <w:r>
              <w:rPr>
                <w:rFonts w:ascii="Arial" w:cs="Arial" w:eastAsia="Arial" w:hAnsi="Arial"/>
                <w:sz w:val="16"/>
                <w:szCs w:val="16"/>
                <w:color w:val="auto"/>
              </w:rPr>
              <w:t>Total fuel and purchased power</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200.1</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266.3</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(66.2 )</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248.0</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Electric Utility margin (non-GAAP)</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664.9</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633.9</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31.0</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594.2</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236.2</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244.8</w:t>
            </w: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(8.6 )</w:t>
            </w: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224.5</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w:t>
            </w:r>
          </w:p>
        </w:tc>
        <w:tc>
          <w:tcPr>
            <w:tcW w:w="0" w:type="dxa"/>
            <w:vAlign w:val="bottom"/>
          </w:tcPr>
          <w:p>
            <w:pPr>
              <w:spacing w:after="0"/>
              <w:rPr>
                <w:sz w:val="1"/>
                <w:szCs w:val="1"/>
                <w:color w:val="auto"/>
              </w:rPr>
            </w:pPr>
          </w:p>
        </w:tc>
      </w:tr>
      <w:tr>
        <w:trPr>
          <w:trHeight w:val="215"/>
        </w:trPr>
        <w:tc>
          <w:tcPr>
            <w:tcW w:w="3240" w:type="dxa"/>
            <w:vAlign w:val="bottom"/>
            <w:gridSpan w:val="4"/>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142.6</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135.9</w:t>
            </w:r>
          </w:p>
        </w:tc>
        <w:tc>
          <w:tcPr>
            <w:tcW w:w="220" w:type="dxa"/>
            <w:vAlign w:val="bottom"/>
          </w:tcPr>
          <w:p>
            <w:pPr>
              <w:spacing w:after="0"/>
              <w:rPr>
                <w:sz w:val="18"/>
                <w:szCs w:val="18"/>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6.7</w:t>
            </w:r>
          </w:p>
        </w:tc>
        <w:tc>
          <w:tcPr>
            <w:tcW w:w="34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6"/>
                <w:szCs w:val="16"/>
                <w:color w:val="auto"/>
              </w:rPr>
              <w:t>131.5</w:t>
            </w: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37.3</w:t>
            </w: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38.9</w:t>
            </w: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(1.6 )</w:t>
            </w:r>
          </w:p>
        </w:tc>
        <w:tc>
          <w:tcPr>
            <w:tcW w:w="3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35.5</w:t>
            </w: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416.1</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419.6</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391.5</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0"/>
        </w:trPr>
        <w:tc>
          <w:tcPr>
            <w:tcW w:w="15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240" w:type="dxa"/>
            <w:vAlign w:val="bottom"/>
            <w:gridSpan w:val="4"/>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248.8</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34.5</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6"/>
                <w:szCs w:val="16"/>
                <w:color w:val="auto"/>
              </w:rPr>
              <w:t>2023 Compared to 2022</w:t>
            </w:r>
          </w:p>
        </w:tc>
        <w:tc>
          <w:tcPr>
            <w:tcW w:w="1480" w:type="dxa"/>
            <w:vAlign w:val="bottom"/>
            <w:gridSpan w:val="2"/>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760" w:type="dxa"/>
            <w:vAlign w:val="bottom"/>
            <w:tcBorders>
              <w:bottom w:val="single" w:sz="8" w:color="auto"/>
            </w:tcBorders>
            <w:gridSpan w:val="2"/>
            <w:vMerge w:val="continue"/>
          </w:tcPr>
          <w:p>
            <w:pPr>
              <w:spacing w:after="0"/>
              <w:rPr>
                <w:sz w:val="24"/>
                <w:szCs w:val="24"/>
                <w:color w:val="auto"/>
              </w:rPr>
            </w:pPr>
          </w:p>
        </w:tc>
        <w:tc>
          <w:tcPr>
            <w:tcW w:w="148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860" w:type="dxa"/>
            <w:vAlign w:val="bottom"/>
            <w:gridSpan w:val="6"/>
          </w:tcPr>
          <w:p>
            <w:pPr>
              <w:spacing w:after="0"/>
              <w:rPr>
                <w:sz w:val="20"/>
                <w:szCs w:val="20"/>
                <w:color w:val="auto"/>
              </w:rPr>
            </w:pPr>
            <w:r>
              <w:rPr>
                <w:rFonts w:ascii="Arial" w:cs="Arial" w:eastAsia="Arial" w:hAnsi="Arial"/>
                <w:sz w:val="16"/>
                <w:szCs w:val="16"/>
                <w:color w:val="auto"/>
              </w:rPr>
              <w:t>Electric Utility margin increased over the prior year as a result of:</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c>
          <w:tcPr>
            <w:tcW w:w="0" w:type="dxa"/>
            <w:vAlign w:val="bottom"/>
          </w:tcPr>
          <w:p>
            <w:pPr>
              <w:spacing w:after="0"/>
              <w:rPr>
                <w:sz w:val="1"/>
                <w:szCs w:val="1"/>
                <w:color w:val="auto"/>
              </w:rPr>
            </w:pPr>
          </w:p>
        </w:tc>
      </w:tr>
      <w:tr>
        <w:trPr>
          <w:trHeight w:val="210"/>
        </w:trPr>
        <w:tc>
          <w:tcPr>
            <w:tcW w:w="32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16"/>
        </w:trPr>
        <w:tc>
          <w:tcPr>
            <w:tcW w:w="4860" w:type="dxa"/>
            <w:vAlign w:val="bottom"/>
            <w:gridSpan w:val="6"/>
          </w:tcPr>
          <w:p>
            <w:pPr>
              <w:ind w:left="20"/>
              <w:spacing w:after="0" w:line="216" w:lineRule="exact"/>
              <w:rPr>
                <w:sz w:val="20"/>
                <w:szCs w:val="20"/>
                <w:color w:val="auto"/>
              </w:rPr>
            </w:pPr>
            <w:r>
              <w:rPr>
                <w:rFonts w:ascii="Arial" w:cs="Arial" w:eastAsia="Arial" w:hAnsi="Arial"/>
                <w:sz w:val="16"/>
                <w:szCs w:val="16"/>
                <w:color w:val="auto"/>
              </w:rPr>
              <w:t xml:space="preserve">Wygen I revenue recovery under business interruption insurance </w:t>
            </w:r>
            <w:r>
              <w:rPr>
                <w:rFonts w:ascii="Arial" w:cs="Arial" w:eastAsia="Arial" w:hAnsi="Arial"/>
                <w:sz w:val="21"/>
                <w:szCs w:val="21"/>
                <w:color w:val="auto"/>
                <w:vertAlign w:val="superscript"/>
              </w:rPr>
              <w:t>(a)</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6"/>
        </w:trPr>
        <w:tc>
          <w:tcPr>
            <w:tcW w:w="3240" w:type="dxa"/>
            <w:vAlign w:val="bottom"/>
            <w:gridSpan w:val="4"/>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Integrated Generation </w:t>
            </w:r>
            <w:r>
              <w:rPr>
                <w:rFonts w:ascii="Arial" w:cs="Arial" w:eastAsia="Arial" w:hAnsi="Arial"/>
                <w:sz w:val="21"/>
                <w:szCs w:val="21"/>
                <w:color w:val="auto"/>
                <w:vertAlign w:val="superscript"/>
              </w:rPr>
              <w:t>(b)</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5"/>
        </w:trPr>
        <w:tc>
          <w:tcPr>
            <w:tcW w:w="3240" w:type="dxa"/>
            <w:vAlign w:val="bottom"/>
            <w:gridSpan w:val="4"/>
          </w:tcPr>
          <w:p>
            <w:pPr>
              <w:ind w:left="20"/>
              <w:spacing w:after="0"/>
              <w:rPr>
                <w:sz w:val="20"/>
                <w:szCs w:val="20"/>
                <w:color w:val="auto"/>
              </w:rPr>
            </w:pPr>
            <w:r>
              <w:rPr>
                <w:rFonts w:ascii="Arial" w:cs="Arial" w:eastAsia="Arial" w:hAnsi="Arial"/>
                <w:sz w:val="16"/>
                <w:szCs w:val="16"/>
                <w:color w:val="auto"/>
              </w:rPr>
              <w:t>Transmission services</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240" w:type="dxa"/>
            <w:vAlign w:val="bottom"/>
            <w:gridSpan w:val="4"/>
            <w:shd w:val="clear" w:color="auto" w:fill="CFF0FC"/>
          </w:tcPr>
          <w:p>
            <w:pPr>
              <w:ind w:left="20"/>
              <w:spacing w:after="0"/>
              <w:rPr>
                <w:sz w:val="20"/>
                <w:szCs w:val="20"/>
                <w:color w:val="auto"/>
              </w:rPr>
            </w:pPr>
            <w:r>
              <w:rPr>
                <w:rFonts w:ascii="Arial" w:cs="Arial" w:eastAsia="Arial" w:hAnsi="Arial"/>
                <w:sz w:val="16"/>
                <w:szCs w:val="16"/>
                <w:color w:val="auto"/>
              </w:rPr>
              <w:t>Weather</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15"/>
        </w:trPr>
        <w:tc>
          <w:tcPr>
            <w:tcW w:w="3240" w:type="dxa"/>
            <w:vAlign w:val="bottom"/>
            <w:gridSpan w:val="4"/>
          </w:tcPr>
          <w:p>
            <w:pPr>
              <w:ind w:left="20"/>
              <w:spacing w:after="0"/>
              <w:rPr>
                <w:sz w:val="20"/>
                <w:szCs w:val="20"/>
                <w:color w:val="auto"/>
              </w:rPr>
            </w:pPr>
            <w:r>
              <w:rPr>
                <w:rFonts w:ascii="Arial" w:cs="Arial" w:eastAsia="Arial" w:hAnsi="Arial"/>
                <w:sz w:val="16"/>
                <w:szCs w:val="16"/>
                <w:color w:val="auto"/>
              </w:rPr>
              <w:t>Retail customer usage</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(4.4 )</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CFF0FC"/>
            </w:tcBorders>
            <w:gridSpan w:val="4"/>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CFF0FC"/>
            </w:tcBorders>
            <w:shd w:val="clear" w:color="auto" w:fill="CFF0FC"/>
          </w:tcPr>
          <w:p>
            <w:pPr>
              <w:spacing w:after="0"/>
              <w:rPr>
                <w:sz w:val="18"/>
                <w:szCs w:val="18"/>
                <w:color w:val="auto"/>
              </w:rPr>
            </w:pPr>
          </w:p>
        </w:tc>
        <w:tc>
          <w:tcPr>
            <w:tcW w:w="1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09"/>
        </w:trPr>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5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100" w:hanging="512"/>
        <w:spacing w:after="0" w:line="248" w:lineRule="auto"/>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In 2021, Wygen I experienced an unplanned outage which resulted in lost revenue. A claim for these losses was submitted under our business interruption insurance policy. During the third quarter of 2023, we recovered $5.0 million from our business interruption insurance which was recognized as Revenue. See </w:t>
      </w:r>
      <w:r>
        <w:rPr>
          <w:rFonts w:ascii="Arial" w:cs="Arial" w:eastAsia="Arial" w:hAnsi="Arial"/>
          <w:sz w:val="14"/>
          <w:szCs w:val="14"/>
          <w:u w:val="single" w:color="auto"/>
          <w:color w:val="0000FF"/>
        </w:rPr>
        <w:t>Note 3</w:t>
      </w:r>
      <w:r>
        <w:rPr>
          <w:rFonts w:ascii="Arial" w:cs="Arial" w:eastAsia="Arial" w:hAnsi="Arial"/>
          <w:sz w:val="14"/>
          <w:szCs w:val="14"/>
          <w:color w:val="auto"/>
        </w:rPr>
        <w:t xml:space="preserve"> of the Notes to Consolidated Financial Statements in this Annual Report on Form 10-K for further information.</w:t>
      </w:r>
    </w:p>
    <w:p>
      <w:pPr>
        <w:ind w:left="520" w:hanging="512"/>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Primarily driven by favorable mining contract pricing and increased Black Hills Colorado IPP fired-engine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6287770</wp:posOffset>
            </wp:positionH>
            <wp:positionV relativeFrom="paragraph">
              <wp:posOffset>-215900</wp:posOffset>
            </wp:positionV>
            <wp:extent cx="269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decreased primarily due to a one-time $7.7 million gain on the planned sale of Northern Iowa Windpower assets, a</w:t>
      </w:r>
    </w:p>
    <w:p>
      <w:pPr>
        <w:spacing w:after="0" w:line="2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$3.9 million gain on a strategic sale of land in Wyoming to a customer to support continued load growth, and $2.9 million of lower outside services expenses partially offset by $8.7 million of higher employee-related expenses.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increased primarily due to higher asset base driven by prior and current year capital expenditures.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were comparable to the same period in the prior year.</w:t>
      </w:r>
    </w:p>
    <w:p>
      <w:pPr>
        <w:spacing w:after="0" w:line="2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372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802"/>
        </w:trPr>
        <w:tc>
          <w:tcPr>
            <w:tcW w:w="3720" w:type="dxa"/>
            <w:vAlign w:val="bottom"/>
            <w:gridSpan w:val="3"/>
          </w:tcPr>
          <w:p>
            <w:pPr>
              <w:spacing w:after="0"/>
              <w:rPr>
                <w:sz w:val="20"/>
                <w:szCs w:val="20"/>
                <w:color w:val="auto"/>
              </w:rPr>
            </w:pPr>
            <w:r>
              <w:rPr>
                <w:rFonts w:ascii="Arial" w:cs="Arial" w:eastAsia="Arial" w:hAnsi="Arial"/>
                <w:sz w:val="16"/>
                <w:szCs w:val="16"/>
                <w:i w:val="1"/>
                <w:iCs w:val="1"/>
                <w:color w:val="auto"/>
              </w:rPr>
              <w:t>Operating Statistics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93"/>
        </w:trPr>
        <w:tc>
          <w:tcPr>
            <w:tcW w:w="1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39"/>
              <w:spacing w:after="0"/>
              <w:rPr>
                <w:sz w:val="20"/>
                <w:szCs w:val="20"/>
                <w:color w:val="auto"/>
              </w:rPr>
            </w:pPr>
            <w:r>
              <w:rPr>
                <w:rFonts w:ascii="Arial" w:cs="Arial" w:eastAsia="Arial" w:hAnsi="Arial"/>
                <w:sz w:val="16"/>
                <w:szCs w:val="16"/>
                <w:b w:val="1"/>
                <w:bCs w:val="1"/>
                <w:color w:val="auto"/>
              </w:rPr>
              <w:t>Revenue (in millions)</w:t>
            </w:r>
          </w:p>
        </w:tc>
        <w:tc>
          <w:tcPr>
            <w:tcW w:w="9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Quantities Sold (GWh)</w:t>
            </w:r>
          </w:p>
        </w:tc>
        <w:tc>
          <w:tcPr>
            <w:tcW w:w="1020" w:type="dxa"/>
            <w:vAlign w:val="bottom"/>
            <w:tcBorders>
              <w:bottom w:val="single" w:sz="8" w:color="auto"/>
            </w:tcBorders>
          </w:tcPr>
          <w:p>
            <w:pPr>
              <w:spacing w:after="0"/>
              <w:rPr>
                <w:sz w:val="24"/>
                <w:szCs w:val="24"/>
                <w:color w:val="auto"/>
              </w:rPr>
            </w:pPr>
          </w:p>
        </w:tc>
      </w:tr>
      <w:tr>
        <w:trPr>
          <w:trHeight w:val="210"/>
        </w:trPr>
        <w:tc>
          <w:tcPr>
            <w:tcW w:w="37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5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2022</w:t>
            </w: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209"/>
        </w:trPr>
        <w:tc>
          <w:tcPr>
            <w:tcW w:w="3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224.9</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246.7</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244.6</w:t>
            </w:r>
          </w:p>
        </w:tc>
        <w:tc>
          <w:tcPr>
            <w:tcW w:w="15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1,438.5</w:t>
            </w:r>
          </w:p>
        </w:tc>
        <w:tc>
          <w:tcPr>
            <w:tcW w:w="14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1,513.1</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1,494.0</w:t>
            </w:r>
          </w:p>
        </w:tc>
      </w:tr>
      <w:tr>
        <w:trPr>
          <w:trHeight w:val="215"/>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259.8</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277.9</w:t>
            </w:r>
          </w:p>
        </w:tc>
        <w:tc>
          <w:tcPr>
            <w:tcW w:w="3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276.0</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2,074.4</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2,087.8</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2,075.7</w:t>
            </w:r>
          </w:p>
        </w:tc>
      </w:tr>
      <w:tr>
        <w:trPr>
          <w:trHeight w:val="217"/>
        </w:trPr>
        <w:tc>
          <w:tcPr>
            <w:tcW w:w="3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166.4</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149.0</w:t>
            </w:r>
          </w:p>
        </w:tc>
        <w:tc>
          <w:tcPr>
            <w:tcW w:w="15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2,094.8</w:t>
            </w:r>
          </w:p>
        </w:tc>
        <w:tc>
          <w:tcPr>
            <w:tcW w:w="14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1,912.5</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1,751.4</w:t>
            </w:r>
          </w:p>
        </w:tc>
      </w:tr>
      <w:tr>
        <w:trPr>
          <w:trHeight w:val="215"/>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Municipal</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150.9</w:t>
            </w: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159.3</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162.9</w:t>
            </w:r>
          </w:p>
        </w:tc>
      </w:tr>
      <w:tr>
        <w:trPr>
          <w:trHeight w:val="209"/>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Subtotal Retail Revenue - Electric</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661.6</w:t>
            </w:r>
          </w:p>
        </w:tc>
        <w:tc>
          <w:tcPr>
            <w:tcW w:w="2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711.5</w:t>
            </w:r>
          </w:p>
        </w:tc>
        <w:tc>
          <w:tcPr>
            <w:tcW w:w="3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688.7</w:t>
            </w:r>
          </w:p>
        </w:tc>
        <w:tc>
          <w:tcPr>
            <w:tcW w:w="15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5,758.6</w:t>
            </w:r>
          </w:p>
        </w:tc>
        <w:tc>
          <w:tcPr>
            <w:tcW w:w="14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5,672.7</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5,484.0</w:t>
            </w:r>
          </w:p>
        </w:tc>
      </w:tr>
      <w:tr>
        <w:trPr>
          <w:trHeight w:val="209"/>
        </w:trPr>
        <w:tc>
          <w:tcPr>
            <w:tcW w:w="3720" w:type="dxa"/>
            <w:vAlign w:val="bottom"/>
            <w:gridSpan w:val="3"/>
          </w:tcPr>
          <w:p>
            <w:pPr>
              <w:ind w:left="20"/>
              <w:spacing w:after="0"/>
              <w:rPr>
                <w:sz w:val="20"/>
                <w:szCs w:val="20"/>
                <w:color w:val="auto"/>
              </w:rPr>
            </w:pPr>
            <w:r>
              <w:rPr>
                <w:rFonts w:ascii="Arial" w:cs="Arial" w:eastAsia="Arial" w:hAnsi="Arial"/>
                <w:sz w:val="16"/>
                <w:szCs w:val="16"/>
                <w:color w:val="auto"/>
              </w:rPr>
              <w:t>Contract Wholesale</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16.1</w:t>
            </w:r>
          </w:p>
        </w:tc>
        <w:tc>
          <w:tcPr>
            <w:tcW w:w="1540" w:type="dxa"/>
            <w:vAlign w:val="bottom"/>
          </w:tcPr>
          <w:p>
            <w:pPr>
              <w:jc w:val="right"/>
              <w:ind w:right="199"/>
              <w:spacing w:after="0"/>
              <w:rPr>
                <w:sz w:val="20"/>
                <w:szCs w:val="20"/>
                <w:color w:val="auto"/>
              </w:rPr>
            </w:pPr>
            <w:r>
              <w:rPr>
                <w:rFonts w:ascii="Arial" w:cs="Arial" w:eastAsia="Arial" w:hAnsi="Arial"/>
                <w:sz w:val="16"/>
                <w:szCs w:val="16"/>
                <w:color w:val="auto"/>
              </w:rPr>
              <w:t>579.1</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654.0</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574.1</w:t>
            </w:r>
          </w:p>
        </w:tc>
      </w:tr>
      <w:tr>
        <w:trPr>
          <w:trHeight w:val="217"/>
        </w:trPr>
        <w:tc>
          <w:tcPr>
            <w:tcW w:w="3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Off-system/Power Marketing Wholesale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41.7</w:t>
            </w:r>
          </w:p>
        </w:tc>
        <w:tc>
          <w:tcPr>
            <w:tcW w:w="15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737.9</w:t>
            </w:r>
          </w:p>
        </w:tc>
        <w:tc>
          <w:tcPr>
            <w:tcW w:w="14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643.2</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638.9</w:t>
            </w:r>
          </w:p>
        </w:tc>
      </w:tr>
      <w:tr>
        <w:trPr>
          <w:trHeight w:val="216"/>
        </w:trPr>
        <w:tc>
          <w:tcPr>
            <w:tcW w:w="37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66.2</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54.2</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09"/>
        </w:trPr>
        <w:tc>
          <w:tcPr>
            <w:tcW w:w="372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 Regulated</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817.3</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852.2</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800.7</w:t>
            </w:r>
          </w:p>
        </w:tc>
        <w:tc>
          <w:tcPr>
            <w:tcW w:w="154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7,075.6</w:t>
            </w:r>
          </w:p>
        </w:tc>
        <w:tc>
          <w:tcPr>
            <w:tcW w:w="142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6,969.9</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6,697.0</w:t>
            </w:r>
          </w:p>
        </w:tc>
      </w:tr>
      <w:tr>
        <w:trPr>
          <w:trHeight w:val="216"/>
        </w:trPr>
        <w:tc>
          <w:tcPr>
            <w:tcW w:w="3720" w:type="dxa"/>
            <w:vAlign w:val="bottom"/>
            <w:gridSpan w:val="3"/>
          </w:tcPr>
          <w:p>
            <w:pPr>
              <w:ind w:left="20"/>
              <w:spacing w:after="0" w:line="216" w:lineRule="exact"/>
              <w:rPr>
                <w:sz w:val="20"/>
                <w:szCs w:val="20"/>
                <w:color w:val="auto"/>
              </w:rPr>
            </w:pPr>
            <w:r>
              <w:rPr>
                <w:rFonts w:ascii="Arial" w:cs="Arial" w:eastAsia="Arial" w:hAnsi="Arial"/>
                <w:sz w:val="16"/>
                <w:szCs w:val="16"/>
                <w:color w:val="auto"/>
              </w:rPr>
              <w:t xml:space="preserve">Non-Regulated </w:t>
            </w:r>
            <w:r>
              <w:rPr>
                <w:rFonts w:ascii="Arial" w:cs="Arial" w:eastAsia="Arial" w:hAnsi="Arial"/>
                <w:sz w:val="21"/>
                <w:szCs w:val="21"/>
                <w:color w:val="auto"/>
                <w:vertAlign w:val="superscript"/>
              </w:rPr>
              <w:t>(b)</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41.5</w:t>
            </w: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120.6</w:t>
            </w: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293.0</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269.6</w:t>
            </w:r>
          </w:p>
        </w:tc>
      </w:tr>
      <w:tr>
        <w:trPr>
          <w:trHeight w:val="249"/>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Revenue and Quantities Sold</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900.2</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842.2</w:t>
            </w:r>
          </w:p>
        </w:tc>
        <w:tc>
          <w:tcPr>
            <w:tcW w:w="15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7,196.2</w:t>
            </w:r>
          </w:p>
        </w:tc>
        <w:tc>
          <w:tcPr>
            <w:tcW w:w="14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7,262.9</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6,966.6</w:t>
            </w:r>
          </w:p>
        </w:tc>
      </w:tr>
      <w:tr>
        <w:trPr>
          <w:trHeight w:val="197"/>
        </w:trPr>
        <w:tc>
          <w:tcPr>
            <w:tcW w:w="3720" w:type="dxa"/>
            <w:vAlign w:val="bottom"/>
            <w:gridSpan w:val="3"/>
          </w:tcPr>
          <w:p>
            <w:pPr>
              <w:ind w:left="20"/>
              <w:spacing w:after="0" w:line="197" w:lineRule="exact"/>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(c)</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463.5</w:t>
            </w: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450.0</w:t>
            </w: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475.3</w:t>
            </w:r>
          </w:p>
        </w:tc>
      </w:tr>
      <w:tr>
        <w:trPr>
          <w:trHeight w:val="249"/>
        </w:trPr>
        <w:tc>
          <w:tcPr>
            <w:tcW w:w="37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Energy</w:t>
            </w:r>
          </w:p>
        </w:tc>
        <w:tc>
          <w:tcPr>
            <w:tcW w:w="24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7,659.7</w:t>
            </w:r>
          </w:p>
        </w:tc>
        <w:tc>
          <w:tcPr>
            <w:tcW w:w="142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7,712.9</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7,441.9</w:t>
            </w:r>
          </w:p>
        </w:tc>
      </w:tr>
      <w:tr>
        <w:trPr>
          <w:trHeight w:val="116"/>
        </w:trPr>
        <w:tc>
          <w:tcPr>
            <w:tcW w:w="13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Primarily related to transmission revenues from the Common Use System.</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Integrated Generation and non-regulated services to our retail customers under the Service Guard Comfort Plan and Tech Services.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company uses and line losses.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6"/>
                <w:szCs w:val="16"/>
                <w:b w:val="1"/>
                <w:bCs w:val="1"/>
                <w:color w:val="auto"/>
              </w:rPr>
              <w:t>Revenue (in millions)</w:t>
            </w:r>
          </w:p>
        </w:tc>
        <w:tc>
          <w:tcPr>
            <w:tcW w:w="10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Quantities Sold (GWh)</w:t>
            </w:r>
          </w:p>
        </w:tc>
        <w:tc>
          <w:tcPr>
            <w:tcW w:w="960" w:type="dxa"/>
            <w:vAlign w:val="bottom"/>
            <w:tcBorders>
              <w:bottom w:val="single" w:sz="8" w:color="auto"/>
            </w:tcBorders>
          </w:tcPr>
          <w:p>
            <w:pPr>
              <w:spacing w:after="0"/>
              <w:rPr>
                <w:sz w:val="18"/>
                <w:szCs w:val="18"/>
                <w:color w:val="auto"/>
              </w:rPr>
            </w:pPr>
          </w:p>
        </w:tc>
      </w:tr>
      <w:tr>
        <w:trPr>
          <w:trHeight w:val="210"/>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For the year ended December 31,</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r>
      <w:tr>
        <w:trPr>
          <w:trHeight w:val="210"/>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Colorado Electric</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285.7</w:t>
            </w:r>
          </w:p>
        </w:tc>
        <w:tc>
          <w:tcPr>
            <w:tcW w:w="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321.1</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302.9</w:t>
            </w:r>
          </w:p>
        </w:tc>
        <w:tc>
          <w:tcPr>
            <w:tcW w:w="12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2,397.2</w:t>
            </w:r>
          </w:p>
        </w:tc>
        <w:tc>
          <w:tcPr>
            <w:tcW w:w="14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2,440.0</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2,574.0</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South Dakota Electric</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321.1</w:t>
            </w: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335.2</w:t>
            </w:r>
          </w:p>
        </w:tc>
        <w:tc>
          <w:tcPr>
            <w:tcW w:w="280" w:type="dxa"/>
            <w:vAlign w:val="bottom"/>
          </w:tcPr>
          <w:p>
            <w:pPr>
              <w:spacing w:after="0"/>
              <w:rPr>
                <w:sz w:val="18"/>
                <w:szCs w:val="18"/>
                <w:color w:val="auto"/>
              </w:rPr>
            </w:pPr>
          </w:p>
        </w:tc>
        <w:tc>
          <w:tcPr>
            <w:tcW w:w="1060" w:type="dxa"/>
            <w:vAlign w:val="bottom"/>
          </w:tcPr>
          <w:p>
            <w:pPr>
              <w:jc w:val="right"/>
              <w:ind w:right="159"/>
              <w:spacing w:after="0"/>
              <w:rPr>
                <w:sz w:val="20"/>
                <w:szCs w:val="20"/>
                <w:color w:val="auto"/>
              </w:rPr>
            </w:pPr>
            <w:r>
              <w:rPr>
                <w:rFonts w:ascii="Arial" w:cs="Arial" w:eastAsia="Arial" w:hAnsi="Arial"/>
                <w:sz w:val="16"/>
                <w:szCs w:val="16"/>
                <w:color w:val="auto"/>
              </w:rPr>
              <w:t>319.4</w:t>
            </w: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2,554.3</w:t>
            </w:r>
          </w:p>
        </w:tc>
        <w:tc>
          <w:tcPr>
            <w:tcW w:w="1420" w:type="dxa"/>
            <w:vAlign w:val="bottom"/>
          </w:tcPr>
          <w:p>
            <w:pPr>
              <w:jc w:val="right"/>
              <w:ind w:right="359"/>
              <w:spacing w:after="0"/>
              <w:rPr>
                <w:sz w:val="20"/>
                <w:szCs w:val="20"/>
                <w:color w:val="auto"/>
              </w:rPr>
            </w:pPr>
            <w:r>
              <w:rPr>
                <w:rFonts w:ascii="Arial" w:cs="Arial" w:eastAsia="Arial" w:hAnsi="Arial"/>
                <w:sz w:val="16"/>
                <w:szCs w:val="16"/>
                <w:color w:val="auto"/>
              </w:rPr>
              <w:t>2,626.2</w:t>
            </w:r>
          </w:p>
        </w:tc>
        <w:tc>
          <w:tcPr>
            <w:tcW w:w="960" w:type="dxa"/>
            <w:vAlign w:val="bottom"/>
          </w:tcPr>
          <w:p>
            <w:pPr>
              <w:jc w:val="right"/>
              <w:ind w:right="39"/>
              <w:spacing w:after="0"/>
              <w:rPr>
                <w:sz w:val="20"/>
                <w:szCs w:val="20"/>
                <w:color w:val="auto"/>
              </w:rPr>
            </w:pPr>
            <w:r>
              <w:rPr>
                <w:rFonts w:ascii="Arial" w:cs="Arial" w:eastAsia="Arial" w:hAnsi="Arial"/>
                <w:sz w:val="16"/>
                <w:szCs w:val="16"/>
                <w:color w:val="auto"/>
              </w:rPr>
              <w:t>2,389.4</w:t>
            </w:r>
          </w:p>
        </w:tc>
      </w:tr>
      <w:tr>
        <w:trPr>
          <w:trHeight w:val="217"/>
        </w:trPr>
        <w:tc>
          <w:tcPr>
            <w:tcW w:w="3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Wyoming Electric</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212.2</w:t>
            </w: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197.7</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180.4</w:t>
            </w:r>
          </w:p>
        </w:tc>
        <w:tc>
          <w:tcPr>
            <w:tcW w:w="124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2,124.1</w:t>
            </w:r>
          </w:p>
        </w:tc>
        <w:tc>
          <w:tcPr>
            <w:tcW w:w="142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1,903.7</w:t>
            </w:r>
          </w:p>
        </w:tc>
        <w:tc>
          <w:tcPr>
            <w:tcW w:w="9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1,733.6</w:t>
            </w:r>
          </w:p>
        </w:tc>
      </w:tr>
      <w:tr>
        <w:trPr>
          <w:trHeight w:val="215"/>
        </w:trPr>
        <w:tc>
          <w:tcPr>
            <w:tcW w:w="3800" w:type="dxa"/>
            <w:vAlign w:val="bottom"/>
          </w:tcPr>
          <w:p>
            <w:pPr>
              <w:ind w:left="20"/>
              <w:spacing w:after="0"/>
              <w:rPr>
                <w:sz w:val="20"/>
                <w:szCs w:val="20"/>
                <w:color w:val="auto"/>
              </w:rPr>
            </w:pPr>
            <w:r>
              <w:rPr>
                <w:rFonts w:ascii="Arial" w:cs="Arial" w:eastAsia="Arial" w:hAnsi="Arial"/>
                <w:sz w:val="16"/>
                <w:szCs w:val="16"/>
                <w:color w:val="auto"/>
              </w:rPr>
              <w:t>Integrated Generation</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39.5</w:t>
            </w: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120.6</w:t>
            </w:r>
          </w:p>
        </w:tc>
        <w:tc>
          <w:tcPr>
            <w:tcW w:w="14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293.0</w:t>
            </w:r>
          </w:p>
        </w:tc>
        <w:tc>
          <w:tcPr>
            <w:tcW w:w="9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269.6</w:t>
            </w:r>
          </w:p>
        </w:tc>
      </w:tr>
      <w:tr>
        <w:trPr>
          <w:trHeight w:val="250"/>
        </w:trPr>
        <w:tc>
          <w:tcPr>
            <w:tcW w:w="3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Revenue and Quantities Sold</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900.2</w:t>
            </w:r>
          </w:p>
        </w:tc>
        <w:tc>
          <w:tcPr>
            <w:tcW w:w="28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842.2</w:t>
            </w:r>
          </w:p>
        </w:tc>
        <w:tc>
          <w:tcPr>
            <w:tcW w:w="124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7,196.2</w:t>
            </w:r>
          </w:p>
        </w:tc>
        <w:tc>
          <w:tcPr>
            <w:tcW w:w="142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7,262.9</w:t>
            </w:r>
          </w:p>
        </w:tc>
        <w:tc>
          <w:tcPr>
            <w:tcW w:w="9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6,966.6</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For the year ended December 31,</w:t>
            </w:r>
          </w:p>
        </w:tc>
        <w:tc>
          <w:tcPr>
            <w:tcW w:w="1360" w:type="dxa"/>
            <w:vAlign w:val="bottom"/>
          </w:tcPr>
          <w:p>
            <w:pPr>
              <w:spacing w:after="0"/>
              <w:rPr>
                <w:sz w:val="18"/>
                <w:szCs w:val="18"/>
                <w:color w:val="auto"/>
              </w:rPr>
            </w:pPr>
          </w:p>
        </w:tc>
      </w:tr>
      <w:tr>
        <w:trPr>
          <w:trHeight w:val="217"/>
        </w:trPr>
        <w:tc>
          <w:tcPr>
            <w:tcW w:w="56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Quantities Generated and Purchased by Fuel Type (GWh)</w:t>
            </w:r>
          </w:p>
        </w:tc>
        <w:tc>
          <w:tcPr>
            <w:tcW w:w="222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b w:val="1"/>
                <w:bCs w:val="1"/>
                <w:color w:val="auto"/>
              </w:rPr>
              <w:t>2023</w:t>
            </w:r>
          </w:p>
        </w:tc>
        <w:tc>
          <w:tcPr>
            <w:tcW w:w="20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2022</w:t>
            </w:r>
          </w:p>
        </w:tc>
        <w:tc>
          <w:tcPr>
            <w:tcW w:w="13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2021</w:t>
            </w:r>
          </w:p>
        </w:tc>
      </w:tr>
      <w:tr>
        <w:trPr>
          <w:trHeight w:val="210"/>
        </w:trPr>
        <w:tc>
          <w:tcPr>
            <w:tcW w:w="56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222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5"/>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Coal</w:t>
            </w:r>
          </w:p>
        </w:tc>
        <w:tc>
          <w:tcPr>
            <w:tcW w:w="2220" w:type="dxa"/>
            <w:vAlign w:val="bottom"/>
          </w:tcPr>
          <w:p>
            <w:pPr>
              <w:jc w:val="right"/>
              <w:ind w:right="339"/>
              <w:spacing w:after="0"/>
              <w:rPr>
                <w:sz w:val="20"/>
                <w:szCs w:val="20"/>
                <w:color w:val="auto"/>
              </w:rPr>
            </w:pPr>
            <w:r>
              <w:rPr>
                <w:rFonts w:ascii="Arial" w:cs="Arial" w:eastAsia="Arial" w:hAnsi="Arial"/>
                <w:sz w:val="16"/>
                <w:szCs w:val="16"/>
                <w:color w:val="auto"/>
              </w:rPr>
              <w:t>2,683.4</w:t>
            </w:r>
          </w:p>
        </w:tc>
        <w:tc>
          <w:tcPr>
            <w:tcW w:w="2040" w:type="dxa"/>
            <w:vAlign w:val="bottom"/>
          </w:tcPr>
          <w:p>
            <w:pPr>
              <w:jc w:val="right"/>
              <w:ind w:right="459"/>
              <w:spacing w:after="0"/>
              <w:rPr>
                <w:sz w:val="20"/>
                <w:szCs w:val="20"/>
                <w:color w:val="auto"/>
              </w:rPr>
            </w:pPr>
            <w:r>
              <w:rPr>
                <w:rFonts w:ascii="Arial" w:cs="Arial" w:eastAsia="Arial" w:hAnsi="Arial"/>
                <w:sz w:val="16"/>
                <w:szCs w:val="16"/>
                <w:color w:val="auto"/>
              </w:rPr>
              <w:t>2,708.8</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2,546.9</w:t>
            </w:r>
          </w:p>
        </w:tc>
      </w:tr>
      <w:tr>
        <w:trPr>
          <w:trHeight w:val="217"/>
        </w:trPr>
        <w:tc>
          <w:tcPr>
            <w:tcW w:w="56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Natural Gas</w:t>
            </w:r>
          </w:p>
        </w:tc>
        <w:tc>
          <w:tcPr>
            <w:tcW w:w="22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2,021.4</w:t>
            </w:r>
          </w:p>
        </w:tc>
        <w:tc>
          <w:tcPr>
            <w:tcW w:w="20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1,454.2</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1,817.2</w:t>
            </w:r>
          </w:p>
        </w:tc>
      </w:tr>
      <w:tr>
        <w:trPr>
          <w:trHeight w:val="216"/>
        </w:trPr>
        <w:tc>
          <w:tcPr>
            <w:tcW w:w="5620" w:type="dxa"/>
            <w:vAlign w:val="bottom"/>
            <w:gridSpan w:val="2"/>
          </w:tcPr>
          <w:p>
            <w:pPr>
              <w:ind w:left="200"/>
              <w:spacing w:after="0" w:line="216" w:lineRule="exact"/>
              <w:rPr>
                <w:sz w:val="20"/>
                <w:szCs w:val="20"/>
                <w:color w:val="auto"/>
              </w:rPr>
            </w:pPr>
            <w:r>
              <w:rPr>
                <w:rFonts w:ascii="Arial" w:cs="Arial" w:eastAsia="Arial" w:hAnsi="Arial"/>
                <w:sz w:val="16"/>
                <w:szCs w:val="16"/>
                <w:color w:val="auto"/>
              </w:rPr>
              <w:t xml:space="preserve">Wind </w:t>
            </w:r>
            <w:r>
              <w:rPr>
                <w:rFonts w:ascii="Arial" w:cs="Arial" w:eastAsia="Arial" w:hAnsi="Arial"/>
                <w:sz w:val="21"/>
                <w:szCs w:val="21"/>
                <w:color w:val="auto"/>
                <w:vertAlign w:val="superscript"/>
              </w:rPr>
              <w:t>(a)</w:t>
            </w:r>
          </w:p>
        </w:tc>
        <w:tc>
          <w:tcPr>
            <w:tcW w:w="2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678.5</w:t>
            </w:r>
          </w:p>
        </w:tc>
        <w:tc>
          <w:tcPr>
            <w:tcW w:w="2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875.8</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842.6</w:t>
            </w:r>
          </w:p>
        </w:tc>
      </w:tr>
      <w:tr>
        <w:trPr>
          <w:trHeight w:val="209"/>
        </w:trPr>
        <w:tc>
          <w:tcPr>
            <w:tcW w:w="56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Generated</w:t>
            </w:r>
          </w:p>
        </w:tc>
        <w:tc>
          <w:tcPr>
            <w:tcW w:w="22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5,383.3</w:t>
            </w:r>
          </w:p>
        </w:tc>
        <w:tc>
          <w:tcPr>
            <w:tcW w:w="20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5,038.8</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5,206.7</w:t>
            </w:r>
          </w:p>
        </w:tc>
      </w:tr>
      <w:tr>
        <w:trPr>
          <w:trHeight w:val="209"/>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Purchased:</w:t>
            </w:r>
          </w:p>
        </w:tc>
        <w:tc>
          <w:tcPr>
            <w:tcW w:w="2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7"/>
        </w:trPr>
        <w:tc>
          <w:tcPr>
            <w:tcW w:w="56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Coal, Natural Gas, Diesel Oil and Other Market Purchases</w:t>
            </w:r>
          </w:p>
        </w:tc>
        <w:tc>
          <w:tcPr>
            <w:tcW w:w="222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1,842.9</w:t>
            </w:r>
          </w:p>
        </w:tc>
        <w:tc>
          <w:tcPr>
            <w:tcW w:w="20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2,280.8</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1,866.4</w:t>
            </w:r>
          </w:p>
        </w:tc>
      </w:tr>
      <w:tr>
        <w:trPr>
          <w:trHeight w:val="215"/>
        </w:trPr>
        <w:tc>
          <w:tcPr>
            <w:tcW w:w="5620" w:type="dxa"/>
            <w:vAlign w:val="bottom"/>
            <w:gridSpan w:val="2"/>
          </w:tcPr>
          <w:p>
            <w:pPr>
              <w:ind w:left="200"/>
              <w:spacing w:after="0"/>
              <w:rPr>
                <w:sz w:val="20"/>
                <w:szCs w:val="20"/>
                <w:color w:val="auto"/>
              </w:rPr>
            </w:pPr>
            <w:r>
              <w:rPr>
                <w:rFonts w:ascii="Arial" w:cs="Arial" w:eastAsia="Arial" w:hAnsi="Arial"/>
                <w:sz w:val="16"/>
                <w:szCs w:val="16"/>
                <w:color w:val="auto"/>
              </w:rPr>
              <w:t>Wind and Solar</w:t>
            </w:r>
          </w:p>
        </w:tc>
        <w:tc>
          <w:tcPr>
            <w:tcW w:w="2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433.5</w:t>
            </w:r>
          </w:p>
        </w:tc>
        <w:tc>
          <w:tcPr>
            <w:tcW w:w="2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393.3</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368.8</w:t>
            </w:r>
          </w:p>
        </w:tc>
      </w:tr>
      <w:tr>
        <w:trPr>
          <w:trHeight w:val="210"/>
        </w:trPr>
        <w:tc>
          <w:tcPr>
            <w:tcW w:w="56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Purchased</w:t>
            </w:r>
          </w:p>
        </w:tc>
        <w:tc>
          <w:tcPr>
            <w:tcW w:w="222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2,276.4</w:t>
            </w:r>
          </w:p>
        </w:tc>
        <w:tc>
          <w:tcPr>
            <w:tcW w:w="2040" w:type="dxa"/>
            <w:vAlign w:val="bottom"/>
            <w:tcBorders>
              <w:bottom w:val="single" w:sz="8" w:color="auto"/>
            </w:tcBorders>
            <w:shd w:val="clear" w:color="auto" w:fill="CFF0FC"/>
          </w:tcPr>
          <w:p>
            <w:pPr>
              <w:jc w:val="right"/>
              <w:ind w:right="459"/>
              <w:spacing w:after="0"/>
              <w:rPr>
                <w:sz w:val="20"/>
                <w:szCs w:val="20"/>
                <w:color w:val="auto"/>
              </w:rPr>
            </w:pPr>
            <w:r>
              <w:rPr>
                <w:rFonts w:ascii="Arial" w:cs="Arial" w:eastAsia="Arial" w:hAnsi="Arial"/>
                <w:sz w:val="16"/>
                <w:szCs w:val="16"/>
                <w:color w:val="auto"/>
              </w:rPr>
              <w:t>2,674.1</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2,235.2</w:t>
            </w:r>
          </w:p>
        </w:tc>
      </w:tr>
      <w:tr>
        <w:trPr>
          <w:trHeight w:val="209"/>
        </w:trPr>
        <w:tc>
          <w:tcPr>
            <w:tcW w:w="5620" w:type="dxa"/>
            <w:vAlign w:val="bottom"/>
            <w:gridSpan w:val="2"/>
          </w:tcPr>
          <w:p>
            <w:pPr>
              <w:ind w:left="20"/>
              <w:spacing w:after="0"/>
              <w:rPr>
                <w:sz w:val="20"/>
                <w:szCs w:val="20"/>
                <w:color w:val="auto"/>
              </w:rPr>
            </w:pPr>
            <w:r>
              <w:rPr>
                <w:rFonts w:ascii="Arial" w:cs="Arial" w:eastAsia="Arial" w:hAnsi="Arial"/>
                <w:sz w:val="16"/>
                <w:szCs w:val="16"/>
                <w:color w:val="auto"/>
              </w:rPr>
              <w:t>Total Generated and Purchased</w:t>
            </w:r>
          </w:p>
        </w:tc>
        <w:tc>
          <w:tcPr>
            <w:tcW w:w="2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7,659.7</w:t>
            </w:r>
          </w:p>
        </w:tc>
        <w:tc>
          <w:tcPr>
            <w:tcW w:w="2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7,712.9</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7,441.9</w:t>
            </w:r>
          </w:p>
        </w:tc>
      </w:tr>
      <w:tr>
        <w:trPr>
          <w:trHeight w:val="20"/>
        </w:trPr>
        <w:tc>
          <w:tcPr>
            <w:tcW w:w="30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3000" w:type="dxa"/>
            <w:vAlign w:val="bottom"/>
            <w:tcBorders>
              <w:bottom w:val="single" w:sz="8" w:color="auto"/>
            </w:tcBorders>
          </w:tcPr>
          <w:p>
            <w:pPr>
              <w:spacing w:after="0"/>
              <w:rPr>
                <w:sz w:val="10"/>
                <w:szCs w:val="10"/>
                <w:color w:val="auto"/>
              </w:rPr>
            </w:pPr>
          </w:p>
        </w:tc>
        <w:tc>
          <w:tcPr>
            <w:tcW w:w="26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Wind generation decreased due to the sale of Northern Iowa Windpower assets in March 2023.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18"/>
                <w:szCs w:val="18"/>
                <w:color w:val="auto"/>
              </w:rPr>
            </w:pPr>
          </w:p>
        </w:tc>
        <w:tc>
          <w:tcPr>
            <w:tcW w:w="414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rPr>
              <w:t>For the year ended December 31,</w:t>
            </w:r>
          </w:p>
        </w:tc>
        <w:tc>
          <w:tcPr>
            <w:tcW w:w="1340" w:type="dxa"/>
            <w:vAlign w:val="bottom"/>
          </w:tcPr>
          <w:p>
            <w:pPr>
              <w:spacing w:after="0"/>
              <w:rPr>
                <w:sz w:val="18"/>
                <w:szCs w:val="18"/>
                <w:color w:val="auto"/>
              </w:rPr>
            </w:pPr>
          </w:p>
        </w:tc>
      </w:tr>
      <w:tr>
        <w:trPr>
          <w:trHeight w:val="217"/>
        </w:trPr>
        <w:tc>
          <w:tcPr>
            <w:tcW w:w="57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Quantities Generated and Purchased (GWh)</w:t>
            </w:r>
          </w:p>
        </w:tc>
        <w:tc>
          <w:tcPr>
            <w:tcW w:w="210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2023</w:t>
            </w:r>
          </w:p>
        </w:tc>
        <w:tc>
          <w:tcPr>
            <w:tcW w:w="20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2022</w:t>
            </w:r>
          </w:p>
        </w:tc>
        <w:tc>
          <w:tcPr>
            <w:tcW w:w="13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r>
      <w:tr>
        <w:trPr>
          <w:trHeight w:val="209"/>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Generated:</w:t>
            </w:r>
          </w:p>
        </w:tc>
        <w:tc>
          <w:tcPr>
            <w:tcW w:w="2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Colorado Electric</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653.9</w:t>
            </w:r>
          </w:p>
        </w:tc>
        <w:tc>
          <w:tcPr>
            <w:tcW w:w="2040" w:type="dxa"/>
            <w:vAlign w:val="bottom"/>
          </w:tcPr>
          <w:p>
            <w:pPr>
              <w:jc w:val="right"/>
              <w:ind w:right="559"/>
              <w:spacing w:after="0"/>
              <w:rPr>
                <w:sz w:val="20"/>
                <w:szCs w:val="20"/>
                <w:color w:val="auto"/>
              </w:rPr>
            </w:pPr>
            <w:r>
              <w:rPr>
                <w:rFonts w:ascii="Arial" w:cs="Arial" w:eastAsia="Arial" w:hAnsi="Arial"/>
                <w:sz w:val="16"/>
                <w:szCs w:val="16"/>
                <w:color w:val="auto"/>
              </w:rPr>
              <w:t>474.4</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412.1</w:t>
            </w:r>
          </w:p>
        </w:tc>
      </w:tr>
      <w:tr>
        <w:trPr>
          <w:trHeight w:val="217"/>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2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2,018.5</w:t>
            </w:r>
          </w:p>
        </w:tc>
        <w:tc>
          <w:tcPr>
            <w:tcW w:w="20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1,890.0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1,980.7</w:t>
            </w: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Wyoming Electric</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908.3</w:t>
            </w:r>
          </w:p>
        </w:tc>
        <w:tc>
          <w:tcPr>
            <w:tcW w:w="2040" w:type="dxa"/>
            <w:vAlign w:val="bottom"/>
          </w:tcPr>
          <w:p>
            <w:pPr>
              <w:jc w:val="right"/>
              <w:ind w:right="559"/>
              <w:spacing w:after="0"/>
              <w:rPr>
                <w:sz w:val="20"/>
                <w:szCs w:val="20"/>
                <w:color w:val="auto"/>
              </w:rPr>
            </w:pPr>
            <w:r>
              <w:rPr>
                <w:rFonts w:ascii="Arial" w:cs="Arial" w:eastAsia="Arial" w:hAnsi="Arial"/>
                <w:sz w:val="16"/>
                <w:szCs w:val="16"/>
                <w:color w:val="auto"/>
              </w:rPr>
              <w:t>905.8</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883.6</w:t>
            </w: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Integrated Generation</w:t>
            </w:r>
          </w:p>
        </w:tc>
        <w:tc>
          <w:tcPr>
            <w:tcW w:w="21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1,802.5</w:t>
            </w:r>
          </w:p>
        </w:tc>
        <w:tc>
          <w:tcPr>
            <w:tcW w:w="20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1,768.6</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1,842.4</w:t>
            </w:r>
          </w:p>
        </w:tc>
      </w:tr>
      <w:tr>
        <w:trPr>
          <w:trHeight w:val="209"/>
        </w:trPr>
        <w:tc>
          <w:tcPr>
            <w:tcW w:w="5760" w:type="dxa"/>
            <w:vAlign w:val="bottom"/>
          </w:tcPr>
          <w:p>
            <w:pPr>
              <w:ind w:left="380"/>
              <w:spacing w:after="0"/>
              <w:rPr>
                <w:sz w:val="20"/>
                <w:szCs w:val="20"/>
                <w:color w:val="auto"/>
              </w:rPr>
            </w:pPr>
            <w:r>
              <w:rPr>
                <w:rFonts w:ascii="Arial" w:cs="Arial" w:eastAsia="Arial" w:hAnsi="Arial"/>
                <w:sz w:val="16"/>
                <w:szCs w:val="16"/>
                <w:color w:val="auto"/>
              </w:rPr>
              <w:t>Total Generated</w:t>
            </w:r>
          </w:p>
        </w:tc>
        <w:tc>
          <w:tcPr>
            <w:tcW w:w="2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5,383.2</w:t>
            </w:r>
          </w:p>
        </w:tc>
        <w:tc>
          <w:tcPr>
            <w:tcW w:w="20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5,038.8</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5,118.8</w:t>
            </w:r>
          </w:p>
        </w:tc>
      </w:tr>
      <w:tr>
        <w:trPr>
          <w:trHeight w:val="210"/>
        </w:trPr>
        <w:tc>
          <w:tcPr>
            <w:tcW w:w="5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Purchased:</w:t>
            </w:r>
          </w:p>
        </w:tc>
        <w:tc>
          <w:tcPr>
            <w:tcW w:w="2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Colorado Electric</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588.2</w:t>
            </w:r>
          </w:p>
        </w:tc>
        <w:tc>
          <w:tcPr>
            <w:tcW w:w="2040" w:type="dxa"/>
            <w:vAlign w:val="bottom"/>
          </w:tcPr>
          <w:p>
            <w:pPr>
              <w:jc w:val="right"/>
              <w:ind w:right="559"/>
              <w:spacing w:after="0"/>
              <w:rPr>
                <w:sz w:val="20"/>
                <w:szCs w:val="20"/>
                <w:color w:val="auto"/>
              </w:rPr>
            </w:pPr>
            <w:r>
              <w:rPr>
                <w:rFonts w:ascii="Arial" w:cs="Arial" w:eastAsia="Arial" w:hAnsi="Arial"/>
                <w:sz w:val="16"/>
                <w:szCs w:val="16"/>
                <w:color w:val="auto"/>
              </w:rPr>
              <w:t>1,005.4</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1,027.7</w:t>
            </w:r>
          </w:p>
        </w:tc>
      </w:tr>
      <w:tr>
        <w:trPr>
          <w:trHeight w:val="217"/>
        </w:trPr>
        <w:tc>
          <w:tcPr>
            <w:tcW w:w="57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21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604.6</w:t>
            </w:r>
          </w:p>
        </w:tc>
        <w:tc>
          <w:tcPr>
            <w:tcW w:w="2040" w:type="dxa"/>
            <w:vAlign w:val="bottom"/>
            <w:shd w:val="clear" w:color="auto" w:fill="CFF0FC"/>
          </w:tcPr>
          <w:p>
            <w:pPr>
              <w:jc w:val="right"/>
              <w:ind w:right="559"/>
              <w:spacing w:after="0"/>
              <w:rPr>
                <w:sz w:val="20"/>
                <w:szCs w:val="20"/>
                <w:color w:val="auto"/>
              </w:rPr>
            </w:pPr>
            <w:r>
              <w:rPr>
                <w:rFonts w:ascii="Arial" w:cs="Arial" w:eastAsia="Arial" w:hAnsi="Arial"/>
                <w:sz w:val="16"/>
                <w:szCs w:val="16"/>
                <w:color w:val="auto"/>
              </w:rPr>
              <w:t>826.4</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563.6</w:t>
            </w:r>
          </w:p>
        </w:tc>
      </w:tr>
      <w:tr>
        <w:trPr>
          <w:trHeight w:val="215"/>
        </w:trPr>
        <w:tc>
          <w:tcPr>
            <w:tcW w:w="5760" w:type="dxa"/>
            <w:vAlign w:val="bottom"/>
          </w:tcPr>
          <w:p>
            <w:pPr>
              <w:ind w:left="200"/>
              <w:spacing w:after="0"/>
              <w:rPr>
                <w:sz w:val="20"/>
                <w:szCs w:val="20"/>
                <w:color w:val="auto"/>
              </w:rPr>
            </w:pPr>
            <w:r>
              <w:rPr>
                <w:rFonts w:ascii="Arial" w:cs="Arial" w:eastAsia="Arial" w:hAnsi="Arial"/>
                <w:sz w:val="16"/>
                <w:szCs w:val="16"/>
                <w:color w:val="auto"/>
              </w:rPr>
              <w:t>Wyoming Electric</w:t>
            </w:r>
          </w:p>
        </w:tc>
        <w:tc>
          <w:tcPr>
            <w:tcW w:w="2100" w:type="dxa"/>
            <w:vAlign w:val="bottom"/>
          </w:tcPr>
          <w:p>
            <w:pPr>
              <w:jc w:val="right"/>
              <w:ind w:right="319"/>
              <w:spacing w:after="0"/>
              <w:rPr>
                <w:sz w:val="20"/>
                <w:szCs w:val="20"/>
                <w:color w:val="auto"/>
              </w:rPr>
            </w:pPr>
            <w:r>
              <w:rPr>
                <w:rFonts w:ascii="Arial" w:cs="Arial" w:eastAsia="Arial" w:hAnsi="Arial"/>
                <w:sz w:val="16"/>
                <w:szCs w:val="16"/>
                <w:color w:val="auto"/>
              </w:rPr>
              <w:t>1,028.5</w:t>
            </w:r>
          </w:p>
        </w:tc>
        <w:tc>
          <w:tcPr>
            <w:tcW w:w="2040" w:type="dxa"/>
            <w:vAlign w:val="bottom"/>
          </w:tcPr>
          <w:p>
            <w:pPr>
              <w:jc w:val="right"/>
              <w:ind w:right="559"/>
              <w:spacing w:after="0"/>
              <w:rPr>
                <w:sz w:val="20"/>
                <w:szCs w:val="20"/>
                <w:color w:val="auto"/>
              </w:rPr>
            </w:pPr>
            <w:r>
              <w:rPr>
                <w:rFonts w:ascii="Arial" w:cs="Arial" w:eastAsia="Arial" w:hAnsi="Arial"/>
                <w:sz w:val="16"/>
                <w:szCs w:val="16"/>
                <w:color w:val="auto"/>
              </w:rPr>
              <w:t>757.2</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643.9</w:t>
            </w:r>
          </w:p>
        </w:tc>
      </w:tr>
      <w:tr>
        <w:trPr>
          <w:trHeight w:val="216"/>
        </w:trPr>
        <w:tc>
          <w:tcPr>
            <w:tcW w:w="5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Integrated Generation</w:t>
            </w:r>
          </w:p>
        </w:tc>
        <w:tc>
          <w:tcPr>
            <w:tcW w:w="210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55.2</w:t>
            </w:r>
          </w:p>
        </w:tc>
        <w:tc>
          <w:tcPr>
            <w:tcW w:w="2040" w:type="dxa"/>
            <w:vAlign w:val="bottom"/>
            <w:tcBorders>
              <w:bottom w:val="single" w:sz="8" w:color="auto"/>
            </w:tcBorders>
            <w:shd w:val="clear" w:color="auto" w:fill="CFF0FC"/>
          </w:tcPr>
          <w:p>
            <w:pPr>
              <w:jc w:val="right"/>
              <w:ind w:right="559"/>
              <w:spacing w:after="0"/>
              <w:rPr>
                <w:sz w:val="20"/>
                <w:szCs w:val="20"/>
                <w:color w:val="auto"/>
              </w:rPr>
            </w:pPr>
            <w:r>
              <w:rPr>
                <w:rFonts w:ascii="Arial" w:cs="Arial" w:eastAsia="Arial" w:hAnsi="Arial"/>
                <w:sz w:val="16"/>
                <w:szCs w:val="16"/>
                <w:color w:val="auto"/>
              </w:rPr>
              <w:t>85.1</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87.9</w:t>
            </w:r>
          </w:p>
        </w:tc>
      </w:tr>
      <w:tr>
        <w:trPr>
          <w:trHeight w:val="210"/>
        </w:trPr>
        <w:tc>
          <w:tcPr>
            <w:tcW w:w="5760" w:type="dxa"/>
            <w:vAlign w:val="bottom"/>
          </w:tcPr>
          <w:p>
            <w:pPr>
              <w:ind w:left="380"/>
              <w:spacing w:after="0"/>
              <w:rPr>
                <w:sz w:val="20"/>
                <w:szCs w:val="20"/>
                <w:color w:val="auto"/>
              </w:rPr>
            </w:pPr>
            <w:r>
              <w:rPr>
                <w:rFonts w:ascii="Arial" w:cs="Arial" w:eastAsia="Arial" w:hAnsi="Arial"/>
                <w:sz w:val="16"/>
                <w:szCs w:val="16"/>
                <w:color w:val="auto"/>
              </w:rPr>
              <w:t>Total Purchased</w:t>
            </w:r>
          </w:p>
        </w:tc>
        <w:tc>
          <w:tcPr>
            <w:tcW w:w="2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2,276.5</w:t>
            </w:r>
          </w:p>
        </w:tc>
        <w:tc>
          <w:tcPr>
            <w:tcW w:w="20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2,674.1</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2,323.1</w:t>
            </w:r>
          </w:p>
        </w:tc>
      </w:tr>
      <w:tr>
        <w:trPr>
          <w:trHeight w:val="210"/>
        </w:trPr>
        <w:tc>
          <w:tcPr>
            <w:tcW w:w="57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5"/>
        </w:trPr>
        <w:tc>
          <w:tcPr>
            <w:tcW w:w="5760" w:type="dxa"/>
            <w:vAlign w:val="bottom"/>
          </w:tcPr>
          <w:p>
            <w:pPr>
              <w:ind w:left="20"/>
              <w:spacing w:after="0"/>
              <w:rPr>
                <w:sz w:val="20"/>
                <w:szCs w:val="20"/>
                <w:color w:val="auto"/>
              </w:rPr>
            </w:pPr>
            <w:r>
              <w:rPr>
                <w:rFonts w:ascii="Arial" w:cs="Arial" w:eastAsia="Arial" w:hAnsi="Arial"/>
                <w:sz w:val="16"/>
                <w:szCs w:val="16"/>
                <w:color w:val="auto"/>
              </w:rPr>
              <w:t>Total Generated and Purchased</w:t>
            </w:r>
          </w:p>
        </w:tc>
        <w:tc>
          <w:tcPr>
            <w:tcW w:w="2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7,659.7</w:t>
            </w:r>
          </w:p>
        </w:tc>
        <w:tc>
          <w:tcPr>
            <w:tcW w:w="20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7,712.9</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7,441.9</w:t>
            </w:r>
          </w:p>
        </w:tc>
      </w:tr>
      <w:tr>
        <w:trPr>
          <w:trHeight w:val="20"/>
        </w:trPr>
        <w:tc>
          <w:tcPr>
            <w:tcW w:w="576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766" w:right="339" w:bottom="1073"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073" w:gutter="0" w:footer="0" w:header="0"/>
          <w:type w:val="continuous"/>
        </w:sectPr>
      </w:pPr>
    </w:p>
    <w:bookmarkStart w:id="42" w:name="page43"/>
    <w:bookmarkEnd w:id="42"/>
    <w:tbl>
      <w:tblPr>
        <w:tblLayout w:type="fixed"/>
        <w:tblInd w:w="0" w:type="dxa"/>
        <w:tblCellMar>
          <w:top w:w="0" w:type="dxa"/>
          <w:left w:w="0" w:type="dxa"/>
          <w:bottom w:w="0" w:type="dxa"/>
          <w:right w:w="0" w:type="dxa"/>
        </w:tblCellMar>
      </w:tblPr>
      <w:tr>
        <w:trPr>
          <w:trHeight w:val="184"/>
        </w:trPr>
        <w:tc>
          <w:tcPr>
            <w:tcW w:w="28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627"/>
        </w:trPr>
        <w:tc>
          <w:tcPr>
            <w:tcW w:w="1360" w:type="dxa"/>
            <w:vAlign w:val="bottom"/>
            <w:tcBorders>
              <w:top w:val="single" w:sz="8" w:color="0000FF"/>
            </w:tcBorders>
          </w:tcPr>
          <w:p>
            <w:pPr>
              <w:spacing w:after="0"/>
              <w:rPr>
                <w:sz w:val="24"/>
                <w:szCs w:val="24"/>
                <w:color w:val="auto"/>
              </w:rPr>
            </w:pPr>
          </w:p>
        </w:tc>
        <w:tc>
          <w:tcPr>
            <w:tcW w:w="1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Arial" w:cs="Arial" w:eastAsia="Arial" w:hAnsi="Arial"/>
                <w:sz w:val="16"/>
                <w:szCs w:val="16"/>
                <w:b w:val="1"/>
                <w:bCs w:val="1"/>
                <w:color w:val="auto"/>
              </w:rPr>
              <w:t>For the year ended December 31,</w:t>
            </w: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7"/>
        </w:trPr>
        <w:tc>
          <w:tcPr>
            <w:tcW w:w="28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Degree Days</w:t>
            </w:r>
          </w:p>
        </w:tc>
        <w:tc>
          <w:tcPr>
            <w:tcW w:w="1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w w:val="95"/>
              </w:rPr>
              <w:t>2022</w:t>
            </w:r>
          </w:p>
        </w:tc>
        <w:tc>
          <w:tcPr>
            <w:tcW w:w="10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2021</w:t>
            </w:r>
          </w:p>
        </w:tc>
      </w:tr>
      <w:tr>
        <w:trPr>
          <w:trHeight w:val="182"/>
        </w:trPr>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60" w:type="dxa"/>
            <w:vAlign w:val="bottom"/>
          </w:tcPr>
          <w:p>
            <w:pPr>
              <w:jc w:val="center"/>
              <w:ind w:left="39"/>
              <w:spacing w:after="0" w:line="182" w:lineRule="exact"/>
              <w:rPr>
                <w:sz w:val="20"/>
                <w:szCs w:val="20"/>
                <w:color w:val="auto"/>
              </w:rPr>
            </w:pPr>
            <w:r>
              <w:rPr>
                <w:rFonts w:ascii="Arial" w:cs="Arial" w:eastAsia="Arial" w:hAnsi="Arial"/>
                <w:sz w:val="16"/>
                <w:szCs w:val="16"/>
                <w:b w:val="1"/>
                <w:bCs w:val="1"/>
                <w:color w:val="auto"/>
              </w:rPr>
              <w:t>Variance from</w:t>
            </w:r>
          </w:p>
        </w:tc>
        <w:tc>
          <w:tcPr>
            <w:tcW w:w="1260" w:type="dxa"/>
            <w:vAlign w:val="bottom"/>
          </w:tcPr>
          <w:p>
            <w:pPr>
              <w:spacing w:after="0"/>
              <w:rPr>
                <w:sz w:val="15"/>
                <w:szCs w:val="15"/>
                <w:color w:val="auto"/>
              </w:rPr>
            </w:pPr>
          </w:p>
        </w:tc>
        <w:tc>
          <w:tcPr>
            <w:tcW w:w="17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1080" w:type="dxa"/>
            <w:vAlign w:val="bottom"/>
          </w:tcPr>
          <w:p>
            <w:pPr>
              <w:spacing w:after="0"/>
              <w:rPr>
                <w:sz w:val="15"/>
                <w:szCs w:val="15"/>
                <w:color w:val="auto"/>
              </w:rPr>
            </w:pPr>
          </w:p>
        </w:tc>
        <w:tc>
          <w:tcPr>
            <w:tcW w:w="16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r>
      <w:tr>
        <w:trPr>
          <w:trHeight w:val="217"/>
        </w:trPr>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Actual</w:t>
            </w:r>
          </w:p>
        </w:tc>
        <w:tc>
          <w:tcPr>
            <w:tcW w:w="156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Normal</w:t>
            </w: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Actual</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Actual</w:t>
            </w:r>
          </w:p>
        </w:tc>
        <w:tc>
          <w:tcPr>
            <w:tcW w:w="162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rPr>
              <w:t>Normal</w:t>
            </w:r>
          </w:p>
        </w:tc>
      </w:tr>
      <w:tr>
        <w:trPr>
          <w:trHeight w:val="210"/>
        </w:trPr>
        <w:tc>
          <w:tcPr>
            <w:tcW w:w="2800" w:type="dxa"/>
            <w:vAlign w:val="bottom"/>
            <w:gridSpan w:val="2"/>
            <w:shd w:val="clear" w:color="auto" w:fill="CFF0FC"/>
          </w:tcPr>
          <w:p>
            <w:pPr>
              <w:jc w:val="center"/>
              <w:ind w:right="1160"/>
              <w:spacing w:after="0"/>
              <w:rPr>
                <w:sz w:val="20"/>
                <w:szCs w:val="20"/>
                <w:color w:val="auto"/>
              </w:rPr>
            </w:pPr>
            <w:r>
              <w:rPr>
                <w:rFonts w:ascii="Arial" w:cs="Arial" w:eastAsia="Arial" w:hAnsi="Arial"/>
                <w:sz w:val="16"/>
                <w:szCs w:val="16"/>
                <w:color w:val="auto"/>
              </w:rPr>
              <w:t>Heating Degree Days:</w:t>
            </w:r>
          </w:p>
        </w:tc>
        <w:tc>
          <w:tcPr>
            <w:tcW w:w="1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5"/>
        </w:trPr>
        <w:tc>
          <w:tcPr>
            <w:tcW w:w="2800" w:type="dxa"/>
            <w:vAlign w:val="bottom"/>
            <w:gridSpan w:val="2"/>
          </w:tcPr>
          <w:p>
            <w:pPr>
              <w:jc w:val="center"/>
              <w:ind w:right="1160"/>
              <w:spacing w:after="0"/>
              <w:rPr>
                <w:sz w:val="20"/>
                <w:szCs w:val="20"/>
                <w:color w:val="auto"/>
              </w:rPr>
            </w:pPr>
            <w:r>
              <w:rPr>
                <w:rFonts w:ascii="Arial" w:cs="Arial" w:eastAsia="Arial" w:hAnsi="Arial"/>
                <w:sz w:val="16"/>
                <w:szCs w:val="16"/>
                <w:color w:val="auto"/>
              </w:rPr>
              <w:t>Colorado Electric</w:t>
            </w:r>
          </w:p>
        </w:tc>
        <w:tc>
          <w:tcPr>
            <w:tcW w:w="1220" w:type="dxa"/>
            <w:vAlign w:val="bottom"/>
          </w:tcPr>
          <w:p>
            <w:pPr>
              <w:jc w:val="right"/>
              <w:spacing w:after="0"/>
              <w:rPr>
                <w:sz w:val="20"/>
                <w:szCs w:val="20"/>
                <w:color w:val="auto"/>
              </w:rPr>
            </w:pPr>
            <w:r>
              <w:rPr>
                <w:rFonts w:ascii="Arial" w:cs="Arial" w:eastAsia="Arial" w:hAnsi="Arial"/>
                <w:sz w:val="16"/>
                <w:szCs w:val="16"/>
                <w:color w:val="auto"/>
              </w:rPr>
              <w:t>5,330</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5,551</w:t>
            </w:r>
          </w:p>
        </w:tc>
        <w:tc>
          <w:tcPr>
            <w:tcW w:w="1700" w:type="dxa"/>
            <w:vAlign w:val="bottom"/>
          </w:tcPr>
          <w:p>
            <w:pPr>
              <w:jc w:val="center"/>
              <w:spacing w:after="0"/>
              <w:rPr>
                <w:sz w:val="20"/>
                <w:szCs w:val="20"/>
                <w:color w:val="auto"/>
              </w:rPr>
            </w:pPr>
            <w:r>
              <w:rPr>
                <w:rFonts w:ascii="Arial" w:cs="Arial" w:eastAsia="Arial" w:hAnsi="Arial"/>
                <w:sz w:val="16"/>
                <w:szCs w:val="16"/>
                <w:color w:val="auto"/>
              </w:rPr>
              <w:t>9%</w:t>
            </w:r>
          </w:p>
        </w:tc>
        <w:tc>
          <w:tcPr>
            <w:tcW w:w="1080" w:type="dxa"/>
            <w:vAlign w:val="bottom"/>
          </w:tcPr>
          <w:p>
            <w:pPr>
              <w:jc w:val="right"/>
              <w:spacing w:after="0"/>
              <w:rPr>
                <w:sz w:val="20"/>
                <w:szCs w:val="20"/>
                <w:color w:val="auto"/>
              </w:rPr>
            </w:pPr>
            <w:r>
              <w:rPr>
                <w:rFonts w:ascii="Arial" w:cs="Arial" w:eastAsia="Arial" w:hAnsi="Arial"/>
                <w:sz w:val="16"/>
                <w:szCs w:val="16"/>
                <w:color w:val="auto"/>
              </w:rPr>
              <w:t>5,023</w:t>
            </w:r>
          </w:p>
        </w:tc>
        <w:tc>
          <w:tcPr>
            <w:tcW w:w="1620" w:type="dxa"/>
            <w:vAlign w:val="bottom"/>
          </w:tcPr>
          <w:p>
            <w:pPr>
              <w:jc w:val="center"/>
              <w:spacing w:after="0"/>
              <w:rPr>
                <w:sz w:val="20"/>
                <w:szCs w:val="20"/>
                <w:color w:val="auto"/>
              </w:rPr>
            </w:pPr>
            <w:r>
              <w:rPr>
                <w:rFonts w:ascii="Arial" w:cs="Arial" w:eastAsia="Arial" w:hAnsi="Arial"/>
                <w:sz w:val="16"/>
                <w:szCs w:val="16"/>
                <w:color w:val="auto"/>
                <w:w w:val="98"/>
              </w:rPr>
              <w:t>(11)%</w:t>
            </w:r>
          </w:p>
        </w:tc>
      </w:tr>
      <w:tr>
        <w:trPr>
          <w:trHeight w:val="217"/>
        </w:trPr>
        <w:tc>
          <w:tcPr>
            <w:tcW w:w="28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6,969</w:t>
            </w:r>
          </w:p>
        </w:tc>
        <w:tc>
          <w:tcPr>
            <w:tcW w:w="15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7,495</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6,819</w:t>
            </w:r>
          </w:p>
        </w:tc>
        <w:tc>
          <w:tcPr>
            <w:tcW w:w="16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w:t>
            </w:r>
          </w:p>
        </w:tc>
      </w:tr>
      <w:tr>
        <w:trPr>
          <w:trHeight w:val="215"/>
        </w:trPr>
        <w:tc>
          <w:tcPr>
            <w:tcW w:w="2800" w:type="dxa"/>
            <w:vAlign w:val="bottom"/>
            <w:gridSpan w:val="2"/>
          </w:tcPr>
          <w:p>
            <w:pPr>
              <w:jc w:val="center"/>
              <w:ind w:right="1140"/>
              <w:spacing w:after="0"/>
              <w:rPr>
                <w:sz w:val="20"/>
                <w:szCs w:val="20"/>
                <w:color w:val="auto"/>
              </w:rPr>
            </w:pPr>
            <w:r>
              <w:rPr>
                <w:rFonts w:ascii="Arial" w:cs="Arial" w:eastAsia="Arial" w:hAnsi="Arial"/>
                <w:sz w:val="16"/>
                <w:szCs w:val="16"/>
                <w:color w:val="auto"/>
              </w:rPr>
              <w:t>Wyoming Electric</w:t>
            </w:r>
          </w:p>
        </w:tc>
        <w:tc>
          <w:tcPr>
            <w:tcW w:w="1220" w:type="dxa"/>
            <w:vAlign w:val="bottom"/>
          </w:tcPr>
          <w:p>
            <w:pPr>
              <w:jc w:val="right"/>
              <w:spacing w:after="0"/>
              <w:rPr>
                <w:sz w:val="20"/>
                <w:szCs w:val="20"/>
                <w:color w:val="auto"/>
              </w:rPr>
            </w:pPr>
            <w:r>
              <w:rPr>
                <w:rFonts w:ascii="Arial" w:cs="Arial" w:eastAsia="Arial" w:hAnsi="Arial"/>
                <w:sz w:val="16"/>
                <w:szCs w:val="16"/>
                <w:color w:val="auto"/>
              </w:rPr>
              <w:t>6,783</w:t>
            </w:r>
          </w:p>
        </w:tc>
        <w:tc>
          <w:tcPr>
            <w:tcW w:w="1560" w:type="dxa"/>
            <w:vAlign w:val="bottom"/>
          </w:tcPr>
          <w:p>
            <w:pPr>
              <w:jc w:val="center"/>
              <w:ind w:left="99"/>
              <w:spacing w:after="0"/>
              <w:rPr>
                <w:sz w:val="20"/>
                <w:szCs w:val="20"/>
                <w:color w:val="auto"/>
              </w:rPr>
            </w:pPr>
            <w:r>
              <w:rPr>
                <w:rFonts w:ascii="Arial" w:cs="Arial" w:eastAsia="Arial" w:hAnsi="Arial"/>
                <w:sz w:val="16"/>
                <w:szCs w:val="16"/>
                <w:color w:val="auto"/>
              </w:rPr>
              <w:t>(1)%</w:t>
            </w:r>
          </w:p>
        </w:tc>
        <w:tc>
          <w:tcPr>
            <w:tcW w:w="1260" w:type="dxa"/>
            <w:vAlign w:val="bottom"/>
          </w:tcPr>
          <w:p>
            <w:pPr>
              <w:jc w:val="right"/>
              <w:spacing w:after="0"/>
              <w:rPr>
                <w:sz w:val="20"/>
                <w:szCs w:val="20"/>
                <w:color w:val="auto"/>
              </w:rPr>
            </w:pPr>
            <w:r>
              <w:rPr>
                <w:rFonts w:ascii="Arial" w:cs="Arial" w:eastAsia="Arial" w:hAnsi="Arial"/>
                <w:sz w:val="16"/>
                <w:szCs w:val="16"/>
                <w:color w:val="auto"/>
              </w:rPr>
              <w:t>7,051</w:t>
            </w:r>
          </w:p>
        </w:tc>
        <w:tc>
          <w:tcPr>
            <w:tcW w:w="1700" w:type="dxa"/>
            <w:vAlign w:val="bottom"/>
          </w:tcPr>
          <w:p>
            <w:pPr>
              <w:jc w:val="center"/>
              <w:spacing w:after="0"/>
              <w:rPr>
                <w:sz w:val="20"/>
                <w:szCs w:val="20"/>
                <w:color w:val="auto"/>
              </w:rPr>
            </w:pPr>
            <w:r>
              <w:rPr>
                <w:rFonts w:ascii="Arial" w:cs="Arial" w:eastAsia="Arial" w:hAnsi="Arial"/>
                <w:sz w:val="16"/>
                <w:szCs w:val="16"/>
                <w:color w:val="auto"/>
              </w:rPr>
              <w:t>3%</w:t>
            </w:r>
          </w:p>
        </w:tc>
        <w:tc>
          <w:tcPr>
            <w:tcW w:w="1080" w:type="dxa"/>
            <w:vAlign w:val="bottom"/>
          </w:tcPr>
          <w:p>
            <w:pPr>
              <w:jc w:val="right"/>
              <w:spacing w:after="0"/>
              <w:rPr>
                <w:sz w:val="20"/>
                <w:szCs w:val="20"/>
                <w:color w:val="auto"/>
              </w:rPr>
            </w:pPr>
            <w:r>
              <w:rPr>
                <w:rFonts w:ascii="Arial" w:cs="Arial" w:eastAsia="Arial" w:hAnsi="Arial"/>
                <w:sz w:val="16"/>
                <w:szCs w:val="16"/>
                <w:color w:val="auto"/>
              </w:rPr>
              <w:t>6,702</w:t>
            </w:r>
          </w:p>
        </w:tc>
        <w:tc>
          <w:tcPr>
            <w:tcW w:w="1620" w:type="dxa"/>
            <w:vAlign w:val="bottom"/>
          </w:tcPr>
          <w:p>
            <w:pPr>
              <w:jc w:val="center"/>
              <w:spacing w:after="0"/>
              <w:rPr>
                <w:sz w:val="20"/>
                <w:szCs w:val="20"/>
                <w:color w:val="auto"/>
              </w:rPr>
            </w:pPr>
            <w:r>
              <w:rPr>
                <w:rFonts w:ascii="Arial" w:cs="Arial" w:eastAsia="Arial" w:hAnsi="Arial"/>
                <w:sz w:val="16"/>
                <w:szCs w:val="16"/>
                <w:color w:val="auto"/>
              </w:rPr>
              <w:t>(6)%</w:t>
            </w:r>
          </w:p>
        </w:tc>
      </w:tr>
      <w:tr>
        <w:trPr>
          <w:trHeight w:val="217"/>
        </w:trPr>
        <w:tc>
          <w:tcPr>
            <w:tcW w:w="2800" w:type="dxa"/>
            <w:vAlign w:val="bottom"/>
            <w:gridSpan w:val="2"/>
            <w:shd w:val="clear" w:color="auto" w:fill="CFF0FC"/>
          </w:tcPr>
          <w:p>
            <w:pPr>
              <w:jc w:val="center"/>
              <w:ind w:right="1120"/>
              <w:spacing w:after="0" w:line="217" w:lineRule="exact"/>
              <w:rPr>
                <w:sz w:val="20"/>
                <w:szCs w:val="20"/>
                <w:color w:val="auto"/>
              </w:rPr>
            </w:pPr>
            <w:r>
              <w:rPr>
                <w:rFonts w:ascii="Arial" w:cs="Arial" w:eastAsia="Arial" w:hAnsi="Arial"/>
                <w:sz w:val="16"/>
                <w:szCs w:val="16"/>
                <w:color w:val="auto"/>
                <w:w w:val="97"/>
              </w:rPr>
              <w:t xml:space="preserve">Combined </w:t>
            </w:r>
            <w:r>
              <w:rPr>
                <w:rFonts w:ascii="Arial" w:cs="Arial" w:eastAsia="Arial" w:hAnsi="Arial"/>
                <w:sz w:val="21"/>
                <w:szCs w:val="21"/>
                <w:color w:val="auto"/>
                <w:w w:val="97"/>
                <w:vertAlign w:val="superscript"/>
              </w:rPr>
              <w:t>(a)</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6,185</w:t>
            </w:r>
          </w:p>
        </w:tc>
        <w:tc>
          <w:tcPr>
            <w:tcW w:w="1560" w:type="dxa"/>
            <w:vAlign w:val="bottom"/>
            <w:shd w:val="clear" w:color="auto" w:fill="CFF0FC"/>
          </w:tcPr>
          <w:p>
            <w:pPr>
              <w:jc w:val="center"/>
              <w:ind w:left="99"/>
              <w:spacing w:after="0"/>
              <w:rPr>
                <w:sz w:val="20"/>
                <w:szCs w:val="20"/>
                <w:color w:val="auto"/>
              </w:rPr>
            </w:pPr>
            <w:r>
              <w:rPr>
                <w:rFonts w:ascii="Arial" w:cs="Arial" w:eastAsia="Arial" w:hAnsi="Arial"/>
                <w:sz w:val="16"/>
                <w:szCs w:val="16"/>
                <w:color w:val="auto"/>
              </w:rPr>
              <w:t>(1)%</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6,518</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5,974</w:t>
            </w:r>
          </w:p>
        </w:tc>
        <w:tc>
          <w:tcPr>
            <w:tcW w:w="16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r>
      <w:tr>
        <w:trPr>
          <w:trHeight w:val="216"/>
        </w:trPr>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2800" w:type="dxa"/>
            <w:vAlign w:val="bottom"/>
            <w:gridSpan w:val="2"/>
            <w:shd w:val="clear" w:color="auto" w:fill="CFF0FC"/>
          </w:tcPr>
          <w:p>
            <w:pPr>
              <w:jc w:val="center"/>
              <w:ind w:right="1180"/>
              <w:spacing w:after="0"/>
              <w:rPr>
                <w:sz w:val="20"/>
                <w:szCs w:val="20"/>
                <w:color w:val="auto"/>
              </w:rPr>
            </w:pPr>
            <w:r>
              <w:rPr>
                <w:rFonts w:ascii="Arial" w:cs="Arial" w:eastAsia="Arial" w:hAnsi="Arial"/>
                <w:sz w:val="16"/>
                <w:szCs w:val="16"/>
                <w:color w:val="auto"/>
              </w:rPr>
              <w:t>Cooling Degree Days:</w:t>
            </w:r>
          </w:p>
        </w:tc>
        <w:tc>
          <w:tcPr>
            <w:tcW w:w="122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5"/>
        </w:trPr>
        <w:tc>
          <w:tcPr>
            <w:tcW w:w="2800" w:type="dxa"/>
            <w:vAlign w:val="bottom"/>
            <w:gridSpan w:val="2"/>
          </w:tcPr>
          <w:p>
            <w:pPr>
              <w:jc w:val="center"/>
              <w:ind w:right="1160"/>
              <w:spacing w:after="0"/>
              <w:rPr>
                <w:sz w:val="20"/>
                <w:szCs w:val="20"/>
                <w:color w:val="auto"/>
              </w:rPr>
            </w:pPr>
            <w:r>
              <w:rPr>
                <w:rFonts w:ascii="Arial" w:cs="Arial" w:eastAsia="Arial" w:hAnsi="Arial"/>
                <w:sz w:val="16"/>
                <w:szCs w:val="16"/>
                <w:color w:val="auto"/>
              </w:rPr>
              <w:t>Colorado Electric</w:t>
            </w:r>
          </w:p>
        </w:tc>
        <w:tc>
          <w:tcPr>
            <w:tcW w:w="1220" w:type="dxa"/>
            <w:vAlign w:val="bottom"/>
          </w:tcPr>
          <w:p>
            <w:pPr>
              <w:jc w:val="right"/>
              <w:spacing w:after="0"/>
              <w:rPr>
                <w:sz w:val="20"/>
                <w:szCs w:val="20"/>
                <w:color w:val="auto"/>
              </w:rPr>
            </w:pPr>
            <w:r>
              <w:rPr>
                <w:rFonts w:ascii="Arial" w:cs="Arial" w:eastAsia="Arial" w:hAnsi="Arial"/>
                <w:sz w:val="16"/>
                <w:szCs w:val="16"/>
                <w:color w:val="auto"/>
              </w:rPr>
              <w:t>1,046</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(10)%</w:t>
            </w:r>
          </w:p>
        </w:tc>
        <w:tc>
          <w:tcPr>
            <w:tcW w:w="1260" w:type="dxa"/>
            <w:vAlign w:val="bottom"/>
          </w:tcPr>
          <w:p>
            <w:pPr>
              <w:jc w:val="right"/>
              <w:spacing w:after="0"/>
              <w:rPr>
                <w:sz w:val="20"/>
                <w:szCs w:val="20"/>
                <w:color w:val="auto"/>
              </w:rPr>
            </w:pPr>
            <w:r>
              <w:rPr>
                <w:rFonts w:ascii="Arial" w:cs="Arial" w:eastAsia="Arial" w:hAnsi="Arial"/>
                <w:sz w:val="16"/>
                <w:szCs w:val="16"/>
                <w:color w:val="auto"/>
              </w:rPr>
              <w:t>1,362</w:t>
            </w:r>
          </w:p>
        </w:tc>
        <w:tc>
          <w:tcPr>
            <w:tcW w:w="1700" w:type="dxa"/>
            <w:vAlign w:val="bottom"/>
          </w:tcPr>
          <w:p>
            <w:pPr>
              <w:jc w:val="center"/>
              <w:spacing w:after="0"/>
              <w:rPr>
                <w:sz w:val="20"/>
                <w:szCs w:val="20"/>
                <w:color w:val="auto"/>
              </w:rPr>
            </w:pPr>
            <w:r>
              <w:rPr>
                <w:rFonts w:ascii="Arial" w:cs="Arial" w:eastAsia="Arial" w:hAnsi="Arial"/>
                <w:sz w:val="16"/>
                <w:szCs w:val="16"/>
                <w:color w:val="auto"/>
              </w:rPr>
              <w:t>9%</w:t>
            </w:r>
          </w:p>
        </w:tc>
        <w:tc>
          <w:tcPr>
            <w:tcW w:w="1080" w:type="dxa"/>
            <w:vAlign w:val="bottom"/>
          </w:tcPr>
          <w:p>
            <w:pPr>
              <w:jc w:val="right"/>
              <w:spacing w:after="0"/>
              <w:rPr>
                <w:sz w:val="20"/>
                <w:szCs w:val="20"/>
                <w:color w:val="auto"/>
              </w:rPr>
            </w:pPr>
            <w:r>
              <w:rPr>
                <w:rFonts w:ascii="Arial" w:cs="Arial" w:eastAsia="Arial" w:hAnsi="Arial"/>
                <w:sz w:val="16"/>
                <w:szCs w:val="16"/>
                <w:color w:val="auto"/>
              </w:rPr>
              <w:t>1,245</w:t>
            </w:r>
          </w:p>
        </w:tc>
        <w:tc>
          <w:tcPr>
            <w:tcW w:w="1620" w:type="dxa"/>
            <w:vAlign w:val="bottom"/>
          </w:tcPr>
          <w:p>
            <w:pPr>
              <w:jc w:val="center"/>
              <w:ind w:left="19"/>
              <w:spacing w:after="0"/>
              <w:rPr>
                <w:sz w:val="20"/>
                <w:szCs w:val="20"/>
                <w:color w:val="auto"/>
              </w:rPr>
            </w:pPr>
            <w:r>
              <w:rPr>
                <w:rFonts w:ascii="Arial" w:cs="Arial" w:eastAsia="Arial" w:hAnsi="Arial"/>
                <w:sz w:val="16"/>
                <w:szCs w:val="16"/>
                <w:color w:val="auto"/>
                <w:w w:val="99"/>
              </w:rPr>
              <w:t>39%</w:t>
            </w:r>
          </w:p>
        </w:tc>
      </w:tr>
      <w:tr>
        <w:trPr>
          <w:trHeight w:val="217"/>
        </w:trPr>
        <w:tc>
          <w:tcPr>
            <w:tcW w:w="28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South Dakota Electric</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w:t>
            </w:r>
          </w:p>
        </w:tc>
        <w:tc>
          <w:tcPr>
            <w:tcW w:w="15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(21)%</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27%</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w:t>
            </w:r>
          </w:p>
        </w:tc>
        <w:tc>
          <w:tcPr>
            <w:tcW w:w="16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30%</w:t>
            </w:r>
          </w:p>
        </w:tc>
      </w:tr>
      <w:tr>
        <w:trPr>
          <w:trHeight w:val="215"/>
        </w:trPr>
        <w:tc>
          <w:tcPr>
            <w:tcW w:w="2800" w:type="dxa"/>
            <w:vAlign w:val="bottom"/>
            <w:gridSpan w:val="2"/>
          </w:tcPr>
          <w:p>
            <w:pPr>
              <w:jc w:val="center"/>
              <w:ind w:right="1140"/>
              <w:spacing w:after="0"/>
              <w:rPr>
                <w:sz w:val="20"/>
                <w:szCs w:val="20"/>
                <w:color w:val="auto"/>
              </w:rPr>
            </w:pPr>
            <w:r>
              <w:rPr>
                <w:rFonts w:ascii="Arial" w:cs="Arial" w:eastAsia="Arial" w:hAnsi="Arial"/>
                <w:sz w:val="16"/>
                <w:szCs w:val="16"/>
                <w:color w:val="auto"/>
              </w:rPr>
              <w:t>Wyoming Electric</w:t>
            </w:r>
          </w:p>
        </w:tc>
        <w:tc>
          <w:tcPr>
            <w:tcW w:w="1220" w:type="dxa"/>
            <w:vAlign w:val="bottom"/>
          </w:tcPr>
          <w:p>
            <w:pPr>
              <w:jc w:val="right"/>
              <w:spacing w:after="0"/>
              <w:rPr>
                <w:sz w:val="20"/>
                <w:szCs w:val="20"/>
                <w:color w:val="auto"/>
              </w:rPr>
            </w:pPr>
            <w:r>
              <w:rPr>
                <w:rFonts w:ascii="Arial" w:cs="Arial" w:eastAsia="Arial" w:hAnsi="Arial"/>
                <w:sz w:val="16"/>
                <w:szCs w:val="16"/>
                <w:color w:val="auto"/>
              </w:rPr>
              <w:t>329</w:t>
            </w:r>
          </w:p>
        </w:tc>
        <w:tc>
          <w:tcPr>
            <w:tcW w:w="1560" w:type="dxa"/>
            <w:vAlign w:val="bottom"/>
          </w:tcPr>
          <w:p>
            <w:pPr>
              <w:jc w:val="center"/>
              <w:ind w:left="79"/>
              <w:spacing w:after="0"/>
              <w:rPr>
                <w:sz w:val="20"/>
                <w:szCs w:val="20"/>
                <w:color w:val="auto"/>
              </w:rPr>
            </w:pPr>
            <w:r>
              <w:rPr>
                <w:rFonts w:ascii="Arial" w:cs="Arial" w:eastAsia="Arial" w:hAnsi="Arial"/>
                <w:sz w:val="16"/>
                <w:szCs w:val="16"/>
                <w:color w:val="auto"/>
              </w:rPr>
              <w:t>(30)%</w:t>
            </w:r>
          </w:p>
        </w:tc>
        <w:tc>
          <w:tcPr>
            <w:tcW w:w="1260" w:type="dxa"/>
            <w:vAlign w:val="bottom"/>
          </w:tcPr>
          <w:p>
            <w:pPr>
              <w:jc w:val="right"/>
              <w:spacing w:after="0"/>
              <w:rPr>
                <w:sz w:val="20"/>
                <w:szCs w:val="20"/>
                <w:color w:val="auto"/>
              </w:rPr>
            </w:pPr>
            <w:r>
              <w:rPr>
                <w:rFonts w:ascii="Arial" w:cs="Arial" w:eastAsia="Arial" w:hAnsi="Arial"/>
                <w:sz w:val="16"/>
                <w:szCs w:val="16"/>
                <w:color w:val="auto"/>
              </w:rPr>
              <w:t>701</w:t>
            </w:r>
          </w:p>
        </w:tc>
        <w:tc>
          <w:tcPr>
            <w:tcW w:w="1700" w:type="dxa"/>
            <w:vAlign w:val="bottom"/>
          </w:tcPr>
          <w:p>
            <w:pPr>
              <w:jc w:val="center"/>
              <w:spacing w:after="0"/>
              <w:rPr>
                <w:sz w:val="20"/>
                <w:szCs w:val="20"/>
                <w:color w:val="auto"/>
              </w:rPr>
            </w:pPr>
            <w:r>
              <w:rPr>
                <w:rFonts w:ascii="Arial" w:cs="Arial" w:eastAsia="Arial" w:hAnsi="Arial"/>
                <w:sz w:val="16"/>
                <w:szCs w:val="16"/>
                <w:color w:val="auto"/>
                <w:w w:val="99"/>
              </w:rPr>
              <w:t>47%</w:t>
            </w:r>
          </w:p>
        </w:tc>
        <w:tc>
          <w:tcPr>
            <w:tcW w:w="1080" w:type="dxa"/>
            <w:vAlign w:val="bottom"/>
          </w:tcPr>
          <w:p>
            <w:pPr>
              <w:jc w:val="right"/>
              <w:spacing w:after="0"/>
              <w:rPr>
                <w:sz w:val="20"/>
                <w:szCs w:val="20"/>
                <w:color w:val="auto"/>
              </w:rPr>
            </w:pPr>
            <w:r>
              <w:rPr>
                <w:rFonts w:ascii="Arial" w:cs="Arial" w:eastAsia="Arial" w:hAnsi="Arial"/>
                <w:sz w:val="16"/>
                <w:szCs w:val="16"/>
                <w:color w:val="auto"/>
              </w:rPr>
              <w:t>604</w:t>
            </w:r>
          </w:p>
        </w:tc>
        <w:tc>
          <w:tcPr>
            <w:tcW w:w="1620" w:type="dxa"/>
            <w:vAlign w:val="bottom"/>
          </w:tcPr>
          <w:p>
            <w:pPr>
              <w:jc w:val="center"/>
              <w:ind w:left="19"/>
              <w:spacing w:after="0"/>
              <w:rPr>
                <w:sz w:val="20"/>
                <w:szCs w:val="20"/>
                <w:color w:val="auto"/>
              </w:rPr>
            </w:pPr>
            <w:r>
              <w:rPr>
                <w:rFonts w:ascii="Arial" w:cs="Arial" w:eastAsia="Arial" w:hAnsi="Arial"/>
                <w:sz w:val="16"/>
                <w:szCs w:val="16"/>
                <w:color w:val="auto"/>
                <w:w w:val="99"/>
              </w:rPr>
              <w:t>74%</w:t>
            </w:r>
          </w:p>
        </w:tc>
      </w:tr>
      <w:tr>
        <w:trPr>
          <w:trHeight w:val="217"/>
        </w:trPr>
        <w:tc>
          <w:tcPr>
            <w:tcW w:w="2800" w:type="dxa"/>
            <w:vAlign w:val="bottom"/>
            <w:gridSpan w:val="2"/>
            <w:shd w:val="clear" w:color="auto" w:fill="CFF0FC"/>
          </w:tcPr>
          <w:p>
            <w:pPr>
              <w:jc w:val="center"/>
              <w:ind w:right="1120"/>
              <w:spacing w:after="0" w:line="217" w:lineRule="exact"/>
              <w:rPr>
                <w:sz w:val="20"/>
                <w:szCs w:val="20"/>
                <w:color w:val="auto"/>
              </w:rPr>
            </w:pPr>
            <w:r>
              <w:rPr>
                <w:rFonts w:ascii="Arial" w:cs="Arial" w:eastAsia="Arial" w:hAnsi="Arial"/>
                <w:sz w:val="16"/>
                <w:szCs w:val="16"/>
                <w:color w:val="auto"/>
                <w:w w:val="97"/>
              </w:rPr>
              <w:t xml:space="preserve">Combined </w:t>
            </w:r>
            <w:r>
              <w:rPr>
                <w:rFonts w:ascii="Arial" w:cs="Arial" w:eastAsia="Arial" w:hAnsi="Arial"/>
                <w:sz w:val="21"/>
                <w:szCs w:val="21"/>
                <w:color w:val="auto"/>
                <w:w w:val="97"/>
                <w:vertAlign w:val="superscript"/>
              </w:rPr>
              <w:t>(a)</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713</w:t>
            </w:r>
          </w:p>
        </w:tc>
        <w:tc>
          <w:tcPr>
            <w:tcW w:w="1560" w:type="dxa"/>
            <w:vAlign w:val="bottom"/>
            <w:shd w:val="clear" w:color="auto" w:fill="CFF0FC"/>
          </w:tcPr>
          <w:p>
            <w:pPr>
              <w:jc w:val="center"/>
              <w:ind w:left="79"/>
              <w:spacing w:after="0"/>
              <w:rPr>
                <w:sz w:val="20"/>
                <w:szCs w:val="20"/>
                <w:color w:val="auto"/>
              </w:rPr>
            </w:pPr>
            <w:r>
              <w:rPr>
                <w:rFonts w:ascii="Arial" w:cs="Arial" w:eastAsia="Arial" w:hAnsi="Arial"/>
                <w:sz w:val="16"/>
                <w:szCs w:val="16"/>
                <w:color w:val="auto"/>
              </w:rPr>
              <w:t>(15)%</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18%</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973</w:t>
            </w:r>
          </w:p>
        </w:tc>
        <w:tc>
          <w:tcPr>
            <w:tcW w:w="1620" w:type="dxa"/>
            <w:vAlign w:val="bottom"/>
            <w:shd w:val="clear" w:color="auto" w:fill="CFF0FC"/>
          </w:tcPr>
          <w:p>
            <w:pPr>
              <w:jc w:val="center"/>
              <w:ind w:left="19"/>
              <w:spacing w:after="0"/>
              <w:rPr>
                <w:sz w:val="20"/>
                <w:szCs w:val="20"/>
                <w:color w:val="auto"/>
              </w:rPr>
            </w:pPr>
            <w:r>
              <w:rPr>
                <w:rFonts w:ascii="Arial" w:cs="Arial" w:eastAsia="Arial" w:hAnsi="Arial"/>
                <w:sz w:val="16"/>
                <w:szCs w:val="16"/>
                <w:color w:val="auto"/>
                <w:w w:val="99"/>
              </w:rPr>
              <w:t>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Degree days are calculated based on a weighted average of total customers by state.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Contracted generating facilities availability by fuel type </w:t>
            </w:r>
            <w:r>
              <w:rPr>
                <w:rFonts w:ascii="Arial" w:cs="Arial" w:eastAsia="Arial" w:hAnsi="Arial"/>
                <w:sz w:val="21"/>
                <w:szCs w:val="21"/>
                <w:b w:val="1"/>
                <w:bCs w:val="1"/>
                <w:color w:val="auto"/>
                <w:vertAlign w:val="superscript"/>
              </w:rPr>
              <w:t>(a)</w:t>
            </w:r>
          </w:p>
        </w:tc>
        <w:tc>
          <w:tcPr>
            <w:tcW w:w="408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For the year ended December 31,</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Coal</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93.7%</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91.5%</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86.7%</w:t>
            </w:r>
          </w:p>
        </w:tc>
        <w:tc>
          <w:tcPr>
            <w:tcW w:w="0" w:type="dxa"/>
            <w:vAlign w:val="bottom"/>
          </w:tcPr>
          <w:p>
            <w:pPr>
              <w:spacing w:after="0"/>
              <w:rPr>
                <w:sz w:val="1"/>
                <w:szCs w:val="1"/>
                <w:color w:val="auto"/>
              </w:rPr>
            </w:pP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Natural gas and diesel oil</w:t>
            </w:r>
          </w:p>
        </w:tc>
        <w:tc>
          <w:tcPr>
            <w:tcW w:w="1360" w:type="dxa"/>
            <w:vAlign w:val="bottom"/>
          </w:tcPr>
          <w:p>
            <w:pPr>
              <w:jc w:val="center"/>
              <w:spacing w:after="0"/>
              <w:rPr>
                <w:sz w:val="20"/>
                <w:szCs w:val="20"/>
                <w:color w:val="auto"/>
              </w:rPr>
            </w:pPr>
            <w:r>
              <w:rPr>
                <w:rFonts w:ascii="Arial" w:cs="Arial" w:eastAsia="Arial" w:hAnsi="Arial"/>
                <w:sz w:val="16"/>
                <w:szCs w:val="16"/>
                <w:color w:val="auto"/>
              </w:rPr>
              <w:t>92.1%</w:t>
            </w:r>
          </w:p>
        </w:tc>
        <w:tc>
          <w:tcPr>
            <w:tcW w:w="1360" w:type="dxa"/>
            <w:vAlign w:val="bottom"/>
          </w:tcPr>
          <w:p>
            <w:pPr>
              <w:jc w:val="center"/>
              <w:spacing w:after="0"/>
              <w:rPr>
                <w:sz w:val="20"/>
                <w:szCs w:val="20"/>
                <w:color w:val="auto"/>
              </w:rPr>
            </w:pPr>
            <w:r>
              <w:rPr>
                <w:rFonts w:ascii="Arial" w:cs="Arial" w:eastAsia="Arial" w:hAnsi="Arial"/>
                <w:sz w:val="16"/>
                <w:szCs w:val="16"/>
                <w:color w:val="auto"/>
              </w:rPr>
              <w:t>96.1%</w:t>
            </w:r>
          </w:p>
        </w:tc>
        <w:tc>
          <w:tcPr>
            <w:tcW w:w="1360" w:type="dxa"/>
            <w:vAlign w:val="bottom"/>
          </w:tcPr>
          <w:p>
            <w:pPr>
              <w:jc w:val="center"/>
              <w:spacing w:after="0"/>
              <w:rPr>
                <w:sz w:val="20"/>
                <w:szCs w:val="20"/>
                <w:color w:val="auto"/>
              </w:rPr>
            </w:pPr>
            <w:r>
              <w:rPr>
                <w:rFonts w:ascii="Arial" w:cs="Arial" w:eastAsia="Arial" w:hAnsi="Arial"/>
                <w:sz w:val="16"/>
                <w:szCs w:val="16"/>
                <w:color w:val="auto"/>
              </w:rPr>
              <w:t>95.5%</w:t>
            </w:r>
          </w:p>
        </w:tc>
        <w:tc>
          <w:tcPr>
            <w:tcW w:w="0" w:type="dxa"/>
            <w:vAlign w:val="bottom"/>
          </w:tcPr>
          <w:p>
            <w:pPr>
              <w:spacing w:after="0"/>
              <w:rPr>
                <w:sz w:val="1"/>
                <w:szCs w:val="1"/>
                <w:color w:val="auto"/>
              </w:rPr>
            </w:pPr>
          </w:p>
        </w:tc>
      </w:tr>
      <w:tr>
        <w:trPr>
          <w:trHeight w:val="217"/>
        </w:trPr>
        <w:tc>
          <w:tcPr>
            <w:tcW w:w="7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Wind</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92.5%</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93.7%</w:t>
            </w:r>
          </w:p>
        </w:tc>
        <w:tc>
          <w:tcPr>
            <w:tcW w:w="13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Total availability</w:t>
            </w:r>
          </w:p>
        </w:tc>
        <w:tc>
          <w:tcPr>
            <w:tcW w:w="1360" w:type="dxa"/>
            <w:vAlign w:val="bottom"/>
          </w:tcPr>
          <w:p>
            <w:pPr>
              <w:jc w:val="center"/>
              <w:spacing w:after="0"/>
              <w:rPr>
                <w:sz w:val="20"/>
                <w:szCs w:val="20"/>
                <w:color w:val="auto"/>
              </w:rPr>
            </w:pPr>
            <w:r>
              <w:rPr>
                <w:rFonts w:ascii="Arial" w:cs="Arial" w:eastAsia="Arial" w:hAnsi="Arial"/>
                <w:sz w:val="16"/>
                <w:szCs w:val="16"/>
                <w:color w:val="auto"/>
              </w:rPr>
              <w:t>92.6%</w:t>
            </w:r>
          </w:p>
        </w:tc>
        <w:tc>
          <w:tcPr>
            <w:tcW w:w="1360" w:type="dxa"/>
            <w:vAlign w:val="bottom"/>
          </w:tcPr>
          <w:p>
            <w:pPr>
              <w:jc w:val="center"/>
              <w:spacing w:after="0"/>
              <w:rPr>
                <w:sz w:val="20"/>
                <w:szCs w:val="20"/>
                <w:color w:val="auto"/>
              </w:rPr>
            </w:pPr>
            <w:r>
              <w:rPr>
                <w:rFonts w:ascii="Arial" w:cs="Arial" w:eastAsia="Arial" w:hAnsi="Arial"/>
                <w:sz w:val="16"/>
                <w:szCs w:val="16"/>
                <w:color w:val="auto"/>
              </w:rPr>
              <w:t>94.4%</w:t>
            </w:r>
          </w:p>
        </w:tc>
        <w:tc>
          <w:tcPr>
            <w:tcW w:w="1360" w:type="dxa"/>
            <w:vAlign w:val="bottom"/>
          </w:tcPr>
          <w:p>
            <w:pPr>
              <w:jc w:val="center"/>
              <w:spacing w:after="0"/>
              <w:rPr>
                <w:sz w:val="20"/>
                <w:szCs w:val="20"/>
                <w:color w:val="auto"/>
              </w:rPr>
            </w:pPr>
            <w:r>
              <w:rPr>
                <w:rFonts w:ascii="Arial" w:cs="Arial" w:eastAsia="Arial" w:hAnsi="Arial"/>
                <w:sz w:val="16"/>
                <w:szCs w:val="16"/>
                <w:color w:val="auto"/>
              </w:rPr>
              <w:t>93.2%</w:t>
            </w:r>
          </w:p>
        </w:tc>
        <w:tc>
          <w:tcPr>
            <w:tcW w:w="0" w:type="dxa"/>
            <w:vAlign w:val="bottom"/>
          </w:tcPr>
          <w:p>
            <w:pPr>
              <w:spacing w:after="0"/>
              <w:rPr>
                <w:sz w:val="1"/>
                <w:szCs w:val="1"/>
                <w:color w:val="auto"/>
              </w:rPr>
            </w:pPr>
          </w:p>
        </w:tc>
      </w:tr>
      <w:tr>
        <w:trPr>
          <w:trHeight w:val="217"/>
        </w:trPr>
        <w:tc>
          <w:tcPr>
            <w:tcW w:w="7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60" w:type="dxa"/>
            <w:vAlign w:val="bottom"/>
          </w:tcPr>
          <w:p>
            <w:pPr>
              <w:ind w:left="20"/>
              <w:spacing w:after="0"/>
              <w:rPr>
                <w:sz w:val="20"/>
                <w:szCs w:val="20"/>
                <w:color w:val="auto"/>
              </w:rPr>
            </w:pPr>
            <w:r>
              <w:rPr>
                <w:rFonts w:ascii="Arial" w:cs="Arial" w:eastAsia="Arial" w:hAnsi="Arial"/>
                <w:sz w:val="16"/>
                <w:szCs w:val="16"/>
                <w:color w:val="auto"/>
              </w:rPr>
              <w:t>Wind Capacity Factor</w:t>
            </w:r>
          </w:p>
        </w:tc>
        <w:tc>
          <w:tcPr>
            <w:tcW w:w="1360" w:type="dxa"/>
            <w:vAlign w:val="bottom"/>
          </w:tcPr>
          <w:p>
            <w:pPr>
              <w:jc w:val="center"/>
              <w:spacing w:after="0"/>
              <w:rPr>
                <w:sz w:val="20"/>
                <w:szCs w:val="20"/>
                <w:color w:val="auto"/>
              </w:rPr>
            </w:pPr>
            <w:r>
              <w:rPr>
                <w:rFonts w:ascii="Arial" w:cs="Arial" w:eastAsia="Arial" w:hAnsi="Arial"/>
                <w:sz w:val="16"/>
                <w:szCs w:val="16"/>
                <w:color w:val="auto"/>
              </w:rPr>
              <w:t>37.4%</w:t>
            </w:r>
          </w:p>
        </w:tc>
        <w:tc>
          <w:tcPr>
            <w:tcW w:w="1360" w:type="dxa"/>
            <w:vAlign w:val="bottom"/>
          </w:tcPr>
          <w:p>
            <w:pPr>
              <w:jc w:val="center"/>
              <w:spacing w:after="0"/>
              <w:rPr>
                <w:sz w:val="20"/>
                <w:szCs w:val="20"/>
                <w:color w:val="auto"/>
              </w:rPr>
            </w:pPr>
            <w:r>
              <w:rPr>
                <w:rFonts w:ascii="Arial" w:cs="Arial" w:eastAsia="Arial" w:hAnsi="Arial"/>
                <w:sz w:val="16"/>
                <w:szCs w:val="16"/>
                <w:color w:val="auto"/>
              </w:rPr>
              <w:t>34.7%</w:t>
            </w:r>
          </w:p>
        </w:tc>
        <w:tc>
          <w:tcPr>
            <w:tcW w:w="1360" w:type="dxa"/>
            <w:vAlign w:val="bottom"/>
          </w:tcPr>
          <w:p>
            <w:pPr>
              <w:jc w:val="center"/>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190309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Availability and Wind Capacity Factor are calculated using a weighted average based on capacity of our generating fleet.</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Gas Utilities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for the years ended December 31 for the Gas Utilities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right"/>
              <w:ind w:right="659"/>
              <w:spacing w:after="0"/>
              <w:rPr>
                <w:sz w:val="20"/>
                <w:szCs w:val="20"/>
                <w:color w:val="auto"/>
              </w:rPr>
            </w:pPr>
            <w:r>
              <w:rPr>
                <w:rFonts w:ascii="Arial" w:cs="Arial" w:eastAsia="Arial" w:hAnsi="Arial"/>
                <w:sz w:val="16"/>
                <w:szCs w:val="16"/>
                <w:b w:val="1"/>
                <w:bCs w:val="1"/>
                <w:color w:val="auto"/>
              </w:rPr>
              <w:t>2023 vs 2022</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2022 vs 2021</w:t>
            </w:r>
          </w:p>
        </w:tc>
      </w:tr>
      <w:tr>
        <w:trPr>
          <w:trHeight w:val="217"/>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Variance</w:t>
            </w: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Variance</w:t>
            </w:r>
          </w:p>
        </w:tc>
      </w:tr>
      <w:tr>
        <w:trPr>
          <w:trHeight w:val="210"/>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3080" w:type="dxa"/>
            <w:vAlign w:val="bottom"/>
          </w:tcPr>
          <w:p>
            <w:pPr>
              <w:ind w:left="200"/>
              <w:spacing w:after="0"/>
              <w:rPr>
                <w:sz w:val="20"/>
                <w:szCs w:val="20"/>
                <w:color w:val="auto"/>
              </w:rPr>
            </w:pPr>
            <w:r>
              <w:rPr>
                <w:rFonts w:ascii="Arial" w:cs="Arial" w:eastAsia="Arial" w:hAnsi="Arial"/>
                <w:sz w:val="16"/>
                <w:szCs w:val="16"/>
                <w:color w:val="auto"/>
              </w:rPr>
              <w:t>Natural gas - regulated</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1,399.1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1,584.6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59"/>
              <w:spacing w:after="0"/>
              <w:rPr>
                <w:sz w:val="20"/>
                <w:szCs w:val="20"/>
                <w:color w:val="auto"/>
              </w:rPr>
            </w:pPr>
            <w:r>
              <w:rPr>
                <w:rFonts w:ascii="Arial" w:cs="Arial" w:eastAsia="Arial" w:hAnsi="Arial"/>
                <w:sz w:val="16"/>
                <w:szCs w:val="16"/>
                <w:color w:val="auto"/>
              </w:rPr>
              <w:t>(185.5 ) $</w:t>
            </w:r>
          </w:p>
        </w:tc>
        <w:tc>
          <w:tcPr>
            <w:tcW w:w="1220" w:type="dxa"/>
            <w:vAlign w:val="bottom"/>
          </w:tcPr>
          <w:p>
            <w:pPr>
              <w:jc w:val="right"/>
              <w:spacing w:after="0"/>
              <w:rPr>
                <w:sz w:val="20"/>
                <w:szCs w:val="20"/>
                <w:color w:val="auto"/>
              </w:rPr>
            </w:pPr>
            <w:r>
              <w:rPr>
                <w:rFonts w:ascii="Arial" w:cs="Arial" w:eastAsia="Arial" w:hAnsi="Arial"/>
                <w:sz w:val="16"/>
                <w:szCs w:val="16"/>
                <w:color w:val="auto"/>
              </w:rPr>
              <w:t>1,051.6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533.0</w:t>
            </w:r>
          </w:p>
        </w:tc>
      </w:tr>
      <w:tr>
        <w:trPr>
          <w:trHeight w:val="216"/>
        </w:trPr>
        <w:tc>
          <w:tcPr>
            <w:tcW w:w="30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 non-regulated services</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0.6</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11.2</w:t>
            </w:r>
          </w:p>
        </w:tc>
      </w:tr>
      <w:tr>
        <w:trPr>
          <w:trHeight w:val="210"/>
        </w:trPr>
        <w:tc>
          <w:tcPr>
            <w:tcW w:w="3080" w:type="dxa"/>
            <w:vAlign w:val="bottom"/>
          </w:tcPr>
          <w:p>
            <w:pPr>
              <w:ind w:left="380"/>
              <w:spacing w:after="0"/>
              <w:rPr>
                <w:sz w:val="20"/>
                <w:szCs w:val="20"/>
                <w:color w:val="auto"/>
              </w:rPr>
            </w:pPr>
            <w:r>
              <w:rPr>
                <w:rFonts w:ascii="Arial" w:cs="Arial" w:eastAsia="Arial" w:hAnsi="Arial"/>
                <w:sz w:val="16"/>
                <w:szCs w:val="16"/>
                <w:color w:val="auto"/>
              </w:rPr>
              <w:t>Total revenue</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1,484.2</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1,669.1</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(184.9 )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1,124.9</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544.2</w:t>
            </w:r>
          </w:p>
        </w:tc>
      </w:tr>
      <w:tr>
        <w:trPr>
          <w:trHeight w:val="210"/>
        </w:trPr>
        <w:tc>
          <w:tcPr>
            <w:tcW w:w="3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Cost of natural gas sold:</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0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Natural gas - regulated</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760.2</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942.1</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(181.9 )</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480.3</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461.8</w:t>
            </w:r>
          </w:p>
        </w:tc>
      </w:tr>
      <w:tr>
        <w:trPr>
          <w:trHeight w:val="215"/>
        </w:trPr>
        <w:tc>
          <w:tcPr>
            <w:tcW w:w="3080" w:type="dxa"/>
            <w:vAlign w:val="bottom"/>
          </w:tcPr>
          <w:p>
            <w:pPr>
              <w:ind w:left="200"/>
              <w:spacing w:after="0"/>
              <w:rPr>
                <w:sz w:val="20"/>
                <w:szCs w:val="20"/>
                <w:color w:val="auto"/>
              </w:rPr>
            </w:pPr>
            <w:r>
              <w:rPr>
                <w:rFonts w:ascii="Arial" w:cs="Arial" w:eastAsia="Arial" w:hAnsi="Arial"/>
                <w:sz w:val="16"/>
                <w:szCs w:val="16"/>
                <w:color w:val="auto"/>
              </w:rPr>
              <w:t>Other - non-regulated services</w:t>
            </w: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8.6</w:t>
            </w:r>
          </w:p>
        </w:tc>
      </w:tr>
      <w:tr>
        <w:trPr>
          <w:trHeight w:val="209"/>
        </w:trPr>
        <w:tc>
          <w:tcPr>
            <w:tcW w:w="3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cost of natural gas sold</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783.2</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965.1</w:t>
            </w: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(181.9 )</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494.7</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470.4</w:t>
            </w:r>
          </w:p>
        </w:tc>
      </w:tr>
      <w:tr>
        <w:trPr>
          <w:trHeight w:val="210"/>
        </w:trPr>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Gas Utility margin (non-GAAP)</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701.0</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704.0</w:t>
            </w: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299"/>
              <w:spacing w:after="0"/>
              <w:rPr>
                <w:sz w:val="20"/>
                <w:szCs w:val="20"/>
                <w:color w:val="auto"/>
              </w:rPr>
            </w:pPr>
            <w:r>
              <w:rPr>
                <w:rFonts w:ascii="Arial" w:cs="Arial" w:eastAsia="Arial" w:hAnsi="Arial"/>
                <w:sz w:val="16"/>
                <w:szCs w:val="16"/>
                <w:color w:val="auto"/>
              </w:rPr>
              <w:t>(3.0 )</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630.2</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73.8</w:t>
            </w:r>
          </w:p>
        </w:tc>
      </w:tr>
      <w:tr>
        <w:trPr>
          <w:trHeight w:val="210"/>
        </w:trPr>
        <w:tc>
          <w:tcPr>
            <w:tcW w:w="3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3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w:t>
            </w:r>
          </w:p>
        </w:tc>
        <w:tc>
          <w:tcPr>
            <w:tcW w:w="4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317.3</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11.4</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290.2</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27.1</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113.9</w:t>
            </w:r>
          </w:p>
        </w:tc>
        <w:tc>
          <w:tcPr>
            <w:tcW w:w="4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114.7</w:t>
            </w:r>
          </w:p>
        </w:tc>
        <w:tc>
          <w:tcPr>
            <w:tcW w:w="240" w:type="dxa"/>
            <w:vAlign w:val="bottom"/>
          </w:tcPr>
          <w:p>
            <w:pPr>
              <w:spacing w:after="0"/>
              <w:rPr>
                <w:sz w:val="18"/>
                <w:szCs w:val="18"/>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color w:val="auto"/>
              </w:rPr>
              <w:t>(0.8 )</w:t>
            </w:r>
          </w:p>
        </w:tc>
        <w:tc>
          <w:tcPr>
            <w:tcW w:w="1220" w:type="dxa"/>
            <w:vAlign w:val="bottom"/>
          </w:tcPr>
          <w:p>
            <w:pPr>
              <w:jc w:val="right"/>
              <w:spacing w:after="0"/>
              <w:rPr>
                <w:sz w:val="20"/>
                <w:szCs w:val="20"/>
                <w:color w:val="auto"/>
              </w:rPr>
            </w:pPr>
            <w:r>
              <w:rPr>
                <w:rFonts w:ascii="Arial" w:cs="Arial" w:eastAsia="Arial" w:hAnsi="Arial"/>
                <w:sz w:val="16"/>
                <w:szCs w:val="16"/>
                <w:color w:val="auto"/>
              </w:rPr>
              <w:t>104.2</w:t>
            </w:r>
          </w:p>
        </w:tc>
        <w:tc>
          <w:tcPr>
            <w:tcW w:w="240" w:type="dxa"/>
            <w:vAlign w:val="bottom"/>
          </w:tcPr>
          <w:p>
            <w:pPr>
              <w:spacing w:after="0"/>
              <w:rPr>
                <w:sz w:val="18"/>
                <w:szCs w:val="18"/>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10.5</w:t>
            </w:r>
          </w:p>
        </w:tc>
      </w:tr>
      <w:tr>
        <w:trPr>
          <w:trHeight w:val="216"/>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rPr>
              <w:t>1.8</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w:t>
            </w:r>
          </w:p>
        </w:tc>
      </w:tr>
      <w:tr>
        <w:trPr>
          <w:trHeight w:val="209"/>
        </w:trPr>
        <w:tc>
          <w:tcPr>
            <w:tcW w:w="30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472.2</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w:t>
            </w:r>
          </w:p>
        </w:tc>
        <w:tc>
          <w:tcPr>
            <w:tcW w:w="24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12.4</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40.8</w:t>
            </w:r>
          </w:p>
        </w:tc>
      </w:tr>
      <w:tr>
        <w:trPr>
          <w:trHeight w:val="210"/>
        </w:trPr>
        <w:tc>
          <w:tcPr>
            <w:tcW w:w="30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r>
      <w:tr>
        <w:trPr>
          <w:trHeight w:val="209"/>
        </w:trPr>
        <w:tc>
          <w:tcPr>
            <w:tcW w:w="3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4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(15.4 )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33.0</w:t>
            </w:r>
          </w:p>
        </w:tc>
      </w:tr>
      <w:tr>
        <w:trPr>
          <w:trHeight w:val="20"/>
        </w:trPr>
        <w:tc>
          <w:tcPr>
            <w:tcW w:w="3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398"/>
        </w:trPr>
        <w:tc>
          <w:tcPr>
            <w:tcW w:w="3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jc w:val="right"/>
              <w:ind w:right="519"/>
              <w:spacing w:after="0"/>
              <w:rPr>
                <w:sz w:val="20"/>
                <w:szCs w:val="20"/>
                <w:color w:val="auto"/>
              </w:rPr>
            </w:pPr>
            <w:r>
              <w:rPr>
                <w:rFonts w:ascii="Arial" w:cs="Arial" w:eastAsia="Arial" w:hAnsi="Arial"/>
                <w:sz w:val="16"/>
                <w:szCs w:val="16"/>
                <w:color w:val="auto"/>
              </w:rPr>
              <w:t>43</w:t>
            </w: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751"/>
        </w:trPr>
        <w:tc>
          <w:tcPr>
            <w:tcW w:w="30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946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26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385"/>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2023 Compared to 2022</w:t>
            </w:r>
          </w:p>
        </w:tc>
        <w:tc>
          <w:tcPr>
            <w:tcW w:w="7700" w:type="dxa"/>
            <w:vAlign w:val="bottom"/>
            <w:gridSpan w:val="2"/>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58"/>
        </w:trPr>
        <w:tc>
          <w:tcPr>
            <w:tcW w:w="9460" w:type="dxa"/>
            <w:vAlign w:val="bottom"/>
            <w:gridSpan w:val="5"/>
          </w:tcPr>
          <w:p>
            <w:pPr>
              <w:spacing w:after="0"/>
              <w:rPr>
                <w:sz w:val="20"/>
                <w:szCs w:val="20"/>
                <w:color w:val="auto"/>
              </w:rPr>
            </w:pPr>
            <w:r>
              <w:rPr>
                <w:rFonts w:ascii="Arial" w:cs="Arial" w:eastAsia="Arial" w:hAnsi="Arial"/>
                <w:sz w:val="16"/>
                <w:szCs w:val="16"/>
                <w:color w:val="auto"/>
              </w:rPr>
              <w:t>Gas Utility margin decreased over the prior year as a result of:</w:t>
            </w: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1"/>
        </w:trPr>
        <w:tc>
          <w:tcPr>
            <w:tcW w:w="12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(in millions)</w:t>
            </w:r>
          </w:p>
        </w:tc>
      </w:tr>
      <w:tr>
        <w:trPr>
          <w:trHeight w:val="211"/>
        </w:trPr>
        <w:tc>
          <w:tcPr>
            <w:tcW w:w="94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New rates and rider recovery</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w:t>
            </w:r>
          </w:p>
        </w:tc>
      </w:tr>
      <w:tr>
        <w:trPr>
          <w:trHeight w:val="215"/>
        </w:trPr>
        <w:tc>
          <w:tcPr>
            <w:tcW w:w="9460" w:type="dxa"/>
            <w:vAlign w:val="bottom"/>
            <w:gridSpan w:val="5"/>
          </w:tcPr>
          <w:p>
            <w:pPr>
              <w:ind w:left="20"/>
              <w:spacing w:after="0"/>
              <w:rPr>
                <w:sz w:val="20"/>
                <w:szCs w:val="20"/>
                <w:color w:val="auto"/>
              </w:rPr>
            </w:pPr>
            <w:r>
              <w:rPr>
                <w:rFonts w:ascii="Arial" w:cs="Arial" w:eastAsia="Arial" w:hAnsi="Arial"/>
                <w:sz w:val="16"/>
                <w:szCs w:val="16"/>
                <w:color w:val="auto"/>
              </w:rPr>
              <w:t>Retail customer growth and demand</w:t>
            </w:r>
          </w:p>
        </w:tc>
        <w:tc>
          <w:tcPr>
            <w:tcW w:w="26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7.6</w:t>
            </w:r>
          </w:p>
        </w:tc>
      </w:tr>
      <w:tr>
        <w:trPr>
          <w:trHeight w:val="217"/>
        </w:trPr>
        <w:tc>
          <w:tcPr>
            <w:tcW w:w="94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Weather</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(14.5 )</w:t>
            </w:r>
          </w:p>
        </w:tc>
      </w:tr>
      <w:tr>
        <w:trPr>
          <w:trHeight w:val="216"/>
        </w:trPr>
        <w:tc>
          <w:tcPr>
            <w:tcW w:w="9460" w:type="dxa"/>
            <w:vAlign w:val="bottom"/>
            <w:gridSpan w:val="5"/>
          </w:tcPr>
          <w:p>
            <w:pPr>
              <w:ind w:left="20"/>
              <w:spacing w:after="0" w:line="216" w:lineRule="exact"/>
              <w:rPr>
                <w:sz w:val="20"/>
                <w:szCs w:val="20"/>
                <w:color w:val="auto"/>
              </w:rPr>
            </w:pPr>
            <w:r>
              <w:rPr>
                <w:rFonts w:ascii="Arial" w:cs="Arial" w:eastAsia="Arial" w:hAnsi="Arial"/>
                <w:sz w:val="16"/>
                <w:szCs w:val="16"/>
                <w:color w:val="auto"/>
              </w:rPr>
              <w:t xml:space="preserve">Prior year true-up of Winter Storm Uri carrying costs </w:t>
            </w:r>
            <w:r>
              <w:rPr>
                <w:rFonts w:ascii="Arial" w:cs="Arial" w:eastAsia="Arial" w:hAnsi="Arial"/>
                <w:sz w:val="21"/>
                <w:szCs w:val="21"/>
                <w:color w:val="auto"/>
                <w:vertAlign w:val="superscript"/>
              </w:rPr>
              <w:t>(a)</w:t>
            </w:r>
          </w:p>
        </w:tc>
        <w:tc>
          <w:tcPr>
            <w:tcW w:w="26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(10.3 )</w:t>
            </w:r>
          </w:p>
        </w:tc>
      </w:tr>
      <w:tr>
        <w:trPr>
          <w:trHeight w:val="216"/>
        </w:trPr>
        <w:tc>
          <w:tcPr>
            <w:tcW w:w="946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Mark-to-market on non-utility natural gas commodity contracts</w:t>
            </w:r>
          </w:p>
        </w:tc>
        <w:tc>
          <w:tcPr>
            <w:tcW w:w="26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r>
      <w:tr>
        <w:trPr>
          <w:trHeight w:val="216"/>
        </w:trPr>
        <w:tc>
          <w:tcPr>
            <w:tcW w:w="9460" w:type="dxa"/>
            <w:vAlign w:val="bottom"/>
            <w:gridSpan w:val="5"/>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r>
      <w:tr>
        <w:trPr>
          <w:trHeight w:val="249"/>
        </w:trPr>
        <w:tc>
          <w:tcPr>
            <w:tcW w:w="128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CFF0FC"/>
            </w:tcBorders>
            <w:shd w:val="clear" w:color="auto" w:fill="CFF0FC"/>
          </w:tcPr>
          <w:p>
            <w:pPr>
              <w:spacing w:after="0"/>
              <w:rPr>
                <w:sz w:val="21"/>
                <w:szCs w:val="21"/>
                <w:color w:val="auto"/>
              </w:rPr>
            </w:pPr>
          </w:p>
        </w:tc>
        <w:tc>
          <w:tcPr>
            <w:tcW w:w="64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(3.0 )</w:t>
            </w:r>
          </w:p>
        </w:tc>
      </w:tr>
      <w:tr>
        <w:trPr>
          <w:trHeight w:val="116"/>
        </w:trPr>
        <w:tc>
          <w:tcPr>
            <w:tcW w:w="1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r>
    </w:tbl>
    <w:p>
      <w:pPr>
        <w:spacing w:after="0" w:line="31" w:lineRule="exact"/>
        <w:rPr>
          <w:sz w:val="20"/>
          <w:szCs w:val="20"/>
          <w:color w:val="auto"/>
        </w:rPr>
      </w:pPr>
    </w:p>
    <w:p>
      <w:pPr>
        <w:ind w:left="520" w:right="320" w:hanging="512"/>
        <w:spacing w:after="0" w:line="285" w:lineRule="auto"/>
        <w:tabs>
          <w:tab w:leader="none" w:pos="5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 certain jurisdictions, we have commission approval to recover carrying costs on Winter Storm Uri regulatory assets which offset increased interest expense. Additionally, the carrying costs accrued during the year ended December 31, 2022 included a one-time, $10.3 million true-up to reflect commission authorized rates.</w:t>
      </w:r>
    </w:p>
    <w:p>
      <w:pPr>
        <w:spacing w:after="0" w:line="126"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$14.8 million of higher employee-related expenses partially offset by $5.0 million of lower outside services expenses.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Depreciation and amortization</w:t>
      </w:r>
      <w:r>
        <w:rPr>
          <w:rFonts w:ascii="Arial" w:cs="Arial" w:eastAsia="Arial" w:hAnsi="Arial"/>
          <w:sz w:val="16"/>
          <w:szCs w:val="16"/>
          <w:color w:val="auto"/>
        </w:rPr>
        <w:t xml:space="preserve"> was comparable to the prior year.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Taxes - property and production</w:t>
      </w:r>
      <w:r>
        <w:rPr>
          <w:rFonts w:ascii="Arial" w:cs="Arial" w:eastAsia="Arial" w:hAnsi="Arial"/>
          <w:sz w:val="16"/>
          <w:szCs w:val="16"/>
          <w:color w:val="auto"/>
        </w:rPr>
        <w:t xml:space="preserve"> were comparable to the prior year.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gridSpan w:val="2"/>
          </w:tcPr>
          <w:p>
            <w:pPr>
              <w:spacing w:after="0"/>
              <w:rPr>
                <w:sz w:val="20"/>
                <w:szCs w:val="20"/>
                <w:color w:val="auto"/>
              </w:rPr>
            </w:pPr>
            <w:r>
              <w:rPr>
                <w:rFonts w:ascii="Arial" w:cs="Arial" w:eastAsia="Arial" w:hAnsi="Arial"/>
                <w:sz w:val="16"/>
                <w:szCs w:val="16"/>
                <w:i w:val="1"/>
                <w:iCs w:val="1"/>
                <w:color w:val="auto"/>
              </w:rPr>
              <w:t>Operating Statistics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66"/>
        </w:trPr>
        <w:tc>
          <w:tcPr>
            <w:tcW w:w="3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center"/>
              <w:ind w:right="119"/>
              <w:spacing w:after="0"/>
              <w:rPr>
                <w:sz w:val="20"/>
                <w:szCs w:val="20"/>
                <w:color w:val="auto"/>
              </w:rPr>
            </w:pPr>
            <w:r>
              <w:rPr>
                <w:rFonts w:ascii="Arial" w:cs="Arial" w:eastAsia="Arial" w:hAnsi="Arial"/>
                <w:sz w:val="16"/>
                <w:szCs w:val="16"/>
                <w:b w:val="1"/>
                <w:bCs w:val="1"/>
                <w:color w:val="auto"/>
              </w:rPr>
              <w:t>Revenue</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80" w:type="dxa"/>
            <w:vAlign w:val="bottom"/>
            <w:gridSpan w:val="3"/>
          </w:tcPr>
          <w:p>
            <w:pPr>
              <w:ind w:left="680"/>
              <w:spacing w:after="0"/>
              <w:rPr>
                <w:sz w:val="20"/>
                <w:szCs w:val="20"/>
                <w:color w:val="auto"/>
              </w:rPr>
            </w:pPr>
            <w:r>
              <w:rPr>
                <w:rFonts w:ascii="Arial" w:cs="Arial" w:eastAsia="Arial" w:hAnsi="Arial"/>
                <w:sz w:val="16"/>
                <w:szCs w:val="16"/>
                <w:b w:val="1"/>
                <w:bCs w:val="1"/>
                <w:color w:val="auto"/>
              </w:rPr>
              <w:t>Quantities Sold and Transported</w:t>
            </w:r>
          </w:p>
        </w:tc>
      </w:tr>
      <w:tr>
        <w:trPr>
          <w:trHeight w:val="217"/>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(Dth in millions)</w:t>
            </w:r>
          </w:p>
        </w:tc>
        <w:tc>
          <w:tcPr>
            <w:tcW w:w="1300" w:type="dxa"/>
            <w:vAlign w:val="bottom"/>
            <w:tcBorders>
              <w:bottom w:val="single" w:sz="8" w:color="auto"/>
            </w:tcBorders>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2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rPr>
              <w:t>For the year ended December 31,</w:t>
            </w:r>
          </w:p>
        </w:tc>
        <w:tc>
          <w:tcPr>
            <w:tcW w:w="4180" w:type="dxa"/>
            <w:vAlign w:val="bottom"/>
            <w:gridSpan w:val="3"/>
          </w:tcPr>
          <w:p>
            <w:pPr>
              <w:ind w:left="680"/>
              <w:spacing w:after="0"/>
              <w:rPr>
                <w:sz w:val="20"/>
                <w:szCs w:val="20"/>
                <w:color w:val="auto"/>
              </w:rPr>
            </w:pPr>
            <w:r>
              <w:rPr>
                <w:rFonts w:ascii="Arial" w:cs="Arial" w:eastAsia="Arial" w:hAnsi="Arial"/>
                <w:sz w:val="16"/>
                <w:szCs w:val="16"/>
                <w:b w:val="1"/>
                <w:bCs w:val="1"/>
                <w:color w:val="auto"/>
              </w:rPr>
              <w:t>For the year ended December 31,</w:t>
            </w:r>
          </w:p>
        </w:tc>
      </w:tr>
      <w:tr>
        <w:trPr>
          <w:trHeight w:val="217"/>
        </w:trPr>
        <w:tc>
          <w:tcPr>
            <w:tcW w:w="3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6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839.2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940.2</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613.5</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60.1</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66.9</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60.1</w:t>
            </w:r>
          </w:p>
        </w:tc>
      </w:tr>
      <w:tr>
        <w:trPr>
          <w:trHeight w:val="215"/>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340.1</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398.6</w:t>
            </w:r>
          </w:p>
        </w:tc>
        <w:tc>
          <w:tcPr>
            <w:tcW w:w="300" w:type="dxa"/>
            <w:vAlign w:val="bottom"/>
          </w:tcPr>
          <w:p>
            <w:pPr>
              <w:spacing w:after="0"/>
              <w:rPr>
                <w:sz w:val="18"/>
                <w:szCs w:val="18"/>
                <w:color w:val="auto"/>
              </w:rPr>
            </w:pPr>
          </w:p>
        </w:tc>
        <w:tc>
          <w:tcPr>
            <w:tcW w:w="1160" w:type="dxa"/>
            <w:vAlign w:val="bottom"/>
          </w:tcPr>
          <w:p>
            <w:pPr>
              <w:jc w:val="right"/>
              <w:ind w:right="199"/>
              <w:spacing w:after="0"/>
              <w:rPr>
                <w:sz w:val="20"/>
                <w:szCs w:val="20"/>
                <w:color w:val="auto"/>
              </w:rPr>
            </w:pPr>
            <w:r>
              <w:rPr>
                <w:rFonts w:ascii="Arial" w:cs="Arial" w:eastAsia="Arial" w:hAnsi="Arial"/>
                <w:sz w:val="16"/>
                <w:szCs w:val="16"/>
                <w:color w:val="auto"/>
              </w:rPr>
              <w:t>242.1</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29.4</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32.4</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29.1</w:t>
            </w:r>
          </w:p>
        </w:tc>
      </w:tr>
      <w:tr>
        <w:trPr>
          <w:trHeight w:val="217"/>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Industrial</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33.2</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33.4</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5.7</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7.7</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w:t>
            </w:r>
          </w:p>
        </w:tc>
      </w:tr>
      <w:tr>
        <w:trPr>
          <w:trHeight w:val="215"/>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3.8</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Distribution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1,221.6</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1,410.5</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892.8</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95.2</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107.0</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95.4</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Transportation and Transmission</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174.1</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158.8</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159.8</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160.9</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154.6</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09"/>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Total Regulated</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1,399.1</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1,584.6</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1,051.6</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255.0</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267.9</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250.0</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100" w:type="dxa"/>
            <w:vAlign w:val="bottom"/>
            <w:gridSpan w:val="2"/>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Non-regulated Services </w:t>
            </w:r>
            <w:r>
              <w:rPr>
                <w:rFonts w:ascii="Arial" w:cs="Arial" w:eastAsia="Arial" w:hAnsi="Arial"/>
                <w:sz w:val="21"/>
                <w:szCs w:val="21"/>
                <w:color w:val="auto"/>
                <w:vertAlign w:val="superscript"/>
              </w:rPr>
              <w:t>(a)</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85.1</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84.5</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73.3</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3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49"/>
        </w:trPr>
        <w:tc>
          <w:tcPr>
            <w:tcW w:w="3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Revenue and Quantities Sold</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1,484.2</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1,669.1</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1,124.9</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255.0</w:t>
            </w:r>
          </w:p>
        </w:tc>
        <w:tc>
          <w:tcPr>
            <w:tcW w:w="16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267.9</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w:t>
            </w:r>
          </w:p>
        </w:tc>
      </w:tr>
      <w:tr>
        <w:trPr>
          <w:trHeight w:val="116"/>
        </w:trPr>
        <w:tc>
          <w:tcPr>
            <w:tcW w:w="30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Includes Black Hills Energy Services and non-regulated services under the Service Guard Comfort Plan, Tech Services and HomeServe.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rPr>
              <w:t>Revenue</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180" w:type="dxa"/>
            <w:vAlign w:val="bottom"/>
            <w:gridSpan w:val="3"/>
          </w:tcPr>
          <w:p>
            <w:pPr>
              <w:jc w:val="center"/>
              <w:ind w:right="239"/>
              <w:spacing w:after="0"/>
              <w:rPr>
                <w:sz w:val="20"/>
                <w:szCs w:val="20"/>
                <w:color w:val="auto"/>
              </w:rPr>
            </w:pPr>
            <w:r>
              <w:rPr>
                <w:rFonts w:ascii="Arial" w:cs="Arial" w:eastAsia="Arial" w:hAnsi="Arial"/>
                <w:sz w:val="16"/>
                <w:szCs w:val="16"/>
                <w:b w:val="1"/>
                <w:bCs w:val="1"/>
                <w:color w:val="auto"/>
              </w:rPr>
              <w:t>Quantities Sold and Transported</w:t>
            </w:r>
          </w:p>
        </w:tc>
      </w:tr>
      <w:tr>
        <w:trPr>
          <w:trHeight w:val="217"/>
        </w:trPr>
        <w:tc>
          <w:tcPr>
            <w:tcW w:w="3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millions)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(Dth in millions)</w:t>
            </w:r>
          </w:p>
        </w:tc>
        <w:tc>
          <w:tcPr>
            <w:tcW w:w="1300" w:type="dxa"/>
            <w:vAlign w:val="bottom"/>
            <w:tcBorders>
              <w:bottom w:val="single" w:sz="8" w:color="auto"/>
            </w:tcBorders>
          </w:tcPr>
          <w:p>
            <w:pPr>
              <w:spacing w:after="0"/>
              <w:rPr>
                <w:sz w:val="18"/>
                <w:szCs w:val="18"/>
                <w:color w:val="auto"/>
              </w:rPr>
            </w:pPr>
          </w:p>
        </w:tc>
      </w:tr>
      <w:tr>
        <w:trPr>
          <w:trHeight w:val="209"/>
        </w:trPr>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gridSpan w:val="5"/>
          </w:tcPr>
          <w:p>
            <w:pPr>
              <w:jc w:val="center"/>
              <w:ind w:right="419"/>
              <w:spacing w:after="0"/>
              <w:rPr>
                <w:sz w:val="20"/>
                <w:szCs w:val="20"/>
                <w:color w:val="auto"/>
              </w:rPr>
            </w:pPr>
            <w:r>
              <w:rPr>
                <w:rFonts w:ascii="Arial" w:cs="Arial" w:eastAsia="Arial" w:hAnsi="Arial"/>
                <w:sz w:val="16"/>
                <w:szCs w:val="16"/>
                <w:b w:val="1"/>
                <w:bCs w:val="1"/>
                <w:color w:val="auto"/>
              </w:rPr>
              <w:t>For the year ended December 31,</w:t>
            </w:r>
          </w:p>
        </w:tc>
        <w:tc>
          <w:tcPr>
            <w:tcW w:w="4180" w:type="dxa"/>
            <w:vAlign w:val="bottom"/>
            <w:gridSpan w:val="3"/>
          </w:tcPr>
          <w:p>
            <w:pPr>
              <w:jc w:val="center"/>
              <w:ind w:right="179"/>
              <w:spacing w:after="0"/>
              <w:rPr>
                <w:sz w:val="20"/>
                <w:szCs w:val="20"/>
                <w:color w:val="auto"/>
              </w:rPr>
            </w:pPr>
            <w:r>
              <w:rPr>
                <w:rFonts w:ascii="Arial" w:cs="Arial" w:eastAsia="Arial" w:hAnsi="Arial"/>
                <w:sz w:val="16"/>
                <w:szCs w:val="16"/>
                <w:b w:val="1"/>
                <w:bCs w:val="1"/>
                <w:color w:val="auto"/>
              </w:rPr>
              <w:t>For the year ended December 31,</w:t>
            </w:r>
          </w:p>
        </w:tc>
      </w:tr>
      <w:tr>
        <w:trPr>
          <w:trHeight w:val="217"/>
        </w:trPr>
        <w:tc>
          <w:tcPr>
            <w:tcW w:w="30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16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210"/>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Arkansas Gas</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311.3</w:t>
            </w:r>
          </w:p>
        </w:tc>
        <w:tc>
          <w:tcPr>
            <w:tcW w:w="3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218.5</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30.2</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32.3</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31.5</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Colorado Gas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313.6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320.9</w:t>
            </w:r>
          </w:p>
        </w:tc>
        <w:tc>
          <w:tcPr>
            <w:tcW w:w="360" w:type="dxa"/>
            <w:vAlign w:val="bottom"/>
          </w:tcPr>
          <w:p>
            <w:pPr>
              <w:spacing w:after="0"/>
              <w:rPr>
                <w:sz w:val="18"/>
                <w:szCs w:val="18"/>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208.0</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32.8</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34.3</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32.3</w:t>
            </w:r>
          </w:p>
        </w:tc>
      </w:tr>
      <w:tr>
        <w:trPr>
          <w:trHeight w:val="217"/>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213.6</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283.9</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171.7</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37.9</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40.9</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38.0</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Kansas Gas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155.6</w:t>
            </w: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191.4</w:t>
            </w:r>
          </w:p>
        </w:tc>
        <w:tc>
          <w:tcPr>
            <w:tcW w:w="360" w:type="dxa"/>
            <w:vAlign w:val="bottom"/>
          </w:tcPr>
          <w:p>
            <w:pPr>
              <w:spacing w:after="0"/>
              <w:rPr>
                <w:sz w:val="18"/>
                <w:szCs w:val="18"/>
                <w:color w:val="auto"/>
              </w:rPr>
            </w:pPr>
          </w:p>
        </w:tc>
        <w:tc>
          <w:tcPr>
            <w:tcW w:w="1180" w:type="dxa"/>
            <w:vAlign w:val="bottom"/>
          </w:tcPr>
          <w:p>
            <w:pPr>
              <w:jc w:val="right"/>
              <w:ind w:right="199"/>
              <w:spacing w:after="0"/>
              <w:rPr>
                <w:sz w:val="20"/>
                <w:szCs w:val="20"/>
                <w:color w:val="auto"/>
              </w:rPr>
            </w:pPr>
            <w:r>
              <w:rPr>
                <w:rFonts w:ascii="Arial" w:cs="Arial" w:eastAsia="Arial" w:hAnsi="Arial"/>
                <w:sz w:val="16"/>
                <w:szCs w:val="16"/>
                <w:color w:val="auto"/>
              </w:rPr>
              <w:t>121.6</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35.5</w:t>
            </w:r>
          </w:p>
        </w:tc>
        <w:tc>
          <w:tcPr>
            <w:tcW w:w="1680" w:type="dxa"/>
            <w:vAlign w:val="bottom"/>
          </w:tcPr>
          <w:p>
            <w:pPr>
              <w:jc w:val="right"/>
              <w:ind w:right="259"/>
              <w:spacing w:after="0"/>
              <w:rPr>
                <w:sz w:val="20"/>
                <w:szCs w:val="20"/>
                <w:color w:val="auto"/>
              </w:rPr>
            </w:pPr>
            <w:r>
              <w:rPr>
                <w:rFonts w:ascii="Arial" w:cs="Arial" w:eastAsia="Arial" w:hAnsi="Arial"/>
                <w:sz w:val="16"/>
                <w:szCs w:val="16"/>
                <w:color w:val="auto"/>
              </w:rPr>
              <w:t>38.6</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34.5</w:t>
            </w:r>
          </w:p>
        </w:tc>
      </w:tr>
      <w:tr>
        <w:trPr>
          <w:trHeight w:val="217"/>
        </w:trPr>
        <w:tc>
          <w:tcPr>
            <w:tcW w:w="3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366.1</w:t>
            </w: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384.8</w:t>
            </w: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99"/>
              <w:spacing w:after="0"/>
              <w:rPr>
                <w:sz w:val="20"/>
                <w:szCs w:val="20"/>
                <w:color w:val="auto"/>
              </w:rPr>
            </w:pPr>
            <w:r>
              <w:rPr>
                <w:rFonts w:ascii="Arial" w:cs="Arial" w:eastAsia="Arial" w:hAnsi="Arial"/>
                <w:sz w:val="16"/>
                <w:szCs w:val="16"/>
                <w:color w:val="auto"/>
              </w:rPr>
              <w:t>273.4</w:t>
            </w:r>
          </w:p>
        </w:tc>
        <w:tc>
          <w:tcPr>
            <w:tcW w:w="12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82.2</w:t>
            </w:r>
          </w:p>
        </w:tc>
        <w:tc>
          <w:tcPr>
            <w:tcW w:w="16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85.1</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81.0</w:t>
            </w:r>
          </w:p>
        </w:tc>
      </w:tr>
      <w:tr>
        <w:trPr>
          <w:trHeight w:val="215"/>
        </w:trPr>
        <w:tc>
          <w:tcPr>
            <w:tcW w:w="3080" w:type="dxa"/>
            <w:vAlign w:val="bottom"/>
          </w:tcPr>
          <w:p>
            <w:pPr>
              <w:ind w:left="20"/>
              <w:spacing w:after="0"/>
              <w:rPr>
                <w:sz w:val="20"/>
                <w:szCs w:val="20"/>
                <w:color w:val="auto"/>
              </w:rPr>
            </w:pPr>
            <w:r>
              <w:rPr>
                <w:rFonts w:ascii="Arial" w:cs="Arial" w:eastAsia="Arial" w:hAnsi="Arial"/>
                <w:sz w:val="16"/>
                <w:szCs w:val="16"/>
                <w:color w:val="auto"/>
              </w:rPr>
              <w:t>Wyoming Gas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166.4</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131.7</w:t>
            </w:r>
          </w:p>
        </w:tc>
        <w:tc>
          <w:tcPr>
            <w:tcW w:w="12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36.4</w:t>
            </w:r>
          </w:p>
        </w:tc>
        <w:tc>
          <w:tcPr>
            <w:tcW w:w="16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36.7</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32.7</w:t>
            </w:r>
          </w:p>
        </w:tc>
      </w:tr>
      <w:tr>
        <w:trPr>
          <w:trHeight w:val="250"/>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Revenue and Quantities Sold</w:t>
            </w: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1,484.2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1,669.1</w:t>
            </w:r>
          </w:p>
        </w:tc>
        <w:tc>
          <w:tcPr>
            <w:tcW w:w="3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6"/>
                <w:szCs w:val="16"/>
                <w:color w:val="auto"/>
              </w:rPr>
              <w:t>1,124.9</w:t>
            </w:r>
          </w:p>
        </w:tc>
        <w:tc>
          <w:tcPr>
            <w:tcW w:w="120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255.0</w:t>
            </w:r>
          </w:p>
        </w:tc>
        <w:tc>
          <w:tcPr>
            <w:tcW w:w="16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267.9</w:t>
            </w: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250.0</w:t>
            </w:r>
          </w:p>
        </w:tc>
      </w:tr>
      <w:tr>
        <w:trPr>
          <w:trHeight w:val="398"/>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751"/>
        </w:trPr>
        <w:tc>
          <w:tcPr>
            <w:tcW w:w="3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4"/>
        </w:trPr>
        <w:tc>
          <w:tcPr>
            <w:tcW w:w="24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627"/>
        </w:trPr>
        <w:tc>
          <w:tcPr>
            <w:tcW w:w="1360" w:type="dxa"/>
            <w:vAlign w:val="bottom"/>
            <w:tcBorders>
              <w:top w:val="single" w:sz="8" w:color="0000FF"/>
            </w:tcBorders>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For the year ended December 31,</w:t>
            </w: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2022</w:t>
            </w:r>
          </w:p>
        </w:tc>
        <w:tc>
          <w:tcPr>
            <w:tcW w:w="1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219"/>
              <w:spacing w:after="0"/>
              <w:rPr>
                <w:sz w:val="20"/>
                <w:szCs w:val="20"/>
                <w:color w:val="auto"/>
              </w:rPr>
            </w:pPr>
            <w:r>
              <w:rPr>
                <w:rFonts w:ascii="Arial" w:cs="Arial" w:eastAsia="Arial" w:hAnsi="Arial"/>
                <w:sz w:val="16"/>
                <w:szCs w:val="16"/>
                <w:b w:val="1"/>
                <w:bCs w:val="1"/>
                <w:color w:val="auto"/>
              </w:rPr>
              <w:t>2021</w:t>
            </w:r>
          </w:p>
        </w:tc>
      </w:tr>
      <w:tr>
        <w:trPr>
          <w:trHeight w:val="182"/>
        </w:trPr>
        <w:tc>
          <w:tcPr>
            <w:tcW w:w="1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1260" w:type="dxa"/>
            <w:vAlign w:val="bottom"/>
          </w:tcPr>
          <w:p>
            <w:pPr>
              <w:spacing w:after="0"/>
              <w:rPr>
                <w:sz w:val="15"/>
                <w:szCs w:val="15"/>
                <w:color w:val="auto"/>
              </w:rPr>
            </w:pPr>
          </w:p>
        </w:tc>
        <w:tc>
          <w:tcPr>
            <w:tcW w:w="17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c>
          <w:tcPr>
            <w:tcW w:w="1160" w:type="dxa"/>
            <w:vAlign w:val="bottom"/>
          </w:tcPr>
          <w:p>
            <w:pPr>
              <w:spacing w:after="0"/>
              <w:rPr>
                <w:sz w:val="15"/>
                <w:szCs w:val="15"/>
                <w:color w:val="auto"/>
              </w:rPr>
            </w:pPr>
          </w:p>
        </w:tc>
        <w:tc>
          <w:tcPr>
            <w:tcW w:w="17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Variance From</w:t>
            </w:r>
          </w:p>
        </w:tc>
      </w:tr>
      <w:tr>
        <w:trPr>
          <w:trHeight w:val="217"/>
        </w:trPr>
        <w:tc>
          <w:tcPr>
            <w:tcW w:w="24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Heating Degree Days</w:t>
            </w: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Actual</w:t>
            </w:r>
          </w:p>
        </w:tc>
        <w:tc>
          <w:tcPr>
            <w:tcW w:w="164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Normal</w:t>
            </w:r>
          </w:p>
        </w:tc>
        <w:tc>
          <w:tcPr>
            <w:tcW w:w="12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Actual</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c>
          <w:tcPr>
            <w:tcW w:w="11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Actual</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Normal</w:t>
            </w:r>
          </w:p>
        </w:tc>
      </w:tr>
      <w:tr>
        <w:trPr>
          <w:trHeight w:val="210"/>
        </w:trPr>
        <w:tc>
          <w:tcPr>
            <w:tcW w:w="2460" w:type="dxa"/>
            <w:vAlign w:val="bottom"/>
            <w:gridSpan w:val="2"/>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Arkansas Gas </w:t>
            </w:r>
            <w:r>
              <w:rPr>
                <w:rFonts w:ascii="Arial" w:cs="Arial" w:eastAsia="Arial" w:hAnsi="Arial"/>
                <w:sz w:val="21"/>
                <w:szCs w:val="21"/>
                <w:color w:val="auto"/>
                <w:vertAlign w:val="superscript"/>
              </w:rPr>
              <w:t>(a)</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3,197</w:t>
            </w:r>
          </w:p>
        </w:tc>
        <w:tc>
          <w:tcPr>
            <w:tcW w:w="16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(17)%</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3,844</w:t>
            </w:r>
          </w:p>
        </w:tc>
        <w:tc>
          <w:tcPr>
            <w:tcW w:w="1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2%</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3,565</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Colorado Gas</w:t>
            </w:r>
          </w:p>
        </w:tc>
        <w:tc>
          <w:tcPr>
            <w:tcW w:w="1260" w:type="dxa"/>
            <w:vAlign w:val="bottom"/>
          </w:tcPr>
          <w:p>
            <w:pPr>
              <w:jc w:val="right"/>
              <w:spacing w:after="0"/>
              <w:rPr>
                <w:sz w:val="20"/>
                <w:szCs w:val="20"/>
                <w:color w:val="auto"/>
              </w:rPr>
            </w:pPr>
            <w:r>
              <w:rPr>
                <w:rFonts w:ascii="Arial" w:cs="Arial" w:eastAsia="Arial" w:hAnsi="Arial"/>
                <w:sz w:val="16"/>
                <w:szCs w:val="16"/>
                <w:color w:val="auto"/>
              </w:rPr>
              <w:t>5,916</w:t>
            </w:r>
          </w:p>
        </w:tc>
        <w:tc>
          <w:tcPr>
            <w:tcW w:w="1640" w:type="dxa"/>
            <w:vAlign w:val="bottom"/>
          </w:tcPr>
          <w:p>
            <w:pPr>
              <w:jc w:val="center"/>
              <w:ind w:left="59"/>
              <w:spacing w:after="0"/>
              <w:rPr>
                <w:sz w:val="20"/>
                <w:szCs w:val="20"/>
                <w:color w:val="auto"/>
              </w:rPr>
            </w:pPr>
            <w:r>
              <w:rPr>
                <w:rFonts w:ascii="Arial" w:cs="Arial" w:eastAsia="Arial" w:hAnsi="Arial"/>
                <w:sz w:val="16"/>
                <w:szCs w:val="16"/>
                <w:color w:val="auto"/>
              </w:rPr>
              <w:t>(4)%</w:t>
            </w:r>
          </w:p>
        </w:tc>
        <w:tc>
          <w:tcPr>
            <w:tcW w:w="1260" w:type="dxa"/>
            <w:vAlign w:val="bottom"/>
          </w:tcPr>
          <w:p>
            <w:pPr>
              <w:jc w:val="right"/>
              <w:spacing w:after="0"/>
              <w:rPr>
                <w:sz w:val="20"/>
                <w:szCs w:val="20"/>
                <w:color w:val="auto"/>
              </w:rPr>
            </w:pPr>
            <w:r>
              <w:rPr>
                <w:rFonts w:ascii="Arial" w:cs="Arial" w:eastAsia="Arial" w:hAnsi="Arial"/>
                <w:sz w:val="16"/>
                <w:szCs w:val="16"/>
                <w:color w:val="auto"/>
              </w:rPr>
              <w:t>6,325</w:t>
            </w:r>
          </w:p>
        </w:tc>
        <w:tc>
          <w:tcPr>
            <w:tcW w:w="1760" w:type="dxa"/>
            <w:vAlign w:val="bottom"/>
          </w:tcPr>
          <w:p>
            <w:pPr>
              <w:jc w:val="center"/>
              <w:spacing w:after="0"/>
              <w:rPr>
                <w:sz w:val="20"/>
                <w:szCs w:val="20"/>
                <w:color w:val="auto"/>
              </w:rPr>
            </w:pPr>
            <w:r>
              <w:rPr>
                <w:rFonts w:ascii="Arial" w:cs="Arial" w:eastAsia="Arial" w:hAnsi="Arial"/>
                <w:sz w:val="16"/>
                <w:szCs w:val="16"/>
                <w:color w:val="auto"/>
              </w:rPr>
              <w:t>4%</w:t>
            </w:r>
          </w:p>
        </w:tc>
        <w:tc>
          <w:tcPr>
            <w:tcW w:w="1160" w:type="dxa"/>
            <w:vAlign w:val="bottom"/>
          </w:tcPr>
          <w:p>
            <w:pPr>
              <w:jc w:val="right"/>
              <w:spacing w:after="0"/>
              <w:rPr>
                <w:sz w:val="20"/>
                <w:szCs w:val="20"/>
                <w:color w:val="auto"/>
              </w:rPr>
            </w:pPr>
            <w:r>
              <w:rPr>
                <w:rFonts w:ascii="Arial" w:cs="Arial" w:eastAsia="Arial" w:hAnsi="Arial"/>
                <w:sz w:val="16"/>
                <w:szCs w:val="16"/>
                <w:color w:val="auto"/>
              </w:rPr>
              <w:t>5,866</w:t>
            </w:r>
          </w:p>
        </w:tc>
        <w:tc>
          <w:tcPr>
            <w:tcW w:w="1700" w:type="dxa"/>
            <w:vAlign w:val="bottom"/>
          </w:tcPr>
          <w:p>
            <w:pPr>
              <w:jc w:val="center"/>
              <w:spacing w:after="0"/>
              <w:rPr>
                <w:sz w:val="20"/>
                <w:szCs w:val="20"/>
                <w:color w:val="auto"/>
              </w:rPr>
            </w:pPr>
            <w:r>
              <w:rPr>
                <w:rFonts w:ascii="Arial" w:cs="Arial" w:eastAsia="Arial" w:hAnsi="Arial"/>
                <w:sz w:val="16"/>
                <w:szCs w:val="16"/>
                <w:color w:val="auto"/>
                <w:w w:val="98"/>
              </w:rPr>
              <w:t>(11)%</w:t>
            </w:r>
          </w:p>
        </w:tc>
      </w:tr>
      <w:tr>
        <w:trPr>
          <w:trHeight w:val="217"/>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Iowa Gas</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5,921</w:t>
            </w:r>
          </w:p>
        </w:tc>
        <w:tc>
          <w:tcPr>
            <w:tcW w:w="164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(12)%</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7,037</w:t>
            </w:r>
          </w:p>
        </w:tc>
        <w:tc>
          <w:tcPr>
            <w:tcW w:w="1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6,239</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r>
      <w:tr>
        <w:trPr>
          <w:trHeight w:val="216"/>
        </w:trPr>
        <w:tc>
          <w:tcPr>
            <w:tcW w:w="246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Kansas Gas </w:t>
            </w:r>
            <w:r>
              <w:rPr>
                <w:rFonts w:ascii="Arial" w:cs="Arial" w:eastAsia="Arial" w:hAnsi="Arial"/>
                <w:sz w:val="21"/>
                <w:szCs w:val="21"/>
                <w:color w:val="auto"/>
                <w:vertAlign w:val="superscript"/>
              </w:rPr>
              <w:t>(a)</w:t>
            </w:r>
          </w:p>
        </w:tc>
        <w:tc>
          <w:tcPr>
            <w:tcW w:w="1260" w:type="dxa"/>
            <w:vAlign w:val="bottom"/>
          </w:tcPr>
          <w:p>
            <w:pPr>
              <w:jc w:val="right"/>
              <w:spacing w:after="0"/>
              <w:rPr>
                <w:sz w:val="20"/>
                <w:szCs w:val="20"/>
                <w:color w:val="auto"/>
              </w:rPr>
            </w:pPr>
            <w:r>
              <w:rPr>
                <w:rFonts w:ascii="Arial" w:cs="Arial" w:eastAsia="Arial" w:hAnsi="Arial"/>
                <w:sz w:val="16"/>
                <w:szCs w:val="16"/>
                <w:color w:val="auto"/>
              </w:rPr>
              <w:t>4,387</w:t>
            </w:r>
          </w:p>
        </w:tc>
        <w:tc>
          <w:tcPr>
            <w:tcW w:w="1640" w:type="dxa"/>
            <w:vAlign w:val="bottom"/>
          </w:tcPr>
          <w:p>
            <w:pPr>
              <w:jc w:val="center"/>
              <w:ind w:left="59"/>
              <w:spacing w:after="0"/>
              <w:rPr>
                <w:sz w:val="20"/>
                <w:szCs w:val="20"/>
                <w:color w:val="auto"/>
              </w:rPr>
            </w:pPr>
            <w:r>
              <w:rPr>
                <w:rFonts w:ascii="Arial" w:cs="Arial" w:eastAsia="Arial" w:hAnsi="Arial"/>
                <w:sz w:val="16"/>
                <w:szCs w:val="16"/>
                <w:color w:val="auto"/>
              </w:rPr>
              <w:t>(8)%</w:t>
            </w:r>
          </w:p>
        </w:tc>
        <w:tc>
          <w:tcPr>
            <w:tcW w:w="1260" w:type="dxa"/>
            <w:vAlign w:val="bottom"/>
          </w:tcPr>
          <w:p>
            <w:pPr>
              <w:jc w:val="right"/>
              <w:spacing w:after="0"/>
              <w:rPr>
                <w:sz w:val="20"/>
                <w:szCs w:val="20"/>
                <w:color w:val="auto"/>
              </w:rPr>
            </w:pPr>
            <w:r>
              <w:rPr>
                <w:rFonts w:ascii="Arial" w:cs="Arial" w:eastAsia="Arial" w:hAnsi="Arial"/>
                <w:sz w:val="16"/>
                <w:szCs w:val="16"/>
                <w:color w:val="auto"/>
              </w:rPr>
              <w:t>4,968</w:t>
            </w:r>
          </w:p>
        </w:tc>
        <w:tc>
          <w:tcPr>
            <w:tcW w:w="1760" w:type="dxa"/>
            <w:vAlign w:val="bottom"/>
          </w:tcPr>
          <w:p>
            <w:pPr>
              <w:jc w:val="center"/>
              <w:spacing w:after="0"/>
              <w:rPr>
                <w:sz w:val="20"/>
                <w:szCs w:val="20"/>
                <w:color w:val="auto"/>
              </w:rPr>
            </w:pPr>
            <w:r>
              <w:rPr>
                <w:rFonts w:ascii="Arial" w:cs="Arial" w:eastAsia="Arial" w:hAnsi="Arial"/>
                <w:sz w:val="16"/>
                <w:szCs w:val="16"/>
                <w:color w:val="auto"/>
              </w:rPr>
              <w:t>7%</w:t>
            </w:r>
          </w:p>
        </w:tc>
        <w:tc>
          <w:tcPr>
            <w:tcW w:w="1160" w:type="dxa"/>
            <w:vAlign w:val="bottom"/>
          </w:tcPr>
          <w:p>
            <w:pPr>
              <w:jc w:val="right"/>
              <w:spacing w:after="0"/>
              <w:rPr>
                <w:sz w:val="20"/>
                <w:szCs w:val="20"/>
                <w:color w:val="auto"/>
              </w:rPr>
            </w:pPr>
            <w:r>
              <w:rPr>
                <w:rFonts w:ascii="Arial" w:cs="Arial" w:eastAsia="Arial" w:hAnsi="Arial"/>
                <w:sz w:val="16"/>
                <w:szCs w:val="16"/>
                <w:color w:val="auto"/>
              </w:rPr>
              <w:t>4,508</w:t>
            </w:r>
          </w:p>
        </w:tc>
        <w:tc>
          <w:tcPr>
            <w:tcW w:w="1700" w:type="dxa"/>
            <w:vAlign w:val="bottom"/>
          </w:tcPr>
          <w:p>
            <w:pPr>
              <w:jc w:val="center"/>
              <w:spacing w:after="0"/>
              <w:rPr>
                <w:sz w:val="20"/>
                <w:szCs w:val="20"/>
                <w:color w:val="auto"/>
              </w:rPr>
            </w:pPr>
            <w:r>
              <w:rPr>
                <w:rFonts w:ascii="Arial" w:cs="Arial" w:eastAsia="Arial" w:hAnsi="Arial"/>
                <w:sz w:val="16"/>
                <w:szCs w:val="16"/>
                <w:color w:val="auto"/>
              </w:rPr>
              <w:t>(8)%</w:t>
            </w:r>
          </w:p>
        </w:tc>
      </w:tr>
      <w:tr>
        <w:trPr>
          <w:trHeight w:val="216"/>
        </w:trPr>
        <w:tc>
          <w:tcPr>
            <w:tcW w:w="24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Nebraska Gas</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5,579</w:t>
            </w:r>
          </w:p>
        </w:tc>
        <w:tc>
          <w:tcPr>
            <w:tcW w:w="16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(8)%</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6,220</w:t>
            </w:r>
          </w:p>
        </w:tc>
        <w:tc>
          <w:tcPr>
            <w:tcW w:w="1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5,599</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w:t>
            </w:r>
          </w:p>
        </w:tc>
      </w:tr>
      <w:tr>
        <w:trPr>
          <w:trHeight w:val="215"/>
        </w:trPr>
        <w:tc>
          <w:tcPr>
            <w:tcW w:w="2460" w:type="dxa"/>
            <w:vAlign w:val="bottom"/>
            <w:gridSpan w:val="2"/>
          </w:tcPr>
          <w:p>
            <w:pPr>
              <w:ind w:left="20"/>
              <w:spacing w:after="0"/>
              <w:rPr>
                <w:sz w:val="20"/>
                <w:szCs w:val="20"/>
                <w:color w:val="auto"/>
              </w:rPr>
            </w:pPr>
            <w:r>
              <w:rPr>
                <w:rFonts w:ascii="Arial" w:cs="Arial" w:eastAsia="Arial" w:hAnsi="Arial"/>
                <w:sz w:val="16"/>
                <w:szCs w:val="16"/>
                <w:color w:val="auto"/>
              </w:rPr>
              <w:t>Wyoming Gas</w:t>
            </w:r>
          </w:p>
        </w:tc>
        <w:tc>
          <w:tcPr>
            <w:tcW w:w="1260" w:type="dxa"/>
            <w:vAlign w:val="bottom"/>
          </w:tcPr>
          <w:p>
            <w:pPr>
              <w:jc w:val="right"/>
              <w:spacing w:after="0"/>
              <w:rPr>
                <w:sz w:val="20"/>
                <w:szCs w:val="20"/>
                <w:color w:val="auto"/>
              </w:rPr>
            </w:pPr>
            <w:r>
              <w:rPr>
                <w:rFonts w:ascii="Arial" w:cs="Arial" w:eastAsia="Arial" w:hAnsi="Arial"/>
                <w:sz w:val="16"/>
                <w:szCs w:val="16"/>
                <w:color w:val="auto"/>
              </w:rPr>
              <w:t>7,385</w:t>
            </w:r>
          </w:p>
        </w:tc>
        <w:tc>
          <w:tcPr>
            <w:tcW w:w="1640" w:type="dxa"/>
            <w:vAlign w:val="bottom"/>
          </w:tcPr>
          <w:p>
            <w:pPr>
              <w:jc w:val="center"/>
              <w:ind w:left="39"/>
              <w:spacing w:after="0"/>
              <w:rPr>
                <w:sz w:val="20"/>
                <w:szCs w:val="20"/>
                <w:color w:val="auto"/>
              </w:rPr>
            </w:pPr>
            <w:r>
              <w:rPr>
                <w:rFonts w:ascii="Arial" w:cs="Arial" w:eastAsia="Arial" w:hAnsi="Arial"/>
                <w:sz w:val="16"/>
                <w:szCs w:val="16"/>
                <w:color w:val="auto"/>
              </w:rPr>
              <w:t>8%</w:t>
            </w:r>
          </w:p>
        </w:tc>
        <w:tc>
          <w:tcPr>
            <w:tcW w:w="1260" w:type="dxa"/>
            <w:vAlign w:val="bottom"/>
          </w:tcPr>
          <w:p>
            <w:pPr>
              <w:jc w:val="right"/>
              <w:spacing w:after="0"/>
              <w:rPr>
                <w:sz w:val="20"/>
                <w:szCs w:val="20"/>
                <w:color w:val="auto"/>
              </w:rPr>
            </w:pPr>
            <w:r>
              <w:rPr>
                <w:rFonts w:ascii="Arial" w:cs="Arial" w:eastAsia="Arial" w:hAnsi="Arial"/>
                <w:sz w:val="16"/>
                <w:szCs w:val="16"/>
                <w:color w:val="auto"/>
              </w:rPr>
              <w:t>7,644</w:t>
            </w:r>
          </w:p>
        </w:tc>
        <w:tc>
          <w:tcPr>
            <w:tcW w:w="176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1160" w:type="dxa"/>
            <w:vAlign w:val="bottom"/>
          </w:tcPr>
          <w:p>
            <w:pPr>
              <w:jc w:val="right"/>
              <w:spacing w:after="0"/>
              <w:rPr>
                <w:sz w:val="20"/>
                <w:szCs w:val="20"/>
                <w:color w:val="auto"/>
              </w:rPr>
            </w:pPr>
            <w:r>
              <w:rPr>
                <w:rFonts w:ascii="Arial" w:cs="Arial" w:eastAsia="Arial" w:hAnsi="Arial"/>
                <w:sz w:val="16"/>
                <w:szCs w:val="16"/>
                <w:color w:val="auto"/>
              </w:rPr>
              <w:t>7,074</w:t>
            </w:r>
          </w:p>
        </w:tc>
        <w:tc>
          <w:tcPr>
            <w:tcW w:w="1700" w:type="dxa"/>
            <w:vAlign w:val="bottom"/>
          </w:tcPr>
          <w:p>
            <w:pPr>
              <w:jc w:val="center"/>
              <w:spacing w:after="0"/>
              <w:rPr>
                <w:sz w:val="20"/>
                <w:szCs w:val="20"/>
                <w:color w:val="auto"/>
              </w:rPr>
            </w:pPr>
            <w:r>
              <w:rPr>
                <w:rFonts w:ascii="Arial" w:cs="Arial" w:eastAsia="Arial" w:hAnsi="Arial"/>
                <w:sz w:val="16"/>
                <w:szCs w:val="16"/>
                <w:color w:val="auto"/>
              </w:rPr>
              <w:t>(7)%</w:t>
            </w:r>
          </w:p>
        </w:tc>
      </w:tr>
      <w:tr>
        <w:trPr>
          <w:trHeight w:val="217"/>
        </w:trPr>
        <w:tc>
          <w:tcPr>
            <w:tcW w:w="2460" w:type="dxa"/>
            <w:vAlign w:val="bottom"/>
            <w:gridSpan w:val="2"/>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Combined </w:t>
            </w:r>
            <w:r>
              <w:rPr>
                <w:rFonts w:ascii="Arial" w:cs="Arial" w:eastAsia="Arial" w:hAnsi="Arial"/>
                <w:sz w:val="21"/>
                <w:szCs w:val="21"/>
                <w:color w:val="auto"/>
                <w:vertAlign w:val="superscript"/>
              </w:rPr>
              <w:t>(b)</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6,006</w:t>
            </w:r>
          </w:p>
        </w:tc>
        <w:tc>
          <w:tcPr>
            <w:tcW w:w="1640" w:type="dxa"/>
            <w:vAlign w:val="bottom"/>
            <w:shd w:val="clear" w:color="auto" w:fill="CFF0FC"/>
          </w:tcPr>
          <w:p>
            <w:pPr>
              <w:jc w:val="center"/>
              <w:ind w:left="59"/>
              <w:spacing w:after="0"/>
              <w:rPr>
                <w:sz w:val="20"/>
                <w:szCs w:val="20"/>
                <w:color w:val="auto"/>
              </w:rPr>
            </w:pPr>
            <w:r>
              <w:rPr>
                <w:rFonts w:ascii="Arial" w:cs="Arial" w:eastAsia="Arial" w:hAnsi="Arial"/>
                <w:sz w:val="16"/>
                <w:szCs w:val="16"/>
                <w:color w:val="auto"/>
              </w:rPr>
              <w:t>(4)%</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6,536</w:t>
            </w:r>
          </w:p>
        </w:tc>
        <w:tc>
          <w:tcPr>
            <w:tcW w:w="17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5%</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5,948</w:t>
            </w:r>
          </w:p>
        </w:tc>
        <w:tc>
          <w:tcPr>
            <w:tcW w:w="170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Arkansas and Kansas have weather normalization mechanisms that mitigate the weather impact on Gas Utility margins.</w:t>
      </w:r>
    </w:p>
    <w:p>
      <w:pPr>
        <w:spacing w:after="0" w:line="15" w:lineRule="exact"/>
        <w:rPr>
          <w:rFonts w:ascii="Arial" w:cs="Arial" w:eastAsia="Arial" w:hAnsi="Arial"/>
          <w:sz w:val="14"/>
          <w:szCs w:val="14"/>
          <w:color w:val="auto"/>
        </w:rPr>
      </w:pPr>
    </w:p>
    <w:p>
      <w:pPr>
        <w:ind w:left="520" w:right="120" w:hanging="512"/>
        <w:spacing w:after="0" w:line="264"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Heating degree days are calculated based on a weighted average of total customers by state excluding Kansas due to its weather normalization mechanism. Arkansas Gas is partially excluded based on the weather normalization mechanism in effect from November through April.</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and Other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Corporate and Other operating results, including inter-segment eliminations, for the years ended December 31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jc w:val="right"/>
              <w:ind w:right="599"/>
              <w:spacing w:after="0"/>
              <w:rPr>
                <w:sz w:val="20"/>
                <w:szCs w:val="20"/>
                <w:color w:val="auto"/>
              </w:rPr>
            </w:pPr>
            <w:r>
              <w:rPr>
                <w:rFonts w:ascii="Arial" w:cs="Arial" w:eastAsia="Arial" w:hAnsi="Arial"/>
                <w:sz w:val="16"/>
                <w:szCs w:val="16"/>
                <w:b w:val="1"/>
                <w:bCs w:val="1"/>
                <w:color w:val="auto"/>
              </w:rPr>
              <w:t>2023 vs 2022</w:t>
            </w:r>
          </w:p>
        </w:tc>
        <w:tc>
          <w:tcPr>
            <w:tcW w:w="1400" w:type="dxa"/>
            <w:vAlign w:val="bottom"/>
          </w:tcPr>
          <w:p>
            <w:pPr>
              <w:spacing w:after="0"/>
              <w:rPr>
                <w:sz w:val="16"/>
                <w:szCs w:val="16"/>
                <w:color w:val="auto"/>
              </w:rPr>
            </w:pPr>
          </w:p>
        </w:tc>
        <w:tc>
          <w:tcPr>
            <w:tcW w:w="140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 vs 2021</w:t>
            </w:r>
          </w:p>
        </w:tc>
      </w:tr>
      <w:tr>
        <w:trPr>
          <w:trHeight w:val="217"/>
        </w:trPr>
        <w:tc>
          <w:tcPr>
            <w:tcW w:w="338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2023</w:t>
            </w:r>
          </w:p>
        </w:tc>
        <w:tc>
          <w:tcPr>
            <w:tcW w:w="14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2022</w:t>
            </w:r>
          </w:p>
        </w:tc>
        <w:tc>
          <w:tcPr>
            <w:tcW w:w="17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Variance</w:t>
            </w:r>
          </w:p>
        </w:tc>
        <w:tc>
          <w:tcPr>
            <w:tcW w:w="140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14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Variance</w:t>
            </w:r>
          </w:p>
        </w:tc>
      </w:tr>
      <w:tr>
        <w:trPr>
          <w:trHeight w:val="210"/>
        </w:trPr>
        <w:tc>
          <w:tcPr>
            <w:tcW w:w="3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(loss)</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(4.9 ) $</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(3.3 ) $</w:t>
            </w:r>
          </w:p>
        </w:tc>
        <w:tc>
          <w:tcPr>
            <w:tcW w:w="17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(1.6 )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(4.5 ) $</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Compared to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was comparable to the prior year.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Interest Expense, Other Income (Expense) and 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00" w:type="dxa"/>
            <w:vAlign w:val="bottom"/>
          </w:tcPr>
          <w:p>
            <w:pPr>
              <w:ind w:left="40"/>
              <w:spacing w:after="0"/>
              <w:rPr>
                <w:sz w:val="20"/>
                <w:szCs w:val="20"/>
                <w:color w:val="auto"/>
              </w:rPr>
            </w:pPr>
            <w:r>
              <w:rPr>
                <w:rFonts w:ascii="Arial" w:cs="Arial" w:eastAsia="Arial" w:hAnsi="Arial"/>
                <w:sz w:val="16"/>
                <w:szCs w:val="16"/>
                <w:b w:val="1"/>
                <w:bCs w:val="1"/>
                <w:color w:val="auto"/>
              </w:rPr>
              <w:t>2023 vs 2022</w:t>
            </w:r>
          </w:p>
        </w:tc>
        <w:tc>
          <w:tcPr>
            <w:tcW w:w="1380" w:type="dxa"/>
            <w:vAlign w:val="bottom"/>
          </w:tcPr>
          <w:p>
            <w:pPr>
              <w:spacing w:after="0"/>
              <w:rPr>
                <w:sz w:val="16"/>
                <w:szCs w:val="16"/>
                <w:color w:val="auto"/>
              </w:rPr>
            </w:pPr>
          </w:p>
        </w:tc>
        <w:tc>
          <w:tcPr>
            <w:tcW w:w="13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2022 vs 2021</w:t>
            </w:r>
          </w:p>
        </w:tc>
      </w:tr>
      <w:tr>
        <w:trPr>
          <w:trHeight w:val="21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2023</w:t>
            </w:r>
          </w:p>
        </w:tc>
        <w:tc>
          <w:tcPr>
            <w:tcW w:w="13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2022</w:t>
            </w:r>
          </w:p>
        </w:tc>
        <w:tc>
          <w:tcPr>
            <w:tcW w:w="17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Variance</w:t>
            </w:r>
          </w:p>
        </w:tc>
        <w:tc>
          <w:tcPr>
            <w:tcW w:w="13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2021</w:t>
            </w: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Variance</w:t>
            </w:r>
          </w:p>
        </w:tc>
      </w:tr>
      <w:tr>
        <w:trPr>
          <w:trHeight w:val="210"/>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net</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(167.9 ) $</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(161.0 ) $</w:t>
            </w:r>
          </w:p>
        </w:tc>
        <w:tc>
          <w:tcPr>
            <w:tcW w:w="1700" w:type="dxa"/>
            <w:vAlign w:val="bottom"/>
            <w:shd w:val="clear" w:color="auto" w:fill="CFF0FC"/>
          </w:tcPr>
          <w:p>
            <w:pPr>
              <w:ind w:left="980"/>
              <w:spacing w:after="0"/>
              <w:rPr>
                <w:sz w:val="20"/>
                <w:szCs w:val="20"/>
                <w:color w:val="auto"/>
              </w:rPr>
            </w:pPr>
            <w:r>
              <w:rPr>
                <w:rFonts w:ascii="Arial" w:cs="Arial" w:eastAsia="Arial" w:hAnsi="Arial"/>
                <w:sz w:val="16"/>
                <w:szCs w:val="16"/>
                <w:color w:val="auto"/>
              </w:rPr>
              <w:t>(6.9 ) $</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(152.4 ) $</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(8.6 )</w:t>
            </w: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18"/>
                <w:szCs w:val="18"/>
                <w:color w:val="auto"/>
              </w:rPr>
            </w:pP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(3.2 )</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1.8</w:t>
            </w:r>
          </w:p>
        </w:tc>
        <w:tc>
          <w:tcPr>
            <w:tcW w:w="1700" w:type="dxa"/>
            <w:vAlign w:val="bottom"/>
          </w:tcPr>
          <w:p>
            <w:pPr>
              <w:ind w:left="980"/>
              <w:spacing w:after="0"/>
              <w:rPr>
                <w:sz w:val="20"/>
                <w:szCs w:val="20"/>
                <w:color w:val="auto"/>
              </w:rPr>
            </w:pPr>
            <w:r>
              <w:rPr>
                <w:rFonts w:ascii="Arial" w:cs="Arial" w:eastAsia="Arial" w:hAnsi="Arial"/>
                <w:sz w:val="16"/>
                <w:szCs w:val="16"/>
                <w:color w:val="auto"/>
              </w:rPr>
              <w:t>(5.0 )</w:t>
            </w:r>
          </w:p>
        </w:tc>
        <w:tc>
          <w:tcPr>
            <w:tcW w:w="1380" w:type="dxa"/>
            <w:vAlign w:val="bottom"/>
          </w:tcPr>
          <w:p>
            <w:pPr>
              <w:jc w:val="right"/>
              <w:ind w:right="199"/>
              <w:spacing w:after="0"/>
              <w:rPr>
                <w:sz w:val="20"/>
                <w:szCs w:val="20"/>
                <w:color w:val="auto"/>
              </w:rPr>
            </w:pPr>
            <w:r>
              <w:rPr>
                <w:rFonts w:ascii="Arial" w:cs="Arial" w:eastAsia="Arial" w:hAnsi="Arial"/>
                <w:sz w:val="16"/>
                <w:szCs w:val="16"/>
                <w:color w:val="auto"/>
              </w:rPr>
              <w:t>1.4</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0.4</w:t>
            </w:r>
          </w:p>
        </w:tc>
      </w:tr>
      <w:tr>
        <w:trPr>
          <w:trHeight w:val="217"/>
        </w:trPr>
        <w:tc>
          <w:tcPr>
            <w:tcW w:w="3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32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(25.6 )</w:t>
            </w:r>
          </w:p>
        </w:tc>
        <w:tc>
          <w:tcPr>
            <w:tcW w:w="1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(25.2 )</w:t>
            </w:r>
          </w:p>
        </w:tc>
        <w:tc>
          <w:tcPr>
            <w:tcW w:w="1700" w:type="dxa"/>
            <w:vAlign w:val="bottom"/>
            <w:shd w:val="clear" w:color="auto" w:fill="CFF0FC"/>
          </w:tcPr>
          <w:p>
            <w:pPr>
              <w:ind w:left="980"/>
              <w:spacing w:after="0"/>
              <w:rPr>
                <w:sz w:val="20"/>
                <w:szCs w:val="20"/>
                <w:color w:val="auto"/>
              </w:rPr>
            </w:pPr>
            <w:r>
              <w:rPr>
                <w:rFonts w:ascii="Arial" w:cs="Arial" w:eastAsia="Arial" w:hAnsi="Arial"/>
                <w:sz w:val="16"/>
                <w:szCs w:val="16"/>
                <w:color w:val="auto"/>
              </w:rPr>
              <w:t>(0.4 )</w:t>
            </w:r>
          </w:p>
        </w:tc>
        <w:tc>
          <w:tcPr>
            <w:tcW w:w="138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(7.2 )</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(18.0 )</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Compared to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Interest expense, net</w:t>
      </w:r>
      <w:r>
        <w:rPr>
          <w:rFonts w:ascii="Arial" w:cs="Arial" w:eastAsia="Arial" w:hAnsi="Arial"/>
          <w:sz w:val="16"/>
          <w:szCs w:val="16"/>
          <w:color w:val="auto"/>
        </w:rPr>
        <w:t xml:space="preserve"> increased due to higher interest rates partially offset by increased interest income on higher cash and cash equivalents balances.</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u w:val="single" w:color="auto"/>
          <w:color w:val="auto"/>
        </w:rPr>
        <w:t>Other (expense), net</w:t>
      </w:r>
      <w:r>
        <w:rPr>
          <w:rFonts w:ascii="Arial" w:cs="Arial" w:eastAsia="Arial" w:hAnsi="Arial"/>
          <w:sz w:val="16"/>
          <w:szCs w:val="16"/>
          <w:color w:val="auto"/>
        </w:rPr>
        <w:t xml:space="preserve"> increased primarily due to higher benefit plan non-service costs driven by higher discount rates and higher costs for our non-qualified deferred compensation plan which were driven by market performance.</w:t>
      </w:r>
    </w:p>
    <w:p>
      <w:pPr>
        <w:spacing w:after="0" w:line="129"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u w:val="single" w:color="auto"/>
          <w:color w:val="auto"/>
        </w:rPr>
        <w:t>Income tax (expense)</w:t>
      </w:r>
      <w:r>
        <w:rPr>
          <w:rFonts w:ascii="Arial" w:cs="Arial" w:eastAsia="Arial" w:hAnsi="Arial"/>
          <w:sz w:val="16"/>
          <w:szCs w:val="16"/>
          <w:color w:val="auto"/>
        </w:rPr>
        <w:t xml:space="preserve"> and the effective tax rate were comparable to the same period in the prior year. The effective tax rate was 8.5% for both 2023 and 2022. The effective tax rate was comparable primarily due to a $8.2 million tax benefit from a current year Nebraska income tax rate decrease offset by $6.5 million of lower tax benefits from various current and prior year state tax rate changes and $3.6 million of lower wind PTCs resulting from the March 2023 sale of Northern Iowa Windpower assets.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-150495</wp:posOffset>
            </wp:positionV>
            <wp:extent cx="36004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Liquidity and 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6"/>
          <w:szCs w:val="16"/>
          <w:color w:val="auto"/>
        </w:rPr>
        <w:t>Our company requires significant cash to support and grow our businesses. Our primary sources of cash are generated from our operating activities, Revolving Credit Facility, CP Program, ATM and ability to access the public and private capital markets through debt and equity securities offerings when necessary.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5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experience significant cash requirements during peak months of the winter heating season due to higher natural gas consumption, during periods of high natural gas prices, and during the construction season, which typically peaks in spring and summer.</w:t>
      </w:r>
    </w:p>
    <w:p>
      <w:pPr>
        <w:spacing w:after="0" w:line="129"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an informational summary of our liquidity and capital structure as of December 31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8"/>
                <w:szCs w:val="18"/>
                <w:color w:val="auto"/>
              </w:rPr>
            </w:pPr>
          </w:p>
        </w:tc>
      </w:tr>
      <w:tr>
        <w:trPr>
          <w:trHeight w:val="210"/>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w:t>
            </w:r>
          </w:p>
        </w:tc>
        <w:tc>
          <w:tcPr>
            <w:tcW w:w="40" w:type="dxa"/>
            <w:vAlign w:val="bottom"/>
          </w:tcPr>
          <w:p>
            <w:pPr>
              <w:spacing w:after="0"/>
              <w:rPr>
                <w:sz w:val="18"/>
                <w:szCs w:val="18"/>
                <w:color w:val="auto"/>
              </w:rPr>
            </w:pPr>
          </w:p>
        </w:tc>
      </w:tr>
      <w:tr>
        <w:trPr>
          <w:trHeight w:val="216"/>
        </w:trPr>
        <w:tc>
          <w:tcPr>
            <w:tcW w:w="7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Available capacity under Revolving Credit Facility and CP Program </w:t>
            </w:r>
            <w:r>
              <w:rPr>
                <w:rFonts w:ascii="Arial" w:cs="Arial" w:eastAsia="Arial" w:hAnsi="Arial"/>
                <w:sz w:val="21"/>
                <w:szCs w:val="21"/>
                <w:color w:val="auto"/>
                <w:vertAlign w:val="superscript"/>
              </w:rPr>
              <w:t>(a)</w:t>
            </w:r>
          </w:p>
        </w:tc>
        <w:tc>
          <w:tcPr>
            <w:tcW w:w="10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746.3</w:t>
            </w: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189.8</w:t>
            </w:r>
          </w:p>
        </w:tc>
        <w:tc>
          <w:tcPr>
            <w:tcW w:w="40" w:type="dxa"/>
            <w:vAlign w:val="bottom"/>
          </w:tcPr>
          <w:p>
            <w:pPr>
              <w:spacing w:after="0"/>
              <w:rPr>
                <w:sz w:val="18"/>
                <w:szCs w:val="18"/>
                <w:color w:val="auto"/>
              </w:rPr>
            </w:pPr>
          </w:p>
        </w:tc>
      </w:tr>
      <w:tr>
        <w:trPr>
          <w:trHeight w:val="209"/>
        </w:trPr>
        <w:tc>
          <w:tcPr>
            <w:tcW w:w="7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Available liquidity</w:t>
            </w:r>
          </w:p>
        </w:tc>
        <w:tc>
          <w:tcPr>
            <w:tcW w:w="1040" w:type="dxa"/>
            <w:vAlign w:val="bottom"/>
            <w:shd w:val="clear" w:color="auto" w:fill="CFF0FC"/>
          </w:tcPr>
          <w:p>
            <w:pPr>
              <w:jc w:val="right"/>
              <w:ind w:right="8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832.9</w:t>
            </w:r>
          </w:p>
        </w:tc>
        <w:tc>
          <w:tcPr>
            <w:tcW w:w="4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211.2</w:t>
            </w:r>
          </w:p>
        </w:tc>
        <w:tc>
          <w:tcPr>
            <w:tcW w:w="40" w:type="dxa"/>
            <w:vAlign w:val="bottom"/>
          </w:tcPr>
          <w:p>
            <w:pPr>
              <w:spacing w:after="0"/>
              <w:rPr>
                <w:sz w:val="18"/>
                <w:szCs w:val="18"/>
                <w:color w:val="auto"/>
              </w:rPr>
            </w:pPr>
          </w:p>
        </w:tc>
      </w:tr>
      <w:tr>
        <w:trPr>
          <w:trHeight w:val="216"/>
        </w:trPr>
        <w:tc>
          <w:tcPr>
            <w:tcW w:w="7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structure</w:t>
            </w:r>
          </w:p>
        </w:tc>
        <w:tc>
          <w:tcPr>
            <w:tcW w:w="10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7780" w:type="dxa"/>
            <w:vAlign w:val="bottom"/>
          </w:tcPr>
          <w:p>
            <w:pPr>
              <w:ind w:left="120"/>
              <w:spacing w:after="0"/>
              <w:rPr>
                <w:sz w:val="20"/>
                <w:szCs w:val="20"/>
                <w:color w:val="auto"/>
              </w:rPr>
            </w:pPr>
            <w:r>
              <w:rPr>
                <w:rFonts w:ascii="Arial" w:cs="Arial" w:eastAsia="Arial" w:hAnsi="Arial"/>
                <w:sz w:val="16"/>
                <w:szCs w:val="16"/>
                <w:color w:val="auto"/>
              </w:rPr>
              <w:t>Short-term debt</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600.0</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1,060.6</w:t>
            </w:r>
          </w:p>
        </w:tc>
        <w:tc>
          <w:tcPr>
            <w:tcW w:w="4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Long-term debt</w:t>
            </w:r>
          </w:p>
        </w:tc>
        <w:tc>
          <w:tcPr>
            <w:tcW w:w="10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3,801.2</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3,607.3</w:t>
            </w:r>
          </w:p>
        </w:tc>
        <w:tc>
          <w:tcPr>
            <w:tcW w:w="40" w:type="dxa"/>
            <w:vAlign w:val="bottom"/>
          </w:tcPr>
          <w:p>
            <w:pPr>
              <w:spacing w:after="0"/>
              <w:rPr>
                <w:sz w:val="18"/>
                <w:szCs w:val="18"/>
                <w:color w:val="auto"/>
              </w:rPr>
            </w:pPr>
          </w:p>
        </w:tc>
      </w:tr>
      <w:tr>
        <w:trPr>
          <w:trHeight w:val="209"/>
        </w:trPr>
        <w:tc>
          <w:tcPr>
            <w:tcW w:w="7780" w:type="dxa"/>
            <w:vAlign w:val="bottom"/>
          </w:tcPr>
          <w:p>
            <w:pPr>
              <w:ind w:left="200"/>
              <w:spacing w:after="0"/>
              <w:rPr>
                <w:sz w:val="20"/>
                <w:szCs w:val="20"/>
                <w:color w:val="auto"/>
              </w:rPr>
            </w:pPr>
            <w:r>
              <w:rPr>
                <w:rFonts w:ascii="Arial" w:cs="Arial" w:eastAsia="Arial" w:hAnsi="Arial"/>
                <w:sz w:val="16"/>
                <w:szCs w:val="16"/>
                <w:color w:val="auto"/>
              </w:rPr>
              <w:t>Total debt</w:t>
            </w:r>
          </w:p>
        </w:tc>
        <w:tc>
          <w:tcPr>
            <w:tcW w:w="10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4,401.2</w:t>
            </w:r>
          </w:p>
        </w:tc>
        <w:tc>
          <w:tcPr>
            <w:tcW w:w="42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4,667.9</w:t>
            </w:r>
          </w:p>
        </w:tc>
        <w:tc>
          <w:tcPr>
            <w:tcW w:w="4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stockholders' equity (excludes non-controlling interest)</w:t>
            </w:r>
          </w:p>
        </w:tc>
        <w:tc>
          <w:tcPr>
            <w:tcW w:w="10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3,215.3</w:t>
            </w: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2,994.9</w:t>
            </w:r>
          </w:p>
        </w:tc>
        <w:tc>
          <w:tcPr>
            <w:tcW w:w="40" w:type="dxa"/>
            <w:vAlign w:val="bottom"/>
          </w:tcPr>
          <w:p>
            <w:pPr>
              <w:spacing w:after="0"/>
              <w:rPr>
                <w:sz w:val="18"/>
                <w:szCs w:val="18"/>
                <w:color w:val="auto"/>
              </w:rPr>
            </w:pPr>
          </w:p>
        </w:tc>
      </w:tr>
      <w:tr>
        <w:trPr>
          <w:trHeight w:val="210"/>
        </w:trPr>
        <w:tc>
          <w:tcPr>
            <w:tcW w:w="7780" w:type="dxa"/>
            <w:vAlign w:val="bottom"/>
          </w:tcPr>
          <w:p>
            <w:pPr>
              <w:ind w:left="200"/>
              <w:spacing w:after="0"/>
              <w:rPr>
                <w:sz w:val="20"/>
                <w:szCs w:val="20"/>
                <w:color w:val="auto"/>
              </w:rPr>
            </w:pPr>
            <w:r>
              <w:rPr>
                <w:rFonts w:ascii="Arial" w:cs="Arial" w:eastAsia="Arial" w:hAnsi="Arial"/>
                <w:sz w:val="16"/>
                <w:szCs w:val="16"/>
                <w:color w:val="auto"/>
              </w:rPr>
              <w:t>Total capitalization</w:t>
            </w:r>
          </w:p>
        </w:tc>
        <w:tc>
          <w:tcPr>
            <w:tcW w:w="1040" w:type="dxa"/>
            <w:vAlign w:val="bottom"/>
          </w:tcPr>
          <w:p>
            <w:pPr>
              <w:jc w:val="right"/>
              <w:ind w:right="8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7,616.5</w:t>
            </w:r>
          </w:p>
        </w:tc>
        <w:tc>
          <w:tcPr>
            <w:tcW w:w="42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7,662.8</w:t>
            </w:r>
          </w:p>
        </w:tc>
        <w:tc>
          <w:tcPr>
            <w:tcW w:w="40" w:type="dxa"/>
            <w:vAlign w:val="bottom"/>
          </w:tcPr>
          <w:p>
            <w:pPr>
              <w:spacing w:after="0"/>
              <w:rPr>
                <w:sz w:val="18"/>
                <w:szCs w:val="18"/>
                <w:color w:val="auto"/>
              </w:rPr>
            </w:pPr>
          </w:p>
        </w:tc>
      </w:tr>
      <w:tr>
        <w:trPr>
          <w:trHeight w:val="217"/>
        </w:trPr>
        <w:tc>
          <w:tcPr>
            <w:tcW w:w="77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189"/>
        </w:trPr>
        <w:tc>
          <w:tcPr>
            <w:tcW w:w="7780" w:type="dxa"/>
            <w:vAlign w:val="bottom"/>
          </w:tcPr>
          <w:p>
            <w:pPr>
              <w:ind w:left="20"/>
              <w:spacing w:after="0"/>
              <w:rPr>
                <w:sz w:val="20"/>
                <w:szCs w:val="20"/>
                <w:color w:val="auto"/>
              </w:rPr>
            </w:pPr>
            <w:r>
              <w:rPr>
                <w:rFonts w:ascii="Arial" w:cs="Arial" w:eastAsia="Arial" w:hAnsi="Arial"/>
                <w:sz w:val="16"/>
                <w:szCs w:val="16"/>
                <w:color w:val="auto"/>
              </w:rPr>
              <w:t>Debt to capitalization</w:t>
            </w:r>
          </w:p>
        </w:tc>
        <w:tc>
          <w:tcPr>
            <w:tcW w:w="1040" w:type="dxa"/>
            <w:vAlign w:val="bottom"/>
          </w:tcPr>
          <w:p>
            <w:pPr>
              <w:spacing w:after="0"/>
              <w:rPr>
                <w:sz w:val="16"/>
                <w:szCs w:val="16"/>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57.8 %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60.9 %</w:t>
            </w:r>
          </w:p>
        </w:tc>
      </w:tr>
      <w:tr>
        <w:trPr>
          <w:trHeight w:val="243"/>
        </w:trPr>
        <w:tc>
          <w:tcPr>
            <w:tcW w:w="7780" w:type="dxa"/>
            <w:vAlign w:val="bottom"/>
          </w:tcPr>
          <w:p>
            <w:pPr>
              <w:ind w:left="20"/>
              <w:spacing w:after="0"/>
              <w:rPr>
                <w:sz w:val="20"/>
                <w:szCs w:val="20"/>
                <w:color w:val="auto"/>
              </w:rPr>
            </w:pPr>
            <w:r>
              <w:rPr>
                <w:rFonts w:ascii="Arial" w:cs="Arial" w:eastAsia="Arial" w:hAnsi="Arial"/>
                <w:sz w:val="16"/>
                <w:szCs w:val="16"/>
                <w:color w:val="auto"/>
              </w:rPr>
              <w:t xml:space="preserve">Net debt to capitalization </w:t>
            </w:r>
            <w:r>
              <w:rPr>
                <w:rFonts w:ascii="Arial" w:cs="Arial" w:eastAsia="Arial" w:hAnsi="Arial"/>
                <w:sz w:val="21"/>
                <w:szCs w:val="21"/>
                <w:color w:val="auto"/>
                <w:vertAlign w:val="superscript"/>
              </w:rPr>
              <w:t>(b)</w:t>
            </w:r>
          </w:p>
        </w:tc>
        <w:tc>
          <w:tcPr>
            <w:tcW w:w="1040" w:type="dxa"/>
            <w:vAlign w:val="bottom"/>
          </w:tcPr>
          <w:p>
            <w:pPr>
              <w:spacing w:after="0"/>
              <w:rPr>
                <w:sz w:val="21"/>
                <w:szCs w:val="21"/>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57.3 %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60.8 %</w:t>
            </w: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Long-term debt to total debt</w:t>
            </w:r>
          </w:p>
        </w:tc>
        <w:tc>
          <w:tcPr>
            <w:tcW w:w="1040" w:type="dxa"/>
            <w:vAlign w:val="bottom"/>
          </w:tcPr>
          <w:p>
            <w:pPr>
              <w:spacing w:after="0"/>
              <w:rPr>
                <w:sz w:val="18"/>
                <w:szCs w:val="18"/>
                <w:color w:val="auto"/>
              </w:rPr>
            </w:pPr>
          </w:p>
        </w:tc>
        <w:tc>
          <w:tcPr>
            <w:tcW w:w="1080" w:type="dxa"/>
            <w:vAlign w:val="bottom"/>
            <w:gridSpan w:val="2"/>
          </w:tcPr>
          <w:p>
            <w:pPr>
              <w:jc w:val="right"/>
              <w:ind w:right="239"/>
              <w:spacing w:after="0"/>
              <w:rPr>
                <w:sz w:val="20"/>
                <w:szCs w:val="20"/>
                <w:color w:val="auto"/>
              </w:rPr>
            </w:pPr>
            <w:r>
              <w:rPr>
                <w:rFonts w:ascii="Arial" w:cs="Arial" w:eastAsia="Arial" w:hAnsi="Arial"/>
                <w:sz w:val="16"/>
                <w:szCs w:val="16"/>
                <w:color w:val="auto"/>
              </w:rPr>
              <w:t>86.4 %</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77.3 %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190309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1" w:lineRule="exact"/>
        <w:rPr>
          <w:sz w:val="20"/>
          <w:szCs w:val="20"/>
          <w:color w:val="auto"/>
        </w:rPr>
      </w:pPr>
    </w:p>
    <w:p>
      <w:pPr>
        <w:ind w:left="520" w:right="140" w:hanging="512"/>
        <w:spacing w:after="0" w:line="271" w:lineRule="auto"/>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Available capacity under Revolving Credit Facility and CP Program represents $750 million of total borrowing capacity less outstanding borrowings and letters of credit. See </w:t>
      </w:r>
      <w:r>
        <w:rPr>
          <w:rFonts w:ascii="Arial" w:cs="Arial" w:eastAsia="Arial" w:hAnsi="Arial"/>
          <w:sz w:val="14"/>
          <w:szCs w:val="14"/>
          <w:u w:val="single" w:color="auto"/>
          <w:color w:val="0000FF"/>
        </w:rPr>
        <w:t>Note 8</w:t>
      </w:r>
      <w:r>
        <w:rPr>
          <w:rFonts w:ascii="Arial" w:cs="Arial" w:eastAsia="Arial" w:hAnsi="Arial"/>
          <w:sz w:val="14"/>
          <w:szCs w:val="14"/>
          <w:color w:val="auto"/>
        </w:rPr>
        <w:t xml:space="preserve"> of the Notes to Consolidated Financial Statements in this Annual Report on Form 10-K for more information.</w:t>
      </w:r>
    </w:p>
    <w:p>
      <w:pPr>
        <w:ind w:left="520" w:hanging="512"/>
        <w:spacing w:after="0"/>
        <w:tabs>
          <w:tab w:leader="none" w:pos="5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debt to capitalization ratio is net of Cash and cash equivalents for both Total debt and 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-130175</wp:posOffset>
            </wp:positionV>
            <wp:extent cx="2692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924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our cash flows for the years ended December 31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80" w:type="dxa"/>
            <w:vAlign w:val="bottom"/>
          </w:tcPr>
          <w:p>
            <w:pPr>
              <w:spacing w:after="0"/>
              <w:rPr>
                <w:sz w:val="20"/>
                <w:szCs w:val="20"/>
                <w:color w:val="auto"/>
              </w:rPr>
            </w:pPr>
            <w:r>
              <w:rPr>
                <w:rFonts w:ascii="Arial" w:cs="Arial" w:eastAsia="Arial" w:hAnsi="Arial"/>
                <w:sz w:val="16"/>
                <w:szCs w:val="16"/>
                <w:b w:val="1"/>
                <w:bCs w:val="1"/>
                <w:color w:val="auto"/>
              </w:rPr>
              <w:t>Operating Activities: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5"/>
        </w:trPr>
        <w:tc>
          <w:tcPr>
            <w:tcW w:w="5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2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2023 vs 2022</w:t>
            </w: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1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2022 vs 2021</w:t>
            </w:r>
          </w:p>
        </w:tc>
        <w:tc>
          <w:tcPr>
            <w:tcW w:w="0" w:type="dxa"/>
            <w:vAlign w:val="bottom"/>
          </w:tcPr>
          <w:p>
            <w:pPr>
              <w:spacing w:after="0"/>
              <w:rPr>
                <w:sz w:val="1"/>
                <w:szCs w:val="1"/>
                <w:color w:val="auto"/>
              </w:rPr>
            </w:pPr>
          </w:p>
        </w:tc>
      </w:tr>
      <w:tr>
        <w:trPr>
          <w:trHeight w:val="210"/>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4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276.0</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270.8</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251.2</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5"/>
        </w:trPr>
        <w:tc>
          <w:tcPr>
            <w:tcW w:w="5480" w:type="dxa"/>
            <w:vAlign w:val="bottom"/>
          </w:tcPr>
          <w:p>
            <w:pPr>
              <w:ind w:left="20"/>
              <w:spacing w:after="0"/>
              <w:rPr>
                <w:sz w:val="20"/>
                <w:szCs w:val="20"/>
                <w:color w:val="auto"/>
              </w:rPr>
            </w:pPr>
            <w:r>
              <w:rPr>
                <w:rFonts w:ascii="Arial" w:cs="Arial" w:eastAsia="Arial" w:hAnsi="Arial"/>
                <w:sz w:val="16"/>
                <w:szCs w:val="16"/>
                <w:color w:val="auto"/>
              </w:rPr>
              <w:t>Non-cash adjustments to Net income</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313.5</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295.7</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17.8</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276.6</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0"/>
        </w:trPr>
        <w:tc>
          <w:tcPr>
            <w:tcW w:w="54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 earnings</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589.5</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566.5</w:t>
            </w: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23.0</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527.8</w:t>
            </w:r>
          </w:p>
        </w:tc>
        <w:tc>
          <w:tcPr>
            <w:tcW w:w="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38.7</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auto"/>
              </w:rPr>
              <w:t>Changes in certain operating assets and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and other current assets</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255.9</w:t>
            </w: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(259.9 )</w:t>
            </w:r>
          </w:p>
        </w:tc>
        <w:tc>
          <w:tcPr>
            <w:tcW w:w="3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515.8</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(78.9 )</w:t>
            </w:r>
          </w:p>
        </w:tc>
        <w:tc>
          <w:tcPr>
            <w:tcW w:w="3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(181.0 )</w:t>
            </w:r>
          </w:p>
        </w:tc>
        <w:tc>
          <w:tcPr>
            <w:tcW w:w="0" w:type="dxa"/>
            <w:vAlign w:val="bottom"/>
          </w:tcPr>
          <w:p>
            <w:pPr>
              <w:spacing w:after="0"/>
              <w:rPr>
                <w:sz w:val="1"/>
                <w:szCs w:val="1"/>
                <w:color w:val="auto"/>
              </w:rPr>
            </w:pPr>
          </w:p>
        </w:tc>
      </w:tr>
      <w:tr>
        <w:trPr>
          <w:trHeight w:val="215"/>
        </w:trPr>
        <w:tc>
          <w:tcPr>
            <w:tcW w:w="5480" w:type="dxa"/>
            <w:vAlign w:val="bottom"/>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(109.9 )</w:t>
            </w:r>
          </w:p>
        </w:tc>
        <w:tc>
          <w:tcPr>
            <w:tcW w:w="220" w:type="dxa"/>
            <w:vAlign w:val="bottom"/>
          </w:tcPr>
          <w:p>
            <w:pPr>
              <w:spacing w:after="0"/>
              <w:rPr>
                <w:sz w:val="18"/>
                <w:szCs w:val="18"/>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89.4</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(199.3 )</w:t>
            </w:r>
          </w:p>
        </w:tc>
        <w:tc>
          <w:tcPr>
            <w:tcW w:w="200" w:type="dxa"/>
            <w:vAlign w:val="bottom"/>
          </w:tcPr>
          <w:p>
            <w:pPr>
              <w:spacing w:after="0"/>
              <w:rPr>
                <w:sz w:val="18"/>
                <w:szCs w:val="18"/>
                <w:color w:val="auto"/>
              </w:rPr>
            </w:pP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10.6</w:t>
            </w:r>
          </w:p>
        </w:tc>
        <w:tc>
          <w:tcPr>
            <w:tcW w:w="360" w:type="dxa"/>
            <w:vAlign w:val="bottom"/>
          </w:tcPr>
          <w:p>
            <w:pPr>
              <w:spacing w:after="0"/>
              <w:rPr>
                <w:sz w:val="18"/>
                <w:szCs w:val="18"/>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7"/>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Regulatory assets and liabilities</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236.8</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203.9</w:t>
            </w: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32.9</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(524.2 )</w:t>
            </w:r>
          </w:p>
        </w:tc>
        <w:tc>
          <w:tcPr>
            <w:tcW w:w="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728.1</w:t>
            </w:r>
          </w:p>
        </w:tc>
        <w:tc>
          <w:tcPr>
            <w:tcW w:w="0" w:type="dxa"/>
            <w:vAlign w:val="bottom"/>
          </w:tcPr>
          <w:p>
            <w:pPr>
              <w:spacing w:after="0"/>
              <w:rPr>
                <w:sz w:val="1"/>
                <w:szCs w:val="1"/>
                <w:color w:val="auto"/>
              </w:rPr>
            </w:pPr>
          </w:p>
        </w:tc>
      </w:tr>
      <w:tr>
        <w:trPr>
          <w:trHeight w:val="209"/>
        </w:trPr>
        <w:tc>
          <w:tcPr>
            <w:tcW w:w="5480" w:type="dxa"/>
            <w:vAlign w:val="bottom"/>
          </w:tcPr>
          <w:p>
            <w:pPr>
              <w:ind w:left="120"/>
              <w:spacing w:after="0"/>
              <w:rPr>
                <w:sz w:val="20"/>
                <w:szCs w:val="20"/>
                <w:color w:val="auto"/>
              </w:rPr>
            </w:pPr>
            <w:r>
              <w:rPr>
                <w:rFonts w:ascii="Arial" w:cs="Arial" w:eastAsia="Arial" w:hAnsi="Arial"/>
                <w:sz w:val="16"/>
                <w:szCs w:val="16"/>
                <w:color w:val="auto"/>
              </w:rPr>
              <w:t>Net inflow (outflow) from changes in certain operating assets and liabilities</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382.8</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33.4</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349.4</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(592.5 )</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625.9</w:t>
            </w:r>
          </w:p>
        </w:tc>
        <w:tc>
          <w:tcPr>
            <w:tcW w:w="0" w:type="dxa"/>
            <w:vAlign w:val="bottom"/>
          </w:tcPr>
          <w:p>
            <w:pPr>
              <w:spacing w:after="0"/>
              <w:rPr>
                <w:sz w:val="1"/>
                <w:szCs w:val="1"/>
                <w:color w:val="auto"/>
              </w:rPr>
            </w:pPr>
          </w:p>
        </w:tc>
      </w:tr>
      <w:tr>
        <w:trPr>
          <w:trHeight w:val="209"/>
        </w:trPr>
        <w:tc>
          <w:tcPr>
            <w:tcW w:w="5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(27.9 )</w:t>
            </w: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(15.1 )</w:t>
            </w:r>
          </w:p>
        </w:tc>
        <w:tc>
          <w:tcPr>
            <w:tcW w:w="3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(12.8 )</w:t>
            </w: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3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210"/>
        </w:trPr>
        <w:tc>
          <w:tcPr>
            <w:tcW w:w="5480" w:type="dxa"/>
            <w:vAlign w:val="bottom"/>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4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944.4</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584.8</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359.6</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179"/>
              <w:spacing w:after="0"/>
              <w:rPr>
                <w:sz w:val="20"/>
                <w:szCs w:val="20"/>
                <w:color w:val="auto"/>
              </w:rPr>
            </w:pPr>
            <w:r>
              <w:rPr>
                <w:rFonts w:ascii="Arial" w:cs="Arial" w:eastAsia="Arial" w:hAnsi="Arial"/>
                <w:sz w:val="16"/>
                <w:szCs w:val="16"/>
                <w:color w:val="auto"/>
              </w:rPr>
              <w:t>(64.6 ) $</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649.4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47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480" w:type="dxa"/>
            <w:vAlign w:val="bottom"/>
          </w:tcPr>
          <w:p>
            <w:pPr>
              <w:spacing w:after="0"/>
              <w:rPr>
                <w:sz w:val="24"/>
                <w:szCs w:val="24"/>
                <w:color w:val="auto"/>
              </w:rPr>
            </w:pPr>
          </w:p>
        </w:tc>
        <w:tc>
          <w:tcPr>
            <w:tcW w:w="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5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Compared to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was $359.6 million higher which was attributable to:</w:t>
      </w:r>
    </w:p>
    <w:p>
      <w:pPr>
        <w:spacing w:after="0" w:line="194" w:lineRule="exact"/>
        <w:rPr>
          <w:sz w:val="20"/>
          <w:szCs w:val="20"/>
          <w:color w:val="auto"/>
        </w:rPr>
      </w:pPr>
    </w:p>
    <w:p>
      <w:pPr>
        <w:ind w:left="1020" w:right="80" w:hanging="503"/>
        <w:spacing w:after="0" w:line="285" w:lineRule="auto"/>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Total earnings (net income plus non-cash adjustments) were $23.0 million higher than prior year primarily as a result of increased Electric and Gas Utility margins due to new rates and increased rider revenues partially offset by higher operating expenses and higher interest expense.</w:t>
      </w:r>
    </w:p>
    <w:p>
      <w:pPr>
        <w:spacing w:after="0" w:line="129"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37"/>
        </w:numPr>
        <w:rPr>
          <w:rFonts w:ascii="Times New Roman" w:cs="Times New Roman" w:eastAsia="Times New Roman" w:hAnsi="Times New Roman"/>
          <w:sz w:val="16"/>
          <w:szCs w:val="16"/>
          <w:color w:val="auto"/>
        </w:rPr>
      </w:pPr>
      <w:r>
        <w:rPr>
          <w:rFonts w:ascii="Arial" w:cs="Arial" w:eastAsia="Arial" w:hAnsi="Arial"/>
          <w:sz w:val="16"/>
          <w:szCs w:val="16"/>
          <w:color w:val="auto"/>
        </w:rPr>
        <w:t>Net inflows from changes in certain operating assets and liabilities were $349.4 million higher than prior year, primarily attributable to:</w:t>
      </w:r>
    </w:p>
    <w:p>
      <w:pPr>
        <w:spacing w:after="0" w:line="220" w:lineRule="exact"/>
        <w:rPr>
          <w:sz w:val="20"/>
          <w:szCs w:val="20"/>
          <w:color w:val="auto"/>
        </w:rPr>
      </w:pPr>
    </w:p>
    <w:p>
      <w:pPr>
        <w:ind w:left="1780" w:right="220" w:hanging="515"/>
        <w:spacing w:after="0" w:line="250" w:lineRule="auto"/>
        <w:tabs>
          <w:tab w:leader="none" w:pos="1780" w:val="left"/>
        </w:tabs>
        <w:numPr>
          <w:ilvl w:val="1"/>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Cash inflows increased by approximately $515.8 million as a result of changes in accounts receivable and other current assets primarily due to higher collections on pass-through revenues and lower natural gas in storage inventories driven by fluctuations in commodity prices and timing of injections and withdrawals;</w:t>
      </w:r>
    </w:p>
    <w:p>
      <w:pPr>
        <w:spacing w:after="0" w:line="170" w:lineRule="exact"/>
        <w:rPr>
          <w:rFonts w:ascii="Times New Roman" w:cs="Times New Roman" w:eastAsia="Times New Roman" w:hAnsi="Times New Roman"/>
          <w:sz w:val="18"/>
          <w:szCs w:val="18"/>
          <w:color w:val="auto"/>
        </w:rPr>
      </w:pPr>
    </w:p>
    <w:p>
      <w:pPr>
        <w:ind w:left="1780" w:right="200" w:hanging="515"/>
        <w:spacing w:after="0" w:line="250" w:lineRule="auto"/>
        <w:tabs>
          <w:tab w:leader="none" w:pos="1780" w:val="left"/>
        </w:tabs>
        <w:numPr>
          <w:ilvl w:val="1"/>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Cash outflows increased by approximately $199.3 million as a result of decreases in accounts payable and other current liabilities primarily driven by fluctuations in commodity prices, payment timing of natural gas and power purchases and changes in other working capital requirements; and</w:t>
      </w:r>
    </w:p>
    <w:p>
      <w:pPr>
        <w:spacing w:after="0" w:line="170" w:lineRule="exact"/>
        <w:rPr>
          <w:rFonts w:ascii="Times New Roman" w:cs="Times New Roman" w:eastAsia="Times New Roman" w:hAnsi="Times New Roman"/>
          <w:sz w:val="18"/>
          <w:szCs w:val="18"/>
          <w:color w:val="auto"/>
        </w:rPr>
      </w:pPr>
    </w:p>
    <w:p>
      <w:pPr>
        <w:ind w:left="1780" w:right="100" w:hanging="515"/>
        <w:spacing w:after="0" w:line="256" w:lineRule="auto"/>
        <w:tabs>
          <w:tab w:leader="none" w:pos="1780" w:val="left"/>
        </w:tabs>
        <w:numPr>
          <w:ilvl w:val="1"/>
          <w:numId w:val="38"/>
        </w:numPr>
        <w:rPr>
          <w:rFonts w:ascii="Times New Roman" w:cs="Times New Roman" w:eastAsia="Times New Roman" w:hAnsi="Times New Roman"/>
          <w:sz w:val="18"/>
          <w:szCs w:val="18"/>
          <w:color w:val="auto"/>
        </w:rPr>
      </w:pPr>
      <w:r>
        <w:rPr>
          <w:rFonts w:ascii="Arial" w:cs="Arial" w:eastAsia="Arial" w:hAnsi="Arial"/>
          <w:sz w:val="16"/>
          <w:szCs w:val="16"/>
          <w:color w:val="auto"/>
        </w:rPr>
        <w:t>Cash inflows increased by approximately $32.9 million as a result of changes in our regulatory assets and liabilities primarily due to higher recoveries of deferred gas and fuel cost adjustments driven by fluctuations in commodity prices.</w:t>
      </w:r>
    </w:p>
    <w:p>
      <w:pPr>
        <w:spacing w:after="0" w:line="14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$12.8 million from other operating activities primarily due to higher costs from cloud computing arrangements.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386"/>
        </w:trPr>
        <w:tc>
          <w:tcPr>
            <w:tcW w:w="4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1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 vs 2022</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2022 vs 2021</w:t>
            </w:r>
          </w:p>
        </w:tc>
      </w:tr>
      <w:tr>
        <w:trPr>
          <w:trHeight w:val="209"/>
        </w:trPr>
        <w:tc>
          <w:tcPr>
            <w:tcW w:w="4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Capital expenditures</w:t>
            </w:r>
          </w:p>
        </w:tc>
        <w:tc>
          <w:tcPr>
            <w:tcW w:w="2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(555.6 ) $</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(604.4 ) $</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48.8</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(677.5 ) $</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73.1</w:t>
            </w:r>
          </w:p>
        </w:tc>
      </w:tr>
      <w:tr>
        <w:trPr>
          <w:trHeight w:val="215"/>
        </w:trPr>
        <w:tc>
          <w:tcPr>
            <w:tcW w:w="4940" w:type="dxa"/>
            <w:vAlign w:val="bottom"/>
          </w:tcPr>
          <w:p>
            <w:pPr>
              <w:ind w:left="20"/>
              <w:spacing w:after="0"/>
              <w:rPr>
                <w:sz w:val="20"/>
                <w:szCs w:val="20"/>
                <w:color w:val="auto"/>
              </w:rPr>
            </w:pPr>
            <w:r>
              <w:rPr>
                <w:rFonts w:ascii="Arial" w:cs="Arial" w:eastAsia="Arial" w:hAnsi="Arial"/>
                <w:sz w:val="16"/>
                <w:szCs w:val="16"/>
                <w:color w:val="auto"/>
              </w:rPr>
              <w:t>Other investing activities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18.9</w:t>
            </w:r>
          </w:p>
        </w:tc>
        <w:tc>
          <w:tcPr>
            <w:tcW w:w="11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0.5</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13.3</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(12.8 )</w:t>
            </w:r>
          </w:p>
        </w:tc>
      </w:tr>
      <w:tr>
        <w:trPr>
          <w:trHeight w:val="250"/>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(536.7 ) $</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(603.9 ) $</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67.2</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(664.2 ) $</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Compared to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was $67.2 million lower which was attributable to:</w:t>
      </w:r>
    </w:p>
    <w:p>
      <w:pPr>
        <w:spacing w:after="0" w:line="194" w:lineRule="exact"/>
        <w:rPr>
          <w:sz w:val="20"/>
          <w:szCs w:val="20"/>
          <w:color w:val="auto"/>
        </w:rPr>
      </w:pPr>
    </w:p>
    <w:p>
      <w:pPr>
        <w:ind w:left="1020" w:right="40" w:hanging="503"/>
        <w:spacing w:after="0" w:line="266"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from capital expenditures (which are net of $33.8 million contributions in aid of construction) decreased $48.8 million as a result of lower programmatic safety, reliability and integrity spending at our Gas and Electric Utilities and higher receipts related to contributions in aid of construction driven by strategic projects in Wyoming;</w:t>
      </w:r>
    </w:p>
    <w:p>
      <w:pPr>
        <w:spacing w:after="0" w:line="143"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39"/>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$18.4 million for other investing activities primarily due to proceeds from the sale of Northern Iowa Windpower assets and the strategic sale of land in Wyoming.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0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85"/>
        </w:trPr>
        <w:tc>
          <w:tcPr>
            <w:tcW w:w="4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2023</w:t>
            </w: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 vs 2022</w:t>
            </w: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 vs 2021</w:t>
            </w:r>
          </w:p>
        </w:tc>
      </w:tr>
      <w:tr>
        <w:trPr>
          <w:trHeight w:val="210"/>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paid on common stock</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(168.1 ) $</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(156.7 ) $</w:t>
            </w:r>
          </w:p>
        </w:tc>
        <w:tc>
          <w:tcPr>
            <w:tcW w:w="15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(11.4 ) $</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(145.0 ) $</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(11.7 )</w:t>
            </w: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Common stock issued</w:t>
            </w:r>
          </w:p>
        </w:tc>
        <w:tc>
          <w:tcPr>
            <w:tcW w:w="280" w:type="dxa"/>
            <w:vAlign w:val="bottom"/>
          </w:tcPr>
          <w:p>
            <w:pPr>
              <w:spacing w:after="0"/>
              <w:rPr>
                <w:sz w:val="18"/>
                <w:szCs w:val="18"/>
                <w:color w:val="auto"/>
              </w:rPr>
            </w:pPr>
          </w:p>
        </w:tc>
        <w:tc>
          <w:tcPr>
            <w:tcW w:w="1380" w:type="dxa"/>
            <w:vAlign w:val="bottom"/>
          </w:tcPr>
          <w:p>
            <w:pPr>
              <w:jc w:val="right"/>
              <w:ind w:right="339"/>
              <w:spacing w:after="0"/>
              <w:rPr>
                <w:sz w:val="20"/>
                <w:szCs w:val="20"/>
                <w:color w:val="auto"/>
              </w:rPr>
            </w:pPr>
            <w:r>
              <w:rPr>
                <w:rFonts w:ascii="Arial" w:cs="Arial" w:eastAsia="Arial" w:hAnsi="Arial"/>
                <w:sz w:val="16"/>
                <w:szCs w:val="16"/>
                <w:color w:val="auto"/>
              </w:rPr>
              <w:t>118.3</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8"/>
                <w:szCs w:val="18"/>
                <w:color w:val="auto"/>
              </w:rPr>
            </w:pPr>
          </w:p>
        </w:tc>
        <w:tc>
          <w:tcPr>
            <w:tcW w:w="1500" w:type="dxa"/>
            <w:vAlign w:val="bottom"/>
          </w:tcPr>
          <w:p>
            <w:pPr>
              <w:jc w:val="right"/>
              <w:ind w:right="319"/>
              <w:spacing w:after="0"/>
              <w:rPr>
                <w:sz w:val="20"/>
                <w:szCs w:val="20"/>
                <w:color w:val="auto"/>
              </w:rPr>
            </w:pPr>
            <w:r>
              <w:rPr>
                <w:rFonts w:ascii="Arial" w:cs="Arial" w:eastAsia="Arial" w:hAnsi="Arial"/>
                <w:sz w:val="16"/>
                <w:szCs w:val="16"/>
                <w:color w:val="auto"/>
              </w:rPr>
              <w:t>28.2</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119.0</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(28.9 )</w:t>
            </w:r>
          </w:p>
        </w:tc>
      </w:tr>
      <w:tr>
        <w:trPr>
          <w:trHeight w:val="217"/>
        </w:trPr>
        <w:tc>
          <w:tcPr>
            <w:tcW w:w="4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debt (repayments), net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(260.6 )</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(376.0 )</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777.7</w:t>
            </w: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(662.3 )</w:t>
            </w:r>
          </w:p>
        </w:tc>
      </w:tr>
      <w:tr>
        <w:trPr>
          <w:trHeight w:val="215"/>
        </w:trPr>
        <w:tc>
          <w:tcPr>
            <w:tcW w:w="4500" w:type="dxa"/>
            <w:vAlign w:val="bottom"/>
          </w:tcPr>
          <w:p>
            <w:pPr>
              <w:ind w:left="20"/>
              <w:spacing w:after="0"/>
              <w:rPr>
                <w:sz w:val="20"/>
                <w:szCs w:val="20"/>
                <w:color w:val="auto"/>
              </w:rPr>
            </w:pPr>
            <w:r>
              <w:rPr>
                <w:rFonts w:ascii="Arial" w:cs="Arial" w:eastAsia="Arial" w:hAnsi="Arial"/>
                <w:sz w:val="16"/>
                <w:szCs w:val="16"/>
                <w:color w:val="auto"/>
              </w:rPr>
              <w:t>Distributions to non-controlling interests</w:t>
            </w:r>
          </w:p>
        </w:tc>
        <w:tc>
          <w:tcPr>
            <w:tcW w:w="280" w:type="dxa"/>
            <w:vAlign w:val="bottom"/>
          </w:tcPr>
          <w:p>
            <w:pPr>
              <w:spacing w:after="0"/>
              <w:rPr>
                <w:sz w:val="18"/>
                <w:szCs w:val="18"/>
                <w:color w:val="auto"/>
              </w:rPr>
            </w:pPr>
          </w:p>
        </w:tc>
        <w:tc>
          <w:tcPr>
            <w:tcW w:w="1380" w:type="dxa"/>
            <w:vAlign w:val="bottom"/>
          </w:tcPr>
          <w:p>
            <w:pPr>
              <w:jc w:val="right"/>
              <w:ind w:right="259"/>
              <w:spacing w:after="0"/>
              <w:rPr>
                <w:sz w:val="20"/>
                <w:szCs w:val="20"/>
                <w:color w:val="auto"/>
              </w:rPr>
            </w:pPr>
            <w:r>
              <w:rPr>
                <w:rFonts w:ascii="Arial" w:cs="Arial" w:eastAsia="Arial" w:hAnsi="Arial"/>
                <w:sz w:val="16"/>
                <w:szCs w:val="16"/>
                <w:color w:val="auto"/>
              </w:rPr>
              <w:t>(18.3 )</w:t>
            </w:r>
          </w:p>
        </w:tc>
        <w:tc>
          <w:tcPr>
            <w:tcW w:w="1060" w:type="dxa"/>
            <w:vAlign w:val="bottom"/>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8"/>
                <w:szCs w:val="18"/>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(0.9 )</w:t>
            </w:r>
          </w:p>
        </w:tc>
        <w:tc>
          <w:tcPr>
            <w:tcW w:w="1060" w:type="dxa"/>
            <w:vAlign w:val="bottom"/>
          </w:tcPr>
          <w:p>
            <w:pPr>
              <w:jc w:val="right"/>
              <w:spacing w:after="0"/>
              <w:rPr>
                <w:sz w:val="20"/>
                <w:szCs w:val="20"/>
                <w:color w:val="auto"/>
              </w:rPr>
            </w:pPr>
            <w:r>
              <w:rPr>
                <w:rFonts w:ascii="Arial" w:cs="Arial" w:eastAsia="Arial" w:hAnsi="Arial"/>
                <w:sz w:val="16"/>
                <w:szCs w:val="16"/>
                <w:color w:val="auto"/>
              </w:rPr>
              <w:t>(15.7 )</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216"/>
        </w:trPr>
        <w:tc>
          <w:tcPr>
            <w:tcW w:w="45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(13.0 )</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(13.9 )</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(4.1 )</w:t>
            </w:r>
          </w:p>
        </w:tc>
        <w:tc>
          <w:tcPr>
            <w:tcW w:w="12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r>
      <w:tr>
        <w:trPr>
          <w:trHeight w:val="210"/>
        </w:trPr>
        <w:tc>
          <w:tcPr>
            <w:tcW w:w="450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(341.7 )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(374.0 ) $</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(699.6 )</w:t>
            </w: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2023 Compared to 2022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 was $374.0 million higher which was primarily attributable to:</w:t>
      </w:r>
    </w:p>
    <w:p>
      <w:pPr>
        <w:spacing w:after="0" w:line="194"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$11.4 million due to increased dividends paid on common stock;</w:t>
      </w:r>
    </w:p>
    <w:p>
      <w:pPr>
        <w:spacing w:after="0" w:line="206" w:lineRule="exact"/>
        <w:rPr>
          <w:rFonts w:ascii="Times New Roman" w:cs="Times New Roman" w:eastAsia="Times New Roman" w:hAnsi="Times New Roman"/>
          <w:sz w:val="16"/>
          <w:szCs w:val="16"/>
          <w:color w:val="auto"/>
        </w:rPr>
      </w:pPr>
    </w:p>
    <w:p>
      <w:pPr>
        <w:ind w:left="1020" w:hanging="503"/>
        <w:spacing w:after="0"/>
        <w:tabs>
          <w:tab w:leader="none" w:pos="102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Cash inflows increased $28.2 million due to higher issuances of common stock;</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1020" w:hanging="503"/>
        <w:spacing w:after="0"/>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Net outflows from changes in short-term and long-term debt (repayments) borrowings increased $376.0 million due to:</w:t>
      </w:r>
    </w:p>
    <w:p>
      <w:pPr>
        <w:spacing w:after="0" w:line="206"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outflows increased $651.0 million as a result of net repayment activity under our Revolving Credit Facility and CP Program;</w:t>
      </w:r>
    </w:p>
    <w:p>
      <w:pPr>
        <w:spacing w:after="0" w:line="207"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outflow of $525.0 million due to repayment of our senior unsecured notes on their November 30, 2023 maturity date; and</w:t>
      </w:r>
    </w:p>
    <w:p>
      <w:pPr>
        <w:spacing w:after="0" w:line="207" w:lineRule="exact"/>
        <w:rPr>
          <w:rFonts w:ascii="Times New Roman" w:cs="Times New Roman" w:eastAsia="Times New Roman" w:hAnsi="Times New Roman"/>
          <w:sz w:val="16"/>
          <w:szCs w:val="16"/>
          <w:color w:val="auto"/>
        </w:rPr>
      </w:pPr>
    </w:p>
    <w:p>
      <w:pPr>
        <w:ind w:left="10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color w:val="auto"/>
        </w:rPr>
        <w:t>Cash inflow of $800.0 million from the March 7, 2023 and September 15, 2023 debt offerings.</w:t>
      </w:r>
    </w:p>
    <w:p>
      <w:pPr>
        <w:spacing w:after="0" w:line="207" w:lineRule="exact"/>
        <w:rPr>
          <w:rFonts w:ascii="Times New Roman" w:cs="Times New Roman" w:eastAsia="Times New Roman" w:hAnsi="Times New Roman"/>
          <w:sz w:val="16"/>
          <w:szCs w:val="16"/>
          <w:color w:val="auto"/>
        </w:rPr>
      </w:pPr>
    </w:p>
    <w:p>
      <w:pPr>
        <w:ind w:left="1020" w:right="100" w:hanging="503"/>
        <w:spacing w:after="0" w:line="285" w:lineRule="auto"/>
        <w:tabs>
          <w:tab w:leader="none" w:pos="1020"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Cash outflows increased by $13.9 million for other financing activities primarily due to financing costs from the March 7, 2023 and September 15, 2023 debt offerings.</w:t>
      </w: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194"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 xml:space="preserve">We maintain an effective shelf registration statement with the SEC under which we may issue, from time to time, an unspecified amount of senior debt securities, subordinate debt securities, common stock, preferred stock, warrants and other securities.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recent updates regarding our shelf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4836160</wp:posOffset>
            </wp:positionH>
            <wp:positionV relativeFrom="paragraph">
              <wp:posOffset>-156210</wp:posOffset>
            </wp:positionV>
            <wp:extent cx="30289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We have a $750 million Revolving Credit Facility that matures on July 19, 2026, with two one-year extension options (subject to consent from lenders). This facility includes an accordion feature that allows us to increase total commitments up to $1.0 billion with the consent of the administrative agent, the issuing agents and each bank increasing or providing a new commitment. We also have a $750 million, unsecured CP Program that is backstopped by the Revolving Credit Facility. Amounts outstanding under the Revolving Credit Facility and the CP Program, either individually or in the aggregate, cannot exceed $750 million.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Revolving Credit Facility prohibits us from paying cash dividends if a default or an event of default exists prior to, or would result after, paying a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Although these contractual restrictions exist, we do not anticipate triggering any default measures or restrictions.</w:t>
      </w:r>
    </w:p>
    <w:p>
      <w:pPr>
        <w:spacing w:after="0" w:line="178"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Revolving Credit Facility contains cross-default provisions that could result in a default under such agreements if BHC or its material subsidiaries failed to 1) make timely payments of debt obligations; or 2) triggered other default provisions under any debt agreement totaling, in the aggregate principal amount of $50 million or more that permit the acceleration of debt maturities or mandatory debt prepayment.</w:t>
      </w:r>
    </w:p>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 for more information on our Revolving Credit Facility and CP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-165735</wp:posOffset>
            </wp:positionV>
            <wp:extent cx="30289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Utility Money Pool</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the utility money pool at market-based rates. While the utility money pool may borrow funds from the Company (as ultimate parent company), the money pool arrangement does not allow loans from our utility subsidiaries to the Company (as ultimate parent company) or to non-regulated affiliates.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on our long-term debt,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-4445</wp:posOffset>
            </wp:positionV>
            <wp:extent cx="30289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 Requirements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Revolving Credit Facility and Wyoming Electric’s financing agreements contain covenant requirements. We were in compliance with these covenants as of December 31, 2023.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-45720</wp:posOffset>
            </wp:positionV>
            <wp:extent cx="30289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information regarding equity,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1706880</wp:posOffset>
            </wp:positionH>
            <wp:positionV relativeFrom="paragraph">
              <wp:posOffset>-4445</wp:posOffset>
            </wp:positionV>
            <wp:extent cx="30289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Financing Plans</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will continue to assess debt and equity needs to support our capital investment plans and other strategic objectives. We plan to fund our capital plan and strategic objectives by using cash generated from operating activities and various financing alternatives, which could include our Revolving Credit Facility, our CP Program, debt offerings, the issuance of common stock under our ATM program or in an opportunistic block trade. We also plan to re-finance our $600 million, 1.0375%, senior unsecured notes due August 2024, at or before maturity date.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RATINGS</w:t>
      </w:r>
    </w:p>
    <w:p>
      <w:pPr>
        <w:spacing w:after="0" w:line="194"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We note that credit ratings are not recommendations to buy, sell, or hold securities and may be subject to revision or withdrawal at any time by the assigning rating agency. Each rating should be evaluated independently of any other rating.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credit ratings, outlook and risk profile of BHC at December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Borders>
              <w:bottom w:val="single" w:sz="8" w:color="auto"/>
            </w:tcBorders>
          </w:tcPr>
          <w:p>
            <w:pPr>
              <w:ind w:left="2000"/>
              <w:spacing w:after="0"/>
              <w:rPr>
                <w:sz w:val="20"/>
                <w:szCs w:val="20"/>
                <w:color w:val="auto"/>
              </w:rPr>
            </w:pPr>
            <w:r>
              <w:rPr>
                <w:rFonts w:ascii="Arial" w:cs="Arial" w:eastAsia="Arial" w:hAnsi="Arial"/>
                <w:sz w:val="16"/>
                <w:szCs w:val="16"/>
                <w:b w:val="1"/>
                <w:bCs w:val="1"/>
                <w:color w:val="auto"/>
              </w:rPr>
              <w:t>Rating Agency</w:t>
            </w:r>
          </w:p>
        </w:tc>
        <w:tc>
          <w:tcPr>
            <w:tcW w:w="422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Senior Unsecured Rating</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Outlook</w:t>
            </w:r>
          </w:p>
        </w:tc>
      </w:tr>
      <w:tr>
        <w:trPr>
          <w:trHeight w:val="210"/>
        </w:trPr>
        <w:tc>
          <w:tcPr>
            <w:tcW w:w="4540" w:type="dxa"/>
            <w:vAlign w:val="bottom"/>
            <w:shd w:val="clear" w:color="auto" w:fill="CFF0FC"/>
          </w:tcPr>
          <w:p>
            <w:pPr>
              <w:ind w:left="20"/>
              <w:spacing w:after="0" w:line="210"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422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rPr>
              <w:t>BBB+</w:t>
            </w: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Stable</w:t>
            </w:r>
          </w:p>
        </w:tc>
      </w:tr>
      <w:tr>
        <w:trPr>
          <w:trHeight w:val="216"/>
        </w:trPr>
        <w:tc>
          <w:tcPr>
            <w:tcW w:w="4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Moody’s </w:t>
            </w:r>
            <w:r>
              <w:rPr>
                <w:rFonts w:ascii="Arial" w:cs="Arial" w:eastAsia="Arial" w:hAnsi="Arial"/>
                <w:sz w:val="21"/>
                <w:szCs w:val="21"/>
                <w:color w:val="auto"/>
                <w:vertAlign w:val="superscript"/>
              </w:rPr>
              <w:t>(b)</w:t>
            </w:r>
          </w:p>
        </w:tc>
        <w:tc>
          <w:tcPr>
            <w:tcW w:w="4220" w:type="dxa"/>
            <w:vAlign w:val="bottom"/>
          </w:tcPr>
          <w:p>
            <w:pPr>
              <w:jc w:val="center"/>
              <w:ind w:left="439"/>
              <w:spacing w:after="0"/>
              <w:rPr>
                <w:sz w:val="20"/>
                <w:szCs w:val="20"/>
                <w:color w:val="auto"/>
              </w:rPr>
            </w:pPr>
            <w:r>
              <w:rPr>
                <w:rFonts w:ascii="Arial" w:cs="Arial" w:eastAsia="Arial" w:hAnsi="Arial"/>
                <w:sz w:val="16"/>
                <w:szCs w:val="16"/>
                <w:color w:val="auto"/>
              </w:rPr>
              <w:t>Baa2</w:t>
            </w:r>
          </w:p>
        </w:tc>
        <w:tc>
          <w:tcPr>
            <w:tcW w:w="2480" w:type="dxa"/>
            <w:vAlign w:val="bottom"/>
          </w:tcPr>
          <w:p>
            <w:pPr>
              <w:jc w:val="center"/>
              <w:spacing w:after="0"/>
              <w:rPr>
                <w:sz w:val="20"/>
                <w:szCs w:val="20"/>
                <w:color w:val="auto"/>
              </w:rPr>
            </w:pPr>
            <w:r>
              <w:rPr>
                <w:rFonts w:ascii="Arial" w:cs="Arial" w:eastAsia="Arial" w:hAnsi="Arial"/>
                <w:sz w:val="16"/>
                <w:szCs w:val="16"/>
                <w:color w:val="auto"/>
              </w:rPr>
              <w:t>Stable</w:t>
            </w:r>
          </w:p>
        </w:tc>
      </w:tr>
      <w:tr>
        <w:trPr>
          <w:trHeight w:val="216"/>
        </w:trPr>
        <w:tc>
          <w:tcPr>
            <w:tcW w:w="45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(c)</w:t>
            </w:r>
          </w:p>
        </w:tc>
        <w:tc>
          <w:tcPr>
            <w:tcW w:w="4220" w:type="dxa"/>
            <w:vAlign w:val="bottom"/>
            <w:shd w:val="clear" w:color="auto" w:fill="CFF0FC"/>
          </w:tcPr>
          <w:p>
            <w:pPr>
              <w:jc w:val="center"/>
              <w:ind w:left="439"/>
              <w:spacing w:after="0"/>
              <w:rPr>
                <w:sz w:val="20"/>
                <w:szCs w:val="20"/>
                <w:color w:val="auto"/>
              </w:rPr>
            </w:pPr>
            <w:r>
              <w:rPr>
                <w:rFonts w:ascii="Arial" w:cs="Arial" w:eastAsia="Arial" w:hAnsi="Arial"/>
                <w:sz w:val="16"/>
                <w:szCs w:val="16"/>
                <w:color w:val="auto"/>
              </w:rPr>
              <w:t>BBB+</w:t>
            </w:r>
          </w:p>
        </w:tc>
        <w:tc>
          <w:tcPr>
            <w:tcW w:w="2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Stable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February 17, 2023, S&amp;P reported BBB+ rating and maintained a Stable outlook.</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December 21, 2023, Moody's reported our Baa2 rating and maintained a Stable outlook.</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On January 26, 2024, Fitch reported BBB+ rating and revised to a Negative outlook.</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Certain fees and interest rates under our Revolving Credit Facility are based on our credit ratings at all three rating agencies. If all of our ratings are at the same level, or if two of our ratings are the same level and one differs, these fees and interest rates will be based on the ratings that are at the same level. If all of our ratings are at different levels, these fees and interest rates will be based on the middle level. Currently, our Fitch and S&amp;P ratings are at the same level, and our Moody’s rating is one level below. Therefore, if Fitch or S&amp;P downgrades our senior unsecured debt, we will be required to pay higher fees and interest rates under our Revolving Credit Facility.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20" w:type="dxa"/>
            <w:vAlign w:val="bottom"/>
          </w:tcPr>
          <w:p>
            <w:pPr>
              <w:spacing w:after="0"/>
              <w:rPr>
                <w:sz w:val="20"/>
                <w:szCs w:val="20"/>
                <w:color w:val="auto"/>
              </w:rPr>
            </w:pPr>
            <w:r>
              <w:rPr>
                <w:rFonts w:ascii="Arial" w:cs="Arial" w:eastAsia="Arial" w:hAnsi="Arial"/>
                <w:sz w:val="16"/>
                <w:szCs w:val="16"/>
                <w:color w:val="auto"/>
              </w:rPr>
              <w:t>The following table represents the credit ratings of South Dakota Electric at December 31, 2023:</w:t>
            </w:r>
          </w:p>
        </w:tc>
        <w:tc>
          <w:tcPr>
            <w:tcW w:w="3720" w:type="dxa"/>
            <w:vAlign w:val="bottom"/>
          </w:tcPr>
          <w:p>
            <w:pPr>
              <w:spacing w:after="0"/>
              <w:rPr>
                <w:sz w:val="18"/>
                <w:szCs w:val="18"/>
                <w:color w:val="auto"/>
              </w:rPr>
            </w:pPr>
          </w:p>
        </w:tc>
      </w:tr>
      <w:tr>
        <w:trPr>
          <w:trHeight w:val="393"/>
        </w:trPr>
        <w:tc>
          <w:tcPr>
            <w:tcW w:w="7520" w:type="dxa"/>
            <w:vAlign w:val="bottom"/>
            <w:tcBorders>
              <w:bottom w:val="single" w:sz="8" w:color="auto"/>
            </w:tcBorders>
          </w:tcPr>
          <w:p>
            <w:pPr>
              <w:ind w:left="2840"/>
              <w:spacing w:after="0"/>
              <w:rPr>
                <w:sz w:val="20"/>
                <w:szCs w:val="20"/>
                <w:color w:val="auto"/>
              </w:rPr>
            </w:pPr>
            <w:r>
              <w:rPr>
                <w:rFonts w:ascii="Arial" w:cs="Arial" w:eastAsia="Arial" w:hAnsi="Arial"/>
                <w:sz w:val="16"/>
                <w:szCs w:val="16"/>
                <w:b w:val="1"/>
                <w:bCs w:val="1"/>
                <w:color w:val="auto"/>
              </w:rPr>
              <w:t>Rating Agency</w:t>
            </w:r>
          </w:p>
        </w:tc>
        <w:tc>
          <w:tcPr>
            <w:tcW w:w="3720" w:type="dxa"/>
            <w:vAlign w:val="bottom"/>
            <w:tcBorders>
              <w:bottom w:val="single" w:sz="8" w:color="auto"/>
            </w:tcBorders>
          </w:tcPr>
          <w:p>
            <w:pPr>
              <w:jc w:val="center"/>
              <w:ind w:right="639"/>
              <w:spacing w:after="0"/>
              <w:rPr>
                <w:sz w:val="20"/>
                <w:szCs w:val="20"/>
                <w:color w:val="auto"/>
              </w:rPr>
            </w:pPr>
            <w:r>
              <w:rPr>
                <w:rFonts w:ascii="Arial" w:cs="Arial" w:eastAsia="Arial" w:hAnsi="Arial"/>
                <w:sz w:val="16"/>
                <w:szCs w:val="16"/>
                <w:b w:val="1"/>
                <w:bCs w:val="1"/>
                <w:color w:val="auto"/>
              </w:rPr>
              <w:t>Senior Secured Rating</w:t>
            </w:r>
          </w:p>
        </w:tc>
      </w:tr>
      <w:tr>
        <w:trPr>
          <w:trHeight w:val="210"/>
        </w:trPr>
        <w:tc>
          <w:tcPr>
            <w:tcW w:w="7520" w:type="dxa"/>
            <w:vAlign w:val="bottom"/>
            <w:shd w:val="clear" w:color="auto" w:fill="CFF0FC"/>
          </w:tcPr>
          <w:p>
            <w:pPr>
              <w:ind w:left="20"/>
              <w:spacing w:after="0" w:line="210" w:lineRule="exact"/>
              <w:rPr>
                <w:sz w:val="20"/>
                <w:szCs w:val="20"/>
                <w:color w:val="auto"/>
              </w:rPr>
            </w:pPr>
            <w:r>
              <w:rPr>
                <w:rFonts w:ascii="Arial" w:cs="Arial" w:eastAsia="Arial" w:hAnsi="Arial"/>
                <w:sz w:val="24"/>
                <w:szCs w:val="24"/>
                <w:color w:val="auto"/>
                <w:vertAlign w:val="subscript"/>
              </w:rPr>
              <w:t>S&amp;P</w:t>
            </w:r>
            <w:r>
              <w:rPr>
                <w:rFonts w:ascii="Arial" w:cs="Arial" w:eastAsia="Arial" w:hAnsi="Arial"/>
                <w:sz w:val="9"/>
                <w:szCs w:val="9"/>
                <w:color w:val="auto"/>
              </w:rPr>
              <w:t xml:space="preserve"> (a)</w:t>
            </w:r>
          </w:p>
        </w:tc>
        <w:tc>
          <w:tcPr>
            <w:tcW w:w="3720" w:type="dxa"/>
            <w:vAlign w:val="bottom"/>
            <w:shd w:val="clear" w:color="auto" w:fill="CFF0FC"/>
          </w:tcPr>
          <w:p>
            <w:pPr>
              <w:jc w:val="center"/>
              <w:ind w:right="639"/>
              <w:spacing w:after="0"/>
              <w:rPr>
                <w:sz w:val="20"/>
                <w:szCs w:val="20"/>
                <w:color w:val="auto"/>
              </w:rPr>
            </w:pPr>
            <w:r>
              <w:rPr>
                <w:rFonts w:ascii="Arial" w:cs="Arial" w:eastAsia="Arial" w:hAnsi="Arial"/>
                <w:sz w:val="16"/>
                <w:szCs w:val="16"/>
                <w:color w:val="auto"/>
              </w:rPr>
              <w:t>A</w:t>
            </w:r>
          </w:p>
        </w:tc>
      </w:tr>
      <w:tr>
        <w:trPr>
          <w:trHeight w:val="290"/>
        </w:trPr>
        <w:tc>
          <w:tcPr>
            <w:tcW w:w="7520" w:type="dxa"/>
            <w:vAlign w:val="bottom"/>
          </w:tcPr>
          <w:p>
            <w:pPr>
              <w:ind w:left="20"/>
              <w:spacing w:after="0"/>
              <w:rPr>
                <w:sz w:val="20"/>
                <w:szCs w:val="20"/>
                <w:color w:val="auto"/>
              </w:rPr>
            </w:pPr>
            <w:r>
              <w:rPr>
                <w:rFonts w:ascii="Arial" w:cs="Arial" w:eastAsia="Arial" w:hAnsi="Arial"/>
                <w:sz w:val="16"/>
                <w:szCs w:val="16"/>
                <w:color w:val="auto"/>
              </w:rPr>
              <w:t xml:space="preserve">Fitch </w:t>
            </w:r>
            <w:r>
              <w:rPr>
                <w:rFonts w:ascii="Arial" w:cs="Arial" w:eastAsia="Arial" w:hAnsi="Arial"/>
                <w:sz w:val="21"/>
                <w:szCs w:val="21"/>
                <w:color w:val="auto"/>
                <w:vertAlign w:val="superscript"/>
              </w:rPr>
              <w:t>(b)</w:t>
            </w:r>
          </w:p>
        </w:tc>
        <w:tc>
          <w:tcPr>
            <w:tcW w:w="3720" w:type="dxa"/>
            <w:vAlign w:val="bottom"/>
          </w:tcPr>
          <w:p>
            <w:pPr>
              <w:jc w:val="center"/>
              <w:ind w:right="639"/>
              <w:spacing w:after="0"/>
              <w:rPr>
                <w:sz w:val="20"/>
                <w:szCs w:val="20"/>
                <w:color w:val="auto"/>
              </w:rPr>
            </w:pPr>
            <w:r>
              <w:rPr>
                <w:rFonts w:ascii="Arial" w:cs="Arial" w:eastAsia="Arial" w:hAnsi="Arial"/>
                <w:sz w:val="16"/>
                <w:szCs w:val="16"/>
                <w:color w:val="auto"/>
              </w:rPr>
              <w:t>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90309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6" w:lineRule="exact"/>
        <w:rPr>
          <w:sz w:val="20"/>
          <w:szCs w:val="20"/>
          <w:color w:val="auto"/>
        </w:rPr>
      </w:pPr>
    </w:p>
    <w:p>
      <w:pPr>
        <w:ind w:left="520" w:hanging="512"/>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February 17, 2023, S&amp;P reported A rating</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On January 26, 2024, Fitch reported A rating</w:t>
      </w:r>
    </w:p>
    <w:p>
      <w:pPr>
        <w:spacing w:after="0" w:line="171"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We have not had any triggering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Expenditures</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 xml:space="preserve">Capital expenditures are a substantial portion of our cash requirements each year and we continue to forecast a robust capital expenditure program during the next five years. See above in </w:t>
      </w:r>
      <w:r>
        <w:rPr>
          <w:rFonts w:ascii="Arial" w:cs="Arial" w:eastAsia="Arial" w:hAnsi="Arial"/>
          <w:sz w:val="16"/>
          <w:szCs w:val="16"/>
          <w:u w:val="single" w:color="auto"/>
          <w:color w:val="0000FF"/>
        </w:rPr>
        <w:t>Key Elements of our Business Strategy</w:t>
      </w:r>
      <w:r>
        <w:rPr>
          <w:rFonts w:ascii="Arial" w:cs="Arial" w:eastAsia="Arial" w:hAnsi="Arial"/>
          <w:sz w:val="16"/>
          <w:szCs w:val="16"/>
          <w:color w:val="auto"/>
        </w:rPr>
        <w:t xml:space="preserve"> for forecasted capital expenditure requirements. A significant portion of our capital expenditures are for safety, reliability and integrity of our system and is included in utility rate base and eligible for recovery from our utility customers with regulatory approval. Those capital expenditures also earn a rate of return authorized by the commissions in the jurisdictions in which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1525905</wp:posOffset>
            </wp:positionH>
            <wp:positionV relativeFrom="paragraph">
              <wp:posOffset>-271780</wp:posOffset>
            </wp:positionV>
            <wp:extent cx="17837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13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Our historical capital expenditures by reportable segment are shown in </w:t>
      </w:r>
      <w:r>
        <w:rPr>
          <w:rFonts w:ascii="Arial" w:cs="Arial" w:eastAsia="Arial" w:hAnsi="Arial"/>
          <w:sz w:val="16"/>
          <w:szCs w:val="16"/>
          <w:u w:val="single" w:color="auto"/>
          <w:color w:val="0000FF"/>
        </w:rPr>
        <w:t>Note 16</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3247390</wp:posOffset>
            </wp:positionH>
            <wp:positionV relativeFrom="paragraph">
              <wp:posOffset>-165735</wp:posOffset>
            </wp:positionV>
            <wp:extent cx="36004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Repayments of Indebtedness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For information relating to repayments of our short- and long-term debt and associated interest payments,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-165735</wp:posOffset>
            </wp:positionV>
            <wp:extent cx="30289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Unconditional Purchase Obligations</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We have unconditional purchase obligations which include the energy and capacity costs associated with our PPAs, transmission services agreements, and natural gas capacity, transportation and storage agreements. Additionally, our Gas Utilities have commitments to purchase physical quantities of natural gas under contracts indexed to various forward natural gas price curves. For additional information.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-151765</wp:posOffset>
            </wp:positionV>
            <wp:extent cx="30289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We have one defined benefit pension plan, the Black Hills Retirement Plan (Pension Plan). The unfunded status of the Pension Plan is defined as the amount the projected benefit obligation exceeds the plan assets. The unfunded status of the Pension Plan is $39.4 million as of December 31, 2023, compared to $35.2 million as of December 31, 2022. We do not have required contributions, however, we expect to make $2.3 million in contributions to our Pension Plan in 2024. See further information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2218055</wp:posOffset>
            </wp:positionH>
            <wp:positionV relativeFrom="paragraph">
              <wp:posOffset>-31750</wp:posOffset>
            </wp:positionV>
            <wp:extent cx="3600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 Dividends</w:t>
      </w:r>
    </w:p>
    <w:p>
      <w:pPr>
        <w:spacing w:after="0" w:line="19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Future cash dividends, if any, will be dependent on our results of operations, financial position, cash flows, reinvestment opportunities and other factors, and will be evaluated and approved by our Board of Directors.</w:t>
      </w:r>
    </w:p>
    <w:p>
      <w:pPr>
        <w:spacing w:after="0" w:line="129"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Additionally, there are certain statutory limitations that could affect future cash dividends paid. Federal law places limits on the ability of public utilities within a holding company structure to declare dividends. Specifically, under the Federal Power Act, a public utility may not pay dividends from any funds properly included in a capital account. The utility subsidiaries’ dividends may be limited directly or indirectly by state regulatory commissions or bond indenture covenants. See additional information in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1858010</wp:posOffset>
            </wp:positionH>
            <wp:positionV relativeFrom="paragraph">
              <wp:posOffset>-31750</wp:posOffset>
            </wp:positionV>
            <wp:extent cx="30289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On January 26, 2024, our Board of Directors declared a quarterly dividend of $0.65 per share, equivalent to an annual dividend rate of $2.60 per share. The table below provides our dividends paid (in millions), dividend payout ratio and dividends paid per share for the three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80" w:type="dxa"/>
            <w:vAlign w:val="bottom"/>
          </w:tcPr>
          <w:p>
            <w:pPr>
              <w:spacing w:after="0"/>
              <w:rPr>
                <w:sz w:val="18"/>
                <w:szCs w:val="18"/>
                <w:color w:val="auto"/>
              </w:rPr>
            </w:pPr>
          </w:p>
        </w:tc>
        <w:tc>
          <w:tcPr>
            <w:tcW w:w="1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210"/>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Common Stock Dividends Paid</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w:t>
            </w:r>
          </w:p>
        </w:tc>
        <w:tc>
          <w:tcPr>
            <w:tcW w:w="13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145.0</w:t>
            </w:r>
          </w:p>
        </w:tc>
        <w:tc>
          <w:tcPr>
            <w:tcW w:w="40" w:type="dxa"/>
            <w:vAlign w:val="bottom"/>
          </w:tcPr>
          <w:p>
            <w:pPr>
              <w:spacing w:after="0"/>
              <w:rPr>
                <w:sz w:val="18"/>
                <w:szCs w:val="18"/>
                <w:color w:val="auto"/>
              </w:rPr>
            </w:pPr>
          </w:p>
        </w:tc>
      </w:tr>
      <w:tr>
        <w:trPr>
          <w:trHeight w:val="215"/>
        </w:trPr>
        <w:tc>
          <w:tcPr>
            <w:tcW w:w="5280" w:type="dxa"/>
            <w:vAlign w:val="bottom"/>
          </w:tcPr>
          <w:p>
            <w:pPr>
              <w:ind w:left="20"/>
              <w:spacing w:after="0"/>
              <w:rPr>
                <w:sz w:val="20"/>
                <w:szCs w:val="20"/>
                <w:color w:val="auto"/>
              </w:rPr>
            </w:pPr>
            <w:r>
              <w:rPr>
                <w:rFonts w:ascii="Arial" w:cs="Arial" w:eastAsia="Arial" w:hAnsi="Arial"/>
                <w:sz w:val="16"/>
                <w:szCs w:val="16"/>
                <w:color w:val="auto"/>
              </w:rPr>
              <w:t>Dividend Payout Ratio</w:t>
            </w:r>
          </w:p>
        </w:tc>
        <w:tc>
          <w:tcPr>
            <w:tcW w:w="1300" w:type="dxa"/>
            <w:vAlign w:val="bottom"/>
          </w:tcPr>
          <w:p>
            <w:pPr>
              <w:spacing w:after="0"/>
              <w:rPr>
                <w:sz w:val="18"/>
                <w:szCs w:val="18"/>
                <w:color w:val="auto"/>
              </w:rPr>
            </w:pPr>
          </w:p>
        </w:tc>
        <w:tc>
          <w:tcPr>
            <w:tcW w:w="2000" w:type="dxa"/>
            <w:vAlign w:val="bottom"/>
            <w:gridSpan w:val="2"/>
          </w:tcPr>
          <w:p>
            <w:pPr>
              <w:jc w:val="right"/>
              <w:ind w:right="1179"/>
              <w:spacing w:after="0"/>
              <w:rPr>
                <w:sz w:val="20"/>
                <w:szCs w:val="20"/>
                <w:color w:val="auto"/>
              </w:rPr>
            </w:pPr>
            <w:r>
              <w:rPr>
                <w:rFonts w:ascii="Arial" w:cs="Arial" w:eastAsia="Arial" w:hAnsi="Arial"/>
                <w:sz w:val="16"/>
                <w:szCs w:val="16"/>
                <w:color w:val="auto"/>
              </w:rPr>
              <w:t>64 %</w:t>
            </w:r>
          </w:p>
        </w:tc>
        <w:tc>
          <w:tcPr>
            <w:tcW w:w="1120" w:type="dxa"/>
            <w:vAlign w:val="bottom"/>
            <w:gridSpan w:val="2"/>
          </w:tcPr>
          <w:p>
            <w:pPr>
              <w:jc w:val="right"/>
              <w:ind w:right="299"/>
              <w:spacing w:after="0"/>
              <w:rPr>
                <w:sz w:val="20"/>
                <w:szCs w:val="20"/>
                <w:color w:val="auto"/>
              </w:rPr>
            </w:pPr>
            <w:r>
              <w:rPr>
                <w:rFonts w:ascii="Arial" w:cs="Arial" w:eastAsia="Arial" w:hAnsi="Arial"/>
                <w:sz w:val="16"/>
                <w:szCs w:val="16"/>
                <w:color w:val="auto"/>
              </w:rPr>
              <w:t>61 %</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61 %</w:t>
            </w:r>
          </w:p>
        </w:tc>
      </w:tr>
      <w:tr>
        <w:trPr>
          <w:trHeight w:val="217"/>
        </w:trPr>
        <w:tc>
          <w:tcPr>
            <w:tcW w:w="5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Dividends Per Share</w:t>
            </w:r>
          </w:p>
        </w:tc>
        <w:tc>
          <w:tcPr>
            <w:tcW w:w="130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w:t>
            </w:r>
          </w:p>
        </w:tc>
        <w:tc>
          <w:tcPr>
            <w:tcW w:w="1360" w:type="dxa"/>
            <w:vAlign w:val="bottom"/>
            <w:shd w:val="clear" w:color="auto" w:fill="CFF0FC"/>
          </w:tcPr>
          <w:p>
            <w:pPr>
              <w:jc w:val="right"/>
              <w:ind w:right="11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2.29</w:t>
            </w:r>
          </w:p>
        </w:tc>
        <w:tc>
          <w:tcPr>
            <w:tcW w:w="40" w:type="dxa"/>
            <w:vAlign w:val="bottom"/>
          </w:tcPr>
          <w:p>
            <w:pPr>
              <w:spacing w:after="0"/>
              <w:rPr>
                <w:sz w:val="18"/>
                <w:szCs w:val="18"/>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three-year compound annualized dividend growth rate was 4.8%.</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Requirements</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2023, we had sufficient liquidity to cover collateral that could be required to be posted under these contracts. The cash collateral we were required to post at December 31, 2023 was not material. See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-148590</wp:posOffset>
            </wp:positionV>
            <wp:extent cx="30289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 xml:space="preserve">We provide various guarantees, which represent off-balance sheet commitments, supporting certain of our subsidiaries under specified agreements or transactions. For more information on these guarantees, see </w:t>
      </w:r>
      <w:r>
        <w:rPr>
          <w:rFonts w:ascii="Arial" w:cs="Arial" w:eastAsia="Arial" w:hAnsi="Arial"/>
          <w:sz w:val="16"/>
          <w:szCs w:val="16"/>
          <w:u w:val="single" w:color="auto"/>
          <w:color w:val="0000FF"/>
        </w:rPr>
        <w:t>Note 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2789555</wp:posOffset>
            </wp:positionH>
            <wp:positionV relativeFrom="paragraph">
              <wp:posOffset>-45720</wp:posOffset>
            </wp:positionV>
            <wp:extent cx="30289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Critical Accounting Estimates</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We continue to closely monitor the macroeconomic environment and related impacts on our critical accounting estimates including, but not limited to, collectability of customer receivables, recoverability of regulatory assets, impairment risk of goodwill and long-lived assets, and contingent liabilities.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6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The following discussion of our critical accounting estimates should be read in conjunction with </w:t>
      </w:r>
      <w:r>
        <w:rPr>
          <w:rFonts w:ascii="Arial" w:cs="Arial" w:eastAsia="Arial" w:hAnsi="Arial"/>
          <w:sz w:val="16"/>
          <w:szCs w:val="16"/>
          <w:u w:val="single" w:color="auto"/>
          <w:color w:val="0000FF"/>
        </w:rPr>
        <w:t>Note 1</w:t>
      </w:r>
      <w:r>
        <w:rPr>
          <w:rFonts w:ascii="Arial" w:cs="Arial" w:eastAsia="Arial" w:hAnsi="Arial"/>
          <w:sz w:val="16"/>
          <w:szCs w:val="16"/>
          <w:color w:val="auto"/>
        </w:rPr>
        <w:t>, “</w:t>
      </w:r>
      <w:r>
        <w:rPr>
          <w:rFonts w:ascii="Arial" w:cs="Arial" w:eastAsia="Arial" w:hAnsi="Arial"/>
          <w:sz w:val="16"/>
          <w:szCs w:val="16"/>
          <w:u w:val="single" w:color="auto"/>
          <w:color w:val="0000FF"/>
        </w:rPr>
        <w:t>Business Description and Significant Accounting</w:t>
      </w:r>
      <w:r>
        <w:rPr>
          <w:rFonts w:ascii="Arial" w:cs="Arial" w:eastAsia="Arial" w:hAnsi="Arial"/>
          <w:sz w:val="16"/>
          <w:szCs w:val="16"/>
          <w:color w:val="auto"/>
        </w:rPr>
        <w:t xml:space="preserve"> </w:t>
      </w:r>
      <w:r>
        <w:rPr>
          <w:rFonts w:ascii="Arial" w:cs="Arial" w:eastAsia="Arial" w:hAnsi="Arial"/>
          <w:sz w:val="16"/>
          <w:szCs w:val="16"/>
          <w:u w:val="single" w:color="auto"/>
          <w:color w:val="0000FF"/>
        </w:rPr>
        <w:t>Policies</w:t>
      </w:r>
      <w:r>
        <w:rPr>
          <w:rFonts w:ascii="Arial" w:cs="Arial" w:eastAsia="Arial" w:hAnsi="Arial"/>
          <w:sz w:val="16"/>
          <w:szCs w:val="16"/>
          <w:color w:val="000000"/>
        </w:rPr>
        <w:t>”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-165735</wp:posOffset>
            </wp:positionV>
            <wp:extent cx="26244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35433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433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Regulation</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15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51" w:lineRule="exact"/>
        <w:rPr>
          <w:sz w:val="20"/>
          <w:szCs w:val="20"/>
          <w:color w:val="auto"/>
        </w:rPr>
      </w:pPr>
    </w:p>
    <w:p>
      <w:pPr>
        <w:jc w:val="both"/>
        <w:ind w:right="60"/>
        <w:spacing w:after="0" w:line="266" w:lineRule="auto"/>
        <w:rPr>
          <w:sz w:val="20"/>
          <w:szCs w:val="20"/>
          <w:color w:val="auto"/>
        </w:rPr>
      </w:pPr>
      <w:r>
        <w:rPr>
          <w:rFonts w:ascii="Arial" w:cs="Arial" w:eastAsia="Arial" w:hAnsi="Arial"/>
          <w:sz w:val="16"/>
          <w:szCs w:val="16"/>
          <w:color w:val="auto"/>
        </w:rPr>
        <w:t>To some degree, each of our Electric and Gas Utilities are permitted to recover certain costs (such as increased fuel and purchased power costs) outside of a base rate review. To the extent we are able to pass through such costs to our customers, and a state regulatory commission subsequently determines that such costs should not have been paid by the customers, we may be required to refund such costs.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As of December 31, 2023 and 2022, we had total regulatory assets of $480.1 million and $653.0 million, respectively, and total regulatory liabilities of $566.6 million and $518.6 million, respectively. 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of the Notes to Consolidated Financial Statements in this Annual Report on Form 10-K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2021205</wp:posOffset>
            </wp:positionH>
            <wp:positionV relativeFrom="paragraph">
              <wp:posOffset>-156210</wp:posOffset>
            </wp:positionV>
            <wp:extent cx="30289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with our financial planning process.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Accounting standards for testing goodwill for impairment require the application of either a qualitative or quantitative assessment to analyze whether or not goodwill has been impaired. Goodwill is tested for impairment at the reporting unit level. Under either the qualitative or quantitative assessment, the estimated fair value of a reporting unit is compared with its carrying amount, including goodwill. If the carrying amount exceeds fair value, then an impairment loss would be recognized in an amount equal to that excess, limited to the amount of goodwill allocated to that reporting unit.</w:t>
      </w:r>
    </w:p>
    <w:p>
      <w:pPr>
        <w:spacing w:after="0" w:line="151"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and for which the CODM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6.9% to 7.3% and long-term growth rate projections of 1.75% were utilized in the goodwill impairment test performed as of October 1, 2023. Although 1.75% was used for a long-term growth rate projection, the short-term projected growth rate is higher with planned recovery of capital investments through rider mechanisms and rate reviews.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61"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The estimates and assumptions used in our impairment assessments are based on available market information and we believe they are reasonable. However, variations in any of the assumptions could result in materially different calculations of fair value and determinations of whether or not an impairment is indicated.</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For the years ended December 31, 2023, 2022, and 2021, there were no impairment losses recorded. At December 31, 2023, the fair value exceeded the carrying value at all reporting units.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Item 1A - Risk Factors</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Consolidated Financial Statements in this Annual Report on Form 10-K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154940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494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made in the period such determination was made. These adjustments may increase or decrease earnings.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155" w:lineRule="exact"/>
        <w:rPr>
          <w:sz w:val="20"/>
          <w:szCs w:val="20"/>
          <w:color w:val="auto"/>
        </w:rPr>
      </w:pPr>
    </w:p>
    <w:p>
      <w:pPr>
        <w:ind w:left="5540" w:right="2240" w:hanging="5525"/>
        <w:spacing w:after="0" w:line="286" w:lineRule="auto"/>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of the Notes to Consolidated Financial Statements in this Annual Report on Form 10-K for additional information.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216535</wp:posOffset>
            </wp:positionH>
            <wp:positionV relativeFrom="paragraph">
              <wp:posOffset>-165735</wp:posOffset>
            </wp:positionV>
            <wp:extent cx="3600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98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Our activities in the regulated and non-regulated energy industries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48" w:lineRule="exact"/>
        <w:rPr>
          <w:sz w:val="20"/>
          <w:szCs w:val="20"/>
          <w:color w:val="auto"/>
        </w:rPr>
      </w:pPr>
    </w:p>
    <w:p>
      <w:pPr>
        <w:ind w:left="520" w:right="40" w:hanging="512"/>
        <w:spacing w:after="0" w:line="259" w:lineRule="auto"/>
        <w:tabs>
          <w:tab w:leader="none" w:pos="5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services, wholesale electric power marketing activities and fuel procurement for several of our gas-fired generation assets. Market fluctuations may occur due to unpredictable factors such as the COVID-19 pandemic, weather (e.g. Winter Storm Uri), geopolitical events, market speculation, recession, inflation, pipeline constraints, and other factors that may impact natural gas and electric energy supply and demand; and</w:t>
      </w:r>
    </w:p>
    <w:p>
      <w:pPr>
        <w:spacing w:after="0" w:line="69" w:lineRule="exact"/>
        <w:rPr>
          <w:rFonts w:ascii="Times New Roman" w:cs="Times New Roman" w:eastAsia="Times New Roman" w:hAnsi="Times New Roman"/>
          <w:sz w:val="16"/>
          <w:szCs w:val="16"/>
          <w:color w:val="auto"/>
        </w:rPr>
      </w:pPr>
    </w:p>
    <w:p>
      <w:pPr>
        <w:ind w:left="520" w:right="360" w:hanging="512"/>
        <w:spacing w:after="0" w:line="285" w:lineRule="auto"/>
        <w:tabs>
          <w:tab w:leader="none" w:pos="520"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associated with financial loss resulting from non-performance of contractual obligations by a counterparty.</w:t>
      </w:r>
    </w:p>
    <w:p>
      <w:pPr>
        <w:spacing w:after="0" w:line="194"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To manage and mitigate these identified risks, we have adopted the Black Hills Corporation Risk Policies and Procedures. 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any issues or concerns pertaining to the Risk Policies and Procedures to the Audit Committee of our Board of Directors. The Executive Risk Committee, which includes senior level executives, meets at least quarterly and as necessary, to review our business and credit activities and to ensure that these activities are conducted within the authorized policies.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Commodity Price Risk</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Electric and Gas Utilities</w:t>
      </w:r>
    </w:p>
    <w:p>
      <w:pPr>
        <w:spacing w:after="0" w:line="192"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utilities have various provisions that allow them to pass the prudently-incurred cost of energy through to the customer. To the extent energy prices are higher or lower than amounts in our current billing rates, adjustments are made on a periodic basis to reflect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regulatory commissions. If state regulatory commissions decide to discontinue these tariff-based adjustment mechanisms, or there are delays in the timing of recovery under these mechanisms, we may be more exposed to commodity price risk.</w:t>
      </w:r>
    </w:p>
    <w:p>
      <w:pPr>
        <w:spacing w:after="0" w:line="181"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regulatory commissions, we have entered into commission-approved hedging programs utilizing natural gas futures, options, over-the-counter swaps and basis swaps to reduce our customers’ underlying exposure to these fluctuations.</w:t>
      </w:r>
    </w:p>
    <w:p>
      <w:pPr>
        <w:spacing w:after="0" w:line="151"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 xml:space="preserve">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 See additional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-31750</wp:posOffset>
            </wp:positionV>
            <wp:extent cx="30289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Wholesale Power</w:t>
      </w:r>
    </w:p>
    <w:p>
      <w:pPr>
        <w:spacing w:after="0" w:line="19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and do not qualify for the normal purchase and normal sales exception for derivative accounting. Changes in the fair value of these commodity derivatives are recognized in the Consolidated Statements of Income.</w:t>
      </w:r>
    </w:p>
    <w:p>
      <w:pPr>
        <w:spacing w:after="0" w:line="14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There is a potential risk that our wholesale power sales could exceed our current generating capacity, which may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Black Hills Energy Services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To support our Choice Gas Program customers, we buy and sell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A portion of our over-the-counter swaps have been designated as cash flow hedges to mitigate the commodity price risk associated with fixed price forward contracts to supply gas to our Choice Gas Program customers. The gain or loss on these designated derivatives is reported in AOCI in the accompanying Consolidated Balance Sheets and reclassified into earnings in the same period that the underlying hedged item is recognized in earnings.</w:t>
      </w:r>
    </w:p>
    <w:p>
      <w:pPr>
        <w:spacing w:after="0" w:line="15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At December 31, 2023 and 2022, a 10% change in market prices for our derivative instruments would not materially impact pre-tax income, the fair values of our derivative assets and liabilities, or OCI.</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additional commodity risk and derivative information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-4445</wp:posOffset>
            </wp:positionV>
            <wp:extent cx="3028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2023, we had no interest rate swaps in place. Further details of past swap agreements are set forth in </w:t>
      </w:r>
      <w:r>
        <w:rPr>
          <w:rFonts w:ascii="Arial" w:cs="Arial" w:eastAsia="Arial" w:hAnsi="Arial"/>
          <w:sz w:val="16"/>
          <w:szCs w:val="16"/>
          <w:u w:val="single" w:color="auto"/>
          <w:color w:val="0000FF"/>
        </w:rPr>
        <w:t>Note 9</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4648200</wp:posOffset>
            </wp:positionH>
            <wp:positionV relativeFrom="paragraph">
              <wp:posOffset>-151765</wp:posOffset>
            </wp:positionV>
            <wp:extent cx="30289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At December 31, 2023, over 99% of our debt is fixed rate debt, which limits our exposure to variable interest rate fluctuations. A hypothetical 100 basis point increase in the benchmark rate on our variable rate debt would have increased annual pretax interest expense by approximately $0.9 million and $4.1 million for the years ended December 31, 2023 and 2022, respectively.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further information on cash amounts outstanding under short- and long-term variable rate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3171190</wp:posOffset>
            </wp:positionH>
            <wp:positionV relativeFrom="paragraph">
              <wp:posOffset>-151765</wp:posOffset>
            </wp:positionV>
            <wp:extent cx="30289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 xml:space="preserve">We are subject to interest rate risk associated with our pension and post-retirement benefit obligations. Changes in interest rates impact the liabilities associated with these benefit plans as well as the amount of income or expense recognized for these plans. Declines in the value of the plan assets could diminish the funded status of the pension plans and potentially increase the requirements to make cash contributions to these plans. See additional information in </w:t>
      </w:r>
      <w:r>
        <w:rPr>
          <w:rFonts w:ascii="Arial" w:cs="Arial" w:eastAsia="Arial" w:hAnsi="Arial"/>
          <w:sz w:val="16"/>
          <w:szCs w:val="16"/>
          <w:u w:val="single" w:color="auto"/>
          <w:color w:val="0000FF"/>
        </w:rPr>
        <w:t>Note 13</w:t>
      </w:r>
      <w:r>
        <w:rPr>
          <w:rFonts w:ascii="Arial" w:cs="Arial" w:eastAsia="Arial" w:hAnsi="Arial"/>
          <w:sz w:val="16"/>
          <w:szCs w:val="16"/>
          <w:color w:val="auto"/>
        </w:rPr>
        <w:t xml:space="preserve"> of the Notes to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650875</wp:posOffset>
            </wp:positionH>
            <wp:positionV relativeFrom="paragraph">
              <wp:posOffset>-31750</wp:posOffset>
            </wp:positionV>
            <wp:extent cx="36004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have adopted the Black Hills Corporation Credit Policy that establishes guidelines, controls and limits to manage and mitigate credit risk within risk tolerances established by the Board of Directors.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5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w:t>
      </w:r>
    </w:p>
    <w:p>
      <w:pPr>
        <w:spacing w:after="0" w:line="144" w:lineRule="exact"/>
        <w:rPr>
          <w:sz w:val="20"/>
          <w:szCs w:val="20"/>
          <w:color w:val="auto"/>
        </w:rPr>
      </w:pPr>
    </w:p>
    <w:p>
      <w:pPr>
        <w:ind w:left="5540" w:right="2160" w:hanging="5525"/>
        <w:spacing w:after="0" w:line="286" w:lineRule="auto"/>
        <w:rPr>
          <w:sz w:val="20"/>
          <w:szCs w:val="20"/>
          <w:color w:val="auto"/>
        </w:rPr>
      </w:pPr>
      <w:r>
        <w:rPr>
          <w:rFonts w:ascii="Arial" w:cs="Arial" w:eastAsia="Arial" w:hAnsi="Arial"/>
          <w:sz w:val="16"/>
          <w:szCs w:val="16"/>
          <w:color w:val="auto"/>
        </w:rPr>
        <w:t xml:space="preserve">See more information in Notes </w:t>
      </w:r>
      <w:r>
        <w:rPr>
          <w:rFonts w:ascii="Arial" w:cs="Arial" w:eastAsia="Arial" w:hAnsi="Arial"/>
          <w:sz w:val="16"/>
          <w:szCs w:val="16"/>
          <w:u w:val="single" w:color="auto"/>
          <w:color w:val="0000FF"/>
        </w:rPr>
        <w:t>1</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9</w:t>
      </w:r>
      <w:r>
        <w:rPr>
          <w:rFonts w:ascii="Arial" w:cs="Arial" w:eastAsia="Arial" w:hAnsi="Arial"/>
          <w:sz w:val="16"/>
          <w:szCs w:val="16"/>
          <w:color w:val="auto"/>
        </w:rPr>
        <w:t xml:space="preserve"> of the Notes to Consolidated Financial Statements in this Annual Report on Form 10-K.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438150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1423035</wp:posOffset>
            </wp:positionH>
            <wp:positionV relativeFrom="paragraph">
              <wp:posOffset>-165735</wp:posOffset>
            </wp:positionV>
            <wp:extent cx="571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150" cy="8890"/>
                    </a:xfrm>
                    <a:prstGeom prst="rect">
                      <a:avLst/>
                    </a:prstGeom>
                    <a:noFill/>
                  </pic:spPr>
                </pic:pic>
              </a:graphicData>
            </a:graphic>
          </wp:anchor>
        </w:drawing>
        <w:drawing>
          <wp:anchor simplePos="0" relativeHeight="251657728" behindDoc="1" locked="0" layoutInCell="0" allowOverlap="1">
            <wp:simplePos x="0" y="0"/>
            <wp:positionH relativeFrom="column">
              <wp:posOffset>1708785</wp:posOffset>
            </wp:positionH>
            <wp:positionV relativeFrom="paragraph">
              <wp:posOffset>-165735</wp:posOffset>
            </wp:positionV>
            <wp:extent cx="571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8.FINANCIAL STATEMENTS AND SUPPLEMENTARY DATA</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19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2023,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2023.</w:t>
      </w:r>
    </w:p>
    <w:p>
      <w:pPr>
        <w:spacing w:after="0" w:line="1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2023. Deloitte &amp; Touche LLP's report on Black Hills Corporation's internal control over financial reporting is included herein.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Black Hills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440690</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19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audited the accompanying consolidated balance sheets of Black Hills Corporation and subsidiaries (the "Company") as of December 31, 2023 and 2022, the related consolidated statements of income, comprehensive income, equity,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and our report dated February 14, 2024, expressed an unqualified opinion on the Company's internal control over financial reporting.</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Regulatory Accounting — Impact of Rate Regulation on the Financial Statements — Refer to Notes 1 and 2 to the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Company is subject to cost-of-service regulation and earnings oversight by state and federal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Rates are regulated on a state-by-state basis by the relevant state regulatory commissions based on an analysis of the Company's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not always result in rates that produce a full recovery of costs and the return on invested capital.</w:t>
      </w:r>
    </w:p>
    <w:p>
      <w:pPr>
        <w:spacing w:after="0" w:line="15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uncertainty of future decisions by the Commissions included the following, among others:</w:t>
      </w:r>
    </w:p>
    <w:p>
      <w:pPr>
        <w:spacing w:after="0" w:line="194" w:lineRule="exact"/>
        <w:rPr>
          <w:sz w:val="20"/>
          <w:szCs w:val="20"/>
          <w:color w:val="auto"/>
        </w:rPr>
      </w:pPr>
    </w:p>
    <w:p>
      <w:pPr>
        <w:ind w:left="520" w:right="140" w:hanging="512"/>
        <w:spacing w:after="0" w:line="256" w:lineRule="auto"/>
        <w:tabs>
          <w:tab w:leader="none" w:pos="5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tested the effectiveness of management’s controls over the evaluation of the likelihood of (1) the recovery in future rates of costs incurred as property, plant, and equipment and deferred as regulatory assets, and (2) refunds or future reductions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70" w:lineRule="exact"/>
        <w:rPr>
          <w:rFonts w:ascii="Times New Roman" w:cs="Times New Roman" w:eastAsia="Times New Roman" w:hAnsi="Times New Roman"/>
          <w:sz w:val="16"/>
          <w:szCs w:val="16"/>
          <w:color w:val="auto"/>
        </w:rPr>
      </w:pPr>
    </w:p>
    <w:p>
      <w:pPr>
        <w:ind w:left="520" w:right="20" w:hanging="512"/>
        <w:spacing w:after="0" w:line="259" w:lineRule="auto"/>
        <w:tabs>
          <w:tab w:leader="none" w:pos="5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read relevant regulatory orders issued by the Commissions, filings made by the Company, and other publicly available information, as appropriate, to assess the likelihood of recovery in future rates or of a future reduction in rates based on precedents of the Commissions’ treatment of similar costs under similar circumstances. We evaluated the external information and compared it to the Company’s recorded regulatory asset and liability balances for completeness and for any evidence that might contradict management’s assertions.</w:t>
      </w:r>
    </w:p>
    <w:p>
      <w:pPr>
        <w:spacing w:after="0" w:line="69" w:lineRule="exact"/>
        <w:rPr>
          <w:rFonts w:ascii="Times New Roman" w:cs="Times New Roman" w:eastAsia="Times New Roman" w:hAnsi="Times New Roman"/>
          <w:sz w:val="16"/>
          <w:szCs w:val="16"/>
          <w:color w:val="auto"/>
        </w:rPr>
      </w:pPr>
    </w:p>
    <w:p>
      <w:pPr>
        <w:ind w:left="520" w:right="20" w:hanging="512"/>
        <w:spacing w:after="0" w:line="266" w:lineRule="auto"/>
        <w:tabs>
          <w:tab w:leader="none" w:pos="5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obtained and evaluated an analysis from management regarding probability of recovery for regulatory assets or refund or future reduction in rates for regulatory liabilities not yet addressed in a regulatory order, as applicable, to assess management’s assertion that amounts are probable of recovery or of a future reduction in rates.</w:t>
      </w:r>
    </w:p>
    <w:p>
      <w:pPr>
        <w:spacing w:after="0" w:line="62" w:lineRule="exact"/>
        <w:rPr>
          <w:rFonts w:ascii="Times New Roman" w:cs="Times New Roman" w:eastAsia="Times New Roman" w:hAnsi="Times New Roman"/>
          <w:sz w:val="16"/>
          <w:szCs w:val="16"/>
          <w:color w:val="auto"/>
        </w:rPr>
      </w:pPr>
    </w:p>
    <w:p>
      <w:pPr>
        <w:ind w:left="520" w:right="620" w:hanging="512"/>
        <w:spacing w:after="0" w:line="285" w:lineRule="auto"/>
        <w:tabs>
          <w:tab w:leader="none" w:pos="5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inspected minutes of the board of directors to identify any evidence that may contradict management’s assertions regarding probability of recovery or refunds. We also inquired of management regarding current year rate filings and new regulatory assets or liabilities.</w:t>
      </w:r>
    </w:p>
    <w:p>
      <w:pPr>
        <w:spacing w:after="0" w:line="48"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45"/>
        </w:numPr>
        <w:rPr>
          <w:rFonts w:ascii="Times New Roman" w:cs="Times New Roman" w:eastAsia="Times New Roman" w:hAnsi="Times New Roman"/>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2002.</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shareholders and the Board of Directors of Black Hills Corporation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9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We have audited the internal control over financial reporting of Black Hills Corporation and subsidiaries (the “Company”)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COSO.</w:t>
      </w:r>
    </w:p>
    <w:p>
      <w:pPr>
        <w:spacing w:after="0" w:line="151"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2023, of the Company and our report dated February 14, 2024, expressed an unqualified opinion on those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9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49"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84"/>
        </w:trPr>
        <w:tc>
          <w:tcPr>
            <w:tcW w:w="266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98"/>
        </w:trPr>
        <w:tc>
          <w:tcPr>
            <w:tcW w:w="1360" w:type="dxa"/>
            <w:vAlign w:val="bottom"/>
            <w:tcBorders>
              <w:top w:val="single" w:sz="8" w:color="0000FF"/>
            </w:tcBorders>
          </w:tcPr>
          <w:p>
            <w:pPr>
              <w:spacing w:after="0"/>
              <w:rPr>
                <w:sz w:val="24"/>
                <w:szCs w:val="24"/>
                <w:color w:val="auto"/>
              </w:rPr>
            </w:pPr>
          </w:p>
        </w:tc>
        <w:tc>
          <w:tcPr>
            <w:tcW w:w="1300" w:type="dxa"/>
            <w:vAlign w:val="bottom"/>
          </w:tcPr>
          <w:p>
            <w:pPr>
              <w:spacing w:after="0"/>
              <w:rPr>
                <w:sz w:val="24"/>
                <w:szCs w:val="24"/>
                <w:color w:val="auto"/>
              </w:rPr>
            </w:pPr>
          </w:p>
        </w:tc>
        <w:tc>
          <w:tcPr>
            <w:tcW w:w="4220" w:type="dxa"/>
            <w:vAlign w:val="bottom"/>
            <w:gridSpan w:val="2"/>
          </w:tcPr>
          <w:p>
            <w:pPr>
              <w:jc w:val="center"/>
              <w:ind w:left="1619"/>
              <w:spacing w:after="0"/>
              <w:rPr>
                <w:sz w:val="20"/>
                <w:szCs w:val="20"/>
                <w:color w:val="auto"/>
              </w:rPr>
            </w:pPr>
            <w:r>
              <w:rPr>
                <w:rFonts w:ascii="Arial" w:cs="Arial" w:eastAsia="Arial" w:hAnsi="Arial"/>
                <w:sz w:val="16"/>
                <w:szCs w:val="16"/>
                <w:b w:val="1"/>
                <w:bCs w:val="1"/>
                <w:color w:val="auto"/>
              </w:rPr>
              <w:t>BLACK HILLS CORPORATION</w:t>
            </w: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560" w:type="dxa"/>
            <w:vAlign w:val="bottom"/>
            <w:gridSpan w:val="3"/>
          </w:tcPr>
          <w:p>
            <w:pPr>
              <w:jc w:val="center"/>
              <w:ind w:left="279"/>
              <w:spacing w:after="0"/>
              <w:rPr>
                <w:sz w:val="20"/>
                <w:szCs w:val="20"/>
                <w:color w:val="auto"/>
              </w:rPr>
            </w:pPr>
            <w:r>
              <w:rPr>
                <w:rFonts w:ascii="Arial" w:cs="Arial" w:eastAsia="Arial" w:hAnsi="Arial"/>
                <w:sz w:val="16"/>
                <w:szCs w:val="16"/>
                <w:b w:val="1"/>
                <w:bCs w:val="1"/>
                <w:color w:val="auto"/>
                <w:w w:val="99"/>
              </w:rPr>
              <w:t>CONSOLIDATED STATEMENTS OF INCOME</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398"/>
        </w:trPr>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December 31,</w:t>
            </w:r>
          </w:p>
        </w:tc>
        <w:tc>
          <w:tcPr>
            <w:tcW w:w="180" w:type="dxa"/>
            <w:vAlign w:val="bottom"/>
          </w:tcPr>
          <w:p>
            <w:pPr>
              <w:spacing w:after="0"/>
              <w:rPr>
                <w:sz w:val="24"/>
                <w:szCs w:val="24"/>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24"/>
                <w:szCs w:val="24"/>
                <w:color w:val="auto"/>
              </w:rPr>
            </w:pPr>
          </w:p>
        </w:tc>
        <w:tc>
          <w:tcPr>
            <w:tcW w:w="136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1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10"/>
        </w:trPr>
        <w:tc>
          <w:tcPr>
            <w:tcW w:w="1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60" w:type="dxa"/>
            <w:vAlign w:val="bottom"/>
            <w:gridSpan w:val="5"/>
          </w:tcPr>
          <w:p>
            <w:pPr>
              <w:jc w:val="center"/>
              <w:ind w:right="159"/>
              <w:spacing w:after="0"/>
              <w:rPr>
                <w:sz w:val="20"/>
                <w:szCs w:val="20"/>
                <w:color w:val="auto"/>
              </w:rPr>
            </w:pPr>
            <w:r>
              <w:rPr>
                <w:rFonts w:ascii="Arial" w:cs="Arial" w:eastAsia="Arial" w:hAnsi="Arial"/>
                <w:sz w:val="16"/>
                <w:szCs w:val="16"/>
                <w:b w:val="1"/>
                <w:bCs w:val="1"/>
                <w:color w:val="auto"/>
              </w:rPr>
              <w:t>(in millions, except per share amounts)</w:t>
            </w:r>
          </w:p>
        </w:tc>
      </w:tr>
      <w:tr>
        <w:trPr>
          <w:trHeight w:val="215"/>
        </w:trPr>
        <w:tc>
          <w:tcPr>
            <w:tcW w:w="26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4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2,331.3</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2,551.8</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1,949.1</w:t>
            </w:r>
          </w:p>
        </w:tc>
      </w:tr>
    </w:tbl>
    <w:p>
      <w:pPr>
        <w:spacing w:after="0" w:line="200"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expenses: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Fuel, purchased power and cost of natural gas sold</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Operations and maintenance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Taxes - property and production</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operating expenses</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982.9</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1,230.6</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741.9</w:t>
            </w:r>
          </w:p>
        </w:tc>
      </w:tr>
      <w:tr>
        <w:trPr>
          <w:trHeight w:val="216"/>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552.0</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548.4</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501.7</w:t>
            </w:r>
          </w:p>
        </w:tc>
      </w:tr>
      <w:tr>
        <w:trPr>
          <w:trHeight w:val="216"/>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256.8</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250.9</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236.0</w:t>
            </w:r>
          </w:p>
        </w:tc>
      </w:tr>
      <w:tr>
        <w:trPr>
          <w:trHeight w:val="217"/>
        </w:trPr>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66.9</w:t>
            </w: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66.7</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60.1</w:t>
            </w:r>
          </w:p>
        </w:tc>
      </w:tr>
      <w:tr>
        <w:trPr>
          <w:trHeight w:val="209"/>
        </w:trPr>
        <w:tc>
          <w:tcPr>
            <w:tcW w:w="1860" w:type="dxa"/>
            <w:vAlign w:val="bottom"/>
          </w:tcPr>
          <w:p>
            <w:pPr>
              <w:jc w:val="right"/>
              <w:ind w:right="399"/>
              <w:spacing w:after="0"/>
              <w:rPr>
                <w:sz w:val="20"/>
                <w:szCs w:val="20"/>
                <w:color w:val="auto"/>
              </w:rPr>
            </w:pPr>
            <w:r>
              <w:rPr>
                <w:rFonts w:ascii="Arial" w:cs="Arial" w:eastAsia="Arial" w:hAnsi="Arial"/>
                <w:sz w:val="16"/>
                <w:szCs w:val="16"/>
                <w:color w:val="auto"/>
              </w:rPr>
              <w:t>1,858.6</w:t>
            </w:r>
          </w:p>
        </w:tc>
        <w:tc>
          <w:tcPr>
            <w:tcW w:w="1480" w:type="dxa"/>
            <w:vAlign w:val="bottom"/>
          </w:tcPr>
          <w:p>
            <w:pPr>
              <w:jc w:val="right"/>
              <w:ind w:right="379"/>
              <w:spacing w:after="0"/>
              <w:rPr>
                <w:sz w:val="20"/>
                <w:szCs w:val="20"/>
                <w:color w:val="auto"/>
              </w:rPr>
            </w:pPr>
            <w:r>
              <w:rPr>
                <w:rFonts w:ascii="Arial" w:cs="Arial" w:eastAsia="Arial" w:hAnsi="Arial"/>
                <w:sz w:val="16"/>
                <w:szCs w:val="16"/>
                <w:color w:val="auto"/>
              </w:rPr>
              <w:t>2,096.6</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1,539.7</w:t>
            </w:r>
          </w:p>
        </w:tc>
      </w:tr>
      <w:tr>
        <w:trPr>
          <w:trHeight w:val="432"/>
        </w:trPr>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472.7</w:t>
            </w:r>
          </w:p>
        </w:tc>
        <w:tc>
          <w:tcPr>
            <w:tcW w:w="14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455.2</w:t>
            </w: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-976630</wp:posOffset>
            </wp:positionV>
            <wp:extent cx="713232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-702310</wp:posOffset>
            </wp:positionV>
            <wp:extent cx="713232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-419735</wp:posOffset>
            </wp:positionV>
            <wp:extent cx="7132320" cy="13716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-4286885</wp:posOffset>
            </wp:positionH>
            <wp:positionV relativeFrom="paragraph">
              <wp:posOffset>-144780</wp:posOffset>
            </wp:positionV>
            <wp:extent cx="7132320" cy="1454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76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w:t>
            </w:r>
          </w:p>
        </w:tc>
        <w:tc>
          <w:tcPr>
            <w:tcW w:w="1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500" w:type="dxa"/>
            <w:vAlign w:val="bottom"/>
          </w:tcPr>
          <w:p>
            <w:pPr>
              <w:jc w:val="right"/>
              <w:spacing w:after="0"/>
              <w:rPr>
                <w:sz w:val="20"/>
                <w:szCs w:val="20"/>
                <w:color w:val="auto"/>
              </w:rPr>
            </w:pPr>
            <w:r>
              <w:rPr>
                <w:rFonts w:ascii="Arial" w:cs="Arial" w:eastAsia="Arial" w:hAnsi="Arial"/>
                <w:sz w:val="16"/>
                <w:szCs w:val="16"/>
                <w:color w:val="auto"/>
              </w:rPr>
              <w:t>(180.0 )</w:t>
            </w: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(162.6 )</w:t>
            </w:r>
          </w:p>
        </w:tc>
        <w:tc>
          <w:tcPr>
            <w:tcW w:w="5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(154.1 )</w:t>
            </w:r>
          </w:p>
        </w:tc>
      </w:tr>
      <w:tr>
        <w:trPr>
          <w:trHeight w:val="217"/>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15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12.1</w:t>
            </w: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w:t>
            </w: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w:t>
            </w: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(3.2 )</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w:t>
            </w:r>
          </w:p>
        </w:tc>
      </w:tr>
      <w:tr>
        <w:trPr>
          <w:trHeight w:val="209"/>
        </w:trPr>
        <w:tc>
          <w:tcPr>
            <w:tcW w:w="6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other income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(171.1 )</w:t>
            </w: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(159.2 )</w:t>
            </w: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(151.0 )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301.6</w:t>
            </w:r>
          </w:p>
        </w:tc>
        <w:tc>
          <w:tcPr>
            <w:tcW w:w="5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296.0</w:t>
            </w: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258.4</w:t>
            </w:r>
          </w:p>
        </w:tc>
      </w:tr>
      <w:tr>
        <w:trPr>
          <w:trHeight w:val="216"/>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(25.6 )</w:t>
            </w: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(25.2 )</w:t>
            </w: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(7.2 )</w:t>
            </w:r>
          </w:p>
        </w:tc>
      </w:tr>
      <w:tr>
        <w:trPr>
          <w:trHeight w:val="209"/>
        </w:trPr>
        <w:tc>
          <w:tcPr>
            <w:tcW w:w="676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276.0</w:t>
            </w:r>
          </w:p>
        </w:tc>
        <w:tc>
          <w:tcPr>
            <w:tcW w:w="520" w:type="dxa"/>
            <w:vAlign w:val="bottom"/>
          </w:tcPr>
          <w:p>
            <w:pPr>
              <w:spacing w:after="0"/>
              <w:rPr>
                <w:sz w:val="18"/>
                <w:szCs w:val="18"/>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270.8</w:t>
            </w:r>
          </w:p>
        </w:tc>
        <w:tc>
          <w:tcPr>
            <w:tcW w:w="520" w:type="dxa"/>
            <w:vAlign w:val="bottom"/>
          </w:tcPr>
          <w:p>
            <w:pPr>
              <w:spacing w:after="0"/>
              <w:rPr>
                <w:sz w:val="18"/>
                <w:szCs w:val="18"/>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251.2</w:t>
            </w:r>
          </w:p>
        </w:tc>
      </w:tr>
      <w:tr>
        <w:trPr>
          <w:trHeight w:val="216"/>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(13.8 )</w:t>
            </w:r>
          </w:p>
        </w:tc>
        <w:tc>
          <w:tcPr>
            <w:tcW w:w="5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(12.4 )</w:t>
            </w:r>
          </w:p>
        </w:tc>
        <w:tc>
          <w:tcPr>
            <w:tcW w:w="5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(14.5 )</w:t>
            </w:r>
          </w:p>
        </w:tc>
      </w:tr>
      <w:tr>
        <w:trPr>
          <w:trHeight w:val="210"/>
        </w:trPr>
        <w:tc>
          <w:tcPr>
            <w:tcW w:w="6760" w:type="dxa"/>
            <w:vAlign w:val="bottom"/>
          </w:tcPr>
          <w:p>
            <w:pPr>
              <w:ind w:left="20"/>
              <w:spacing w:after="0"/>
              <w:rPr>
                <w:sz w:val="20"/>
                <w:szCs w:val="20"/>
                <w:color w:val="auto"/>
              </w:rPr>
            </w:pPr>
            <w:r>
              <w:rPr>
                <w:rFonts w:ascii="Arial" w:cs="Arial" w:eastAsia="Arial" w:hAnsi="Arial"/>
                <w:sz w:val="16"/>
                <w:szCs w:val="16"/>
                <w:color w:val="auto"/>
              </w:rPr>
              <w:t>Net income available for common stock</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262.2</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258.4</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236.7</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6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share of common stock:</w:t>
            </w:r>
          </w:p>
        </w:tc>
        <w:tc>
          <w:tcPr>
            <w:tcW w:w="1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5"/>
        </w:trPr>
        <w:tc>
          <w:tcPr>
            <w:tcW w:w="6760" w:type="dxa"/>
            <w:vAlign w:val="bottom"/>
          </w:tcPr>
          <w:p>
            <w:pPr>
              <w:ind w:left="20"/>
              <w:spacing w:after="0"/>
              <w:rPr>
                <w:sz w:val="20"/>
                <w:szCs w:val="20"/>
                <w:color w:val="auto"/>
              </w:rPr>
            </w:pPr>
            <w:r>
              <w:rPr>
                <w:rFonts w:ascii="Arial" w:cs="Arial" w:eastAsia="Arial" w:hAnsi="Arial"/>
                <w:sz w:val="16"/>
                <w:szCs w:val="16"/>
                <w:color w:val="auto"/>
              </w:rPr>
              <w:t>Earnings per share, Basic</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3.91</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w:t>
            </w: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3.74</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6"/>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Earnings per share, Diluted</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3.91</w:t>
            </w:r>
          </w:p>
        </w:tc>
        <w:tc>
          <w:tcPr>
            <w:tcW w:w="52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3.97</w:t>
            </w:r>
          </w:p>
        </w:tc>
        <w:tc>
          <w:tcPr>
            <w:tcW w:w="520" w:type="dxa"/>
            <w:vAlign w:val="bottom"/>
            <w:tcBorders>
              <w:bottom w:val="single" w:sz="8" w:color="auto"/>
            </w:tcBorders>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3.74</w:t>
            </w:r>
          </w:p>
        </w:tc>
      </w:tr>
      <w:tr>
        <w:trPr>
          <w:trHeight w:val="197"/>
        </w:trPr>
        <w:tc>
          <w:tcPr>
            <w:tcW w:w="6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67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15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5"/>
        </w:trPr>
        <w:tc>
          <w:tcPr>
            <w:tcW w:w="6760" w:type="dxa"/>
            <w:vAlign w:val="bottom"/>
          </w:tcPr>
          <w:p>
            <w:pPr>
              <w:ind w:left="200"/>
              <w:spacing w:after="0"/>
              <w:rPr>
                <w:sz w:val="20"/>
                <w:szCs w:val="20"/>
                <w:color w:val="auto"/>
              </w:rPr>
            </w:pPr>
            <w:r>
              <w:rPr>
                <w:rFonts w:ascii="Arial" w:cs="Arial" w:eastAsia="Arial" w:hAnsi="Arial"/>
                <w:sz w:val="16"/>
                <w:szCs w:val="16"/>
                <w:color w:val="auto"/>
              </w:rPr>
              <w:t>Basic</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67.0</w:t>
            </w: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64.9</w:t>
            </w:r>
          </w:p>
        </w:tc>
        <w:tc>
          <w:tcPr>
            <w:tcW w:w="5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63.2</w:t>
            </w:r>
          </w:p>
        </w:tc>
      </w:tr>
      <w:tr>
        <w:trPr>
          <w:trHeight w:val="20"/>
        </w:trPr>
        <w:tc>
          <w:tcPr>
            <w:tcW w:w="67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6"/>
        </w:trPr>
        <w:tc>
          <w:tcPr>
            <w:tcW w:w="67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Diluted</w:t>
            </w:r>
          </w:p>
        </w:tc>
        <w:tc>
          <w:tcPr>
            <w:tcW w:w="15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67.1</w:t>
            </w:r>
          </w:p>
        </w:tc>
        <w:tc>
          <w:tcPr>
            <w:tcW w:w="5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65.0</w:t>
            </w:r>
          </w:p>
        </w:tc>
        <w:tc>
          <w:tcPr>
            <w:tcW w:w="52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63.3</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9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c>
          <w:tcPr>
            <w:tcW w:w="14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c>
          <w:tcPr>
            <w:tcW w:w="134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auto"/>
            </w:tcBorders>
          </w:tcPr>
          <w:p>
            <w:pPr>
              <w:ind w:left="3060"/>
              <w:spacing w:after="0"/>
              <w:rPr>
                <w:sz w:val="20"/>
                <w:szCs w:val="20"/>
                <w:color w:val="auto"/>
              </w:rPr>
            </w:pPr>
            <w:r>
              <w:rPr>
                <w:rFonts w:ascii="Arial" w:cs="Arial" w:eastAsia="Arial" w:hAnsi="Arial"/>
                <w:sz w:val="16"/>
                <w:szCs w:val="16"/>
                <w:b w:val="1"/>
                <w:bCs w:val="1"/>
                <w:color w:val="auto"/>
              </w:rPr>
              <w:t>Year ended</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319"/>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income</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276.0</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270.8</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251.2</w:t>
            </w:r>
          </w:p>
        </w:tc>
        <w:tc>
          <w:tcPr>
            <w:tcW w:w="0" w:type="dxa"/>
            <w:vAlign w:val="bottom"/>
          </w:tcPr>
          <w:p>
            <w:pPr>
              <w:spacing w:after="0"/>
              <w:rPr>
                <w:sz w:val="1"/>
                <w:szCs w:val="1"/>
                <w:color w:val="auto"/>
              </w:rPr>
            </w:pPr>
          </w:p>
        </w:tc>
      </w:tr>
      <w:tr>
        <w:trPr>
          <w:trHeight w:val="425"/>
        </w:trPr>
        <w:tc>
          <w:tcPr>
            <w:tcW w:w="590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00" w:type="dxa"/>
            <w:vAlign w:val="bottom"/>
            <w:gridSpan w:val="3"/>
            <w:shd w:val="clear" w:color="auto" w:fill="CFF0FC"/>
          </w:tcPr>
          <w:p>
            <w:pPr>
              <w:ind w:left="380"/>
              <w:spacing w:after="0"/>
              <w:rPr>
                <w:sz w:val="20"/>
                <w:szCs w:val="20"/>
                <w:color w:val="auto"/>
              </w:rPr>
            </w:pPr>
            <w:r>
              <w:rPr>
                <w:rFonts w:ascii="Arial" w:cs="Arial" w:eastAsia="Arial" w:hAnsi="Arial"/>
                <w:sz w:val="16"/>
                <w:szCs w:val="16"/>
                <w:color w:val="auto"/>
              </w:rPr>
              <w:t>Benefit plan liability adjustments - net gain (loss) (net of tax of $0, $(1.5), and $(0.7),</w:t>
            </w: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respectively)</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8"/>
        </w:trPr>
        <w:tc>
          <w:tcPr>
            <w:tcW w:w="5900" w:type="dxa"/>
            <w:vAlign w:val="bottom"/>
          </w:tcPr>
          <w:p>
            <w:pPr>
              <w:ind w:left="380"/>
              <w:spacing w:after="0"/>
              <w:rPr>
                <w:sz w:val="20"/>
                <w:szCs w:val="20"/>
                <w:color w:val="auto"/>
              </w:rPr>
            </w:pPr>
            <w:r>
              <w:rPr>
                <w:rFonts w:ascii="Arial" w:cs="Arial" w:eastAsia="Arial" w:hAnsi="Arial"/>
                <w:sz w:val="16"/>
                <w:szCs w:val="16"/>
                <w:color w:val="auto"/>
              </w:rPr>
              <w:t>Reclassification adjustment of benefit plan liability - net loss (net of tax of $0,</w:t>
            </w:r>
          </w:p>
        </w:tc>
        <w:tc>
          <w:tcPr>
            <w:tcW w:w="1200" w:type="dxa"/>
            <w:vAlign w:val="bottom"/>
            <w:gridSpan w:val="2"/>
          </w:tcPr>
          <w:p>
            <w:pPr>
              <w:jc w:val="right"/>
              <w:ind w:right="299"/>
              <w:spacing w:after="0"/>
              <w:rPr>
                <w:sz w:val="20"/>
                <w:szCs w:val="20"/>
                <w:color w:val="auto"/>
              </w:rPr>
            </w:pPr>
            <w:r>
              <w:rPr>
                <w:rFonts w:ascii="Arial" w:cs="Arial" w:eastAsia="Arial" w:hAnsi="Arial"/>
                <w:sz w:val="16"/>
                <w:szCs w:val="16"/>
                <w:color w:val="auto"/>
              </w:rPr>
              <w:t>$(0.2), and</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80"/>
              <w:spacing w:after="0"/>
              <w:rPr>
                <w:sz w:val="20"/>
                <w:szCs w:val="20"/>
                <w:color w:val="auto"/>
              </w:rPr>
            </w:pPr>
            <w:r>
              <w:rPr>
                <w:rFonts w:ascii="Arial" w:cs="Arial" w:eastAsia="Arial" w:hAnsi="Arial"/>
                <w:sz w:val="16"/>
                <w:szCs w:val="16"/>
                <w:color w:val="auto"/>
              </w:rPr>
              <w:t>$(0.7), respectively)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0.5</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89"/>
        </w:trPr>
        <w:tc>
          <w:tcPr>
            <w:tcW w:w="7100" w:type="dxa"/>
            <w:vAlign w:val="bottom"/>
            <w:gridSpan w:val="3"/>
            <w:shd w:val="clear" w:color="auto" w:fill="CFF0FC"/>
          </w:tcPr>
          <w:p>
            <w:pPr>
              <w:ind w:left="380"/>
              <w:spacing w:after="0"/>
              <w:rPr>
                <w:sz w:val="20"/>
                <w:szCs w:val="20"/>
                <w:color w:val="auto"/>
              </w:rPr>
            </w:pPr>
            <w:r>
              <w:rPr>
                <w:rFonts w:ascii="Arial" w:cs="Arial" w:eastAsia="Arial" w:hAnsi="Arial"/>
                <w:sz w:val="16"/>
                <w:szCs w:val="16"/>
                <w:color w:val="auto"/>
              </w:rPr>
              <w:t>Reclassification adjustment of benefit plan liability - prior service cost (net of tax of $0,</w:t>
            </w: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$0, and $0, respectively)</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5"/>
        </w:trPr>
        <w:tc>
          <w:tcPr>
            <w:tcW w:w="5900" w:type="dxa"/>
            <w:vAlign w:val="bottom"/>
          </w:tcPr>
          <w:p>
            <w:pPr>
              <w:ind w:left="200"/>
              <w:spacing w:after="0"/>
              <w:rPr>
                <w:sz w:val="20"/>
                <w:szCs w:val="20"/>
                <w:color w:val="auto"/>
              </w:rPr>
            </w:pPr>
            <w:r>
              <w:rPr>
                <w:rFonts w:ascii="Arial" w:cs="Arial" w:eastAsia="Arial" w:hAnsi="Arial"/>
                <w:sz w:val="16"/>
                <w:szCs w:val="16"/>
                <w:color w:val="auto"/>
              </w:rPr>
              <w:t>Derivative instruments designated as cash flow hedges: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gridSpan w:val="3"/>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settled/amortized interest rate swaps (net</w:t>
            </w:r>
          </w:p>
        </w:tc>
        <w:tc>
          <w:tcPr>
            <w:tcW w:w="13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9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of tax of $(0.7), $(0.7), and $(0.7), respectively)</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88"/>
        </w:trPr>
        <w:tc>
          <w:tcPr>
            <w:tcW w:w="7100" w:type="dxa"/>
            <w:vAlign w:val="bottom"/>
            <w:gridSpan w:val="3"/>
          </w:tcPr>
          <w:p>
            <w:pPr>
              <w:ind w:left="380"/>
              <w:spacing w:after="0"/>
              <w:rPr>
                <w:sz w:val="20"/>
                <w:szCs w:val="20"/>
                <w:color w:val="auto"/>
              </w:rPr>
            </w:pPr>
            <w:r>
              <w:rPr>
                <w:rFonts w:ascii="Arial" w:cs="Arial" w:eastAsia="Arial" w:hAnsi="Arial"/>
                <w:sz w:val="16"/>
                <w:szCs w:val="16"/>
                <w:color w:val="auto"/>
              </w:rPr>
              <w:t>Net unrealized gains (losses) on commodity derivatives (net of tax of $1.1, $0.2, and $(1.0),</w:t>
            </w: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380"/>
              <w:spacing w:after="0"/>
              <w:rPr>
                <w:sz w:val="20"/>
                <w:szCs w:val="20"/>
                <w:color w:val="auto"/>
              </w:rPr>
            </w:pPr>
            <w:r>
              <w:rPr>
                <w:rFonts w:ascii="Arial" w:cs="Arial" w:eastAsia="Arial" w:hAnsi="Arial"/>
                <w:sz w:val="16"/>
                <w:szCs w:val="16"/>
                <w:color w:val="auto"/>
              </w:rPr>
              <w:t>respectively)</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(3.6 )</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(0.6 )</w:t>
            </w:r>
          </w:p>
        </w:tc>
        <w:tc>
          <w:tcPr>
            <w:tcW w:w="28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7100" w:type="dxa"/>
            <w:vAlign w:val="bottom"/>
            <w:gridSpan w:val="3"/>
            <w:shd w:val="clear" w:color="auto" w:fill="CFF0FC"/>
          </w:tcPr>
          <w:p>
            <w:pPr>
              <w:ind w:left="380"/>
              <w:spacing w:after="0"/>
              <w:rPr>
                <w:sz w:val="20"/>
                <w:szCs w:val="20"/>
                <w:color w:val="auto"/>
              </w:rPr>
            </w:pPr>
            <w:r>
              <w:rPr>
                <w:rFonts w:ascii="Arial" w:cs="Arial" w:eastAsia="Arial" w:hAnsi="Arial"/>
                <w:sz w:val="16"/>
                <w:szCs w:val="16"/>
                <w:color w:val="auto"/>
              </w:rPr>
              <w:t>Reclassification of net realized (gains) losses on settled commodity derivatives (net of tax of</w:t>
            </w:r>
          </w:p>
        </w:tc>
        <w:tc>
          <w:tcPr>
            <w:tcW w:w="134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6"/>
                <w:szCs w:val="16"/>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28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(1.5 )</w:t>
            </w:r>
          </w:p>
        </w:tc>
        <w:tc>
          <w:tcPr>
            <w:tcW w:w="0" w:type="dxa"/>
            <w:vAlign w:val="bottom"/>
          </w:tcPr>
          <w:p>
            <w:pPr>
              <w:spacing w:after="0"/>
              <w:rPr>
                <w:sz w:val="1"/>
                <w:szCs w:val="1"/>
                <w:color w:val="auto"/>
              </w:rPr>
            </w:pPr>
          </w:p>
        </w:tc>
      </w:tr>
      <w:tr>
        <w:trPr>
          <w:trHeight w:val="203"/>
        </w:trPr>
        <w:tc>
          <w:tcPr>
            <w:tcW w:w="59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$(0.7), $0.7, and $0.5, respectively)</w:t>
            </w:r>
          </w:p>
        </w:tc>
        <w:tc>
          <w:tcPr>
            <w:tcW w:w="10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vMerge w:val="continue"/>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0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0.8</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276.8</w:t>
            </w: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275.3</w:t>
            </w: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258.5</w:t>
            </w:r>
          </w:p>
        </w:tc>
        <w:tc>
          <w:tcPr>
            <w:tcW w:w="0" w:type="dxa"/>
            <w:vAlign w:val="bottom"/>
          </w:tcPr>
          <w:p>
            <w:pPr>
              <w:spacing w:after="0"/>
              <w:rPr>
                <w:sz w:val="1"/>
                <w:szCs w:val="1"/>
                <w:color w:val="auto"/>
              </w:rPr>
            </w:pPr>
          </w:p>
        </w:tc>
      </w:tr>
      <w:tr>
        <w:trPr>
          <w:trHeight w:val="215"/>
        </w:trPr>
        <w:tc>
          <w:tcPr>
            <w:tcW w:w="5900" w:type="dxa"/>
            <w:vAlign w:val="bottom"/>
          </w:tcPr>
          <w:p>
            <w:pPr>
              <w:ind w:left="20"/>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(13.8 )</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(14.5 )</w:t>
            </w:r>
          </w:p>
        </w:tc>
        <w:tc>
          <w:tcPr>
            <w:tcW w:w="0" w:type="dxa"/>
            <w:vAlign w:val="bottom"/>
          </w:tcPr>
          <w:p>
            <w:pPr>
              <w:spacing w:after="0"/>
              <w:rPr>
                <w:sz w:val="1"/>
                <w:szCs w:val="1"/>
                <w:color w:val="auto"/>
              </w:rPr>
            </w:pPr>
          </w:p>
        </w:tc>
      </w:tr>
      <w:tr>
        <w:trPr>
          <w:trHeight w:val="250"/>
        </w:trPr>
        <w:tc>
          <w:tcPr>
            <w:tcW w:w="5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Comprehensive income available for common stock</w:t>
            </w:r>
          </w:p>
        </w:tc>
        <w:tc>
          <w:tcPr>
            <w:tcW w:w="10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263.0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262.9</w:t>
            </w: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for additional disclosures related to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2282190</wp:posOffset>
            </wp:positionH>
            <wp:positionV relativeFrom="paragraph">
              <wp:posOffset>-1270</wp:posOffset>
            </wp:positionV>
            <wp:extent cx="31305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77736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84"/>
        </w:trPr>
        <w:tc>
          <w:tcPr>
            <w:tcW w:w="352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98"/>
        </w:trPr>
        <w:tc>
          <w:tcPr>
            <w:tcW w:w="1360" w:type="dxa"/>
            <w:vAlign w:val="bottom"/>
            <w:tcBorders>
              <w:top w:val="single" w:sz="8" w:color="0000FF"/>
            </w:tcBorders>
          </w:tcPr>
          <w:p>
            <w:pPr>
              <w:spacing w:after="0"/>
              <w:rPr>
                <w:sz w:val="24"/>
                <w:szCs w:val="24"/>
                <w:color w:val="auto"/>
              </w:rPr>
            </w:pPr>
          </w:p>
        </w:tc>
        <w:tc>
          <w:tcPr>
            <w:tcW w:w="2160" w:type="dxa"/>
            <w:vAlign w:val="bottom"/>
          </w:tcPr>
          <w:p>
            <w:pPr>
              <w:spacing w:after="0"/>
              <w:rPr>
                <w:sz w:val="24"/>
                <w:szCs w:val="24"/>
                <w:color w:val="auto"/>
              </w:rPr>
            </w:pPr>
          </w:p>
        </w:tc>
        <w:tc>
          <w:tcPr>
            <w:tcW w:w="4840" w:type="dxa"/>
            <w:vAlign w:val="bottom"/>
            <w:gridSpan w:val="2"/>
          </w:tcPr>
          <w:p>
            <w:pPr>
              <w:jc w:val="right"/>
              <w:ind w:right="1499"/>
              <w:spacing w:after="0"/>
              <w:rPr>
                <w:sz w:val="20"/>
                <w:szCs w:val="20"/>
                <w:color w:val="auto"/>
              </w:rPr>
            </w:pPr>
            <w:r>
              <w:rPr>
                <w:rFonts w:ascii="Arial" w:cs="Arial" w:eastAsia="Arial" w:hAnsi="Arial"/>
                <w:sz w:val="16"/>
                <w:szCs w:val="16"/>
                <w:b w:val="1"/>
                <w:bCs w:val="1"/>
                <w:color w:val="auto"/>
              </w:rPr>
              <w:t>BLACK HILLS CORPORATION</w:t>
            </w:r>
          </w:p>
        </w:tc>
        <w:tc>
          <w:tcPr>
            <w:tcW w:w="1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3"/>
        </w:trPr>
        <w:tc>
          <w:tcPr>
            <w:tcW w:w="1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840" w:type="dxa"/>
            <w:vAlign w:val="bottom"/>
            <w:gridSpan w:val="2"/>
          </w:tcPr>
          <w:p>
            <w:pPr>
              <w:jc w:val="right"/>
              <w:ind w:right="1239"/>
              <w:spacing w:after="0"/>
              <w:rPr>
                <w:sz w:val="20"/>
                <w:szCs w:val="20"/>
                <w:color w:val="auto"/>
              </w:rPr>
            </w:pPr>
            <w:r>
              <w:rPr>
                <w:rFonts w:ascii="Arial" w:cs="Arial" w:eastAsia="Arial" w:hAnsi="Arial"/>
                <w:sz w:val="16"/>
                <w:szCs w:val="16"/>
                <w:b w:val="1"/>
                <w:bCs w:val="1"/>
                <w:color w:val="auto"/>
              </w:rPr>
              <w:t>CONSOLIDATED BALANCE SHEETS</w:t>
            </w:r>
          </w:p>
        </w:tc>
        <w:tc>
          <w:tcPr>
            <w:tcW w:w="1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12"/>
        </w:trPr>
        <w:tc>
          <w:tcPr>
            <w:tcW w:w="1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60" w:type="dxa"/>
            <w:vAlign w:val="bottom"/>
            <w:gridSpan w:val="2"/>
          </w:tcPr>
          <w:p>
            <w:pPr>
              <w:jc w:val="right"/>
              <w:ind w:right="479"/>
              <w:spacing w:after="0"/>
              <w:rPr>
                <w:sz w:val="20"/>
                <w:szCs w:val="20"/>
                <w:color w:val="auto"/>
              </w:rPr>
            </w:pPr>
            <w:r>
              <w:rPr>
                <w:rFonts w:ascii="Arial" w:cs="Arial" w:eastAsia="Arial" w:hAnsi="Arial"/>
                <w:sz w:val="16"/>
                <w:szCs w:val="16"/>
                <w:b w:val="1"/>
                <w:bCs w:val="1"/>
                <w:color w:val="auto"/>
              </w:rPr>
              <w:t>As of</w:t>
            </w:r>
          </w:p>
        </w:tc>
        <w:tc>
          <w:tcPr>
            <w:tcW w:w="102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2023</w:t>
            </w: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2022</w:t>
            </w:r>
          </w:p>
        </w:tc>
      </w:tr>
      <w:tr>
        <w:trPr>
          <w:trHeight w:val="210"/>
        </w:trPr>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gridSpan w:val="2"/>
          </w:tcPr>
          <w:p>
            <w:pPr>
              <w:jc w:val="right"/>
              <w:ind w:right="219"/>
              <w:spacing w:after="0"/>
              <w:rPr>
                <w:sz w:val="20"/>
                <w:szCs w:val="20"/>
                <w:color w:val="auto"/>
              </w:rPr>
            </w:pPr>
            <w:r>
              <w:rPr>
                <w:rFonts w:ascii="Arial" w:cs="Arial" w:eastAsia="Arial" w:hAnsi="Arial"/>
                <w:sz w:val="16"/>
                <w:szCs w:val="16"/>
                <w:b w:val="1"/>
                <w:bCs w:val="1"/>
                <w:color w:val="auto"/>
              </w:rPr>
              <w:t>(in millions)</w:t>
            </w:r>
          </w:p>
        </w:tc>
        <w:tc>
          <w:tcPr>
            <w:tcW w:w="1020" w:type="dxa"/>
            <w:vAlign w:val="bottom"/>
          </w:tcPr>
          <w:p>
            <w:pPr>
              <w:spacing w:after="0"/>
              <w:rPr>
                <w:sz w:val="18"/>
                <w:szCs w:val="18"/>
                <w:color w:val="auto"/>
              </w:rPr>
            </w:pPr>
          </w:p>
        </w:tc>
      </w:tr>
      <w:tr>
        <w:trPr>
          <w:trHeight w:val="216"/>
        </w:trPr>
        <w:tc>
          <w:tcPr>
            <w:tcW w:w="136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4840" w:type="dxa"/>
            <w:vAlign w:val="bottom"/>
            <w:gridSpan w:val="2"/>
            <w:shd w:val="clear" w:color="auto" w:fill="CFF0FC"/>
          </w:tcPr>
          <w:p>
            <w:pPr>
              <w:jc w:val="right"/>
              <w:ind w:right="4059"/>
              <w:spacing w:after="0"/>
              <w:rPr>
                <w:sz w:val="20"/>
                <w:szCs w:val="20"/>
                <w:color w:val="auto"/>
              </w:rPr>
            </w:pPr>
            <w:r>
              <w:rPr>
                <w:rFonts w:ascii="Arial" w:cs="Arial" w:eastAsia="Arial" w:hAnsi="Arial"/>
                <w:sz w:val="16"/>
                <w:szCs w:val="16"/>
                <w:b w:val="1"/>
                <w:bCs w:val="1"/>
                <w:color w:val="auto"/>
              </w:rPr>
              <w:t>ASSETS</w:t>
            </w: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5"/>
        </w:trPr>
        <w:tc>
          <w:tcPr>
            <w:tcW w:w="35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7"/>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4840" w:type="dxa"/>
            <w:vAlign w:val="bottom"/>
            <w:gridSpan w:val="2"/>
            <w:shd w:val="clear" w:color="auto" w:fill="CFF0FC"/>
          </w:tcPr>
          <w:p>
            <w:pPr>
              <w:jc w:val="right"/>
              <w:ind w:right="37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86.6</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21.4</w:t>
            </w: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Restricted cash and equivalents</w:t>
            </w: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7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5.6</w:t>
            </w:r>
          </w:p>
        </w:tc>
      </w:tr>
      <w:tr>
        <w:trPr>
          <w:trHeight w:val="217"/>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Accounts receivable, net</w:t>
            </w:r>
          </w:p>
        </w:tc>
        <w:tc>
          <w:tcPr>
            <w:tcW w:w="4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350.3</w:t>
            </w: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508.2</w:t>
            </w: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Materials, supplies and fuel</w:t>
            </w: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160.9</w:t>
            </w:r>
          </w:p>
        </w:tc>
        <w:tc>
          <w:tcPr>
            <w:tcW w:w="7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207.4</w:t>
            </w:r>
          </w:p>
        </w:tc>
      </w:tr>
      <w:tr>
        <w:trPr>
          <w:trHeight w:val="217"/>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Derivative assets, current</w:t>
            </w:r>
          </w:p>
        </w:tc>
        <w:tc>
          <w:tcPr>
            <w:tcW w:w="4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0.6</w:t>
            </w: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Income tax receivable, net</w:t>
            </w: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18.5</w:t>
            </w:r>
          </w:p>
        </w:tc>
        <w:tc>
          <w:tcPr>
            <w:tcW w:w="7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17.6</w:t>
            </w:r>
          </w:p>
        </w:tc>
      </w:tr>
      <w:tr>
        <w:trPr>
          <w:trHeight w:val="217"/>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Regulatory assets, current</w:t>
            </w:r>
          </w:p>
        </w:tc>
        <w:tc>
          <w:tcPr>
            <w:tcW w:w="4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175.7</w:t>
            </w: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260.3</w:t>
            </w: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Other current assets</w:t>
            </w:r>
          </w:p>
        </w:tc>
        <w:tc>
          <w:tcPr>
            <w:tcW w:w="4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28.2</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50.6</w:t>
            </w:r>
          </w:p>
        </w:tc>
      </w:tr>
      <w:tr>
        <w:trPr>
          <w:trHeight w:val="210"/>
        </w:trPr>
        <w:tc>
          <w:tcPr>
            <w:tcW w:w="35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current assets</w:t>
            </w:r>
          </w:p>
        </w:tc>
        <w:tc>
          <w:tcPr>
            <w:tcW w:w="4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826.6</w:t>
            </w:r>
          </w:p>
        </w:tc>
        <w:tc>
          <w:tcPr>
            <w:tcW w:w="7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1,071.7</w:t>
            </w:r>
          </w:p>
        </w:tc>
      </w:tr>
      <w:tr>
        <w:trPr>
          <w:trHeight w:val="210"/>
        </w:trPr>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Property, plant and equipment</w:t>
            </w:r>
          </w:p>
        </w:tc>
        <w:tc>
          <w:tcPr>
            <w:tcW w:w="4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8,917.2</w:t>
            </w: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8,374.8</w:t>
            </w: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Less accumulated depreciation and depletion</w:t>
            </w:r>
          </w:p>
        </w:tc>
        <w:tc>
          <w:tcPr>
            <w:tcW w:w="4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(1,797.9 )</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(1,576.8 )</w:t>
            </w:r>
          </w:p>
        </w:tc>
      </w:tr>
      <w:tr>
        <w:trPr>
          <w:trHeight w:val="209"/>
        </w:trPr>
        <w:tc>
          <w:tcPr>
            <w:tcW w:w="35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property, plant and equipment, net</w:t>
            </w:r>
          </w:p>
        </w:tc>
        <w:tc>
          <w:tcPr>
            <w:tcW w:w="4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7,119.3</w:t>
            </w:r>
          </w:p>
        </w:tc>
        <w:tc>
          <w:tcPr>
            <w:tcW w:w="7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6,798.0</w:t>
            </w:r>
          </w:p>
        </w:tc>
      </w:tr>
      <w:tr>
        <w:trPr>
          <w:trHeight w:val="210"/>
        </w:trPr>
        <w:tc>
          <w:tcPr>
            <w:tcW w:w="1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5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4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Goodwill</w:t>
            </w: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1,299.5</w:t>
            </w:r>
          </w:p>
        </w:tc>
        <w:tc>
          <w:tcPr>
            <w:tcW w:w="7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1,299.5</w:t>
            </w:r>
          </w:p>
        </w:tc>
      </w:tr>
      <w:tr>
        <w:trPr>
          <w:trHeight w:val="217"/>
        </w:trPr>
        <w:tc>
          <w:tcPr>
            <w:tcW w:w="35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Intangible assets, net</w:t>
            </w:r>
          </w:p>
        </w:tc>
        <w:tc>
          <w:tcPr>
            <w:tcW w:w="42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7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w:t>
            </w:r>
          </w:p>
        </w:tc>
      </w:tr>
      <w:tr>
        <w:trPr>
          <w:trHeight w:val="215"/>
        </w:trPr>
        <w:tc>
          <w:tcPr>
            <w:tcW w:w="3520" w:type="dxa"/>
            <w:vAlign w:val="bottom"/>
            <w:gridSpan w:val="2"/>
          </w:tcPr>
          <w:p>
            <w:pPr>
              <w:ind w:left="200"/>
              <w:spacing w:after="0"/>
              <w:rPr>
                <w:sz w:val="20"/>
                <w:szCs w:val="20"/>
                <w:color w:val="auto"/>
              </w:rPr>
            </w:pPr>
            <w:r>
              <w:rPr>
                <w:rFonts w:ascii="Arial" w:cs="Arial" w:eastAsia="Arial" w:hAnsi="Arial"/>
                <w:sz w:val="16"/>
                <w:szCs w:val="16"/>
                <w:color w:val="auto"/>
              </w:rPr>
              <w:t>Regulatory assets, non-current</w:t>
            </w:r>
          </w:p>
        </w:tc>
        <w:tc>
          <w:tcPr>
            <w:tcW w:w="4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304.4</w:t>
            </w:r>
          </w:p>
        </w:tc>
        <w:tc>
          <w:tcPr>
            <w:tcW w:w="700" w:type="dxa"/>
            <w:vAlign w:val="bottom"/>
          </w:tcPr>
          <w:p>
            <w:pPr>
              <w:spacing w:after="0"/>
              <w:rPr>
                <w:sz w:val="18"/>
                <w:szCs w:val="18"/>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392.7</w:t>
            </w:r>
          </w:p>
        </w:tc>
      </w:tr>
      <w:tr>
        <w:trPr>
          <w:trHeight w:val="216"/>
        </w:trPr>
        <w:tc>
          <w:tcPr>
            <w:tcW w:w="352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Other assets, non-current</w:t>
            </w:r>
          </w:p>
        </w:tc>
        <w:tc>
          <w:tcPr>
            <w:tcW w:w="428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62.2</w:t>
            </w:r>
          </w:p>
        </w:tc>
        <w:tc>
          <w:tcPr>
            <w:tcW w:w="7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46.7</w:t>
            </w:r>
          </w:p>
        </w:tc>
      </w:tr>
      <w:tr>
        <w:trPr>
          <w:trHeight w:val="210"/>
        </w:trPr>
        <w:tc>
          <w:tcPr>
            <w:tcW w:w="3520" w:type="dxa"/>
            <w:vAlign w:val="bottom"/>
            <w:gridSpan w:val="2"/>
          </w:tcPr>
          <w:p>
            <w:pPr>
              <w:ind w:left="380"/>
              <w:spacing w:after="0"/>
              <w:rPr>
                <w:sz w:val="20"/>
                <w:szCs w:val="20"/>
                <w:color w:val="auto"/>
              </w:rPr>
            </w:pPr>
            <w:r>
              <w:rPr>
                <w:rFonts w:ascii="Arial" w:cs="Arial" w:eastAsia="Arial" w:hAnsi="Arial"/>
                <w:sz w:val="16"/>
                <w:szCs w:val="16"/>
                <w:color w:val="auto"/>
              </w:rPr>
              <w:t>Total other assets, non-current</w:t>
            </w:r>
          </w:p>
        </w:tc>
        <w:tc>
          <w:tcPr>
            <w:tcW w:w="4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1,674.5</w:t>
            </w:r>
          </w:p>
        </w:tc>
        <w:tc>
          <w:tcPr>
            <w:tcW w:w="7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1,748.5</w:t>
            </w:r>
          </w:p>
        </w:tc>
      </w:tr>
      <w:tr>
        <w:trPr>
          <w:trHeight w:val="250"/>
        </w:trPr>
        <w:tc>
          <w:tcPr>
            <w:tcW w:w="3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ASSETS</w:t>
            </w:r>
          </w:p>
        </w:tc>
        <w:tc>
          <w:tcPr>
            <w:tcW w:w="42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9,620.4</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9,618.2</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ind w:left="3800"/>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left="3800"/>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jc w:val="center"/>
        <w:ind w:left="3800"/>
        <w:spacing w:after="0"/>
        <w:rPr>
          <w:sz w:val="20"/>
          <w:szCs w:val="20"/>
          <w:color w:val="auto"/>
        </w:rPr>
      </w:pPr>
      <w:r>
        <w:rPr>
          <w:rFonts w:ascii="Arial" w:cs="Arial" w:eastAsia="Arial" w:hAnsi="Arial"/>
          <w:sz w:val="16"/>
          <w:szCs w:val="16"/>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360"/>
        <w:spacing w:after="0"/>
        <w:rPr>
          <w:sz w:val="20"/>
          <w:szCs w:val="20"/>
          <w:color w:val="auto"/>
        </w:rPr>
      </w:pPr>
      <w:r>
        <w:rPr>
          <w:rFonts w:ascii="Arial" w:cs="Arial" w:eastAsia="Arial" w:hAnsi="Arial"/>
          <w:sz w:val="16"/>
          <w:szCs w:val="16"/>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Accrued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Derivative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Regulatory liabilities, current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Current maturities of long-term debt</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debt, net of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60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Deferred income tax liabilities, net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Regulatory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Benefit plan liabilities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deferred credits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Commitments, contingencies and guarantees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Equity:</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color w:val="auto"/>
        </w:rPr>
        <w:t>Common stock $1.00 par value; 100,000,000 shares authorized; issued: 68,265,042 and 66,140,396, respectively</w:t>
      </w:r>
    </w:p>
    <w:p>
      <w:pPr>
        <w:ind w:left="20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Retained earnings</w:t>
      </w:r>
    </w:p>
    <w:p>
      <w:pPr>
        <w:spacing w:after="0" w:line="32" w:lineRule="exact"/>
        <w:rPr>
          <w:sz w:val="20"/>
          <w:szCs w:val="20"/>
          <w:color w:val="auto"/>
        </w:rPr>
      </w:pPr>
    </w:p>
    <w:p>
      <w:pPr>
        <w:ind w:left="200" w:right="3220"/>
        <w:spacing w:after="0" w:line="293" w:lineRule="auto"/>
        <w:rPr>
          <w:sz w:val="20"/>
          <w:szCs w:val="20"/>
          <w:color w:val="auto"/>
        </w:rPr>
      </w:pPr>
      <w:r>
        <w:rPr>
          <w:rFonts w:ascii="Arial" w:cs="Arial" w:eastAsia="Arial" w:hAnsi="Arial"/>
          <w:sz w:val="16"/>
          <w:szCs w:val="16"/>
          <w:color w:val="auto"/>
        </w:rPr>
        <w:t>Treasury stock at cost - 68,073 and 36,726, respectively Accumulated other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2120" w:type="dxa"/>
            <w:vAlign w:val="bottom"/>
            <w:gridSpan w:val="2"/>
          </w:tcPr>
          <w:p>
            <w:pPr>
              <w:jc w:val="right"/>
              <w:ind w:right="379"/>
              <w:spacing w:after="0"/>
              <w:rPr>
                <w:sz w:val="20"/>
                <w:szCs w:val="20"/>
                <w:color w:val="auto"/>
              </w:rPr>
            </w:pPr>
            <w:r>
              <w:rPr>
                <w:rFonts w:ascii="Arial" w:cs="Arial" w:eastAsia="Arial" w:hAnsi="Arial"/>
                <w:sz w:val="16"/>
                <w:szCs w:val="16"/>
                <w:b w:val="1"/>
                <w:bCs w:val="1"/>
                <w:color w:val="auto"/>
              </w:rPr>
              <w:t>As of</w:t>
            </w:r>
          </w:p>
        </w:tc>
        <w:tc>
          <w:tcPr>
            <w:tcW w:w="1120" w:type="dxa"/>
            <w:vAlign w:val="bottom"/>
          </w:tcPr>
          <w:p>
            <w:pPr>
              <w:spacing w:after="0"/>
              <w:rPr>
                <w:sz w:val="18"/>
                <w:szCs w:val="18"/>
                <w:color w:val="auto"/>
              </w:rPr>
            </w:pPr>
          </w:p>
        </w:tc>
      </w:tr>
      <w:tr>
        <w:trPr>
          <w:trHeight w:val="217"/>
        </w:trPr>
        <w:tc>
          <w:tcPr>
            <w:tcW w:w="16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December 31, 2023</w:t>
            </w:r>
          </w:p>
        </w:tc>
        <w:tc>
          <w:tcPr>
            <w:tcW w:w="176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2022</w:t>
            </w:r>
          </w:p>
        </w:tc>
      </w:tr>
      <w:tr>
        <w:trPr>
          <w:trHeight w:val="216"/>
        </w:trPr>
        <w:tc>
          <w:tcPr>
            <w:tcW w:w="200" w:type="dxa"/>
            <w:vAlign w:val="bottom"/>
          </w:tcPr>
          <w:p>
            <w:pPr>
              <w:spacing w:after="0"/>
              <w:rPr>
                <w:sz w:val="18"/>
                <w:szCs w:val="18"/>
                <w:color w:val="auto"/>
              </w:rPr>
            </w:pPr>
          </w:p>
        </w:tc>
        <w:tc>
          <w:tcPr>
            <w:tcW w:w="324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(in millions, except share amounts)</w:t>
            </w:r>
          </w:p>
        </w:tc>
      </w:tr>
      <w:tr>
        <w:trPr>
          <w:trHeight w:val="639"/>
        </w:trPr>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186.4</w:t>
            </w:r>
          </w:p>
        </w:tc>
        <w:tc>
          <w:tcPr>
            <w:tcW w:w="64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310.0</w:t>
            </w:r>
          </w:p>
        </w:tc>
      </w:tr>
      <w:tr>
        <w:trPr>
          <w:trHeight w:val="216"/>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293.3</w:t>
            </w:r>
          </w:p>
        </w:tc>
        <w:tc>
          <w:tcPr>
            <w:tcW w:w="6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243.5</w:t>
            </w:r>
          </w:p>
        </w:tc>
      </w:tr>
      <w:tr>
        <w:trPr>
          <w:trHeight w:val="216"/>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6.5</w:t>
            </w:r>
          </w:p>
        </w:tc>
        <w:tc>
          <w:tcPr>
            <w:tcW w:w="6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6.6</w:t>
            </w:r>
          </w:p>
        </w:tc>
      </w:tr>
      <w:tr>
        <w:trPr>
          <w:trHeight w:val="216"/>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98.9</w:t>
            </w:r>
          </w:p>
        </w:tc>
        <w:tc>
          <w:tcPr>
            <w:tcW w:w="6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46.0</w:t>
            </w:r>
          </w:p>
        </w:tc>
      </w:tr>
      <w:tr>
        <w:trPr>
          <w:trHeight w:val="216"/>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535.6</w:t>
            </w:r>
          </w:p>
        </w:tc>
      </w:tr>
      <w:tr>
        <w:trPr>
          <w:trHeight w:val="217"/>
        </w:trPr>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525.0</w:t>
            </w:r>
          </w:p>
        </w:tc>
      </w:tr>
      <w:tr>
        <w:trPr>
          <w:trHeight w:val="210"/>
        </w:trPr>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1,185.1</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1,666.7</w:t>
            </w:r>
          </w:p>
        </w:tc>
      </w:tr>
      <w:tr>
        <w:trPr>
          <w:trHeight w:val="425"/>
        </w:trPr>
        <w:tc>
          <w:tcPr>
            <w:tcW w:w="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3,801.2</w:t>
            </w:r>
          </w:p>
        </w:tc>
        <w:tc>
          <w:tcPr>
            <w:tcW w:w="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3,607.3</w:t>
            </w:r>
          </w:p>
        </w:tc>
      </w:tr>
      <w:tr>
        <w:trPr>
          <w:trHeight w:val="641"/>
        </w:trPr>
        <w:tc>
          <w:tcPr>
            <w:tcW w:w="2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548.0</w:t>
            </w:r>
          </w:p>
        </w:tc>
        <w:tc>
          <w:tcPr>
            <w:tcW w:w="640" w:type="dxa"/>
            <w:vAlign w:val="bottom"/>
          </w:tcPr>
          <w:p>
            <w:pPr>
              <w:spacing w:after="0"/>
              <w:rPr>
                <w:sz w:val="24"/>
                <w:szCs w:val="24"/>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508.9</w:t>
            </w:r>
          </w:p>
        </w:tc>
      </w:tr>
      <w:tr>
        <w:trPr>
          <w:trHeight w:val="216"/>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467.7</w:t>
            </w:r>
          </w:p>
        </w:tc>
        <w:tc>
          <w:tcPr>
            <w:tcW w:w="6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472.6</w:t>
            </w:r>
          </w:p>
        </w:tc>
      </w:tr>
      <w:tr>
        <w:trPr>
          <w:trHeight w:val="216"/>
        </w:trPr>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123.9</w:t>
            </w:r>
          </w:p>
        </w:tc>
        <w:tc>
          <w:tcPr>
            <w:tcW w:w="640" w:type="dxa"/>
            <w:vAlign w:val="bottom"/>
          </w:tcPr>
          <w:p>
            <w:pPr>
              <w:spacing w:after="0"/>
              <w:rPr>
                <w:sz w:val="18"/>
                <w:szCs w:val="18"/>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116.7</w:t>
            </w:r>
          </w:p>
        </w:tc>
      </w:tr>
      <w:tr>
        <w:trPr>
          <w:trHeight w:val="217"/>
        </w:trPr>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156.1</w:t>
            </w:r>
          </w:p>
        </w:tc>
      </w:tr>
      <w:tr>
        <w:trPr>
          <w:trHeight w:val="210"/>
        </w:trPr>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1,328.3</w:t>
            </w:r>
          </w:p>
        </w:tc>
        <w:tc>
          <w:tcPr>
            <w:tcW w:w="6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1,254.3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1060" w:type="dxa"/>
        <w:tblCellMar>
          <w:top w:w="0" w:type="dxa"/>
          <w:left w:w="0" w:type="dxa"/>
          <w:bottom w:w="0" w:type="dxa"/>
          <w:right w:w="0" w:type="dxa"/>
        </w:tblCellMar>
      </w:tblPr>
      <w:tr>
        <w:trPr>
          <w:trHeight w:val="215"/>
        </w:trPr>
        <w:tc>
          <w:tcPr>
            <w:tcW w:w="1180" w:type="dxa"/>
            <w:vAlign w:val="bottom"/>
          </w:tcPr>
          <w:p>
            <w:pPr>
              <w:jc w:val="right"/>
              <w:ind w:right="559"/>
              <w:spacing w:after="0"/>
              <w:rPr>
                <w:sz w:val="20"/>
                <w:szCs w:val="20"/>
                <w:color w:val="auto"/>
              </w:rPr>
            </w:pPr>
            <w:r>
              <w:rPr>
                <w:rFonts w:ascii="Arial" w:cs="Arial" w:eastAsia="Arial" w:hAnsi="Arial"/>
                <w:sz w:val="16"/>
                <w:szCs w:val="16"/>
                <w:color w:val="auto"/>
              </w:rPr>
              <w:t>68.3</w:t>
            </w:r>
          </w:p>
        </w:tc>
        <w:tc>
          <w:tcPr>
            <w:tcW w:w="116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6"/>
        </w:trPr>
        <w:tc>
          <w:tcPr>
            <w:tcW w:w="1180" w:type="dxa"/>
            <w:vAlign w:val="bottom"/>
          </w:tcPr>
          <w:p>
            <w:pPr>
              <w:jc w:val="right"/>
              <w:ind w:right="559"/>
              <w:spacing w:after="0"/>
              <w:rPr>
                <w:sz w:val="20"/>
                <w:szCs w:val="20"/>
                <w:color w:val="auto"/>
              </w:rPr>
            </w:pPr>
            <w:r>
              <w:rPr>
                <w:rFonts w:ascii="Arial" w:cs="Arial" w:eastAsia="Arial" w:hAnsi="Arial"/>
                <w:sz w:val="16"/>
                <w:szCs w:val="16"/>
                <w:color w:val="auto"/>
                <w:w w:val="97"/>
              </w:rPr>
              <w:t>2,007.7</w:t>
            </w:r>
          </w:p>
        </w:tc>
        <w:tc>
          <w:tcPr>
            <w:tcW w:w="1160" w:type="dxa"/>
            <w:vAlign w:val="bottom"/>
          </w:tcPr>
          <w:p>
            <w:pPr>
              <w:jc w:val="right"/>
              <w:spacing w:after="0"/>
              <w:rPr>
                <w:sz w:val="20"/>
                <w:szCs w:val="20"/>
                <w:color w:val="auto"/>
              </w:rPr>
            </w:pPr>
            <w:r>
              <w:rPr>
                <w:rFonts w:ascii="Arial" w:cs="Arial" w:eastAsia="Arial" w:hAnsi="Arial"/>
                <w:sz w:val="16"/>
                <w:szCs w:val="16"/>
                <w:color w:val="auto"/>
              </w:rPr>
              <w:t>1,882.7</w:t>
            </w:r>
          </w:p>
        </w:tc>
      </w:tr>
      <w:tr>
        <w:trPr>
          <w:trHeight w:val="216"/>
        </w:trPr>
        <w:tc>
          <w:tcPr>
            <w:tcW w:w="1180" w:type="dxa"/>
            <w:vAlign w:val="bottom"/>
          </w:tcPr>
          <w:p>
            <w:pPr>
              <w:jc w:val="right"/>
              <w:ind w:right="559"/>
              <w:spacing w:after="0"/>
              <w:rPr>
                <w:sz w:val="20"/>
                <w:szCs w:val="20"/>
                <w:color w:val="auto"/>
              </w:rPr>
            </w:pPr>
            <w:r>
              <w:rPr>
                <w:rFonts w:ascii="Arial" w:cs="Arial" w:eastAsia="Arial" w:hAnsi="Arial"/>
                <w:sz w:val="16"/>
                <w:szCs w:val="16"/>
                <w:color w:val="auto"/>
                <w:w w:val="97"/>
              </w:rPr>
              <w:t>1,158.2</w:t>
            </w:r>
          </w:p>
        </w:tc>
        <w:tc>
          <w:tcPr>
            <w:tcW w:w="1160" w:type="dxa"/>
            <w:vAlign w:val="bottom"/>
          </w:tcPr>
          <w:p>
            <w:pPr>
              <w:jc w:val="right"/>
              <w:spacing w:after="0"/>
              <w:rPr>
                <w:sz w:val="20"/>
                <w:szCs w:val="20"/>
                <w:color w:val="auto"/>
              </w:rPr>
            </w:pPr>
            <w:r>
              <w:rPr>
                <w:rFonts w:ascii="Arial" w:cs="Arial" w:eastAsia="Arial" w:hAnsi="Arial"/>
                <w:sz w:val="16"/>
                <w:szCs w:val="16"/>
                <w:color w:val="auto"/>
              </w:rPr>
              <w:t>1,064.1</w:t>
            </w:r>
          </w:p>
        </w:tc>
      </w:tr>
      <w:tr>
        <w:trPr>
          <w:trHeight w:val="216"/>
        </w:trPr>
        <w:tc>
          <w:tcPr>
            <w:tcW w:w="1180" w:type="dxa"/>
            <w:vAlign w:val="bottom"/>
          </w:tcPr>
          <w:p>
            <w:pPr>
              <w:jc w:val="right"/>
              <w:ind w:right="479"/>
              <w:spacing w:after="0"/>
              <w:rPr>
                <w:sz w:val="20"/>
                <w:szCs w:val="20"/>
                <w:color w:val="auto"/>
              </w:rPr>
            </w:pPr>
            <w:r>
              <w:rPr>
                <w:rFonts w:ascii="Arial" w:cs="Arial" w:eastAsia="Arial" w:hAnsi="Arial"/>
                <w:sz w:val="16"/>
                <w:szCs w:val="16"/>
                <w:color w:val="auto"/>
              </w:rPr>
              <w:t>(4.1 )</w:t>
            </w:r>
          </w:p>
        </w:tc>
        <w:tc>
          <w:tcPr>
            <w:tcW w:w="116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6"/>
        </w:trPr>
        <w:tc>
          <w:tcPr>
            <w:tcW w:w="1180" w:type="dxa"/>
            <w:vAlign w:val="bottom"/>
          </w:tcPr>
          <w:p>
            <w:pPr>
              <w:jc w:val="right"/>
              <w:ind w:right="479"/>
              <w:spacing w:after="0"/>
              <w:rPr>
                <w:sz w:val="20"/>
                <w:szCs w:val="20"/>
                <w:color w:val="auto"/>
              </w:rPr>
            </w:pPr>
            <w:r>
              <w:rPr>
                <w:rFonts w:ascii="Arial" w:cs="Arial" w:eastAsia="Arial" w:hAnsi="Arial"/>
                <w:sz w:val="16"/>
                <w:szCs w:val="16"/>
                <w:color w:val="auto"/>
              </w:rPr>
              <w:t>(14.8 )</w:t>
            </w:r>
          </w:p>
        </w:tc>
        <w:tc>
          <w:tcPr>
            <w:tcW w:w="1160" w:type="dxa"/>
            <w:vAlign w:val="bottom"/>
          </w:tcPr>
          <w:p>
            <w:pPr>
              <w:jc w:val="right"/>
              <w:spacing w:after="0"/>
              <w:rPr>
                <w:sz w:val="20"/>
                <w:szCs w:val="20"/>
                <w:color w:val="auto"/>
              </w:rPr>
            </w:pPr>
            <w:r>
              <w:rPr>
                <w:rFonts w:ascii="Arial" w:cs="Arial" w:eastAsia="Arial" w:hAnsi="Arial"/>
                <w:sz w:val="16"/>
                <w:szCs w:val="16"/>
                <w:color w:val="auto"/>
              </w:rPr>
              <w:t>(15.6 )</w:t>
            </w:r>
          </w:p>
        </w:tc>
      </w:tr>
    </w:tbl>
    <w:p>
      <w:pPr>
        <w:spacing w:after="0" w:line="19" w:lineRule="exact"/>
        <w:rPr>
          <w:sz w:val="20"/>
          <w:szCs w:val="20"/>
          <w:color w:val="auto"/>
        </w:rPr>
      </w:pPr>
    </w:p>
    <w:p>
      <w:pPr>
        <w:sectPr>
          <w:pgSz w:w="11900" w:h="16838" w:orient="portrait"/>
          <w:cols w:equalWidth="0" w:num="2">
            <w:col w:w="7440" w:space="360"/>
            <w:col w:w="3440"/>
          </w:cols>
          <w:pgMar w:left="320" w:top="773" w:right="339" w:bottom="1440" w:gutter="0" w:footer="0" w:header="0"/>
        </w:sectPr>
      </w:pPr>
    </w:p>
    <w:tbl>
      <w:tblPr>
        <w:tblLayout w:type="fixed"/>
        <w:tblInd w:w="0" w:type="dxa"/>
        <w:tblCellMar>
          <w:top w:w="0" w:type="dxa"/>
          <w:left w:w="0" w:type="dxa"/>
          <w:bottom w:w="0" w:type="dxa"/>
          <w:right w:w="0" w:type="dxa"/>
        </w:tblCellMar>
      </w:tblPr>
      <w:tr>
        <w:trPr>
          <w:trHeight w:val="193"/>
        </w:trPr>
        <w:tc>
          <w:tcPr>
            <w:tcW w:w="430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Total stockholders’ equity</w:t>
            </w:r>
          </w:p>
        </w:tc>
        <w:tc>
          <w:tcPr>
            <w:tcW w:w="1320" w:type="dxa"/>
            <w:vAlign w:val="bottom"/>
            <w:tcBorders>
              <w:right w:val="single" w:sz="8" w:color="CFF0FC"/>
            </w:tcBorders>
            <w:shd w:val="clear" w:color="auto" w:fill="CFF0FC"/>
          </w:tcPr>
          <w:p>
            <w:pPr>
              <w:spacing w:after="0"/>
              <w:rPr>
                <w:sz w:val="16"/>
                <w:szCs w:val="16"/>
                <w:color w:val="auto"/>
              </w:rPr>
            </w:pPr>
          </w:p>
        </w:tc>
        <w:tc>
          <w:tcPr>
            <w:tcW w:w="2180" w:type="dxa"/>
            <w:vAlign w:val="bottom"/>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3,215.3</w:t>
            </w:r>
          </w:p>
        </w:tc>
        <w:tc>
          <w:tcPr>
            <w:tcW w:w="66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2,994.9</w:t>
            </w:r>
          </w:p>
        </w:tc>
      </w:tr>
      <w:tr>
        <w:trPr>
          <w:trHeight w:val="215"/>
        </w:trPr>
        <w:tc>
          <w:tcPr>
            <w:tcW w:w="4300" w:type="dxa"/>
            <w:vAlign w:val="bottom"/>
            <w:gridSpan w:val="2"/>
          </w:tcPr>
          <w:p>
            <w:pPr>
              <w:ind w:left="20"/>
              <w:spacing w:after="0"/>
              <w:rPr>
                <w:sz w:val="20"/>
                <w:szCs w:val="20"/>
                <w:color w:val="auto"/>
              </w:rPr>
            </w:pPr>
            <w:r>
              <w:rPr>
                <w:rFonts w:ascii="Arial" w:cs="Arial" w:eastAsia="Arial" w:hAnsi="Arial"/>
                <w:sz w:val="16"/>
                <w:szCs w:val="16"/>
                <w:color w:val="auto"/>
              </w:rPr>
              <w:t>Non-controlling interest</w:t>
            </w:r>
          </w:p>
        </w:tc>
        <w:tc>
          <w:tcPr>
            <w:tcW w:w="1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w:t>
            </w: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95.0</w:t>
            </w:r>
          </w:p>
        </w:tc>
      </w:tr>
      <w:tr>
        <w:trPr>
          <w:trHeight w:val="210"/>
        </w:trPr>
        <w:tc>
          <w:tcPr>
            <w:tcW w:w="430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6"/>
                <w:szCs w:val="16"/>
                <w:color w:val="auto"/>
              </w:rPr>
              <w:t>Total equity</w:t>
            </w:r>
          </w:p>
        </w:tc>
        <w:tc>
          <w:tcPr>
            <w:tcW w:w="1320" w:type="dxa"/>
            <w:vAlign w:val="bottom"/>
            <w:tcBorders>
              <w:bottom w:val="single" w:sz="8" w:color="CFF0FC"/>
              <w:right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3,305.8</w:t>
            </w:r>
          </w:p>
        </w:tc>
        <w:tc>
          <w:tcPr>
            <w:tcW w:w="6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3,089.9</w:t>
            </w:r>
          </w:p>
        </w:tc>
      </w:tr>
      <w:tr>
        <w:trPr>
          <w:trHeight w:val="210"/>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r>
      <w:tr>
        <w:trPr>
          <w:trHeight w:val="249"/>
        </w:trPr>
        <w:tc>
          <w:tcPr>
            <w:tcW w:w="43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LIABILITIES AND TOTAL EQUITY</w:t>
            </w:r>
          </w:p>
        </w:tc>
        <w:tc>
          <w:tcPr>
            <w:tcW w:w="3500" w:type="dxa"/>
            <w:vAlign w:val="bottom"/>
            <w:tcBorders>
              <w:bottom w:val="single" w:sz="8" w:color="CFF0FC"/>
            </w:tcBorders>
            <w:gridSpan w:val="2"/>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9,620.4</w:t>
            </w:r>
          </w:p>
        </w:tc>
        <w:tc>
          <w:tcPr>
            <w:tcW w:w="660" w:type="dxa"/>
            <w:vAlign w:val="bottom"/>
            <w:tcBorders>
              <w:bottom w:val="single" w:sz="8" w:color="auto"/>
            </w:tcBorders>
            <w:shd w:val="clear" w:color="auto" w:fill="CFF0FC"/>
          </w:tcPr>
          <w:p>
            <w:pPr>
              <w:jc w:val="right"/>
              <w:ind w:right="4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9,618.2</w:t>
            </w:r>
          </w:p>
        </w:tc>
      </w:tr>
      <w:tr>
        <w:trPr>
          <w:trHeight w:val="346"/>
        </w:trPr>
        <w:tc>
          <w:tcPr>
            <w:tcW w:w="10140" w:type="dxa"/>
            <w:vAlign w:val="bottom"/>
            <w:gridSpan w:val="7"/>
          </w:tcPr>
          <w:p>
            <w:pPr>
              <w:jc w:val="center"/>
              <w:ind w:left="1021"/>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color w:val="0000FF"/>
              </w:rPr>
              <w:t>Notes to Consolidated Financial Statements</w:t>
            </w:r>
            <w:r>
              <w:rPr>
                <w:rFonts w:ascii="Arial" w:cs="Arial" w:eastAsia="Arial" w:hAnsi="Arial"/>
                <w:sz w:val="14"/>
                <w:szCs w:val="14"/>
                <w:color w:val="auto"/>
              </w:rPr>
              <w:t xml:space="preserve"> are an integral part of these Consolidated Financial Statements.</w:t>
            </w:r>
          </w:p>
        </w:tc>
        <w:tc>
          <w:tcPr>
            <w:tcW w:w="1100" w:type="dxa"/>
            <w:vAlign w:val="bottom"/>
          </w:tcPr>
          <w:p>
            <w:pPr>
              <w:spacing w:after="0"/>
              <w:rPr>
                <w:sz w:val="24"/>
                <w:szCs w:val="24"/>
                <w:color w:val="auto"/>
              </w:rPr>
            </w:pPr>
          </w:p>
        </w:tc>
      </w:tr>
      <w:tr>
        <w:trPr>
          <w:trHeight w:val="20"/>
        </w:trPr>
        <w:tc>
          <w:tcPr>
            <w:tcW w:w="2800" w:type="dxa"/>
            <w:vAlign w:val="bottom"/>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32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410"/>
        </w:trPr>
        <w:tc>
          <w:tcPr>
            <w:tcW w:w="2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500" w:type="dxa"/>
            <w:vAlign w:val="bottom"/>
            <w:gridSpan w:val="2"/>
          </w:tcPr>
          <w:p>
            <w:pPr>
              <w:jc w:val="right"/>
              <w:ind w:right="2080"/>
              <w:spacing w:after="0"/>
              <w:rPr>
                <w:sz w:val="20"/>
                <w:szCs w:val="20"/>
                <w:color w:val="auto"/>
              </w:rPr>
            </w:pPr>
            <w:r>
              <w:rPr>
                <w:rFonts w:ascii="Arial" w:cs="Arial" w:eastAsia="Arial" w:hAnsi="Arial"/>
                <w:sz w:val="16"/>
                <w:szCs w:val="16"/>
                <w:color w:val="auto"/>
              </w:rPr>
              <w:t>63</w:t>
            </w: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751"/>
        </w:trPr>
        <w:tc>
          <w:tcPr>
            <w:tcW w:w="28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1320" w:type="dxa"/>
            <w:vAlign w:val="bottom"/>
          </w:tcPr>
          <w:p>
            <w:pPr>
              <w:jc w:val="center"/>
              <w:ind w:right="159"/>
              <w:spacing w:after="0"/>
              <w:rPr>
                <w:sz w:val="20"/>
                <w:szCs w:val="20"/>
                <w:color w:val="auto"/>
              </w:rPr>
            </w:pPr>
            <w:r>
              <w:rPr>
                <w:rFonts w:ascii="Arial" w:cs="Arial" w:eastAsia="Arial" w:hAnsi="Arial"/>
                <w:sz w:val="16"/>
                <w:szCs w:val="16"/>
                <w:b w:val="1"/>
                <w:bCs w:val="1"/>
                <w:color w:val="auto"/>
                <w:w w:val="99"/>
              </w:rPr>
              <w:t>December 31,</w:t>
            </w:r>
          </w:p>
        </w:tc>
        <w:tc>
          <w:tcPr>
            <w:tcW w:w="1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b w:val="1"/>
                <w:bCs w:val="1"/>
                <w:color w:val="auto"/>
              </w:rPr>
              <w:t>Year ended</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09"/>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ind w:right="199"/>
              <w:spacing w:after="0"/>
              <w:rPr>
                <w:sz w:val="20"/>
                <w:szCs w:val="20"/>
                <w:color w:val="auto"/>
              </w:rPr>
            </w:pPr>
            <w:r>
              <w:rPr>
                <w:rFonts w:ascii="Arial" w:cs="Arial" w:eastAsia="Arial" w:hAnsi="Arial"/>
                <w:sz w:val="16"/>
                <w:szCs w:val="16"/>
                <w:b w:val="1"/>
                <w:bCs w:val="1"/>
                <w:color w:val="auto"/>
              </w:rPr>
              <w:t>(in millions)</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276.0</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270.8</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251.2</w:t>
            </w: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Depreciation, depletion and amortization</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256.8</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250.9</w:t>
            </w: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236.0</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financing cost amortization</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w:t>
            </w: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Stock compensation</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9.7</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Employee benefit plans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9.6</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Other adjustments, net</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7.0</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Change in certain operating assets and liabilities: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Materials, supplies and fuel</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51.4</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(35.7 )</w:t>
            </w: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Accounts receivable and other current assets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204.5</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(184.5 )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(43.2 )</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Accounts payable and other current liabilities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(109.9 )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w:t>
            </w: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Regulatory assets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236.8</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203.9</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(514.7 )</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Regulatory liabilities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(9.5 )</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Other operating activities, net</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(27.9 )</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(15.1 )</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10"/>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 operating activities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944.4</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584.8</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(64.6 )</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plant and equipment additions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(555.6 )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(604.4 )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(677.5 )</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Other investing activities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18.9</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13.3</w:t>
            </w:r>
          </w:p>
        </w:tc>
      </w:tr>
      <w:tr>
        <w:trPr>
          <w:trHeight w:val="210"/>
        </w:trPr>
        <w:tc>
          <w:tcPr>
            <w:tcW w:w="6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(used in) investing activities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(536.7 )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(603.9 )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(664.2 )</w:t>
            </w:r>
          </w:p>
        </w:tc>
      </w:tr>
      <w:tr>
        <w:trPr>
          <w:trHeight w:val="215"/>
        </w:trPr>
        <w:tc>
          <w:tcPr>
            <w:tcW w:w="686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Dividends paid on common stock</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(168.1 )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(156.7 )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(145.0 )</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Common stock issued</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119.0</w:t>
            </w: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Term Loan - borrowings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800.0</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Term Loan - repayments</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(800.0 )</w:t>
            </w: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borrowings (payments) of Revolving Credit Facility and CP Program</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(535.6 )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186.1</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Long-term debt - issuance</w:t>
            </w:r>
          </w:p>
        </w:tc>
        <w:tc>
          <w:tcPr>
            <w:tcW w:w="14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600.0</w:t>
            </w: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Long-term debt - repayments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(525.0 )</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(8.4 )</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Distributions to non-controlling interests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(18.3 )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(15.7 )</w:t>
            </w:r>
          </w:p>
        </w:tc>
      </w:tr>
      <w:tr>
        <w:trPr>
          <w:trHeight w:val="216"/>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financing activities</w:t>
            </w:r>
          </w:p>
        </w:tc>
        <w:tc>
          <w:tcPr>
            <w:tcW w:w="14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(13.0 )</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(4.1 )</w:t>
            </w:r>
          </w:p>
        </w:tc>
      </w:tr>
      <w:tr>
        <w:trPr>
          <w:trHeight w:val="209"/>
        </w:trPr>
        <w:tc>
          <w:tcPr>
            <w:tcW w:w="6860" w:type="dxa"/>
            <w:vAlign w:val="bottom"/>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(341.7 )</w:t>
            </w:r>
          </w:p>
        </w:tc>
        <w:tc>
          <w:tcPr>
            <w:tcW w:w="120" w:type="dxa"/>
            <w:vAlign w:val="bottom"/>
          </w:tcPr>
          <w:p>
            <w:pPr>
              <w:spacing w:after="0"/>
              <w:rPr>
                <w:sz w:val="18"/>
                <w:szCs w:val="18"/>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32.3</w:t>
            </w:r>
          </w:p>
        </w:tc>
        <w:tc>
          <w:tcPr>
            <w:tcW w:w="120" w:type="dxa"/>
            <w:vAlign w:val="bottom"/>
          </w:tcPr>
          <w:p>
            <w:pPr>
              <w:spacing w:after="0"/>
              <w:rPr>
                <w:sz w:val="18"/>
                <w:szCs w:val="18"/>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731.9</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change in cash, restricted cash and cash equivalents</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Cash, restricted cash and cash equivalents beginning of year</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10.7</w:t>
            </w:r>
          </w:p>
        </w:tc>
      </w:tr>
      <w:tr>
        <w:trPr>
          <w:trHeight w:val="250"/>
        </w:trPr>
        <w:tc>
          <w:tcPr>
            <w:tcW w:w="6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Cash, restricted cash and cash equivalents end of year</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93.0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27.0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13.8</w:t>
            </w:r>
          </w:p>
        </w:tc>
      </w:tr>
      <w:tr>
        <w:trPr>
          <w:trHeight w:val="196"/>
        </w:trPr>
        <w:tc>
          <w:tcPr>
            <w:tcW w:w="686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17"/>
        </w:trPr>
        <w:tc>
          <w:tcPr>
            <w:tcW w:w="68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(paid) refunded during the period:</w:t>
            </w: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Interest (net of amounts capitalized)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(157.3 ) $</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(152.5 ) $</w:t>
            </w:r>
          </w:p>
        </w:tc>
        <w:tc>
          <w:tcPr>
            <w:tcW w:w="1320" w:type="dxa"/>
            <w:vAlign w:val="bottom"/>
          </w:tcPr>
          <w:p>
            <w:pPr>
              <w:jc w:val="right"/>
              <w:spacing w:after="0"/>
              <w:rPr>
                <w:sz w:val="20"/>
                <w:szCs w:val="20"/>
                <w:color w:val="auto"/>
              </w:rPr>
            </w:pPr>
            <w:r>
              <w:rPr>
                <w:rFonts w:ascii="Arial" w:cs="Arial" w:eastAsia="Arial" w:hAnsi="Arial"/>
                <w:sz w:val="16"/>
                <w:szCs w:val="16"/>
                <w:color w:val="auto"/>
              </w:rPr>
              <w:t>(142.7 )</w:t>
            </w: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Income taxes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(1.0 ) $</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r>
      <w:tr>
        <w:trPr>
          <w:trHeight w:val="215"/>
        </w:trPr>
        <w:tc>
          <w:tcPr>
            <w:tcW w:w="6860" w:type="dxa"/>
            <w:vAlign w:val="bottom"/>
          </w:tcPr>
          <w:p>
            <w:pPr>
              <w:ind w:left="200"/>
              <w:spacing w:after="0"/>
              <w:rPr>
                <w:sz w:val="20"/>
                <w:szCs w:val="20"/>
                <w:color w:val="auto"/>
              </w:rPr>
            </w:pPr>
            <w:r>
              <w:rPr>
                <w:rFonts w:ascii="Arial" w:cs="Arial" w:eastAsia="Arial" w:hAnsi="Arial"/>
                <w:sz w:val="16"/>
                <w:szCs w:val="16"/>
                <w:color w:val="auto"/>
              </w:rPr>
              <w:t>Non-cash investing and financing activities: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7"/>
        </w:trPr>
        <w:tc>
          <w:tcPr>
            <w:tcW w:w="68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Accrued property, plant and equipment purchases at December 31</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52.4</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68.8</w:t>
            </w:r>
          </w:p>
        </w:tc>
      </w:tr>
      <w:tr>
        <w:trPr>
          <w:trHeight w:val="215"/>
        </w:trPr>
        <w:tc>
          <w:tcPr>
            <w:tcW w:w="6860" w:type="dxa"/>
            <w:vAlign w:val="bottom"/>
          </w:tcPr>
          <w:p>
            <w:pPr>
              <w:ind w:left="380"/>
              <w:spacing w:after="0"/>
              <w:rPr>
                <w:sz w:val="20"/>
                <w:szCs w:val="20"/>
                <w:color w:val="auto"/>
              </w:rPr>
            </w:pPr>
            <w:r>
              <w:rPr>
                <w:rFonts w:ascii="Arial" w:cs="Arial" w:eastAsia="Arial" w:hAnsi="Arial"/>
                <w:sz w:val="16"/>
                <w:szCs w:val="16"/>
                <w:color w:val="auto"/>
              </w:rPr>
              <w:t>Increase in capitalized assets associated with asset retirement obligations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14.0</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2.1</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1778635</wp:posOffset>
            </wp:positionH>
            <wp:positionV relativeFrom="paragraph">
              <wp:posOffset>-1270</wp:posOffset>
            </wp:positionV>
            <wp:extent cx="17773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77365" cy="825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00" w:type="dxa"/>
            <w:vAlign w:val="bottom"/>
          </w:tcPr>
          <w:p>
            <w:pPr>
              <w:spacing w:after="0"/>
              <w:rPr>
                <w:sz w:val="16"/>
                <w:szCs w:val="16"/>
                <w:color w:val="auto"/>
              </w:rPr>
            </w:pPr>
          </w:p>
        </w:tc>
        <w:tc>
          <w:tcPr>
            <w:tcW w:w="180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Common Stock</w:t>
            </w:r>
          </w:p>
        </w:tc>
        <w:tc>
          <w:tcPr>
            <w:tcW w:w="1820" w:type="dxa"/>
            <w:vAlign w:val="bottom"/>
            <w:gridSpan w:val="4"/>
          </w:tcPr>
          <w:p>
            <w:pPr>
              <w:jc w:val="right"/>
              <w:ind w:right="448"/>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60"/>
        </w:trPr>
        <w:tc>
          <w:tcPr>
            <w:tcW w:w="300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980" w:type="dxa"/>
            <w:vAlign w:val="bottom"/>
            <w:gridSpan w:val="2"/>
          </w:tcPr>
          <w:p>
            <w:pPr>
              <w:jc w:val="center"/>
              <w:ind w:right="68"/>
              <w:spacing w:after="0" w:line="160"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jc w:val="center"/>
              <w:ind w:right="188"/>
              <w:spacing w:after="0" w:line="160"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2"/>
        </w:trPr>
        <w:tc>
          <w:tcPr>
            <w:tcW w:w="3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208"/>
              <w:spacing w:after="0"/>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4"/>
                <w:szCs w:val="14"/>
                <w:color w:val="auto"/>
              </w:rPr>
            </w:pPr>
          </w:p>
        </w:tc>
        <w:tc>
          <w:tcPr>
            <w:tcW w:w="160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rPr>
              <w:t>controlling</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5"/>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(in millions except share amounts)</w:t>
            </w: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Value</w:t>
            </w: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Value</w:t>
            </w:r>
          </w:p>
        </w:tc>
        <w:tc>
          <w:tcPr>
            <w:tcW w:w="84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Earnings</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AOCI</w:t>
            </w:r>
          </w:p>
        </w:tc>
        <w:tc>
          <w:tcPr>
            <w:tcW w:w="7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Interest</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60"/>
        </w:trPr>
        <w:tc>
          <w:tcPr>
            <w:tcW w:w="30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2020</w:t>
            </w:r>
          </w:p>
        </w:tc>
        <w:tc>
          <w:tcPr>
            <w:tcW w:w="94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62,827,17</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5"/>
        </w:trPr>
        <w:tc>
          <w:tcPr>
            <w:tcW w:w="30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62.8</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32,492</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(2.1 ) $</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1,657.3</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870.7</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(27.4 ) $</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101.2</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2,662.5</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236.7</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251.2</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7.3</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7.3</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Dividends on common stock ($2.29 per share)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(145.0 )</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(145.0 )</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153,719</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0.2</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21,586</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(1.4 )</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8.0</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1,812,197</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1.8</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118.1</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119.9</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(1.2 )</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(15.7 )</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(15.7 )</w:t>
            </w:r>
          </w:p>
        </w:tc>
      </w:tr>
      <w:tr>
        <w:trPr>
          <w:trHeight w:val="160"/>
        </w:trPr>
        <w:tc>
          <w:tcPr>
            <w:tcW w:w="30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2021</w:t>
            </w:r>
          </w:p>
        </w:tc>
        <w:tc>
          <w:tcPr>
            <w:tcW w:w="94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64,793,09</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5"/>
        </w:trPr>
        <w:tc>
          <w:tcPr>
            <w:tcW w:w="30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5</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64.8</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54,078</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(3.5 ) $</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1,783.4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962.4</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(20.1 ) $</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2,887.0</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258.4</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270.8</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4.5</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Dividends on common stock ($2.41 per share)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(156.7 )</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(156.7 )</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39,546</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(17,352 )</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1,307,755</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89.9</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91.2</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(1.1 )</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(17.4 )</w:t>
            </w:r>
          </w:p>
        </w:tc>
      </w:tr>
      <w:tr>
        <w:trPr>
          <w:trHeight w:val="160"/>
        </w:trPr>
        <w:tc>
          <w:tcPr>
            <w:tcW w:w="30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2022</w:t>
            </w:r>
          </w:p>
        </w:tc>
        <w:tc>
          <w:tcPr>
            <w:tcW w:w="94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66,140,39</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185"/>
        </w:trPr>
        <w:tc>
          <w:tcPr>
            <w:tcW w:w="3000" w:type="dxa"/>
            <w:vAlign w:val="bottom"/>
            <w:shd w:val="clear" w:color="auto" w:fill="CFF0FC"/>
          </w:tcPr>
          <w:p>
            <w:pPr>
              <w:spacing w:after="0"/>
              <w:rPr>
                <w:sz w:val="16"/>
                <w:szCs w:val="16"/>
                <w:color w:val="auto"/>
              </w:rPr>
            </w:pP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66.1</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36,726</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(2.4 ) $</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1,882.7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1,064.1</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(15.6 ) $</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95.0</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3,089.9</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262.2</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13.8</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276.0</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net of tax</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0.8</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0.8</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Dividends on common stock ($2.50 per share)</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(168.1 )</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(168.1 )</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Share-based compensation</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93,257</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0.1</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31,347</w:t>
            </w: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8.8</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2,031,389</w:t>
            </w:r>
          </w:p>
        </w:tc>
        <w:tc>
          <w:tcPr>
            <w:tcW w:w="1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2.1</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120.0</w:t>
            </w:r>
          </w:p>
        </w:tc>
      </w:tr>
      <w:tr>
        <w:trPr>
          <w:trHeight w:val="189"/>
        </w:trPr>
        <w:tc>
          <w:tcPr>
            <w:tcW w:w="30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Issuance costs</w:t>
            </w:r>
          </w:p>
        </w:tc>
        <w:tc>
          <w:tcPr>
            <w:tcW w:w="9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c>
          <w:tcPr>
            <w:tcW w:w="120" w:type="dxa"/>
            <w:vAlign w:val="bottom"/>
            <w:shd w:val="clear" w:color="auto" w:fill="CFF0FC"/>
          </w:tcPr>
          <w:p>
            <w:pPr>
              <w:spacing w:after="0"/>
              <w:rPr>
                <w:sz w:val="16"/>
                <w:szCs w:val="16"/>
                <w:color w:val="auto"/>
              </w:rPr>
            </w:pPr>
          </w:p>
        </w:tc>
        <w:tc>
          <w:tcPr>
            <w:tcW w:w="8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(1.7 )</w:t>
            </w:r>
          </w:p>
        </w:tc>
      </w:tr>
      <w:tr>
        <w:trPr>
          <w:trHeight w:val="189"/>
        </w:trPr>
        <w:tc>
          <w:tcPr>
            <w:tcW w:w="3000" w:type="dxa"/>
            <w:vAlign w:val="bottom"/>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(18.3 )</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(18.3 )</w:t>
            </w:r>
          </w:p>
        </w:tc>
      </w:tr>
      <w:tr>
        <w:trPr>
          <w:trHeight w:val="160"/>
        </w:trPr>
        <w:tc>
          <w:tcPr>
            <w:tcW w:w="300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Balance at December 31, 2023</w:t>
            </w:r>
          </w:p>
        </w:tc>
        <w:tc>
          <w:tcPr>
            <w:tcW w:w="940" w:type="dxa"/>
            <w:vAlign w:val="bottom"/>
            <w:shd w:val="clear" w:color="auto" w:fill="CFF0FC"/>
          </w:tcPr>
          <w:p>
            <w:pPr>
              <w:jc w:val="right"/>
              <w:ind w:right="8"/>
              <w:spacing w:after="0" w:line="160" w:lineRule="exact"/>
              <w:rPr>
                <w:sz w:val="20"/>
                <w:szCs w:val="20"/>
                <w:color w:val="auto"/>
              </w:rPr>
            </w:pPr>
            <w:r>
              <w:rPr>
                <w:rFonts w:ascii="Arial" w:cs="Arial" w:eastAsia="Arial" w:hAnsi="Arial"/>
                <w:sz w:val="14"/>
                <w:szCs w:val="14"/>
                <w:color w:val="auto"/>
              </w:rPr>
              <w:t>68,265,04</w:t>
            </w:r>
          </w:p>
        </w:tc>
        <w:tc>
          <w:tcPr>
            <w:tcW w:w="18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r>
      <w:tr>
        <w:trPr>
          <w:trHeight w:val="225"/>
        </w:trPr>
        <w:tc>
          <w:tcPr>
            <w:tcW w:w="300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68.3</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68,073</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4"/>
                <w:szCs w:val="14"/>
                <w:color w:val="auto"/>
              </w:rPr>
              <w:t>(4.1 ) $</w:t>
            </w:r>
          </w:p>
        </w:tc>
        <w:tc>
          <w:tcPr>
            <w:tcW w:w="8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2,007.7</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1,158.2</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(14.8 ) $</w:t>
            </w: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90.5</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3,305.8</w:t>
            </w: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xml:space="preserve">The accompanying </w:t>
      </w:r>
      <w:r>
        <w:rPr>
          <w:rFonts w:ascii="Arial" w:cs="Arial" w:eastAsia="Arial" w:hAnsi="Arial"/>
          <w:sz w:val="14"/>
          <w:szCs w:val="14"/>
          <w:u w:val="single" w:color="auto"/>
          <w:color w:val="0000FF"/>
        </w:rPr>
        <w:t>Notes to Consolidated Financial Statements</w:t>
      </w:r>
      <w:r>
        <w:rPr>
          <w:rFonts w:ascii="Arial" w:cs="Arial" w:eastAsia="Arial" w:hAnsi="Arial"/>
          <w:sz w:val="14"/>
          <w:szCs w:val="14"/>
          <w:color w:val="auto"/>
        </w:rPr>
        <w:t xml:space="preserve">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1753235</wp:posOffset>
            </wp:positionH>
            <wp:positionV relativeFrom="paragraph">
              <wp:posOffset>-1270</wp:posOffset>
            </wp:positionV>
            <wp:extent cx="18027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802765"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5" w:name="page66"/>
    <w:bookmarkEnd w:id="6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December 31, 2023, 2022 and 2021</w:t>
      </w:r>
    </w:p>
    <w:p>
      <w:pPr>
        <w:spacing w:after="0" w:line="178" w:lineRule="exact"/>
        <w:rPr>
          <w:sz w:val="20"/>
          <w:szCs w:val="20"/>
          <w:color w:val="auto"/>
        </w:rPr>
      </w:pPr>
    </w:p>
    <w:p>
      <w:pPr>
        <w:ind w:right="5580" w:firstLine="8"/>
        <w:spacing w:after="0" w:line="493" w:lineRule="auto"/>
        <w:tabs>
          <w:tab w:leader="none" w:pos="24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color w:val="auto"/>
        </w:rPr>
        <w:t>BUSINESS DESCRIPTION AND SIGNIFICANT ACCOUNTING POLICIES Business Description</w:t>
      </w:r>
    </w:p>
    <w:p>
      <w:pPr>
        <w:ind w:right="140"/>
        <w:spacing w:after="0" w:line="266" w:lineRule="auto"/>
        <w:rPr>
          <w:sz w:val="20"/>
          <w:szCs w:val="20"/>
          <w:color w:val="auto"/>
        </w:rPr>
      </w:pPr>
      <w:r>
        <w:rPr>
          <w:rFonts w:ascii="Arial" w:cs="Arial" w:eastAsia="Arial" w:hAnsi="Arial"/>
          <w:sz w:val="16"/>
          <w:szCs w:val="16"/>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and Gas Utilities. Certain unallocated corporate expenses that support our operating segments are presented as Corporate and Other.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 and Basis of Presentation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 Furthermore, VIEs in which the Company has an ownership interest and is the primary beneficiary, thus controlling the VIE, have been consolidated. All intercompany balances and transactions have been eliminated in consolidation.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use the proportionate consolidation method to account for our ownership interest in any jointly-owned facility. See </w:t>
      </w:r>
      <w:r>
        <w:rPr>
          <w:rFonts w:ascii="Arial" w:cs="Arial" w:eastAsia="Arial" w:hAnsi="Arial"/>
          <w:sz w:val="16"/>
          <w:szCs w:val="16"/>
          <w:u w:val="single" w:color="auto"/>
          <w:color w:val="0000FF"/>
        </w:rPr>
        <w:t>Note 6</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5359400</wp:posOffset>
            </wp:positionH>
            <wp:positionV relativeFrom="paragraph">
              <wp:posOffset>-4445</wp:posOffset>
            </wp:positionV>
            <wp:extent cx="30289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Non-controlling Interests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-31750</wp:posOffset>
            </wp:positionV>
            <wp:extent cx="36004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Variable Interest Entities</w:t>
      </w:r>
    </w:p>
    <w:p>
      <w:pPr>
        <w:spacing w:after="0" w:line="19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w:t>
      </w:r>
      <w:r>
        <w:rPr>
          <w:rFonts w:ascii="Arial" w:cs="Arial" w:eastAsia="Arial" w:hAnsi="Arial"/>
          <w:sz w:val="16"/>
          <w:szCs w:val="16"/>
          <w:u w:val="single" w:color="auto"/>
          <w:color w:val="0000FF"/>
        </w:rPr>
        <w:t>Note 12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6081395</wp:posOffset>
            </wp:positionH>
            <wp:positionV relativeFrom="paragraph">
              <wp:posOffset>-151765</wp:posOffset>
            </wp:positionV>
            <wp:extent cx="36004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151" w:lineRule="exact"/>
        <w:rPr>
          <w:sz w:val="20"/>
          <w:szCs w:val="20"/>
          <w:color w:val="auto"/>
        </w:rPr>
      </w:pPr>
    </w:p>
    <w:p>
      <w:pPr>
        <w:ind w:left="1020" w:right="80" w:hanging="503"/>
        <w:spacing w:after="0" w:line="253"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Regulated natural gas and electric utility services tariffs</w:t>
      </w:r>
      <w:r>
        <w:rPr>
          <w:rFonts w:ascii="Arial" w:cs="Arial" w:eastAsia="Arial" w:hAnsi="Arial"/>
          <w:sz w:val="16"/>
          <w:szCs w:val="16"/>
          <w:color w:val="auto"/>
        </w:rPr>
        <w:t xml:space="preserve"> - Our Utilities have regulated operations, as defined by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 </w:t>
      </w:r>
      <w:r>
        <w:rPr>
          <w:rFonts w:ascii="Arial" w:cs="Arial" w:eastAsia="Arial" w:hAnsi="Arial"/>
          <w:sz w:val="16"/>
          <w:szCs w:val="16"/>
          <w:color w:val="auto"/>
        </w:rPr>
        <w:t>that provide services to regulated customers under tariff rates, charges, terms and conditions of service and prices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153" w:lineRule="exact"/>
        <w:rPr>
          <w:rFonts w:ascii="Times New Roman" w:cs="Times New Roman" w:eastAsia="Times New Roman" w:hAnsi="Times New Roman"/>
          <w:sz w:val="16"/>
          <w:szCs w:val="16"/>
          <w:color w:val="auto"/>
        </w:rPr>
      </w:pPr>
    </w:p>
    <w:p>
      <w:pPr>
        <w:ind w:left="1020" w:right="40" w:hanging="503"/>
        <w:spacing w:after="0" w:line="252" w:lineRule="auto"/>
        <w:tabs>
          <w:tab w:leader="none" w:pos="1020" w:val="left"/>
        </w:tabs>
        <w:numPr>
          <w:ilvl w:val="0"/>
          <w:numId w:val="47"/>
        </w:numPr>
        <w:rPr>
          <w:rFonts w:ascii="Times New Roman" w:cs="Times New Roman" w:eastAsia="Times New Roman" w:hAnsi="Times New Roman"/>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segment has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 Certain energy sale and purchase transactions with the same counterparty and at the same delivery point are netted to reflect the economic substance of the arrangement.</w:t>
      </w:r>
    </w:p>
    <w:p>
      <w:pPr>
        <w:spacing w:after="0" w:line="3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Revenue Not in Scope of ASC 606</w:t>
      </w:r>
    </w:p>
    <w:p>
      <w:pPr>
        <w:spacing w:after="0" w:line="19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 xml:space="preserve">Other revenues included in the tables in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include our revenue accounted for under separate accounting guidance, including lease revenue under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derivative revenue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xml:space="preserve"> and alternative revenue programs revenue under ASC 980, </w:t>
      </w:r>
      <w:r>
        <w:rPr>
          <w:rFonts w:ascii="Arial" w:cs="Arial" w:eastAsia="Arial" w:hAnsi="Arial"/>
          <w:sz w:val="16"/>
          <w:szCs w:val="16"/>
          <w:i w:val="1"/>
          <w:iCs w:val="1"/>
          <w:color w:val="auto"/>
        </w:rPr>
        <w:t>Regulated</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-155575</wp:posOffset>
            </wp:positionV>
            <wp:extent cx="302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Significant Judgments and Estimates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Unbilled Revenue</w:t>
      </w:r>
    </w:p>
    <w:p>
      <w:pPr>
        <w:spacing w:after="0" w:line="192"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 Balances</w:t>
      </w:r>
    </w:p>
    <w:p>
      <w:pPr>
        <w:spacing w:after="0" w:line="19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nature of our primary revenue contracts provides an unconditional right to consideration upon service delivery; therefore, no customer contract assets or liabilities exist. The unconditional right to consideration is represented by the balance in our Accounts receivable, which is further discussed below.</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4</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 and Allowance for Credit Losses</w:t>
      </w:r>
    </w:p>
    <w:p>
      <w:pPr>
        <w:spacing w:after="0" w:line="194"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Accounts receivable are stated at billed and estimated unbilled amounts, net of allowance for credit losses, and do not bear interest. We maintain an allowance for credit losses which reflects our estimate of uncollectible trade receivables. We regularly review our trade receivable allowance by considering such factors as historical experience, credit worthiness, the age of the receivable balances and current economic conditions that may affect collectability.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In specific cases where we are aware of a customer’s inability or reluctance to pay, we record an allowance for credit losses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expected losses, the level of commodity prices, customer deposits and general economic conditions. Accounts are written off once they are deemed to be uncollectible or the time allowed for dispute under the contract has expired.</w:t>
      </w:r>
    </w:p>
    <w:p>
      <w:pPr>
        <w:spacing w:after="0" w:line="15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Following is a summary of accounts receivable as of December 31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0"/>
        </w:trPr>
        <w:tc>
          <w:tcPr>
            <w:tcW w:w="276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Billed Accounts Receivable</w:t>
            </w:r>
          </w:p>
        </w:tc>
        <w:tc>
          <w:tcPr>
            <w:tcW w:w="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198.5</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15"/>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Unbilled Revenue</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154.0</w:t>
            </w:r>
          </w:p>
        </w:tc>
        <w:tc>
          <w:tcPr>
            <w:tcW w:w="1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243.6</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Less Allowance for Credit Losses</w:t>
            </w:r>
          </w:p>
        </w:tc>
        <w:tc>
          <w:tcPr>
            <w:tcW w:w="32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16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209"/>
        </w:trPr>
        <w:tc>
          <w:tcPr>
            <w:tcW w:w="2760" w:type="dxa"/>
            <w:vAlign w:val="bottom"/>
            <w:gridSpan w:val="2"/>
          </w:tcPr>
          <w:p>
            <w:pPr>
              <w:ind w:left="20"/>
              <w:spacing w:after="0"/>
              <w:rPr>
                <w:sz w:val="20"/>
                <w:szCs w:val="20"/>
                <w:color w:val="auto"/>
              </w:rPr>
            </w:pPr>
            <w:r>
              <w:rPr>
                <w:rFonts w:ascii="Arial" w:cs="Arial" w:eastAsia="Arial" w:hAnsi="Arial"/>
                <w:sz w:val="16"/>
                <w:szCs w:val="16"/>
                <w:color w:val="auto"/>
              </w:rPr>
              <w:t>Accounts Receivable, net</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350.3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508.2</w:t>
            </w:r>
          </w:p>
        </w:tc>
        <w:tc>
          <w:tcPr>
            <w:tcW w:w="0" w:type="dxa"/>
            <w:vAlign w:val="bottom"/>
          </w:tcPr>
          <w:p>
            <w:pPr>
              <w:spacing w:after="0"/>
              <w:rPr>
                <w:sz w:val="1"/>
                <w:szCs w:val="1"/>
                <w:color w:val="auto"/>
              </w:rPr>
            </w:pPr>
          </w:p>
        </w:tc>
      </w:tr>
      <w:tr>
        <w:trPr>
          <w:trHeight w:val="20"/>
        </w:trPr>
        <w:tc>
          <w:tcPr>
            <w:tcW w:w="7420" w:type="dxa"/>
            <w:vAlign w:val="bottom"/>
            <w:gridSpan w:val="8"/>
            <w:vMerge w:val="restart"/>
          </w:tcPr>
          <w:p>
            <w:pPr>
              <w:spacing w:after="0"/>
              <w:rPr>
                <w:sz w:val="20"/>
                <w:szCs w:val="20"/>
                <w:color w:val="auto"/>
              </w:rPr>
            </w:pPr>
            <w:r>
              <w:rPr>
                <w:rFonts w:ascii="Arial" w:cs="Arial" w:eastAsia="Arial" w:hAnsi="Arial"/>
                <w:sz w:val="16"/>
                <w:szCs w:val="16"/>
                <w:color w:val="auto"/>
              </w:rPr>
              <w:t>Changes to allowance for credit losses for the years ended December 31, were as follows (in millions):</w:t>
            </w: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420" w:type="dxa"/>
            <w:vAlign w:val="bottom"/>
            <w:gridSpan w:val="8"/>
            <w:vMerge w:val="continue"/>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jc w:val="right"/>
              <w:ind w:right="579"/>
              <w:spacing w:after="0"/>
              <w:rPr>
                <w:sz w:val="20"/>
                <w:szCs w:val="20"/>
                <w:color w:val="auto"/>
              </w:rPr>
            </w:pPr>
            <w:r>
              <w:rPr>
                <w:rFonts w:ascii="Arial" w:cs="Arial" w:eastAsia="Arial" w:hAnsi="Arial"/>
                <w:sz w:val="16"/>
                <w:szCs w:val="16"/>
                <w:b w:val="1"/>
                <w:bCs w:val="1"/>
                <w:color w:val="auto"/>
              </w:rPr>
              <w:t>Additions</w:t>
            </w: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2020" w:type="dxa"/>
            <w:vAlign w:val="bottom"/>
          </w:tcPr>
          <w:p>
            <w:pPr>
              <w:jc w:val="right"/>
              <w:ind w:right="219"/>
              <w:spacing w:after="0"/>
              <w:rPr>
                <w:sz w:val="20"/>
                <w:szCs w:val="20"/>
                <w:color w:val="auto"/>
              </w:rPr>
            </w:pPr>
            <w:r>
              <w:rPr>
                <w:rFonts w:ascii="Arial" w:cs="Arial" w:eastAsia="Arial" w:hAnsi="Arial"/>
                <w:sz w:val="16"/>
                <w:szCs w:val="16"/>
                <w:b w:val="1"/>
                <w:bCs w:val="1"/>
                <w:color w:val="auto"/>
              </w:rPr>
              <w:t>Balance at</w:t>
            </w:r>
          </w:p>
        </w:tc>
        <w:tc>
          <w:tcPr>
            <w:tcW w:w="320" w:type="dxa"/>
            <w:vAlign w:val="bottom"/>
          </w:tcPr>
          <w:p>
            <w:pPr>
              <w:spacing w:after="0"/>
              <w:rPr>
                <w:sz w:val="16"/>
                <w:szCs w:val="16"/>
                <w:color w:val="auto"/>
              </w:rPr>
            </w:pPr>
          </w:p>
        </w:tc>
        <w:tc>
          <w:tcPr>
            <w:tcW w:w="2060" w:type="dxa"/>
            <w:vAlign w:val="bottom"/>
            <w:gridSpan w:val="2"/>
          </w:tcPr>
          <w:p>
            <w:pPr>
              <w:jc w:val="right"/>
              <w:ind w:right="139"/>
              <w:spacing w:after="0"/>
              <w:rPr>
                <w:sz w:val="20"/>
                <w:szCs w:val="20"/>
                <w:color w:val="auto"/>
              </w:rPr>
            </w:pPr>
            <w:r>
              <w:rPr>
                <w:rFonts w:ascii="Arial" w:cs="Arial" w:eastAsia="Arial" w:hAnsi="Arial"/>
                <w:sz w:val="16"/>
                <w:szCs w:val="16"/>
                <w:b w:val="1"/>
                <w:bCs w:val="1"/>
                <w:color w:val="auto"/>
              </w:rPr>
              <w:t>Charged to Costs and</w:t>
            </w:r>
          </w:p>
        </w:tc>
        <w:tc>
          <w:tcPr>
            <w:tcW w:w="280" w:type="dxa"/>
            <w:vAlign w:val="bottom"/>
          </w:tcPr>
          <w:p>
            <w:pPr>
              <w:spacing w:after="0"/>
              <w:rPr>
                <w:sz w:val="16"/>
                <w:szCs w:val="16"/>
                <w:color w:val="auto"/>
              </w:rPr>
            </w:pP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Recoveries and</w:t>
            </w:r>
          </w:p>
        </w:tc>
        <w:tc>
          <w:tcPr>
            <w:tcW w:w="260" w:type="dxa"/>
            <w:vAlign w:val="bottom"/>
          </w:tcPr>
          <w:p>
            <w:pPr>
              <w:spacing w:after="0"/>
              <w:rPr>
                <w:sz w:val="16"/>
                <w:szCs w:val="16"/>
                <w:color w:val="auto"/>
              </w:rPr>
            </w:pPr>
          </w:p>
        </w:tc>
        <w:tc>
          <w:tcPr>
            <w:tcW w:w="2100" w:type="dxa"/>
            <w:vAlign w:val="bottom"/>
            <w:gridSpan w:val="3"/>
          </w:tcPr>
          <w:p>
            <w:pPr>
              <w:jc w:val="right"/>
              <w:ind w:right="719"/>
              <w:spacing w:after="0"/>
              <w:rPr>
                <w:sz w:val="20"/>
                <w:szCs w:val="20"/>
                <w:color w:val="auto"/>
              </w:rPr>
            </w:pPr>
            <w:r>
              <w:rPr>
                <w:rFonts w:ascii="Arial" w:cs="Arial" w:eastAsia="Arial" w:hAnsi="Arial"/>
                <w:sz w:val="16"/>
                <w:szCs w:val="16"/>
                <w:b w:val="1"/>
                <w:bCs w:val="1"/>
                <w:color w:val="auto"/>
              </w:rPr>
              <w:t>Write-offs and</w:t>
            </w:r>
          </w:p>
        </w:tc>
        <w:tc>
          <w:tcPr>
            <w:tcW w:w="160" w:type="dxa"/>
            <w:vAlign w:val="bottom"/>
          </w:tcPr>
          <w:p>
            <w:pPr>
              <w:spacing w:after="0"/>
              <w:rPr>
                <w:sz w:val="16"/>
                <w:szCs w:val="16"/>
                <w:color w:val="auto"/>
              </w:rPr>
            </w:pPr>
          </w:p>
        </w:tc>
        <w:tc>
          <w:tcPr>
            <w:tcW w:w="1560" w:type="dxa"/>
            <w:vAlign w:val="bottom"/>
          </w:tcPr>
          <w:p>
            <w:pPr>
              <w:jc w:val="right"/>
              <w:ind w:right="579"/>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217"/>
        </w:trPr>
        <w:tc>
          <w:tcPr>
            <w:tcW w:w="7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Beginning of Year</w:t>
            </w: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Expenses</w:t>
            </w: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Other Additions</w:t>
            </w:r>
          </w:p>
        </w:tc>
        <w:tc>
          <w:tcPr>
            <w:tcW w:w="2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99"/>
              <w:spacing w:after="0"/>
              <w:rPr>
                <w:sz w:val="20"/>
                <w:szCs w:val="20"/>
                <w:color w:val="auto"/>
              </w:rPr>
            </w:pPr>
            <w:r>
              <w:rPr>
                <w:rFonts w:ascii="Arial" w:cs="Arial" w:eastAsia="Arial" w:hAnsi="Arial"/>
                <w:sz w:val="16"/>
                <w:szCs w:val="16"/>
                <w:b w:val="1"/>
                <w:bCs w:val="1"/>
                <w:color w:val="auto"/>
              </w:rPr>
              <w:t>Other Deductions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End of Year</w:t>
            </w:r>
          </w:p>
        </w:tc>
        <w:tc>
          <w:tcPr>
            <w:tcW w:w="0" w:type="dxa"/>
            <w:vAlign w:val="bottom"/>
          </w:tcPr>
          <w:p>
            <w:pPr>
              <w:spacing w:after="0"/>
              <w:rPr>
                <w:sz w:val="1"/>
                <w:szCs w:val="1"/>
                <w:color w:val="auto"/>
              </w:rPr>
            </w:pPr>
          </w:p>
        </w:tc>
      </w:tr>
      <w:tr>
        <w:trPr>
          <w:trHeight w:val="209"/>
        </w:trPr>
        <w:tc>
          <w:tcPr>
            <w:tcW w:w="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2023</w:t>
            </w:r>
          </w:p>
        </w:tc>
        <w:tc>
          <w:tcPr>
            <w:tcW w:w="2020" w:type="dxa"/>
            <w:vAlign w:val="bottom"/>
            <w:shd w:val="clear" w:color="auto" w:fill="CFF0FC"/>
          </w:tcPr>
          <w:p>
            <w:pPr>
              <w:jc w:val="right"/>
              <w:ind w:right="14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3.0</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(13.6 ) $</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5"/>
        </w:trPr>
        <w:tc>
          <w:tcPr>
            <w:tcW w:w="740" w:type="dxa"/>
            <w:vAlign w:val="bottom"/>
          </w:tcPr>
          <w:p>
            <w:pPr>
              <w:ind w:left="20"/>
              <w:spacing w:after="0"/>
              <w:rPr>
                <w:sz w:val="20"/>
                <w:szCs w:val="20"/>
                <w:color w:val="auto"/>
              </w:rPr>
            </w:pPr>
            <w:r>
              <w:rPr>
                <w:rFonts w:ascii="Arial" w:cs="Arial" w:eastAsia="Arial" w:hAnsi="Arial"/>
                <w:sz w:val="16"/>
                <w:szCs w:val="16"/>
                <w:color w:val="auto"/>
              </w:rPr>
              <w:t>2022</w:t>
            </w:r>
          </w:p>
        </w:tc>
        <w:tc>
          <w:tcPr>
            <w:tcW w:w="2020" w:type="dxa"/>
            <w:vAlign w:val="bottom"/>
          </w:tcPr>
          <w:p>
            <w:pPr>
              <w:jc w:val="right"/>
              <w:ind w:right="1479"/>
              <w:spacing w:after="0"/>
              <w:rPr>
                <w:sz w:val="20"/>
                <w:szCs w:val="20"/>
                <w:color w:val="auto"/>
              </w:rPr>
            </w:pPr>
            <w:r>
              <w:rPr>
                <w:rFonts w:ascii="Arial" w:cs="Arial" w:eastAsia="Arial" w:hAnsi="Arial"/>
                <w:sz w:val="16"/>
                <w:szCs w:val="16"/>
                <w:color w:val="auto"/>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98"/>
              </w:rPr>
              <w:t>2.1</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9.1</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(11.7 ) $</w:t>
            </w:r>
          </w:p>
        </w:tc>
        <w:tc>
          <w:tcPr>
            <w:tcW w:w="1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2021</w:t>
            </w:r>
          </w:p>
        </w:tc>
        <w:tc>
          <w:tcPr>
            <w:tcW w:w="2020" w:type="dxa"/>
            <w:vAlign w:val="bottom"/>
            <w:shd w:val="clear" w:color="auto" w:fill="CFF0FC"/>
          </w:tcPr>
          <w:p>
            <w:pPr>
              <w:jc w:val="right"/>
              <w:ind w:right="147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7.0</w:t>
            </w:r>
          </w:p>
        </w:tc>
        <w:tc>
          <w:tcPr>
            <w:tcW w:w="40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(10.9 ) $</w:t>
            </w:r>
          </w:p>
        </w:tc>
        <w:tc>
          <w:tcPr>
            <w:tcW w:w="16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Materials, Supplies and Fuel</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Materials and supplies represent parts and supplies for our business operations. Fuel represents diesel oil and gas used by our electric generating facilities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amounts by major classification are included in Materials, supplies and fuel on the accompanying Consolidated Balance Sheets as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00" w:type="dxa"/>
            <w:vAlign w:val="bottom"/>
          </w:tcPr>
          <w:p>
            <w:pPr>
              <w:spacing w:after="0"/>
              <w:rPr>
                <w:sz w:val="18"/>
                <w:szCs w:val="18"/>
                <w:color w:val="auto"/>
              </w:rPr>
            </w:pPr>
          </w:p>
        </w:tc>
        <w:tc>
          <w:tcPr>
            <w:tcW w:w="21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9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2022</w:t>
            </w: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Materials and supplies</w:t>
            </w:r>
          </w:p>
        </w:tc>
        <w:tc>
          <w:tcPr>
            <w:tcW w:w="2180" w:type="dxa"/>
            <w:vAlign w:val="bottom"/>
            <w:shd w:val="clear" w:color="auto" w:fill="CFF0FC"/>
          </w:tcPr>
          <w:p>
            <w:pPr>
              <w:jc w:val="right"/>
              <w:ind w:right="19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105.9</w:t>
            </w:r>
          </w:p>
        </w:tc>
        <w:tc>
          <w:tcPr>
            <w:tcW w:w="780" w:type="dxa"/>
            <w:vAlign w:val="bottom"/>
            <w:shd w:val="clear" w:color="auto" w:fill="CFF0FC"/>
          </w:tcPr>
          <w:p>
            <w:pPr>
              <w:jc w:val="right"/>
              <w:ind w:right="539"/>
              <w:spacing w:after="0"/>
              <w:rPr>
                <w:sz w:val="20"/>
                <w:szCs w:val="20"/>
                <w:color w:val="auto"/>
              </w:rPr>
            </w:pPr>
            <w:r>
              <w:rPr>
                <w:rFonts w:ascii="Arial" w:cs="Arial" w:eastAsia="Arial" w:hAnsi="Arial"/>
                <w:sz w:val="16"/>
                <w:szCs w:val="16"/>
                <w:color w:val="auto"/>
              </w:rPr>
              <w:t>$</w:t>
            </w:r>
          </w:p>
        </w:tc>
        <w:tc>
          <w:tcPr>
            <w:tcW w:w="24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99.7</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Fuel</w:t>
            </w:r>
          </w:p>
        </w:tc>
        <w:tc>
          <w:tcPr>
            <w:tcW w:w="2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w:t>
            </w:r>
          </w:p>
        </w:tc>
        <w:tc>
          <w:tcPr>
            <w:tcW w:w="78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color w:val="auto"/>
              </w:rPr>
              <w:t>3.1</w:t>
            </w: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Natural gas in storage</w:t>
            </w:r>
          </w:p>
        </w:tc>
        <w:tc>
          <w:tcPr>
            <w:tcW w:w="21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47.3</w:t>
            </w:r>
          </w:p>
        </w:tc>
        <w:tc>
          <w:tcPr>
            <w:tcW w:w="78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104.6</w:t>
            </w:r>
          </w:p>
        </w:tc>
      </w:tr>
      <w:tr>
        <w:trPr>
          <w:trHeight w:val="209"/>
        </w:trPr>
        <w:tc>
          <w:tcPr>
            <w:tcW w:w="4900" w:type="dxa"/>
            <w:vAlign w:val="bottom"/>
          </w:tcPr>
          <w:p>
            <w:pPr>
              <w:ind w:left="20"/>
              <w:spacing w:after="0"/>
              <w:rPr>
                <w:sz w:val="20"/>
                <w:szCs w:val="20"/>
                <w:color w:val="auto"/>
              </w:rPr>
            </w:pPr>
            <w:r>
              <w:rPr>
                <w:rFonts w:ascii="Arial" w:cs="Arial" w:eastAsia="Arial" w:hAnsi="Arial"/>
                <w:sz w:val="16"/>
                <w:szCs w:val="16"/>
                <w:color w:val="auto"/>
              </w:rPr>
              <w:t>Total materials, supplies and fuel</w:t>
            </w:r>
          </w:p>
        </w:tc>
        <w:tc>
          <w:tcPr>
            <w:tcW w:w="2180" w:type="dxa"/>
            <w:vAlign w:val="bottom"/>
            <w:tcBorders>
              <w:bottom w:val="single" w:sz="8" w:color="auto"/>
            </w:tcBorders>
          </w:tcPr>
          <w:p>
            <w:pPr>
              <w:jc w:val="right"/>
              <w:ind w:right="19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c>
          <w:tcPr>
            <w:tcW w:w="7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w:t>
            </w:r>
          </w:p>
        </w:tc>
        <w:tc>
          <w:tcPr>
            <w:tcW w:w="2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207.4</w:t>
            </w:r>
          </w:p>
        </w:tc>
      </w:tr>
      <w:tr>
        <w:trPr>
          <w:trHeight w:val="20"/>
        </w:trPr>
        <w:tc>
          <w:tcPr>
            <w:tcW w:w="49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Plant and Equipment</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Property, plant and equipment are stated at cost, which includes construction-related direct labor and material costs, indirect construction costs including labor and related costs of departments associated with supporting construction activities, and AFUDC. Additions to and significant replacements of property are charged to property, plant and equipment at cost. We also classify our Cushion Gas as Property, plant and equipment. Ordinary repairs and maintenance of property, except as allowed under rate regulations, are charged to operations as incurred.</w:t>
      </w:r>
    </w:p>
    <w:p>
      <w:pPr>
        <w:spacing w:after="0" w:line="151"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receive contributions in aid of construction (CIACs) from third parties that are generally intended to defray all or a portion of the costs for certain capital projects. Such CIAC costs are recorded as a reduction to Property, plant, and equipment.</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cost of regulated utility property, plant and equipment retired, or otherwise disposed in the ordinary course of business, less salvage plus retirement costs, is charged to accumulated depreciation. Estimated removal costs related to our regulated properties that do not have legal retirement obligations are reclassified from accumulated depreciation and reflected as regulatory liabilities. Retirement or disposal of all other operating assets result in gains or losses recognized as a reduction to Operations and maintenance expense.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The composite depreciation method is applied to regulated utility property. Depreciation studies are conducted periodically to update composite rates and are approved by state utility commissions and/or the FERC when required. Capitalized mining costs and coal leases are amortized on a unit-of-production method based on volumes produced and estimated reserves. For certain non-regulated power plant components, depreciation is computed on a unit-of-production methodology based on plant hours run.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AFUDC</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Included in the cost of regulated construction projects is AFUDC, when applicable, which represents the approximate composite cost of borrowed funds and a return on equity used to finance a regulated utility project. The following table presents AFUDC amounts (in millions) for the years ended December 31:</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60" w:type="dxa"/>
            <w:vAlign w:val="bottom"/>
          </w:tcPr>
          <w:p>
            <w:pPr>
              <w:spacing w:after="0"/>
              <w:rPr>
                <w:sz w:val="18"/>
                <w:szCs w:val="18"/>
                <w:color w:val="auto"/>
              </w:rPr>
            </w:pPr>
          </w:p>
        </w:tc>
        <w:tc>
          <w:tcPr>
            <w:tcW w:w="4620" w:type="dxa"/>
            <w:vAlign w:val="bottom"/>
            <w:tcBorders>
              <w:bottom w:val="single" w:sz="8" w:color="auto"/>
            </w:tcBorders>
          </w:tcPr>
          <w:p>
            <w:pPr>
              <w:ind w:left="1640"/>
              <w:spacing w:after="0"/>
              <w:rPr>
                <w:sz w:val="20"/>
                <w:szCs w:val="20"/>
                <w:color w:val="auto"/>
              </w:rPr>
            </w:pPr>
            <w:r>
              <w:rPr>
                <w:rFonts w:ascii="Arial" w:cs="Arial" w:eastAsia="Arial" w:hAnsi="Arial"/>
                <w:sz w:val="16"/>
                <w:szCs w:val="16"/>
                <w:b w:val="1"/>
                <w:bCs w:val="1"/>
                <w:color w:val="auto"/>
              </w:rPr>
              <w:t>Income Statement Location</w:t>
            </w:r>
          </w:p>
        </w:tc>
        <w:tc>
          <w:tcPr>
            <w:tcW w:w="10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09"/>
        </w:trPr>
        <w:tc>
          <w:tcPr>
            <w:tcW w:w="2260" w:type="dxa"/>
            <w:vAlign w:val="bottom"/>
            <w:shd w:val="clear" w:color="auto" w:fill="CFF0FC"/>
          </w:tcPr>
          <w:p>
            <w:pPr>
              <w:ind w:left="20"/>
              <w:spacing w:after="0"/>
              <w:rPr>
                <w:sz w:val="20"/>
                <w:szCs w:val="20"/>
                <w:color w:val="auto"/>
              </w:rPr>
            </w:pPr>
            <w:r>
              <w:rPr>
                <w:rFonts w:ascii="Arial" w:cs="Arial" w:eastAsia="Arial" w:hAnsi="Arial"/>
                <w:sz w:val="16"/>
                <w:szCs w:val="16"/>
                <w:color w:val="auto"/>
              </w:rPr>
              <w:t>AFUDC Borrowed</w:t>
            </w:r>
          </w:p>
        </w:tc>
        <w:tc>
          <w:tcPr>
            <w:tcW w:w="462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 incurred, net of amounts capitalized</w:t>
            </w:r>
          </w:p>
        </w:tc>
        <w:tc>
          <w:tcPr>
            <w:tcW w:w="106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w:t>
            </w:r>
          </w:p>
        </w:tc>
      </w:tr>
      <w:tr>
        <w:trPr>
          <w:trHeight w:val="215"/>
        </w:trPr>
        <w:tc>
          <w:tcPr>
            <w:tcW w:w="2260" w:type="dxa"/>
            <w:vAlign w:val="bottom"/>
          </w:tcPr>
          <w:p>
            <w:pPr>
              <w:ind w:left="20"/>
              <w:spacing w:after="0"/>
              <w:rPr>
                <w:sz w:val="20"/>
                <w:szCs w:val="20"/>
                <w:color w:val="auto"/>
              </w:rPr>
            </w:pPr>
            <w:r>
              <w:rPr>
                <w:rFonts w:ascii="Arial" w:cs="Arial" w:eastAsia="Arial" w:hAnsi="Arial"/>
                <w:sz w:val="16"/>
                <w:szCs w:val="16"/>
                <w:color w:val="auto"/>
              </w:rPr>
              <w:t>AFUDC Equity</w:t>
            </w:r>
          </w:p>
        </w:tc>
        <w:tc>
          <w:tcPr>
            <w:tcW w:w="4620" w:type="dxa"/>
            <w:vAlign w:val="bottom"/>
          </w:tcPr>
          <w:p>
            <w:pPr>
              <w:ind w:left="20"/>
              <w:spacing w:after="0"/>
              <w:rPr>
                <w:sz w:val="20"/>
                <w:szCs w:val="20"/>
                <w:color w:val="auto"/>
              </w:rPr>
            </w:pPr>
            <w:r>
              <w:rPr>
                <w:rFonts w:ascii="Arial" w:cs="Arial" w:eastAsia="Arial" w:hAnsi="Arial"/>
                <w:sz w:val="16"/>
                <w:szCs w:val="16"/>
                <w:color w:val="auto"/>
              </w:rPr>
              <w:t>Other income (expense), net</w:t>
            </w:r>
          </w:p>
        </w:tc>
        <w:tc>
          <w:tcPr>
            <w:tcW w:w="10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0.4</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0.6</w:t>
            </w:r>
          </w:p>
        </w:tc>
        <w:tc>
          <w:tcPr>
            <w:tcW w:w="260" w:type="dxa"/>
            <w:vAlign w:val="bottom"/>
          </w:tcPr>
          <w:p>
            <w:pPr>
              <w:spacing w:after="0"/>
              <w:rPr>
                <w:sz w:val="18"/>
                <w:szCs w:val="18"/>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0.6</w:t>
            </w:r>
          </w:p>
        </w:tc>
      </w:tr>
    </w:tbl>
    <w:p>
      <w:pPr>
        <w:spacing w:after="0" w:line="17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Retirement Obligations</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and regulated operations without a corresponding recovery mechanism, is included within Depreciation, depletion and amortization on the accompanying Consolidated Statements of Income. The accounting for the obligation for regulated operations with a regulatory mechanism has no income statement impact due to the deferral of the adjustments through the establishment of a regulatory asset or a regulatory liability.</w:t>
      </w:r>
    </w:p>
    <w:p>
      <w:pPr>
        <w:spacing w:after="0" w:line="15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2583815</wp:posOffset>
            </wp:positionH>
            <wp:positionV relativeFrom="paragraph">
              <wp:posOffset>-31750</wp:posOffset>
            </wp:positionV>
            <wp:extent cx="30289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Intangible Assets</w:t>
      </w:r>
    </w:p>
    <w:p>
      <w:pPr>
        <w:spacing w:after="0" w:line="194"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Goodwill and intangible assets with indefinite lives are not amortized, but the carrying values are reviewed upon an indicator of impairment or at least annually. Intangible assets with a finite life are amortized over their estimated useful lives.</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determined that the reporting units for its goodwill impairment test are its operating segments, or components of an operating segment.</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Our goodwill impairment analysis includes an income approach and a market approach to estimate the fair value of our reporting units.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w:t>
      </w:r>
    </w:p>
    <w:p>
      <w:pPr>
        <w:spacing w:after="0" w:line="153"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We believe that goodwill reflects the inherent value of the relatively stable, long-lived cash flows of our Utilities businesses, considering the regulatory environment, and the long-lived cash flow and rate base growth opportunities at our Utilities, and those businesses vertically integrated. Goodwill amounts have not changed since 2016.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and 2022, Goodwill balances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tcPr>
          <w:p>
            <w:pPr>
              <w:spacing w:after="0"/>
              <w:rPr>
                <w:sz w:val="18"/>
                <w:szCs w:val="18"/>
                <w:color w:val="auto"/>
              </w:rPr>
            </w:pPr>
          </w:p>
        </w:tc>
        <w:tc>
          <w:tcPr>
            <w:tcW w:w="2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Electric Utilities</w:t>
            </w:r>
          </w:p>
        </w:tc>
        <w:tc>
          <w:tcPr>
            <w:tcW w:w="6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Gas Utilities</w:t>
            </w:r>
          </w:p>
        </w:tc>
        <w:tc>
          <w:tcPr>
            <w:tcW w:w="7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1099"/>
              <w:spacing w:after="0"/>
              <w:rPr>
                <w:sz w:val="20"/>
                <w:szCs w:val="20"/>
                <w:color w:val="auto"/>
              </w:rPr>
            </w:pPr>
            <w:r>
              <w:rPr>
                <w:rFonts w:ascii="Arial" w:cs="Arial" w:eastAsia="Arial" w:hAnsi="Arial"/>
                <w:sz w:val="16"/>
                <w:szCs w:val="16"/>
                <w:b w:val="1"/>
                <w:bCs w:val="1"/>
                <w:color w:val="auto"/>
              </w:rPr>
              <w:t>Total</w:t>
            </w:r>
          </w:p>
        </w:tc>
      </w:tr>
      <w:tr>
        <w:trPr>
          <w:trHeight w:val="249"/>
        </w:trPr>
        <w:tc>
          <w:tcPr>
            <w:tcW w:w="3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Goodwill</w:t>
            </w:r>
          </w:p>
        </w:tc>
        <w:tc>
          <w:tcPr>
            <w:tcW w:w="2020" w:type="dxa"/>
            <w:vAlign w:val="bottom"/>
            <w:tcBorders>
              <w:bottom w:val="single" w:sz="8" w:color="auto"/>
            </w:tcBorders>
            <w:shd w:val="clear" w:color="auto" w:fill="CFF0FC"/>
          </w:tcPr>
          <w:p>
            <w:pPr>
              <w:jc w:val="right"/>
              <w:ind w:right="18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257.3</w:t>
            </w:r>
          </w:p>
        </w:tc>
        <w:tc>
          <w:tcPr>
            <w:tcW w:w="1920" w:type="dxa"/>
            <w:vAlign w:val="bottom"/>
            <w:tcBorders>
              <w:bottom w:val="single" w:sz="8" w:color="auto"/>
            </w:tcBorders>
            <w:shd w:val="clear" w:color="auto" w:fill="CFF0FC"/>
          </w:tcPr>
          <w:p>
            <w:pPr>
              <w:jc w:val="right"/>
              <w:ind w:right="167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1,042.2</w:t>
            </w:r>
          </w:p>
        </w:tc>
        <w:tc>
          <w:tcPr>
            <w:tcW w:w="640" w:type="dxa"/>
            <w:vAlign w:val="bottom"/>
            <w:tcBorders>
              <w:bottom w:val="single" w:sz="8" w:color="auto"/>
            </w:tcBorders>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1,299.5</w:t>
            </w:r>
          </w:p>
        </w:tc>
      </w:tr>
    </w:tbl>
    <w:p>
      <w:pPr>
        <w:spacing w:after="0" w:line="175"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Our intangible assets represent contract intangibles, easements, rights-of-way, customer listings and trademarks. The finite-lived intangible assets are amortized using a straight-line method based on estimated useful lives; these assets are currently being amortized from 2 years to 41 years. Changes to intangible assets for the years ended December 31, were as follows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2021</w:t>
            </w:r>
          </w:p>
        </w:tc>
      </w:tr>
      <w:tr>
        <w:trPr>
          <w:trHeight w:val="210"/>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Intangible assets, net, beginning balance</w:t>
            </w:r>
          </w:p>
        </w:tc>
        <w:tc>
          <w:tcPr>
            <w:tcW w:w="136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9.6</w:t>
            </w:r>
          </w:p>
        </w:tc>
        <w:tc>
          <w:tcPr>
            <w:tcW w:w="1340" w:type="dxa"/>
            <w:vAlign w:val="bottom"/>
            <w:shd w:val="clear" w:color="auto" w:fill="CFF0FC"/>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10.8</w:t>
            </w:r>
          </w:p>
        </w:tc>
        <w:tc>
          <w:tcPr>
            <w:tcW w:w="44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w:t>
            </w:r>
          </w:p>
        </w:tc>
      </w:tr>
      <w:tr>
        <w:trPr>
          <w:trHeight w:val="216"/>
        </w:trPr>
        <w:tc>
          <w:tcPr>
            <w:tcW w:w="52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Amortization expense </w:t>
            </w:r>
            <w:r>
              <w:rPr>
                <w:rFonts w:ascii="Arial" w:cs="Arial" w:eastAsia="Arial" w:hAnsi="Arial"/>
                <w:sz w:val="21"/>
                <w:szCs w:val="21"/>
                <w:color w:val="auto"/>
                <w:vertAlign w:val="superscript"/>
              </w:rPr>
              <w:t>(a)</w:t>
            </w:r>
          </w:p>
        </w:tc>
        <w:tc>
          <w:tcPr>
            <w:tcW w:w="1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49"/>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Intangible assets, net, ending balance</w:t>
            </w:r>
          </w:p>
        </w:tc>
        <w:tc>
          <w:tcPr>
            <w:tcW w:w="1360" w:type="dxa"/>
            <w:vAlign w:val="bottom"/>
            <w:tcBorders>
              <w:bottom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c>
          <w:tcPr>
            <w:tcW w:w="1340" w:type="dxa"/>
            <w:vAlign w:val="bottom"/>
            <w:tcBorders>
              <w:bottom w:val="single" w:sz="8" w:color="auto"/>
            </w:tcBorders>
            <w:shd w:val="clear" w:color="auto" w:fill="CFF0FC"/>
          </w:tcPr>
          <w:p>
            <w:pPr>
              <w:jc w:val="right"/>
              <w:ind w:right="113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w:t>
            </w:r>
          </w:p>
        </w:tc>
        <w:tc>
          <w:tcPr>
            <w:tcW w:w="44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10.8</w:t>
            </w:r>
          </w:p>
        </w:tc>
      </w:tr>
      <w:tr>
        <w:trPr>
          <w:trHeight w:val="116"/>
        </w:trPr>
        <w:tc>
          <w:tcPr>
            <w:tcW w:w="3380" w:type="dxa"/>
            <w:vAlign w:val="bottom"/>
            <w:tcBorders>
              <w:bottom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54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Amortization expense for existing intangible assets is expected to be $1.2 million for each year of the next five years.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Accrued Liabilities</w:t>
      </w:r>
    </w:p>
    <w:p>
      <w:pPr>
        <w:spacing w:after="0" w:line="194"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following amounts by major classification are included in Accrued liabilities on the accompanying Consolidated Balance Sheets as of December 31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tcPr>
          <w:p>
            <w:pPr>
              <w:spacing w:after="0"/>
              <w:rPr>
                <w:sz w:val="18"/>
                <w:szCs w:val="18"/>
                <w:color w:val="auto"/>
              </w:rPr>
            </w:pPr>
          </w:p>
        </w:tc>
        <w:tc>
          <w:tcPr>
            <w:tcW w:w="1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r>
      <w:tr>
        <w:trPr>
          <w:trHeight w:val="209"/>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Accrued employee compensation, benefits and withholdings</w:t>
            </w:r>
          </w:p>
        </w:tc>
        <w:tc>
          <w:tcPr>
            <w:tcW w:w="1340" w:type="dxa"/>
            <w:vAlign w:val="bottom"/>
            <w:shd w:val="clear" w:color="auto" w:fill="CFF0FC"/>
          </w:tcPr>
          <w:p>
            <w:pPr>
              <w:jc w:val="right"/>
              <w:ind w:right="115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74.8</w:t>
            </w:r>
          </w:p>
        </w:tc>
        <w:tc>
          <w:tcPr>
            <w:tcW w:w="50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62.9</w:t>
            </w: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52.7</w:t>
            </w:r>
          </w:p>
        </w:tc>
        <w:tc>
          <w:tcPr>
            <w:tcW w:w="5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52.4</w:t>
            </w:r>
          </w:p>
        </w:tc>
      </w:tr>
      <w:tr>
        <w:trPr>
          <w:trHeight w:val="217"/>
        </w:trPr>
        <w:tc>
          <w:tcPr>
            <w:tcW w:w="7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Customer deposits and prepayments</w:t>
            </w:r>
          </w:p>
        </w:tc>
        <w:tc>
          <w:tcPr>
            <w:tcW w:w="13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76.0</w:t>
            </w:r>
          </w:p>
        </w:tc>
        <w:tc>
          <w:tcPr>
            <w:tcW w:w="500" w:type="dxa"/>
            <w:vAlign w:val="bottom"/>
            <w:shd w:val="clear" w:color="auto" w:fill="CFF0FC"/>
          </w:tcPr>
          <w:p>
            <w:pPr>
              <w:spacing w:after="0"/>
              <w:rPr>
                <w:sz w:val="18"/>
                <w:szCs w:val="18"/>
                <w:color w:val="auto"/>
              </w:rPr>
            </w:pPr>
          </w:p>
        </w:tc>
        <w:tc>
          <w:tcPr>
            <w:tcW w:w="1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47.7</w:t>
            </w: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Accrued interest</w:t>
            </w:r>
          </w:p>
        </w:tc>
        <w:tc>
          <w:tcPr>
            <w:tcW w:w="1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46.3</w:t>
            </w:r>
          </w:p>
        </w:tc>
        <w:tc>
          <w:tcPr>
            <w:tcW w:w="500" w:type="dxa"/>
            <w:vAlign w:val="bottom"/>
          </w:tcPr>
          <w:p>
            <w:pPr>
              <w:spacing w:after="0"/>
              <w:rPr>
                <w:sz w:val="18"/>
                <w:szCs w:val="18"/>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33.8</w:t>
            </w:r>
          </w:p>
        </w:tc>
      </w:tr>
      <w:tr>
        <w:trPr>
          <w:trHeight w:val="216"/>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(none of which is individually significant)</w:t>
            </w:r>
          </w:p>
        </w:tc>
        <w:tc>
          <w:tcPr>
            <w:tcW w:w="134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43.5</w:t>
            </w:r>
          </w:p>
        </w:tc>
        <w:tc>
          <w:tcPr>
            <w:tcW w:w="50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46.7</w:t>
            </w: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Total accrued liabilities</w:t>
            </w:r>
          </w:p>
        </w:tc>
        <w:tc>
          <w:tcPr>
            <w:tcW w:w="134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293.3</w:t>
            </w:r>
          </w:p>
        </w:tc>
        <w:tc>
          <w:tcPr>
            <w:tcW w:w="5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243.5</w:t>
            </w:r>
          </w:p>
        </w:tc>
      </w:tr>
      <w:tr>
        <w:trPr>
          <w:trHeight w:val="20"/>
        </w:trPr>
        <w:tc>
          <w:tcPr>
            <w:tcW w:w="7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We use the following fair value hierarchy for determining inputs for our financial instruments. Our assets and liabilities for financial instruments are classified and disclosed in one of the following fair value categories: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Level 1 instruments primarily consist of highly liquid and actively traded financial instruments with quoted pricing information on an ongoing basis.</w:t>
      </w:r>
    </w:p>
    <w:p>
      <w:pPr>
        <w:spacing w:after="0" w:line="17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44"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u w:val="single" w:color="auto"/>
          <w:color w:val="auto"/>
        </w:rPr>
        <w:t>Level 3</w:t>
      </w:r>
      <w:r>
        <w:rPr>
          <w:rFonts w:ascii="Arial" w:cs="Arial" w:eastAsia="Arial" w:hAnsi="Arial"/>
          <w:sz w:val="16"/>
          <w:szCs w:val="16"/>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0" w:name="page71"/>
    <w:bookmarkEnd w:id="7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Valuation Methodologies for Derivatives</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wholesale electric energy and natural gas commodity contracts for our Utilities are valued using the market approach and include forward strip pricing at liquid delivery points, exchange-traded futures, options, basis swaps and over-the-counter swaps and options (Level 2). For exchange-traded futures, options and basis swap assets and liabilities, fair value was derived using broker quotes validated by the exchange settlement pricing for the applicable contract. For over-the-counter instruments, the fair value is obtained by utilizing a nationally recognized service that obtains observable inputs to compute the fair value, which we validate by comparing our valuation with the counterparty. The fair value of these swaps includes a credit valuation adjustment based on the credit spreads of the counterparties when we are in an unrealized gain position or on our own credit spread when we are in an unrealized loss position.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13</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4114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411480" cy="8255"/>
                    </a:xfrm>
                    <a:prstGeom prst="rect">
                      <a:avLst/>
                    </a:prstGeom>
                    <a:noFill/>
                  </pic:spPr>
                </pic:pic>
              </a:graphicData>
            </a:graphic>
          </wp:anchor>
        </w:drawing>
        <w:drawing>
          <wp:anchor simplePos="0" relativeHeight="251657728" behindDoc="1" locked="0" layoutInCell="0" allowOverlap="1">
            <wp:simplePos x="0" y="0"/>
            <wp:positionH relativeFrom="column">
              <wp:posOffset>857250</wp:posOffset>
            </wp:positionH>
            <wp:positionV relativeFrom="paragraph">
              <wp:posOffset>-4445</wp:posOffset>
            </wp:positionV>
            <wp:extent cx="11430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Activities</w:t>
      </w:r>
    </w:p>
    <w:p>
      <w:pPr>
        <w:spacing w:after="0" w:line="194"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pricing is clearly and closely related to the asset being purchased or sold. Normal purchase and sales contracts are recognized when the underlying physical transaction is completed under the accrual basis of accounting.</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In addition, certain derivative contracts approved by regulatory authorities are either recovered or refunded through customer rates. Any changes in the fair value of these approved derivative contracts are deferred as a regulatory asset or regulatory liability pursuant to ASC 980, </w:t>
      </w:r>
      <w:r>
        <w:rPr>
          <w:rFonts w:ascii="Arial" w:cs="Arial" w:eastAsia="Arial" w:hAnsi="Arial"/>
          <w:sz w:val="16"/>
          <w:szCs w:val="16"/>
          <w:i w:val="1"/>
          <w:iCs w:val="1"/>
          <w:color w:val="auto"/>
        </w:rPr>
        <w:t>Regulated Operations</w:t>
      </w:r>
      <w:r>
        <w:rPr>
          <w:rFonts w:ascii="Arial" w:cs="Arial" w:eastAsia="Arial" w:hAnsi="Arial"/>
          <w:sz w:val="16"/>
          <w:szCs w:val="16"/>
          <w:color w:val="auto"/>
        </w:rPr>
        <w:t>.</w:t>
      </w:r>
    </w:p>
    <w:p>
      <w:pPr>
        <w:spacing w:after="0" w:line="129"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also have some derivatives that qualify for hedge accounting and are designated as cash flow hedges. The gain or loss on these designated derivatives is deferred in AOCI and reclassified into earnings when the corresponding hedged transaction is recognized in earnings. Changes in the fair value of all other derivative contracts are recognized in earnings.</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6"/>
          <w:szCs w:val="16"/>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counterparty when a legal right of offset exists. Therefore, the gross amounts are not indicative of either our actual credit or net economic exposures.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cash impacts of settled derivatives are recorded as operating activities on the Consolidated Statements of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Notes 9</w:t>
      </w:r>
      <w:r>
        <w:rPr>
          <w:rFonts w:ascii="Arial" w:cs="Arial" w:eastAsia="Arial" w:hAnsi="Arial"/>
          <w:sz w:val="16"/>
          <w:szCs w:val="16"/>
          <w:color w:val="auto"/>
        </w:rPr>
        <w:t xml:space="preserve">, </w:t>
      </w:r>
      <w:r>
        <w:rPr>
          <w:rFonts w:ascii="Arial" w:cs="Arial" w:eastAsia="Arial" w:hAnsi="Arial"/>
          <w:sz w:val="16"/>
          <w:szCs w:val="16"/>
          <w:u w:val="single" w:color="auto"/>
          <w:color w:val="0000FF"/>
        </w:rPr>
        <w:t>10</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11</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5257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25780" cy="8255"/>
                    </a:xfrm>
                    <a:prstGeom prst="rect">
                      <a:avLst/>
                    </a:prstGeom>
                    <a:noFill/>
                  </pic:spPr>
                </pic:pic>
              </a:graphicData>
            </a:graphic>
          </wp:anchor>
        </w:drawing>
        <w:drawing>
          <wp:anchor simplePos="0" relativeHeight="251657728" behindDoc="1" locked="0" layoutInCell="0" allowOverlap="1">
            <wp:simplePos x="0" y="0"/>
            <wp:positionH relativeFrom="column">
              <wp:posOffset>970915</wp:posOffset>
            </wp:positionH>
            <wp:positionV relativeFrom="paragraph">
              <wp:posOffset>-4445</wp:posOffset>
            </wp:positionV>
            <wp:extent cx="1066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066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Discounts, Premiums and Deferred Financing Costs</w:t>
      </w:r>
    </w:p>
    <w:p>
      <w:pPr>
        <w:spacing w:after="0" w:line="194"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 xml:space="preserve">Deferred financing costs include loan origination fees, underwriter fees, legal fees and other costs directly attributable to the issuance of debt. Debt discounts, premiums and deferred financing costs are amortized over the estimated useful life of the related debt. Unamortized discounts, premiums and deferred financing costs are presented on the balance sheet as an adjustment to the related debt liabilities. See </w:t>
      </w:r>
      <w:r>
        <w:rPr>
          <w:rFonts w:ascii="Arial" w:cs="Arial" w:eastAsia="Arial" w:hAnsi="Arial"/>
          <w:sz w:val="16"/>
          <w:szCs w:val="16"/>
          <w:u w:val="single" w:color="auto"/>
          <w:color w:val="0000FF"/>
        </w:rPr>
        <w:t>Note 8</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-36195</wp:posOffset>
            </wp:positionV>
            <wp:extent cx="30289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Accounting</w:t>
      </w:r>
    </w:p>
    <w:p>
      <w:pPr>
        <w:spacing w:after="0" w:line="194" w:lineRule="exact"/>
        <w:rPr>
          <w:sz w:val="20"/>
          <w:szCs w:val="20"/>
          <w:color w:val="auto"/>
        </w:rPr>
      </w:pPr>
    </w:p>
    <w:p>
      <w:pPr>
        <w:ind w:right="180"/>
        <w:spacing w:after="0" w:line="266" w:lineRule="auto"/>
        <w:rPr>
          <w:sz w:val="20"/>
          <w:szCs w:val="20"/>
          <w:color w:val="auto"/>
        </w:rPr>
      </w:pPr>
      <w:r>
        <w:rPr>
          <w:rFonts w:ascii="Arial" w:cs="Arial" w:eastAsia="Arial" w:hAnsi="Arial"/>
          <w:sz w:val="16"/>
          <w:szCs w:val="16"/>
          <w:color w:val="auto"/>
        </w:rPr>
        <w:t>Our regulated Utilities are subject to cost-of-service regulation and earnings oversight from federal and state regulatory commissions. Our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144" w:lineRule="exact"/>
        <w:rPr>
          <w:sz w:val="20"/>
          <w:szCs w:val="20"/>
          <w:color w:val="auto"/>
        </w:rPr>
      </w:pPr>
    </w:p>
    <w:p>
      <w:pPr>
        <w:ind w:left="1020" w:right="52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Certain costs, which would otherwise be charged to expense or OCI, are deferred as regulatory assets based on the expected ability to recover the costs in future rates.</w:t>
      </w:r>
    </w:p>
    <w:p>
      <w:pPr>
        <w:spacing w:after="0" w:line="129" w:lineRule="exact"/>
        <w:rPr>
          <w:rFonts w:ascii="Times New Roman" w:cs="Times New Roman" w:eastAsia="Times New Roman" w:hAnsi="Times New Roman"/>
          <w:sz w:val="16"/>
          <w:szCs w:val="16"/>
          <w:color w:val="auto"/>
        </w:rPr>
      </w:pPr>
    </w:p>
    <w:p>
      <w:pPr>
        <w:ind w:left="1020" w:right="480" w:hanging="503"/>
        <w:spacing w:after="0" w:line="285" w:lineRule="auto"/>
        <w:tabs>
          <w:tab w:leader="none" w:pos="1020" w:val="left"/>
        </w:tabs>
        <w:numPr>
          <w:ilvl w:val="0"/>
          <w:numId w:val="49"/>
        </w:numPr>
        <w:rPr>
          <w:rFonts w:ascii="Times New Roman" w:cs="Times New Roman" w:eastAsia="Times New Roman" w:hAnsi="Times New Roman"/>
          <w:sz w:val="16"/>
          <w:szCs w:val="16"/>
          <w:color w:val="auto"/>
        </w:rPr>
      </w:pPr>
      <w:r>
        <w:rPr>
          <w:rFonts w:ascii="Arial" w:cs="Arial" w:eastAsia="Arial" w:hAnsi="Arial"/>
          <w:sz w:val="16"/>
          <w:szCs w:val="16"/>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2</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94" w:lineRule="exact"/>
        <w:rPr>
          <w:sz w:val="20"/>
          <w:szCs w:val="20"/>
          <w:color w:val="auto"/>
        </w:rPr>
      </w:pPr>
    </w:p>
    <w:p>
      <w:pPr>
        <w:ind w:right="320"/>
        <w:spacing w:after="0" w:line="266" w:lineRule="auto"/>
        <w:rPr>
          <w:sz w:val="20"/>
          <w:szCs w:val="20"/>
          <w:color w:val="auto"/>
        </w:rPr>
      </w:pPr>
      <w:r>
        <w:rPr>
          <w:rFonts w:ascii="Arial" w:cs="Arial" w:eastAsia="Arial" w:hAnsi="Arial"/>
          <w:sz w:val="16"/>
          <w:szCs w:val="16"/>
          <w:color w:val="auto"/>
        </w:rPr>
        <w:t>The Company is subject to federal income tax as well as income tax in various state and local jurisdictions. The Company and its subsidiaries file consolidated federal income tax returns. Each subsidiary records both federal and state income taxes as if it were a separate taxpayer and consolidating expense adjustments are allocated to the subsidiaries based on separate company computations of taxable income or loss.</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5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151" w:lineRule="exact"/>
        <w:rPr>
          <w:sz w:val="20"/>
          <w:szCs w:val="20"/>
          <w:color w:val="auto"/>
        </w:rPr>
      </w:pPr>
    </w:p>
    <w:p>
      <w:pPr>
        <w:ind w:right="340"/>
        <w:spacing w:after="0" w:line="286" w:lineRule="auto"/>
        <w:rPr>
          <w:sz w:val="20"/>
          <w:szCs w:val="20"/>
          <w:color w:val="auto"/>
        </w:rPr>
      </w:pPr>
      <w:r>
        <w:rPr>
          <w:rFonts w:ascii="Arial" w:cs="Arial" w:eastAsia="Arial" w:hAnsi="Arial"/>
          <w:sz w:val="16"/>
          <w:szCs w:val="16"/>
          <w:color w:val="auto"/>
        </w:rPr>
        <w:t>We recognize interest income or interest expense and penalties related to income tax matters in Income tax expense on the Consolidated Statements of Income.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We have elected to account for transferable clean energy tax credits, including PTCs and ITCs within the provision for income taxes.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r>
        <w:rPr>
          <w:rFonts w:ascii="Arial" w:cs="Arial" w:eastAsia="Arial" w:hAnsi="Arial"/>
          <w:sz w:val="16"/>
          <w:szCs w:val="16"/>
          <w:u w:val="single" w:color="auto"/>
          <w:color w:val="0000FF"/>
        </w:rPr>
        <w:t>Note 15</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-36195</wp:posOffset>
            </wp:positionV>
            <wp:extent cx="36004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Earnings per Share of Common Stock</w:t>
      </w:r>
    </w:p>
    <w:p>
      <w:pPr>
        <w:spacing w:after="0" w:line="194"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Basic earnings per share is computed by dividing Net income available for common stock by the weighted average number of common shares outstanding during each year. Diluted earnings per share is computed by including all dilutive common shares outstanding during each year. Diluted common shares are primarily due to equity units, outstanding stock options, restricted stock and performance shares under our equity compensation plans.</w:t>
      </w:r>
    </w:p>
    <w:p>
      <w:pPr>
        <w:spacing w:after="0" w:line="14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 reconciliation of share amounts used to compute earnings per share is as follows for the years ended December 31 (in millions, except earnings per share amounts):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2021</w:t>
            </w: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262.2</w:t>
            </w:r>
          </w:p>
        </w:tc>
        <w:tc>
          <w:tcPr>
            <w:tcW w:w="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258.4</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236.7</w:t>
            </w:r>
          </w:p>
        </w:tc>
      </w:tr>
      <w:tr>
        <w:trPr>
          <w:trHeight w:val="197"/>
        </w:trPr>
        <w:tc>
          <w:tcPr>
            <w:tcW w:w="6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6"/>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shares - basic</w:t>
            </w:r>
          </w:p>
        </w:tc>
        <w:tc>
          <w:tcPr>
            <w:tcW w:w="108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67.0</w:t>
            </w:r>
          </w:p>
        </w:tc>
        <w:tc>
          <w:tcPr>
            <w:tcW w:w="4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w:t>
            </w:r>
          </w:p>
        </w:tc>
        <w:tc>
          <w:tcPr>
            <w:tcW w:w="4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63.2</w:t>
            </w:r>
          </w:p>
        </w:tc>
      </w:tr>
      <w:tr>
        <w:trPr>
          <w:trHeight w:val="215"/>
        </w:trPr>
        <w:tc>
          <w:tcPr>
            <w:tcW w:w="616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Dilutive effect of equity compensation</w:t>
            </w:r>
          </w:p>
        </w:tc>
        <w:tc>
          <w:tcPr>
            <w:tcW w:w="10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r>
      <w:tr>
        <w:trPr>
          <w:trHeight w:val="249"/>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Weighted average shares - diluted</w:t>
            </w:r>
          </w:p>
        </w:tc>
        <w:tc>
          <w:tcPr>
            <w:tcW w:w="10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67.1</w:t>
            </w:r>
          </w:p>
        </w:tc>
        <w:tc>
          <w:tcPr>
            <w:tcW w:w="4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65.0</w:t>
            </w:r>
          </w:p>
        </w:tc>
        <w:tc>
          <w:tcPr>
            <w:tcW w:w="40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63.3</w:t>
            </w:r>
          </w:p>
        </w:tc>
      </w:tr>
      <w:tr>
        <w:trPr>
          <w:trHeight w:val="197"/>
        </w:trPr>
        <w:tc>
          <w:tcPr>
            <w:tcW w:w="6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55"/>
        </w:trPr>
        <w:tc>
          <w:tcPr>
            <w:tcW w:w="6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income available for common stock, per share - Diluted</w:t>
            </w:r>
          </w:p>
        </w:tc>
        <w:tc>
          <w:tcPr>
            <w:tcW w:w="1080" w:type="dxa"/>
            <w:vAlign w:val="bottom"/>
            <w:tcBorders>
              <w:bottom w:val="single" w:sz="8" w:color="auto"/>
            </w:tcBorders>
            <w:shd w:val="clear" w:color="auto" w:fill="CFF0FC"/>
          </w:tcPr>
          <w:p>
            <w:pPr>
              <w:jc w:val="right"/>
              <w:ind w:right="89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w:t>
            </w:r>
          </w:p>
        </w:tc>
        <w:tc>
          <w:tcPr>
            <w:tcW w:w="40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40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3.74</w:t>
            </w:r>
          </w:p>
        </w:tc>
      </w:tr>
    </w:tbl>
    <w:p>
      <w:pPr>
        <w:spacing w:after="0" w:line="175"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color w:val="auto"/>
        </w:rPr>
        <w:t>The following securities were excluded from the diluted earnings per share computation for the years ended December 31 because of their anti-dilutive nature: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3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09"/>
        </w:trPr>
        <w:tc>
          <w:tcPr>
            <w:tcW w:w="5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Equity compensation</w:t>
            </w:r>
          </w:p>
        </w:tc>
        <w:tc>
          <w:tcPr>
            <w:tcW w:w="24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46,275</w:t>
            </w:r>
          </w:p>
        </w:tc>
        <w:tc>
          <w:tcPr>
            <w:tcW w:w="1180" w:type="dxa"/>
            <w:vAlign w:val="bottom"/>
            <w:tcBorders>
              <w:bottom w:val="single" w:sz="8" w:color="auto"/>
            </w:tcBorders>
            <w:shd w:val="clear" w:color="auto" w:fill="CFF0FC"/>
          </w:tcPr>
          <w:p>
            <w:pPr>
              <w:ind w:left="7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13,101</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6"/>
                <w:szCs w:val="16"/>
                <w:color w:val="auto"/>
              </w:rPr>
              <w:t>Anti-dilutive shares excluded from computation of earnings per share</w:t>
            </w:r>
          </w:p>
        </w:tc>
        <w:tc>
          <w:tcPr>
            <w:tcW w:w="3720" w:type="dxa"/>
            <w:vAlign w:val="bottom"/>
            <w:gridSpan w:val="2"/>
          </w:tcPr>
          <w:p>
            <w:pPr>
              <w:jc w:val="right"/>
              <w:ind w:right="159"/>
              <w:spacing w:after="0"/>
              <w:rPr>
                <w:sz w:val="20"/>
                <w:szCs w:val="20"/>
                <w:color w:val="auto"/>
              </w:rPr>
            </w:pPr>
            <w:r>
              <w:rPr>
                <w:rFonts w:ascii="Arial" w:cs="Arial" w:eastAsia="Arial" w:hAnsi="Arial"/>
                <w:sz w:val="16"/>
                <w:szCs w:val="16"/>
                <w:color w:val="auto"/>
              </w:rPr>
              <w:t>46,275</w:t>
            </w:r>
          </w:p>
        </w:tc>
        <w:tc>
          <w:tcPr>
            <w:tcW w:w="1180" w:type="dxa"/>
            <w:vAlign w:val="bottom"/>
          </w:tcPr>
          <w:p>
            <w:pPr>
              <w:ind w:left="7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13,101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400" w:type="dxa"/>
            <w:vAlign w:val="bottom"/>
            <w:vMerge w:val="restart"/>
          </w:tcPr>
          <w:p>
            <w:pPr>
              <w:jc w:val="right"/>
              <w:ind w:right="1839"/>
              <w:spacing w:after="0"/>
              <w:rPr>
                <w:sz w:val="20"/>
                <w:szCs w:val="20"/>
                <w:color w:val="auto"/>
              </w:rPr>
            </w:pPr>
            <w:r>
              <w:rPr>
                <w:rFonts w:ascii="Arial" w:cs="Arial" w:eastAsia="Arial" w:hAnsi="Arial"/>
                <w:sz w:val="16"/>
                <w:szCs w:val="16"/>
                <w:color w:val="auto"/>
              </w:rPr>
              <w:t>72</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52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8"/>
        </w:trPr>
        <w:tc>
          <w:tcPr>
            <w:tcW w:w="524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2" w:name="page73"/>
    <w:bookmarkEnd w:id="7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Share-Based Compensation</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 xml:space="preserve">We account for our share-based compensation arrangements in accordance with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 See </w:t>
      </w:r>
      <w:r>
        <w:rPr>
          <w:rFonts w:ascii="Arial" w:cs="Arial" w:eastAsia="Arial" w:hAnsi="Arial"/>
          <w:sz w:val="16"/>
          <w:szCs w:val="16"/>
          <w:u w:val="single" w:color="auto"/>
          <w:color w:val="0000FF"/>
        </w:rPr>
        <w:t>Note 14</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2738120</wp:posOffset>
            </wp:positionH>
            <wp:positionV relativeFrom="paragraph">
              <wp:posOffset>-30480</wp:posOffset>
            </wp:positionV>
            <wp:extent cx="36004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Pension and Other Postretirement Plans</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 xml:space="preserve">We recognize on our Consolidated Balance Sheets an asset or liability reflecting the funded status of pension and other postretirement plans with current-year changes in actuarial gains or losses recognized in AOCI, except for those plans at certain of our regulated utilities that can recover portions of their pension and postretirement obligations through future rates. All plan assets are recorded at fair value. We follow the measurement date provisions of ASC 715, </w:t>
      </w:r>
      <w:r>
        <w:rPr>
          <w:rFonts w:ascii="Arial" w:cs="Arial" w:eastAsia="Arial" w:hAnsi="Arial"/>
          <w:sz w:val="16"/>
          <w:szCs w:val="16"/>
          <w:i w:val="1"/>
          <w:iCs w:val="1"/>
          <w:color w:val="auto"/>
        </w:rPr>
        <w:t>Compensation-Retirement Benefit</w:t>
      </w:r>
      <w:r>
        <w:rPr>
          <w:rFonts w:ascii="Arial" w:cs="Arial" w:eastAsia="Arial" w:hAnsi="Arial"/>
          <w:sz w:val="16"/>
          <w:szCs w:val="16"/>
          <w:color w:val="auto"/>
        </w:rPr>
        <w:t>s, which require a year-end measurement date of plan assets and obligations for all defined benefit plans.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Standards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Reportable Segment Disclosures, ASU 2023-07</w:t>
      </w:r>
    </w:p>
    <w:p>
      <w:pPr>
        <w:spacing w:after="0" w:line="194"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 xml:space="preserve">In November 2023, the FASB issued ASU 2023-07, </w:t>
      </w:r>
      <w:r>
        <w:rPr>
          <w:rFonts w:ascii="Arial" w:cs="Arial" w:eastAsia="Arial" w:hAnsi="Arial"/>
          <w:sz w:val="16"/>
          <w:szCs w:val="16"/>
          <w:i w:val="1"/>
          <w:iCs w:val="1"/>
          <w:color w:val="auto"/>
        </w:rPr>
        <w:t>Improvements to Reportable Segment Disclosures,</w:t>
      </w:r>
      <w:r>
        <w:rPr>
          <w:rFonts w:ascii="Arial" w:cs="Arial" w:eastAsia="Arial" w:hAnsi="Arial"/>
          <w:sz w:val="16"/>
          <w:szCs w:val="16"/>
          <w:color w:val="auto"/>
        </w:rPr>
        <w:t xml:space="preserve"> which expands public entities’ segment disclosures by requiring disclosure of significant segment expenses that are regularly reviewed by the CODM and included within each reported measure of segment profit or loss, an amount and description of its composition for other segment items, and interim disclosures of a reportable segment’s profit or loss and assets. The ASU also allows, in addition to the measure that is most consistent with GAAP, the disclosure of additional measures of segment profit or loss that are used by the CODM in assessing segment performance and deciding how to allocate resources. The ASU is effective for our Annual Report on Form 10-K for the fiscal year ended December 31, 2024, and subsequent interim periods, with early adoption permitted. We do not expect the ASU to have an impact on our financial position, results of operations and cash flows; however, are currently evaluating the impact on our consolidated financial statement disclosures.</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Improvements to Income Tax Disclosures, ASU 2023-09</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xml:space="preserve"> which expands public entities’ annual disclosures by requiring disclosure of tax rate reconciliation amounts and percentages for specific categories, income taxes paid disaggregated by federal and state taxes, and income tax expense disaggregated by federal and state taxes jurisdiction. The ASU is effective for our Annual Report on Form 10-K for the fiscal year ended December 31, 2025, with early adoption permitted. We do not expect the ASU to have an impact on our financial position, results of operations and cash flows; however, are currently evaluating the impact on our consolidated financial statement disclosures.</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84"/>
        </w:trPr>
        <w:tc>
          <w:tcPr>
            <w:tcW w:w="780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
        </w:trPr>
        <w:tc>
          <w:tcPr>
            <w:tcW w:w="1380" w:type="dxa"/>
            <w:vAlign w:val="bottom"/>
            <w:tcBorders>
              <w:right w:val="single" w:sz="8" w:color="0000EE"/>
            </w:tcBorders>
            <w:shd w:val="clear" w:color="auto" w:fill="0000FF"/>
          </w:tcPr>
          <w:p>
            <w:pPr>
              <w:spacing w:after="0" w:line="20" w:lineRule="exact"/>
              <w:rPr>
                <w:sz w:val="1"/>
                <w:szCs w:val="1"/>
                <w:color w:val="auto"/>
              </w:rPr>
            </w:pPr>
          </w:p>
        </w:tc>
        <w:tc>
          <w:tcPr>
            <w:tcW w:w="64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32"/>
        </w:trPr>
        <w:tc>
          <w:tcPr>
            <w:tcW w:w="7800" w:type="dxa"/>
            <w:vAlign w:val="bottom"/>
            <w:gridSpan w:val="3"/>
          </w:tcPr>
          <w:p>
            <w:pPr>
              <w:spacing w:after="0"/>
              <w:rPr>
                <w:sz w:val="20"/>
                <w:szCs w:val="20"/>
                <w:color w:val="auto"/>
              </w:rPr>
            </w:pPr>
            <w:r>
              <w:rPr>
                <w:rFonts w:ascii="Arial" w:cs="Arial" w:eastAsia="Arial" w:hAnsi="Arial"/>
                <w:sz w:val="16"/>
                <w:szCs w:val="16"/>
                <w:b w:val="1"/>
                <w:bCs w:val="1"/>
                <w:color w:val="auto"/>
              </w:rPr>
              <w:t>(2) REGULATORY MATTERS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0"/>
        </w:trPr>
        <w:tc>
          <w:tcPr>
            <w:tcW w:w="7800" w:type="dxa"/>
            <w:vAlign w:val="bottom"/>
            <w:gridSpan w:val="3"/>
          </w:tcPr>
          <w:p>
            <w:pPr>
              <w:spacing w:after="0"/>
              <w:rPr>
                <w:sz w:val="20"/>
                <w:szCs w:val="20"/>
                <w:color w:val="auto"/>
              </w:rPr>
            </w:pPr>
            <w:r>
              <w:rPr>
                <w:rFonts w:ascii="Arial" w:cs="Arial" w:eastAsia="Arial" w:hAnsi="Arial"/>
                <w:sz w:val="16"/>
                <w:szCs w:val="16"/>
                <w:color w:val="auto"/>
              </w:rPr>
              <w:t>We had the following regulatory assets and liabilities as of December 31 (in millions):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3"/>
        </w:trPr>
        <w:tc>
          <w:tcPr>
            <w:tcW w:w="1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09"/>
        </w:trPr>
        <w:tc>
          <w:tcPr>
            <w:tcW w:w="7800" w:type="dxa"/>
            <w:vAlign w:val="bottom"/>
            <w:gridSpan w:val="3"/>
            <w:shd w:val="clear" w:color="auto" w:fill="CFF0FC"/>
          </w:tcPr>
          <w:p>
            <w:pPr>
              <w:ind w:left="20"/>
              <w:spacing w:after="0"/>
              <w:rPr>
                <w:sz w:val="20"/>
                <w:szCs w:val="20"/>
                <w:color w:val="auto"/>
              </w:rPr>
            </w:pPr>
            <w:r>
              <w:rPr>
                <w:rFonts w:ascii="Arial" w:cs="Arial" w:eastAsia="Arial" w:hAnsi="Arial"/>
                <w:sz w:val="16"/>
                <w:szCs w:val="16"/>
                <w:b w:val="1"/>
                <w:bCs w:val="1"/>
                <w:color w:val="auto"/>
              </w:rPr>
              <w:t>Regulatory assets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Winter Storm Uri </w:t>
            </w:r>
            <w:r>
              <w:rPr>
                <w:rFonts w:ascii="Arial" w:cs="Arial" w:eastAsia="Arial" w:hAnsi="Arial"/>
                <w:sz w:val="21"/>
                <w:szCs w:val="21"/>
                <w:color w:val="auto"/>
                <w:vertAlign w:val="superscript"/>
              </w:rPr>
              <w:t>(a)</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199.6</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348.0</w:t>
            </w: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Deferred energy and fuel cost adjustments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55.1</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72.6</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Deferred gas cost adjustments </w:t>
            </w:r>
            <w:r>
              <w:rPr>
                <w:rFonts w:ascii="Arial" w:cs="Arial" w:eastAsia="Arial" w:hAnsi="Arial"/>
                <w:sz w:val="21"/>
                <w:szCs w:val="21"/>
                <w:color w:val="auto"/>
                <w:vertAlign w:val="superscript"/>
              </w:rPr>
              <w:t>(b)</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4.1</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12.2</w:t>
            </w: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Gas price derivatives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Deferred taxes on AFUDC </w:t>
            </w:r>
            <w:r>
              <w:rPr>
                <w:rFonts w:ascii="Arial" w:cs="Arial" w:eastAsia="Arial" w:hAnsi="Arial"/>
                <w:sz w:val="21"/>
                <w:szCs w:val="21"/>
                <w:color w:val="auto"/>
                <w:vertAlign w:val="superscript"/>
              </w:rPr>
              <w:t>(b)</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7.3</w:t>
            </w: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89.3</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89.3</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Environmental </w:t>
            </w:r>
            <w:r>
              <w:rPr>
                <w:rFonts w:ascii="Arial" w:cs="Arial" w:eastAsia="Arial" w:hAnsi="Arial"/>
                <w:sz w:val="21"/>
                <w:szCs w:val="21"/>
                <w:color w:val="auto"/>
                <w:vertAlign w:val="superscript"/>
              </w:rPr>
              <w:t>(b)</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1.3</w:t>
            </w: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Loss on reacquired debt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17.4</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19.2</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Deferred taxes on flow-through accounting </w:t>
            </w:r>
            <w:r>
              <w:rPr>
                <w:rFonts w:ascii="Arial" w:cs="Arial" w:eastAsia="Arial" w:hAnsi="Arial"/>
                <w:sz w:val="21"/>
                <w:szCs w:val="21"/>
                <w:color w:val="auto"/>
                <w:vertAlign w:val="superscript"/>
              </w:rPr>
              <w:t>(b)</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69.5</w:t>
            </w: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Decommissioning costs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Other regulatory assets </w:t>
            </w:r>
            <w:r>
              <w:rPr>
                <w:rFonts w:ascii="Arial" w:cs="Arial" w:eastAsia="Arial" w:hAnsi="Arial"/>
                <w:sz w:val="21"/>
                <w:szCs w:val="21"/>
                <w:color w:val="auto"/>
                <w:vertAlign w:val="superscript"/>
              </w:rPr>
              <w:t>(b)</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21.3</w:t>
            </w:r>
          </w:p>
        </w:tc>
      </w:tr>
      <w:tr>
        <w:trPr>
          <w:trHeight w:val="210"/>
        </w:trPr>
        <w:tc>
          <w:tcPr>
            <w:tcW w:w="78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Total regulatory assets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480.1</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653.0</w:t>
            </w:r>
          </w:p>
        </w:tc>
      </w:tr>
      <w:tr>
        <w:trPr>
          <w:trHeight w:val="215"/>
        </w:trPr>
        <w:tc>
          <w:tcPr>
            <w:tcW w:w="7800" w:type="dxa"/>
            <w:vAlign w:val="bottom"/>
            <w:gridSpan w:val="3"/>
          </w:tcPr>
          <w:p>
            <w:pPr>
              <w:ind w:left="200"/>
              <w:spacing w:after="0"/>
              <w:rPr>
                <w:sz w:val="20"/>
                <w:szCs w:val="20"/>
                <w:color w:val="auto"/>
              </w:rPr>
            </w:pPr>
            <w:r>
              <w:rPr>
                <w:rFonts w:ascii="Arial" w:cs="Arial" w:eastAsia="Arial" w:hAnsi="Arial"/>
                <w:sz w:val="16"/>
                <w:szCs w:val="16"/>
                <w:color w:val="auto"/>
              </w:rPr>
              <w:t>Less current regulatory assets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(175.7 )</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(260.3 )</w:t>
            </w:r>
          </w:p>
        </w:tc>
      </w:tr>
      <w:tr>
        <w:trPr>
          <w:trHeight w:val="249"/>
        </w:trPr>
        <w:tc>
          <w:tcPr>
            <w:tcW w:w="78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Regulatory assets, non-current</w:t>
            </w:r>
          </w:p>
        </w:tc>
        <w:tc>
          <w:tcPr>
            <w:tcW w:w="1060" w:type="dxa"/>
            <w:vAlign w:val="bottom"/>
            <w:tcBorders>
              <w:bottom w:val="single" w:sz="8" w:color="auto"/>
            </w:tcBorders>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304.4</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392.7</w:t>
            </w:r>
          </w:p>
        </w:tc>
      </w:tr>
      <w:tr>
        <w:trPr>
          <w:trHeight w:val="413"/>
        </w:trPr>
        <w:tc>
          <w:tcPr>
            <w:tcW w:w="7800" w:type="dxa"/>
            <w:vAlign w:val="bottom"/>
            <w:gridSpan w:val="3"/>
          </w:tcPr>
          <w:p>
            <w:pPr>
              <w:ind w:left="20"/>
              <w:spacing w:after="0"/>
              <w:rPr>
                <w:sz w:val="20"/>
                <w:szCs w:val="20"/>
                <w:color w:val="auto"/>
              </w:rPr>
            </w:pPr>
            <w:r>
              <w:rPr>
                <w:rFonts w:ascii="Arial" w:cs="Arial" w:eastAsia="Arial" w:hAnsi="Arial"/>
                <w:sz w:val="16"/>
                <w:szCs w:val="16"/>
                <w:b w:val="1"/>
                <w:bCs w:val="1"/>
                <w:color w:val="auto"/>
              </w:rPr>
              <w:t>Regulatory liabilities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Deferred energy and gas costs </w:t>
            </w:r>
            <w:r>
              <w:rPr>
                <w:rFonts w:ascii="Arial" w:cs="Arial" w:eastAsia="Arial" w:hAnsi="Arial"/>
                <w:sz w:val="21"/>
                <w:szCs w:val="21"/>
                <w:color w:val="auto"/>
                <w:vertAlign w:val="superscript"/>
              </w:rPr>
              <w:t>(b)</w:t>
            </w:r>
          </w:p>
        </w:tc>
        <w:tc>
          <w:tcPr>
            <w:tcW w:w="1060" w:type="dxa"/>
            <w:vAlign w:val="bottom"/>
            <w:shd w:val="clear" w:color="auto" w:fill="CFF0FC"/>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88.9</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41.7</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Employee benefit plans and related deferred taxes </w:t>
            </w:r>
            <w:r>
              <w:rPr>
                <w:rFonts w:ascii="Arial" w:cs="Arial" w:eastAsia="Arial" w:hAnsi="Arial"/>
                <w:sz w:val="21"/>
                <w:szCs w:val="21"/>
                <w:color w:val="auto"/>
                <w:vertAlign w:val="superscript"/>
              </w:rPr>
              <w:t>(c)</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36.2</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38.9</w:t>
            </w:r>
          </w:p>
        </w:tc>
      </w:tr>
      <w:tr>
        <w:trPr>
          <w:trHeight w:val="216"/>
        </w:trPr>
        <w:tc>
          <w:tcPr>
            <w:tcW w:w="780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Cost of removal </w:t>
            </w:r>
            <w:r>
              <w:rPr>
                <w:rFonts w:ascii="Arial" w:cs="Arial" w:eastAsia="Arial" w:hAnsi="Arial"/>
                <w:sz w:val="21"/>
                <w:szCs w:val="21"/>
                <w:color w:val="auto"/>
                <w:vertAlign w:val="superscript"/>
              </w:rPr>
              <w:t>(b)</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181.9</w:t>
            </w:r>
          </w:p>
        </w:tc>
        <w:tc>
          <w:tcPr>
            <w:tcW w:w="3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175.6</w:t>
            </w:r>
          </w:p>
        </w:tc>
      </w:tr>
      <w:tr>
        <w:trPr>
          <w:trHeight w:val="216"/>
        </w:trPr>
        <w:tc>
          <w:tcPr>
            <w:tcW w:w="780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Excess deferred income taxes </w:t>
            </w:r>
            <w:r>
              <w:rPr>
                <w:rFonts w:ascii="Arial" w:cs="Arial" w:eastAsia="Arial" w:hAnsi="Arial"/>
                <w:sz w:val="21"/>
                <w:szCs w:val="21"/>
                <w:color w:val="auto"/>
                <w:vertAlign w:val="superscript"/>
              </w:rPr>
              <w:t>(c)</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247.1</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254.8</w:t>
            </w:r>
          </w:p>
        </w:tc>
      </w:tr>
      <w:tr>
        <w:trPr>
          <w:trHeight w:val="216"/>
        </w:trPr>
        <w:tc>
          <w:tcPr>
            <w:tcW w:w="7800" w:type="dxa"/>
            <w:vAlign w:val="bottom"/>
            <w:tcBorders>
              <w:bottom w:val="single" w:sz="8" w:color="CFF0FC"/>
            </w:tcBorders>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Other regulatory liabilities </w:t>
            </w:r>
            <w:r>
              <w:rPr>
                <w:rFonts w:ascii="Arial" w:cs="Arial" w:eastAsia="Arial" w:hAnsi="Arial"/>
                <w:sz w:val="21"/>
                <w:szCs w:val="21"/>
                <w:color w:val="auto"/>
                <w:vertAlign w:val="superscript"/>
              </w:rPr>
              <w:t>(c)</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12.5</w:t>
            </w: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7.6</w:t>
            </w:r>
          </w:p>
        </w:tc>
      </w:tr>
      <w:tr>
        <w:trPr>
          <w:trHeight w:val="209"/>
        </w:trPr>
        <w:tc>
          <w:tcPr>
            <w:tcW w:w="7800" w:type="dxa"/>
            <w:vAlign w:val="bottom"/>
            <w:gridSpan w:val="3"/>
          </w:tcPr>
          <w:p>
            <w:pPr>
              <w:ind w:left="20"/>
              <w:spacing w:after="0"/>
              <w:rPr>
                <w:sz w:val="20"/>
                <w:szCs w:val="20"/>
                <w:color w:val="auto"/>
              </w:rPr>
            </w:pPr>
            <w:r>
              <w:rPr>
                <w:rFonts w:ascii="Arial" w:cs="Arial" w:eastAsia="Arial" w:hAnsi="Arial"/>
                <w:sz w:val="16"/>
                <w:szCs w:val="16"/>
                <w:color w:val="auto"/>
              </w:rPr>
              <w:t>Total regulatory liabilities</w:t>
            </w:r>
          </w:p>
        </w:tc>
        <w:tc>
          <w:tcPr>
            <w:tcW w:w="1060" w:type="dxa"/>
            <w:vAlign w:val="bottom"/>
          </w:tcPr>
          <w:p>
            <w:pPr>
              <w:spacing w:after="0"/>
              <w:rPr>
                <w:sz w:val="18"/>
                <w:szCs w:val="18"/>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566.6</w:t>
            </w:r>
          </w:p>
        </w:tc>
        <w:tc>
          <w:tcPr>
            <w:tcW w:w="3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518.6</w:t>
            </w:r>
          </w:p>
        </w:tc>
      </w:tr>
      <w:tr>
        <w:trPr>
          <w:trHeight w:val="216"/>
        </w:trPr>
        <w:tc>
          <w:tcPr>
            <w:tcW w:w="780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Less current regulatory liabilities</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(98.9 )</w:t>
            </w:r>
          </w:p>
        </w:tc>
        <w:tc>
          <w:tcPr>
            <w:tcW w:w="3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(46.0 )</w:t>
            </w:r>
          </w:p>
        </w:tc>
      </w:tr>
      <w:tr>
        <w:trPr>
          <w:trHeight w:val="210"/>
        </w:trPr>
        <w:tc>
          <w:tcPr>
            <w:tcW w:w="7800" w:type="dxa"/>
            <w:vAlign w:val="bottom"/>
            <w:gridSpan w:val="3"/>
          </w:tcPr>
          <w:p>
            <w:pPr>
              <w:ind w:left="20"/>
              <w:spacing w:after="0"/>
              <w:rPr>
                <w:sz w:val="20"/>
                <w:szCs w:val="20"/>
                <w:color w:val="auto"/>
              </w:rPr>
            </w:pPr>
            <w:r>
              <w:rPr>
                <w:rFonts w:ascii="Arial" w:cs="Arial" w:eastAsia="Arial" w:hAnsi="Arial"/>
                <w:sz w:val="16"/>
                <w:szCs w:val="16"/>
                <w:color w:val="auto"/>
              </w:rPr>
              <w:t>Regulatory liabilities, non-current</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467.7</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472.6</w:t>
            </w:r>
          </w:p>
        </w:tc>
      </w:tr>
      <w:tr>
        <w:trPr>
          <w:trHeight w:val="20"/>
        </w:trPr>
        <w:tc>
          <w:tcPr>
            <w:tcW w:w="1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16"/>
        </w:trPr>
        <w:tc>
          <w:tcPr>
            <w:tcW w:w="1380" w:type="dxa"/>
            <w:vAlign w:val="bottom"/>
            <w:tcBorders>
              <w:bottom w:val="single" w:sz="8" w:color="auto"/>
            </w:tcBorders>
          </w:tcPr>
          <w:p>
            <w:pPr>
              <w:spacing w:after="0"/>
              <w:rPr>
                <w:sz w:val="10"/>
                <w:szCs w:val="10"/>
                <w:color w:val="auto"/>
              </w:rPr>
            </w:pPr>
          </w:p>
        </w:tc>
        <w:tc>
          <w:tcPr>
            <w:tcW w:w="2000" w:type="dxa"/>
            <w:vAlign w:val="bottom"/>
            <w:tcBorders>
              <w:bottom w:val="single" w:sz="8" w:color="auto"/>
            </w:tcBorders>
          </w:tcPr>
          <w:p>
            <w:pPr>
              <w:spacing w:after="0"/>
              <w:rPr>
                <w:sz w:val="10"/>
                <w:szCs w:val="10"/>
                <w:color w:val="auto"/>
              </w:rPr>
            </w:pPr>
          </w:p>
        </w:tc>
        <w:tc>
          <w:tcPr>
            <w:tcW w:w="44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Timing of Winter Storm Uri incremental cost recovery and associated carrying costs vary by jurisdiction. See further information below.</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Recovery/repayment of costs, but we are not allowed a rate of return.</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 addition to recovery or repayment of costs, we are allowed a return on a portion of this amount or a reduction in rate base.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Regulatory assets represent items we expect to recover from customers through probable future rates.</w:t>
      </w:r>
    </w:p>
    <w:p>
      <w:pPr>
        <w:spacing w:after="0" w:line="194" w:lineRule="exact"/>
        <w:rPr>
          <w:sz w:val="20"/>
          <w:szCs w:val="20"/>
          <w:color w:val="auto"/>
        </w:rPr>
      </w:pPr>
    </w:p>
    <w:p>
      <w:pPr>
        <w:ind w:left="520" w:right="240"/>
        <w:spacing w:after="0" w:line="266" w:lineRule="auto"/>
        <w:rPr>
          <w:sz w:val="20"/>
          <w:szCs w:val="20"/>
          <w:color w:val="auto"/>
        </w:rPr>
      </w:pPr>
      <w:r>
        <w:rPr>
          <w:rFonts w:ascii="Arial" w:cs="Arial" w:eastAsia="Arial" w:hAnsi="Arial"/>
          <w:sz w:val="16"/>
          <w:szCs w:val="16"/>
          <w:u w:val="single" w:color="auto"/>
          <w:color w:val="auto"/>
        </w:rPr>
        <w:t>Winter Storm Uri</w:t>
      </w:r>
      <w:r>
        <w:rPr>
          <w:rFonts w:ascii="Arial" w:cs="Arial" w:eastAsia="Arial" w:hAnsi="Arial"/>
          <w:sz w:val="16"/>
          <w:szCs w:val="16"/>
          <w:color w:val="auto"/>
        </w:rPr>
        <w:t xml:space="preserve"> - Our Utilities have received commission approval to recover incremental fuel, purchased power and natural gas costs associated with Winter Storm Uri. In certain jurisdictions, we also received commission approval to recover carrying costs. As of December 31, 2023, we estimate that our remaining Winter Storm Uri regulatory asset has a weighted-average recovery period of 2.2 years.</w:t>
      </w:r>
    </w:p>
    <w:p>
      <w:pPr>
        <w:spacing w:after="0" w:line="144" w:lineRule="exact"/>
        <w:rPr>
          <w:sz w:val="20"/>
          <w:szCs w:val="20"/>
          <w:color w:val="auto"/>
        </w:rPr>
      </w:pPr>
    </w:p>
    <w:p>
      <w:pPr>
        <w:ind w:left="520" w:right="40"/>
        <w:spacing w:after="0" w:line="256" w:lineRule="auto"/>
        <w:rPr>
          <w:sz w:val="20"/>
          <w:szCs w:val="20"/>
          <w:color w:val="auto"/>
        </w:rPr>
      </w:pPr>
      <w:r>
        <w:rPr>
          <w:rFonts w:ascii="Arial" w:cs="Arial" w:eastAsia="Arial" w:hAnsi="Arial"/>
          <w:sz w:val="16"/>
          <w:szCs w:val="16"/>
          <w:u w:val="single" w:color="auto"/>
          <w:color w:val="auto"/>
        </w:rPr>
        <w:t>Deferred Energy and Fuel Cost Adjustments</w:t>
      </w:r>
      <w:r>
        <w:rPr>
          <w:rFonts w:ascii="Arial" w:cs="Arial" w:eastAsia="Arial" w:hAnsi="Arial"/>
          <w:sz w:val="16"/>
          <w:szCs w:val="16"/>
          <w:color w:val="auto"/>
        </w:rPr>
        <w:t xml:space="preserve"> - Deferred energy and fuel cost adjustments represent the cost of electricity delivered to our Electric Utilities’ customers that is either higher or lower than the current rates and will be recovered or refunded in future rates. Deferred energy and fuel cost adjustments are recorded and recovered or amortized as approved by the appropriate state regulatory commission. Our Electric Utilities file periodic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right="20"/>
        <w:spacing w:after="0" w:line="256"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s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monthly, quarterly, semi-annual and/or annual filings to recover these costs based on the respective cost mechanisms approved by their applicable state regulatory commissions.</w:t>
      </w:r>
    </w:p>
    <w:p>
      <w:pPr>
        <w:spacing w:after="0" w:line="153" w:lineRule="exact"/>
        <w:rPr>
          <w:sz w:val="20"/>
          <w:szCs w:val="20"/>
          <w:color w:val="auto"/>
        </w:rPr>
      </w:pPr>
    </w:p>
    <w:p>
      <w:pPr>
        <w:ind w:left="520" w:right="60"/>
        <w:spacing w:after="0" w:line="259"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Gas Utilities, as allowed or required by state regulatory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2023 are hedged over a maximum forward term of two years.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left="520"/>
        <w:spacing w:after="0" w:line="256"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53" w:lineRule="exact"/>
        <w:rPr>
          <w:sz w:val="20"/>
          <w:szCs w:val="20"/>
          <w:color w:val="auto"/>
        </w:rPr>
      </w:pPr>
    </w:p>
    <w:p>
      <w:pPr>
        <w:ind w:left="520" w:right="2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 Employee benefit plans include the unrecognized prior service costs and net actuarial loss associated with our defined benefit pension plan and post-retirement benefit plans in regulatory assets rather than in AOCI. In addition, this regulatory asset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320"/>
        <w:spacing w:after="0" w:line="259" w:lineRule="auto"/>
        <w:rPr>
          <w:sz w:val="20"/>
          <w:szCs w:val="20"/>
          <w:color w:val="auto"/>
        </w:rPr>
      </w:pPr>
      <w:r>
        <w:rPr>
          <w:rFonts w:ascii="Arial" w:cs="Arial" w:eastAsia="Arial" w:hAnsi="Arial"/>
          <w:sz w:val="16"/>
          <w:szCs w:val="16"/>
          <w:u w:val="single" w:color="auto"/>
          <w:color w:val="auto"/>
        </w:rPr>
        <w:t>Environmental</w:t>
      </w:r>
      <w:r>
        <w:rPr>
          <w:rFonts w:ascii="Arial" w:cs="Arial" w:eastAsia="Arial" w:hAnsi="Arial"/>
          <w:sz w:val="16"/>
          <w:szCs w:val="16"/>
          <w:color w:val="auto"/>
        </w:rPr>
        <w:t xml:space="preserve"> - Environmental costs associated with certain former manufactured gas plant sites. These costs are first offset by recognition of insurance proceeds and settlements with other third parties. Any remaining cost will be requested for recovery in future rate filings. Recovery for these specific environmental costs has not yet been approved by the applicable state regulatory commission and therefore, the recovery period is unknown at this time.</w:t>
      </w:r>
    </w:p>
    <w:p>
      <w:pPr>
        <w:spacing w:after="0" w:line="151" w:lineRule="exact"/>
        <w:rPr>
          <w:sz w:val="20"/>
          <w:szCs w:val="20"/>
          <w:color w:val="auto"/>
        </w:rPr>
      </w:pPr>
    </w:p>
    <w:p>
      <w:pPr>
        <w:ind w:left="520" w:right="140"/>
        <w:spacing w:after="0" w:line="286" w:lineRule="auto"/>
        <w:rPr>
          <w:sz w:val="20"/>
          <w:szCs w:val="20"/>
          <w:color w:val="auto"/>
        </w:rPr>
      </w:pPr>
      <w:r>
        <w:rPr>
          <w:rFonts w:ascii="Arial" w:cs="Arial" w:eastAsia="Arial" w:hAnsi="Arial"/>
          <w:sz w:val="16"/>
          <w:szCs w:val="16"/>
          <w:u w:val="single" w:color="auto"/>
          <w:color w:val="auto"/>
        </w:rPr>
        <w:t>Loss on Reacquired Debt</w:t>
      </w:r>
      <w:r>
        <w:rPr>
          <w:rFonts w:ascii="Arial" w:cs="Arial" w:eastAsia="Arial" w:hAnsi="Arial"/>
          <w:sz w:val="16"/>
          <w:szCs w:val="16"/>
          <w:color w:val="auto"/>
        </w:rPr>
        <w:t xml:space="preserve"> - Loss on reacquired debt is recovered over the remaining life of the original issue or, if refinanced, over the life of the new issue.</w:t>
      </w:r>
    </w:p>
    <w:p>
      <w:pPr>
        <w:spacing w:after="0" w:line="129" w:lineRule="exact"/>
        <w:rPr>
          <w:sz w:val="20"/>
          <w:szCs w:val="20"/>
          <w:color w:val="auto"/>
        </w:rPr>
      </w:pPr>
    </w:p>
    <w:p>
      <w:pPr>
        <w:ind w:left="520" w:right="80"/>
        <w:spacing w:after="0" w:line="259"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and result in lower utility rates in the year in which the tax benefits are realized. A regulatory asset was established to reflect that future increases in income taxes payable will be recovered from customers as the temporary differences reverse. As a result of this regulatory treatment, we continue to record a net tax benefit for costs considered currently deductible for tax purposes but are capitalized for book purposes.</w:t>
      </w:r>
    </w:p>
    <w:p>
      <w:pPr>
        <w:spacing w:after="0" w:line="151" w:lineRule="exact"/>
        <w:rPr>
          <w:sz w:val="20"/>
          <w:szCs w:val="20"/>
          <w:color w:val="auto"/>
        </w:rPr>
      </w:pPr>
    </w:p>
    <w:p>
      <w:pPr>
        <w:ind w:left="520" w:right="180"/>
        <w:spacing w:after="0" w:line="266" w:lineRule="auto"/>
        <w:rPr>
          <w:sz w:val="20"/>
          <w:szCs w:val="20"/>
          <w:color w:val="auto"/>
        </w:rPr>
      </w:pPr>
      <w:r>
        <w:rPr>
          <w:rFonts w:ascii="Arial" w:cs="Arial" w:eastAsia="Arial" w:hAnsi="Arial"/>
          <w:sz w:val="16"/>
          <w:szCs w:val="16"/>
          <w:u w:val="single" w:color="auto"/>
          <w:color w:val="auto"/>
        </w:rPr>
        <w:t>Decommissioning Costs</w:t>
      </w:r>
      <w:r>
        <w:rPr>
          <w:rFonts w:ascii="Arial" w:cs="Arial" w:eastAsia="Arial" w:hAnsi="Arial"/>
          <w:sz w:val="16"/>
          <w:szCs w:val="16"/>
          <w:color w:val="auto"/>
        </w:rPr>
        <w:t xml:space="preserve"> - South Dakota Electric and Colorado Electric received approval in 2014 for recovery of the remaining net book values and decommissioning costs of their decommissioned coal plants. In 2018, Arkansas Gas received approval to record Liquefied Natural Gas Plant decommissioning costs as a regulatory asset and received approval in 2020 to begin recovering those costs over three years.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Regulatory liabilities represent items we expect to refund to customers through probable future decreases in rates.</w:t>
      </w:r>
    </w:p>
    <w:p>
      <w:pPr>
        <w:spacing w:after="0" w:line="194" w:lineRule="exact"/>
        <w:rPr>
          <w:sz w:val="20"/>
          <w:szCs w:val="20"/>
          <w:color w:val="auto"/>
        </w:rPr>
      </w:pPr>
    </w:p>
    <w:p>
      <w:pPr>
        <w:ind w:left="520" w:right="460"/>
        <w:spacing w:after="0" w:line="286" w:lineRule="auto"/>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and gas costs that have been over-recovered through customer rates and will be returned to customers in future periods.</w:t>
      </w:r>
    </w:p>
    <w:p>
      <w:pPr>
        <w:spacing w:after="0" w:line="129" w:lineRule="exact"/>
        <w:rPr>
          <w:sz w:val="20"/>
          <w:szCs w:val="20"/>
          <w:color w:val="auto"/>
        </w:rPr>
      </w:pPr>
    </w:p>
    <w:p>
      <w:pPr>
        <w:ind w:left="520" w:right="60"/>
        <w:spacing w:after="0" w:line="256" w:lineRule="auto"/>
        <w:rPr>
          <w:sz w:val="20"/>
          <w:szCs w:val="20"/>
          <w:color w:val="auto"/>
        </w:rPr>
      </w:pPr>
      <w:r>
        <w:rPr>
          <w:rFonts w:ascii="Arial" w:cs="Arial" w:eastAsia="Arial" w:hAnsi="Arial"/>
          <w:sz w:val="16"/>
          <w:szCs w:val="16"/>
          <w:u w:val="single" w:color="auto"/>
          <w:color w:val="auto"/>
        </w:rPr>
        <w:t>Employee Benefit Plans and Related Deferred Taxes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Employee benefit plans represent the cumulative excess of pension and retiree healthcare costs recovered in rates over pension expense recorded in accordance with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xml:space="preserve">. In addition, this regulatory liability includes the income tax effect of the adjustment required under ASC 715, </w:t>
      </w:r>
      <w:r>
        <w:rPr>
          <w:rFonts w:ascii="Arial" w:cs="Arial" w:eastAsia="Arial" w:hAnsi="Arial"/>
          <w:sz w:val="16"/>
          <w:szCs w:val="16"/>
          <w:i w:val="1"/>
          <w:iCs w:val="1"/>
          <w:color w:val="auto"/>
        </w:rPr>
        <w:t>Compensation-Retirement Benefits</w:t>
      </w:r>
      <w:r>
        <w:rPr>
          <w:rFonts w:ascii="Arial" w:cs="Arial" w:eastAsia="Arial" w:hAnsi="Arial"/>
          <w:sz w:val="16"/>
          <w:szCs w:val="16"/>
          <w:color w:val="auto"/>
        </w:rPr>
        <w:t>, to record the full pension and post-retirement benefit obligations. Such income tax effect has been grossed-up to account for the revenue requirement associated with a rate regulated environment.</w:t>
      </w:r>
    </w:p>
    <w:p>
      <w:pPr>
        <w:spacing w:after="0" w:line="153" w:lineRule="exact"/>
        <w:rPr>
          <w:sz w:val="20"/>
          <w:szCs w:val="20"/>
          <w:color w:val="auto"/>
        </w:rPr>
      </w:pPr>
    </w:p>
    <w:p>
      <w:pPr>
        <w:ind w:left="520" w:right="200"/>
        <w:spacing w:after="0" w:line="286" w:lineRule="auto"/>
        <w:rPr>
          <w:sz w:val="20"/>
          <w:szCs w:val="20"/>
          <w:color w:val="auto"/>
        </w:rPr>
      </w:pPr>
      <w:r>
        <w:rPr>
          <w:rFonts w:ascii="Arial" w:cs="Arial" w:eastAsia="Arial" w:hAnsi="Arial"/>
          <w:sz w:val="16"/>
          <w:szCs w:val="16"/>
          <w:u w:val="single" w:color="auto"/>
          <w:color w:val="auto"/>
        </w:rPr>
        <w:t>Cost of Removal</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Cost of removal represents the estimated cumulative net provisions for future removal costs for which there is no legal obligation for removal included in depreciation expense.</w:t>
      </w:r>
    </w:p>
    <w:p>
      <w:pPr>
        <w:spacing w:after="0" w:line="129" w:lineRule="exact"/>
        <w:rPr>
          <w:sz w:val="20"/>
          <w:szCs w:val="20"/>
          <w:color w:val="auto"/>
        </w:rPr>
      </w:pPr>
    </w:p>
    <w:p>
      <w:pPr>
        <w:ind w:left="520" w:right="200"/>
        <w:spacing w:after="0" w:line="259" w:lineRule="auto"/>
        <w:rPr>
          <w:sz w:val="20"/>
          <w:szCs w:val="20"/>
          <w:color w:val="auto"/>
        </w:rPr>
      </w:pPr>
      <w:r>
        <w:rPr>
          <w:rFonts w:ascii="Arial" w:cs="Arial" w:eastAsia="Arial" w:hAnsi="Arial"/>
          <w:sz w:val="16"/>
          <w:szCs w:val="16"/>
          <w:u w:val="single" w:color="auto"/>
          <w:color w:val="auto"/>
        </w:rPr>
        <w:t>Excess Deferred Income Taxes</w:t>
      </w:r>
      <w:r>
        <w:rPr>
          <w:rFonts w:ascii="Arial" w:cs="Arial" w:eastAsia="Arial" w:hAnsi="Arial"/>
          <w:sz w:val="16"/>
          <w:szCs w:val="16"/>
          <w:color w:val="auto"/>
        </w:rPr>
        <w:t xml:space="preserve"> - The revaluation of the regulated utilities' deferred tax assets and liabilities due to the passage of the TCJA was recorded as excess deferred income taxes to be refunded to customers primarily using the normalization principles as prescribed in the TCJA. A majority of the excess deferred taxes are subject to the average rate assumption method, as prescribed by the IRS, and will generally be amortized as a reduction of customer rates over the remaining lives of the related assets.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Regulatory Activity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Arkansas Gas</w:t>
      </w:r>
    </w:p>
    <w:p>
      <w:pPr>
        <w:spacing w:after="0" w:line="192" w:lineRule="exact"/>
        <w:rPr>
          <w:sz w:val="20"/>
          <w:szCs w:val="20"/>
          <w:color w:val="auto"/>
        </w:rPr>
      </w:pPr>
    </w:p>
    <w:p>
      <w:pPr>
        <w:ind w:right="300"/>
        <w:spacing w:after="0" w:line="266" w:lineRule="auto"/>
        <w:rPr>
          <w:sz w:val="20"/>
          <w:szCs w:val="20"/>
          <w:color w:val="auto"/>
        </w:rPr>
      </w:pPr>
      <w:r>
        <w:rPr>
          <w:rFonts w:ascii="Arial" w:cs="Arial" w:eastAsia="Arial" w:hAnsi="Arial"/>
          <w:sz w:val="16"/>
          <w:szCs w:val="16"/>
          <w:color w:val="auto"/>
        </w:rPr>
        <w:t>On December 4, 2023, Arkansas Gas filed a rate review with the APSC seeking recovery of significant infrastructure investments in its 7,200-mile natural gas pipeline system. The rate review requests $44.1 million in new annual revenue with a capital structure of 48% equity and 52% debt and a return on equity of 10.5%. The request seeks to finalize rates in the fourth quarter of 2024.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5" w:name="page76"/>
    <w:bookmarkEnd w:id="7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Colorado Gas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RMNG Rate Review</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On July 12, 2023, the CPUC approved a settlement agreement for RMNG's rate review filed on October 7, 2022. The agreement is expected to generate $8.2 million in new annual revenue and established a weighted average cost of capital of 6.93% with a capital structure that reflects an equity range of 50% to 52% and a debt range of 50% to 48% and a return on equity range of 9.5% to 9.7%. The settlement also shifted $8.3 million of SSIR revenue to base rates and terminated the SSIR. New rates were effective July 15, 2023.</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Colorado Gas Rate Review</w:t>
      </w:r>
    </w:p>
    <w:p>
      <w:pPr>
        <w:spacing w:after="0" w:line="192"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May 9, 2023, Colorado Gas filed a rate review with the CPUC seeking recovery of significant infrastructure investments in its 10,000-mile natural gas pipeline system. In the fourth quarter of 2023, Colorado Gas reached a settlement agreement with the CPUC staff and various intervenors for a general rate increase, which is subject to CPUC approval. T</w:t>
      </w:r>
      <w:r>
        <w:rPr>
          <w:rFonts w:ascii="Arial" w:cs="Arial" w:eastAsia="Arial" w:hAnsi="Arial"/>
          <w:sz w:val="16"/>
          <w:szCs w:val="16"/>
          <w:color w:val="242424"/>
        </w:rPr>
        <w:t>he settlement is expected to generate $20.2 million of new annual revenue with a capital structure of 50.87%</w:t>
      </w:r>
      <w:r>
        <w:rPr>
          <w:rFonts w:ascii="Arial" w:cs="Arial" w:eastAsia="Arial" w:hAnsi="Arial"/>
          <w:sz w:val="16"/>
          <w:szCs w:val="16"/>
          <w:color w:val="auto"/>
        </w:rPr>
        <w:t xml:space="preserve"> </w:t>
      </w:r>
      <w:r>
        <w:rPr>
          <w:rFonts w:ascii="Arial" w:cs="Arial" w:eastAsia="Arial" w:hAnsi="Arial"/>
          <w:sz w:val="16"/>
          <w:szCs w:val="16"/>
          <w:color w:val="242424"/>
        </w:rPr>
        <w:t xml:space="preserve">equity and 49.13% debt and a return on equity of 9.3%. If approved, new </w:t>
      </w:r>
      <w:r>
        <w:rPr>
          <w:rFonts w:ascii="Arial" w:cs="Arial" w:eastAsia="Arial" w:hAnsi="Arial"/>
          <w:sz w:val="16"/>
          <w:szCs w:val="16"/>
          <w:color w:val="000000"/>
        </w:rPr>
        <w:t>rates will be effective in February 2024.</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Gas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On May 18, 2023, Wyoming Gas filed a rate review with the WPSC seeking recovery of significant infrastructure investments in its 6,400-mile natural gas pipeline system. On January 17, 2024, the WPSC approved a settlement agreement for a general rate increase which is expected to generate $13.9 million in new annual revenue with a capital structure of 51% equity and 49% debt and a return on equity of 9.85%. New rates were effective February 1, 2024. The agreement also included approval of a four-year extension of the Wyoming Integrity Rider.</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Wyoming Electric</w:t>
      </w:r>
    </w:p>
    <w:p>
      <w:pPr>
        <w:spacing w:after="0" w:line="19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June 1, 2022, Wyoming Electric filed a rate review with the WPSC seeking recovery of significant infrastructure investments in its 1,330-mile electric distribution and 59-mile electric transmission systems. On January 26, 2023, the WPSC approved a settlement agreement with intervening parties for a general rate increase. The settlement is expected to generate $8.7 million in new annual revenue with a capital structure of 52% equity and 48% debt and a return on equity of 9.75%. New rates were effective March 1, 2023. The agreement also included approval of a new rider that will be filed annually to recover transmission investments and expenses.</w:t>
      </w:r>
    </w:p>
    <w:p>
      <w:pPr>
        <w:spacing w:after="0" w:line="342" w:lineRule="exact"/>
        <w:rPr>
          <w:sz w:val="20"/>
          <w:szCs w:val="20"/>
          <w:color w:val="auto"/>
        </w:rPr>
      </w:pPr>
    </w:p>
    <w:p>
      <w:pPr>
        <w:ind w:right="6740" w:firstLine="8"/>
        <w:spacing w:after="0" w:line="493" w:lineRule="auto"/>
        <w:tabs>
          <w:tab w:leader="none" w:pos="243" w:val="left"/>
        </w:tabs>
        <w:numPr>
          <w:ilvl w:val="0"/>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CONTINGENCIES AND GUARANTEES Unconditional Purchase Obligations</w:t>
      </w:r>
    </w:p>
    <w:p>
      <w:pPr>
        <w:ind w:right="140"/>
        <w:spacing w:after="0" w:line="286" w:lineRule="auto"/>
        <w:rPr>
          <w:sz w:val="20"/>
          <w:szCs w:val="20"/>
          <w:color w:val="auto"/>
        </w:rPr>
      </w:pPr>
      <w:r>
        <w:rPr>
          <w:rFonts w:ascii="Arial" w:cs="Arial" w:eastAsia="Arial" w:hAnsi="Arial"/>
          <w:sz w:val="16"/>
          <w:szCs w:val="16"/>
          <w:color w:val="auto"/>
        </w:rPr>
        <w:t>We have various PPAs and transmission service agreements, which extend to 2032, to support our Electric Utilities' capacity and energy needs beyond our regulated power plants' generation.</w:t>
      </w:r>
    </w:p>
    <w:p>
      <w:pPr>
        <w:spacing w:after="0" w:line="129" w:lineRule="exact"/>
        <w:rPr>
          <w:sz w:val="20"/>
          <w:szCs w:val="20"/>
          <w:color w:val="auto"/>
        </w:rPr>
      </w:pPr>
    </w:p>
    <w:p>
      <w:pPr>
        <w:ind w:right="600"/>
        <w:spacing w:after="0" w:line="286" w:lineRule="auto"/>
        <w:rPr>
          <w:sz w:val="20"/>
          <w:szCs w:val="20"/>
          <w:color w:val="auto"/>
        </w:rPr>
      </w:pPr>
      <w:r>
        <w:rPr>
          <w:rFonts w:ascii="Arial" w:cs="Arial" w:eastAsia="Arial" w:hAnsi="Arial"/>
          <w:sz w:val="16"/>
          <w:szCs w:val="16"/>
          <w:color w:val="auto"/>
        </w:rPr>
        <w:t>Our Utilities purchase natural gas, including transportation and storage capacity, to meet customers' needs under short-term and long-term purchase contracts. These contracts extend to 2044.</w:t>
      </w:r>
    </w:p>
    <w:p>
      <w:pPr>
        <w:spacing w:after="0" w:line="12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is a schedule of unconditional purchase obligations required under the power purchase, transmission services and natural gas transportation and storage agreements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Transmission</w:t>
            </w:r>
          </w:p>
        </w:tc>
        <w:tc>
          <w:tcPr>
            <w:tcW w:w="300" w:type="dxa"/>
            <w:vAlign w:val="bottom"/>
          </w:tcPr>
          <w:p>
            <w:pPr>
              <w:spacing w:after="0"/>
              <w:rPr>
                <w:sz w:val="16"/>
                <w:szCs w:val="16"/>
                <w:color w:val="auto"/>
              </w:rPr>
            </w:pPr>
          </w:p>
        </w:tc>
        <w:tc>
          <w:tcPr>
            <w:tcW w:w="2160" w:type="dxa"/>
            <w:vAlign w:val="bottom"/>
          </w:tcPr>
          <w:p>
            <w:pPr>
              <w:jc w:val="center"/>
              <w:ind w:right="319"/>
              <w:spacing w:after="0"/>
              <w:rPr>
                <w:sz w:val="20"/>
                <w:szCs w:val="20"/>
                <w:color w:val="auto"/>
              </w:rPr>
            </w:pPr>
            <w:r>
              <w:rPr>
                <w:rFonts w:ascii="Arial" w:cs="Arial" w:eastAsia="Arial" w:hAnsi="Arial"/>
                <w:sz w:val="16"/>
                <w:szCs w:val="16"/>
                <w:b w:val="1"/>
                <w:bCs w:val="1"/>
                <w:color w:val="auto"/>
              </w:rPr>
              <w:t>Natural gas supply,</w:t>
            </w:r>
          </w:p>
        </w:tc>
        <w:tc>
          <w:tcPr>
            <w:tcW w:w="0" w:type="dxa"/>
            <w:vAlign w:val="bottom"/>
          </w:tcPr>
          <w:p>
            <w:pPr>
              <w:spacing w:after="0"/>
              <w:rPr>
                <w:sz w:val="1"/>
                <w:szCs w:val="1"/>
                <w:color w:val="auto"/>
              </w:rPr>
            </w:pPr>
          </w:p>
        </w:tc>
      </w:tr>
      <w:tr>
        <w:trPr>
          <w:trHeight w:val="189"/>
        </w:trPr>
        <w:tc>
          <w:tcPr>
            <w:tcW w:w="5400" w:type="dxa"/>
            <w:vAlign w:val="bottom"/>
          </w:tcPr>
          <w:p>
            <w:pPr>
              <w:spacing w:after="0"/>
              <w:rPr>
                <w:sz w:val="16"/>
                <w:szCs w:val="16"/>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 xml:space="preserve">PPAs </w:t>
            </w:r>
            <w:r>
              <w:rPr>
                <w:rFonts w:ascii="Arial" w:cs="Arial" w:eastAsia="Arial" w:hAnsi="Arial"/>
                <w:sz w:val="21"/>
                <w:szCs w:val="21"/>
                <w:b w:val="1"/>
                <w:bCs w:val="1"/>
                <w:color w:val="auto"/>
                <w:vertAlign w:val="superscript"/>
              </w:rPr>
              <w:t>(a)</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tcPr>
          <w:p>
            <w:pPr>
              <w:jc w:val="center"/>
              <w:ind w:right="199"/>
              <w:spacing w:after="0"/>
              <w:rPr>
                <w:sz w:val="20"/>
                <w:szCs w:val="20"/>
                <w:color w:val="auto"/>
              </w:rPr>
            </w:pPr>
            <w:r>
              <w:rPr>
                <w:rFonts w:ascii="Arial" w:cs="Arial" w:eastAsia="Arial" w:hAnsi="Arial"/>
                <w:sz w:val="16"/>
                <w:szCs w:val="16"/>
                <w:b w:val="1"/>
                <w:bCs w:val="1"/>
                <w:color w:val="auto"/>
              </w:rPr>
              <w:t>Services</w:t>
            </w:r>
          </w:p>
        </w:tc>
        <w:tc>
          <w:tcPr>
            <w:tcW w:w="2460" w:type="dxa"/>
            <w:vAlign w:val="bottom"/>
            <w:gridSpan w:val="2"/>
          </w:tcPr>
          <w:p>
            <w:pPr>
              <w:jc w:val="center"/>
              <w:spacing w:after="0"/>
              <w:rPr>
                <w:sz w:val="20"/>
                <w:szCs w:val="20"/>
                <w:color w:val="auto"/>
              </w:rPr>
            </w:pPr>
            <w:r>
              <w:rPr>
                <w:rFonts w:ascii="Arial" w:cs="Arial" w:eastAsia="Arial" w:hAnsi="Arial"/>
                <w:sz w:val="16"/>
                <w:szCs w:val="16"/>
                <w:b w:val="1"/>
                <w:bCs w:val="1"/>
                <w:color w:val="auto"/>
              </w:rPr>
              <w:t>transportation and storage</w:t>
            </w:r>
          </w:p>
        </w:tc>
        <w:tc>
          <w:tcPr>
            <w:tcW w:w="0" w:type="dxa"/>
            <w:vAlign w:val="bottom"/>
          </w:tcPr>
          <w:p>
            <w:pPr>
              <w:spacing w:after="0"/>
              <w:rPr>
                <w:sz w:val="1"/>
                <w:szCs w:val="1"/>
                <w:color w:val="auto"/>
              </w:rPr>
            </w:pPr>
          </w:p>
        </w:tc>
      </w:tr>
      <w:tr>
        <w:trPr>
          <w:trHeight w:val="217"/>
        </w:trPr>
        <w:tc>
          <w:tcPr>
            <w:tcW w:w="5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Agreements</w:t>
            </w: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center"/>
              <w:ind w:right="279"/>
              <w:spacing w:after="0"/>
              <w:rPr>
                <w:sz w:val="20"/>
                <w:szCs w:val="20"/>
                <w:color w:val="auto"/>
              </w:rPr>
            </w:pPr>
            <w:r>
              <w:rPr>
                <w:rFonts w:ascii="Arial" w:cs="Arial" w:eastAsia="Arial" w:hAnsi="Arial"/>
                <w:sz w:val="16"/>
                <w:szCs w:val="16"/>
                <w:b w:val="1"/>
                <w:bCs w:val="1"/>
                <w:color w:val="auto"/>
              </w:rPr>
              <w:t>agreements</w:t>
            </w:r>
          </w:p>
        </w:tc>
        <w:tc>
          <w:tcPr>
            <w:tcW w:w="0" w:type="dxa"/>
            <w:vAlign w:val="bottom"/>
          </w:tcPr>
          <w:p>
            <w:pPr>
              <w:spacing w:after="0"/>
              <w:rPr>
                <w:sz w:val="1"/>
                <w:szCs w:val="1"/>
                <w:color w:val="auto"/>
              </w:rPr>
            </w:pPr>
          </w:p>
        </w:tc>
      </w:tr>
      <w:tr>
        <w:trPr>
          <w:trHeight w:val="209"/>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Future commitments for the year ending December 31,</w:t>
            </w: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1240" w:type="dxa"/>
            <w:vAlign w:val="bottom"/>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2025</w:t>
            </w: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160" w:type="dxa"/>
            <w:vAlign w:val="bottom"/>
          </w:tcPr>
          <w:p>
            <w:pPr>
              <w:jc w:val="right"/>
              <w:ind w:right="39"/>
              <w:spacing w:after="0"/>
              <w:rPr>
                <w:sz w:val="20"/>
                <w:szCs w:val="20"/>
                <w:color w:val="auto"/>
              </w:rPr>
            </w:pPr>
            <w:r>
              <w:rPr>
                <w:rFonts w:ascii="Arial" w:cs="Arial" w:eastAsia="Arial" w:hAnsi="Arial"/>
                <w:sz w:val="16"/>
                <w:szCs w:val="16"/>
                <w:color w:val="auto"/>
              </w:rPr>
              <w:t>135.0</w:t>
            </w:r>
          </w:p>
        </w:tc>
        <w:tc>
          <w:tcPr>
            <w:tcW w:w="0" w:type="dxa"/>
            <w:vAlign w:val="bottom"/>
          </w:tcPr>
          <w:p>
            <w:pPr>
              <w:spacing w:after="0"/>
              <w:rPr>
                <w:sz w:val="1"/>
                <w:szCs w:val="1"/>
                <w:color w:val="auto"/>
              </w:rPr>
            </w:pPr>
          </w:p>
        </w:tc>
      </w:tr>
      <w:tr>
        <w:trPr>
          <w:trHeight w:val="217"/>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2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110.8</w:t>
            </w:r>
          </w:p>
        </w:tc>
        <w:tc>
          <w:tcPr>
            <w:tcW w:w="0" w:type="dxa"/>
            <w:vAlign w:val="bottom"/>
          </w:tcPr>
          <w:p>
            <w:pPr>
              <w:spacing w:after="0"/>
              <w:rPr>
                <w:sz w:val="1"/>
                <w:szCs w:val="1"/>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2027</w:t>
            </w:r>
          </w:p>
        </w:tc>
        <w:tc>
          <w:tcPr>
            <w:tcW w:w="1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160" w:type="dxa"/>
            <w:vAlign w:val="bottom"/>
          </w:tcPr>
          <w:p>
            <w:pPr>
              <w:jc w:val="right"/>
              <w:ind w:right="39"/>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7"/>
        </w:trPr>
        <w:tc>
          <w:tcPr>
            <w:tcW w:w="5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12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21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58.0</w:t>
            </w:r>
          </w:p>
        </w:tc>
        <w:tc>
          <w:tcPr>
            <w:tcW w:w="0" w:type="dxa"/>
            <w:vAlign w:val="bottom"/>
          </w:tcPr>
          <w:p>
            <w:pPr>
              <w:spacing w:after="0"/>
              <w:rPr>
                <w:sz w:val="1"/>
                <w:szCs w:val="1"/>
                <w:color w:val="auto"/>
              </w:rPr>
            </w:pPr>
          </w:p>
        </w:tc>
      </w:tr>
      <w:tr>
        <w:trPr>
          <w:trHeight w:val="215"/>
        </w:trPr>
        <w:tc>
          <w:tcPr>
            <w:tcW w:w="540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2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future commitments</w:t>
            </w:r>
          </w:p>
        </w:tc>
        <w:tc>
          <w:tcPr>
            <w:tcW w:w="1240" w:type="dxa"/>
            <w:vAlign w:val="bottom"/>
            <w:tcBorders>
              <w:bottom w:val="single" w:sz="8" w:color="auto"/>
            </w:tcBorders>
            <w:shd w:val="clear" w:color="auto" w:fill="CFF0FC"/>
          </w:tcPr>
          <w:p>
            <w:pPr>
              <w:jc w:val="right"/>
              <w:ind w:right="1039"/>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w:t>
            </w:r>
          </w:p>
        </w:tc>
        <w:tc>
          <w:tcPr>
            <w:tcW w:w="30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641.5</w:t>
            </w:r>
          </w:p>
        </w:tc>
        <w:tc>
          <w:tcPr>
            <w:tcW w:w="0" w:type="dxa"/>
            <w:vAlign w:val="bottom"/>
          </w:tcPr>
          <w:p>
            <w:pPr>
              <w:spacing w:after="0"/>
              <w:rPr>
                <w:sz w:val="1"/>
                <w:szCs w:val="1"/>
                <w:color w:val="auto"/>
              </w:rPr>
            </w:pPr>
          </w:p>
        </w:tc>
      </w:tr>
      <w:tr>
        <w:trPr>
          <w:trHeight w:val="122"/>
        </w:trPr>
        <w:tc>
          <w:tcPr>
            <w:tcW w:w="5400" w:type="dxa"/>
            <w:vAlign w:val="bottom"/>
          </w:tcPr>
          <w:p>
            <w:pPr>
              <w:spacing w:after="0" w:line="122" w:lineRule="exact"/>
              <w:rPr>
                <w:sz w:val="20"/>
                <w:szCs w:val="20"/>
                <w:color w:val="auto"/>
              </w:rPr>
            </w:pPr>
            <w:r>
              <w:rPr>
                <w:rFonts w:ascii="Arial" w:cs="Arial" w:eastAsia="Arial" w:hAnsi="Arial"/>
                <w:sz w:val="11"/>
                <w:szCs w:val="11"/>
                <w:color w:val="auto"/>
              </w:rPr>
              <w:t>____________________</w:t>
            </w:r>
          </w:p>
        </w:tc>
        <w:tc>
          <w:tcPr>
            <w:tcW w:w="12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This schedule does not reflect renewable energy PPA future obligations since these agreements vary based on weather conditions.</w:t>
      </w:r>
    </w:p>
    <w:p>
      <w:pPr>
        <w:spacing w:after="0" w:line="212" w:lineRule="exact"/>
        <w:rPr>
          <w:rFonts w:ascii="Arial" w:cs="Arial" w:eastAsia="Arial" w:hAnsi="Arial"/>
          <w:sz w:val="14"/>
          <w:szCs w:val="14"/>
          <w:color w:val="auto"/>
        </w:rPr>
      </w:pPr>
    </w:p>
    <w:p>
      <w:pPr>
        <w:ind w:left="5540"/>
        <w:spacing w:after="0"/>
        <w:rPr>
          <w:rFonts w:ascii="Arial" w:cs="Arial" w:eastAsia="Arial" w:hAnsi="Arial"/>
          <w:sz w:val="14"/>
          <w:szCs w:val="14"/>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Lessee</w:t>
      </w:r>
    </w:p>
    <w:p>
      <w:pPr>
        <w:spacing w:after="0" w:line="194" w:lineRule="exact"/>
        <w:rPr>
          <w:sz w:val="20"/>
          <w:szCs w:val="20"/>
          <w:color w:val="auto"/>
        </w:rPr>
      </w:pPr>
    </w:p>
    <w:p>
      <w:pPr>
        <w:jc w:val="both"/>
        <w:ind w:right="400"/>
        <w:spacing w:after="0" w:line="266" w:lineRule="auto"/>
        <w:rPr>
          <w:sz w:val="20"/>
          <w:szCs w:val="20"/>
          <w:color w:val="auto"/>
        </w:rPr>
      </w:pPr>
      <w:r>
        <w:rPr>
          <w:rFonts w:ascii="Arial" w:cs="Arial" w:eastAsia="Arial" w:hAnsi="Arial"/>
          <w:sz w:val="16"/>
          <w:szCs w:val="16"/>
          <w:color w:val="auto"/>
        </w:rPr>
        <w:t>We lease from third parties certain office and operation center facilities, communication tower sites, equipment and materials storage. Our leases have remaining terms ranging from less than one year to 32 years, including options to extend that are reasonably certain to be exercised. Our operating and finance leases were not material to the Company’s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Lessor</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lease to third parties certain generating station ground leases, communication tower sites and a natural gas pipeline. These leases have remaining terms ranging from less than one year to 31 years. Lease revenue was not material for the years ended December 31, 2023, 2022 and 2021.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2023, scheduled maturities of operating lease payments to be received in future years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3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Operating Leases</w:t>
            </w:r>
          </w:p>
        </w:tc>
      </w:tr>
      <w:tr>
        <w:trPr>
          <w:trHeight w:val="209"/>
        </w:trPr>
        <w:tc>
          <w:tcPr>
            <w:tcW w:w="9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2024</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2025</w:t>
            </w:r>
          </w:p>
        </w:tc>
        <w:tc>
          <w:tcPr>
            <w:tcW w:w="16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2.2</w:t>
            </w:r>
          </w:p>
        </w:tc>
      </w:tr>
      <w:tr>
        <w:trPr>
          <w:trHeight w:val="217"/>
        </w:trPr>
        <w:tc>
          <w:tcPr>
            <w:tcW w:w="9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2026</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2027</w:t>
            </w:r>
          </w:p>
        </w:tc>
        <w:tc>
          <w:tcPr>
            <w:tcW w:w="160" w:type="dxa"/>
            <w:vAlign w:val="bottom"/>
          </w:tcPr>
          <w:p>
            <w:pPr>
              <w:spacing w:after="0"/>
              <w:rPr>
                <w:sz w:val="18"/>
                <w:szCs w:val="18"/>
                <w:color w:val="auto"/>
              </w:rPr>
            </w:pP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1.9</w:t>
            </w:r>
          </w:p>
        </w:tc>
      </w:tr>
      <w:tr>
        <w:trPr>
          <w:trHeight w:val="217"/>
        </w:trPr>
        <w:tc>
          <w:tcPr>
            <w:tcW w:w="9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2028</w:t>
            </w: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48.3</w:t>
            </w:r>
          </w:p>
        </w:tc>
      </w:tr>
      <w:tr>
        <w:trPr>
          <w:trHeight w:val="249"/>
        </w:trPr>
        <w:tc>
          <w:tcPr>
            <w:tcW w:w="9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lease receivables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58.5</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Matters</w:t>
      </w:r>
    </w:p>
    <w:p>
      <w:pPr>
        <w:spacing w:after="0" w:line="194"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Reclamation Liability</w:t>
      </w:r>
    </w:p>
    <w:p>
      <w:pPr>
        <w:spacing w:after="0" w:line="192" w:lineRule="exact"/>
        <w:rPr>
          <w:sz w:val="20"/>
          <w:szCs w:val="20"/>
          <w:color w:val="auto"/>
        </w:rPr>
      </w:pPr>
    </w:p>
    <w:p>
      <w:pPr>
        <w:ind w:right="220"/>
        <w:spacing w:after="0" w:line="266" w:lineRule="auto"/>
        <w:rPr>
          <w:sz w:val="20"/>
          <w:szCs w:val="20"/>
          <w:color w:val="auto"/>
        </w:rPr>
      </w:pPr>
      <w:r>
        <w:rPr>
          <w:rFonts w:ascii="Arial" w:cs="Arial" w:eastAsia="Arial" w:hAnsi="Arial"/>
          <w:sz w:val="16"/>
          <w:szCs w:val="16"/>
          <w:color w:val="auto"/>
        </w:rPr>
        <w:t>For our Pueblo Airport Generation site, we posted a bond with the State of Colorado to cover the costs of remediation for a waste water containment pond permitted to provide wastewater storage and processing for this zero-discharge facility. The reclamation liability is recorded at the present value of the estimated future cost to reclaim the land.</w:t>
      </w:r>
    </w:p>
    <w:p>
      <w:pPr>
        <w:spacing w:after="0" w:line="14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Under our land leases for our wind generation facilities, we are required to reclaim land where we have placed wind turbines. The reclamation liabilities are recorded at the present value of the estimated future cost to reclaim the land.</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Under its mining permit, WRDC is required to reclaim all land where it has mined reserves. The reclamation liability is recorded at the present value of the estimated future cost to reclaim the land.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u w:val="single" w:color="auto"/>
          <w:color w:val="0000FF"/>
        </w:rPr>
        <w:t>Note 7</w:t>
      </w:r>
      <w:r>
        <w:rPr>
          <w:rFonts w:ascii="Arial" w:cs="Arial" w:eastAsia="Arial" w:hAnsi="Arial"/>
          <w:sz w:val="16"/>
          <w:szCs w:val="16"/>
          <w:color w:val="auto"/>
        </w:rPr>
        <w:t xml:space="preserv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216535</wp:posOffset>
            </wp:positionH>
            <wp:positionV relativeFrom="paragraph">
              <wp:posOffset>-4445</wp:posOffset>
            </wp:positionV>
            <wp:extent cx="30289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Manufactured Gas Plant</w:t>
      </w:r>
    </w:p>
    <w:p>
      <w:pPr>
        <w:spacing w:after="0" w:line="192"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 xml:space="preserve">In 2008, we acquired whole and partial liabilities for former manufactured gas plant sites in Nebraska and Iowa, which were previously used to convert coal to natural gas. The acquisition provided for an insurance recovery, now valued at $1.4 million recorded in Other assets, non-current on our Consolidated Balance Sheets, which will be used to help offset remediation costs. We also have a $2.7 million regulatory asset for manufactured gas plant sites; see </w:t>
      </w:r>
      <w:r>
        <w:rPr>
          <w:rFonts w:ascii="Arial" w:cs="Arial" w:eastAsia="Arial" w:hAnsi="Arial"/>
          <w:sz w:val="16"/>
          <w:szCs w:val="16"/>
          <w:u w:val="single" w:color="auto"/>
          <w:color w:val="0000FF"/>
        </w:rPr>
        <w:t>Note</w:t>
      </w:r>
      <w:r>
        <w:rPr>
          <w:rFonts w:ascii="Arial" w:cs="Arial" w:eastAsia="Arial" w:hAnsi="Arial"/>
          <w:sz w:val="16"/>
          <w:szCs w:val="16"/>
          <w:color w:val="auto"/>
        </w:rPr>
        <w:t xml:space="preserve"> </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w:t>
      </w:r>
      <w:r>
        <w:rPr>
          <w:rFonts w:ascii="Arial" w:cs="Arial" w:eastAsia="Arial" w:hAnsi="Arial"/>
          <w:sz w:val="16"/>
          <w:szCs w:val="16"/>
          <w:color w:val="000000"/>
        </w:rPr>
        <w:t>for additional information. As of December 31, 2023, we had $4.1 million and $0.6 million accrued for remediation of the manufactured gas plant sites in</w:t>
      </w:r>
      <w:r>
        <w:rPr>
          <w:rFonts w:ascii="Arial" w:cs="Arial" w:eastAsia="Arial" w:hAnsi="Arial"/>
          <w:sz w:val="16"/>
          <w:szCs w:val="16"/>
          <w:color w:val="0000FF"/>
        </w:rPr>
        <w:t xml:space="preserve"> </w:t>
      </w:r>
      <w:r>
        <w:rPr>
          <w:rFonts w:ascii="Arial" w:cs="Arial" w:eastAsia="Arial" w:hAnsi="Arial"/>
          <w:sz w:val="16"/>
          <w:szCs w:val="16"/>
          <w:color w:val="000000"/>
        </w:rPr>
        <w:t>Iowa and Nebraska, respectively. Iowa's liabilities are included in Accrued Liabilities and Nebraska's liabilities are included in Other deferred credits and other liabilities on our Consolidated Balance Sheets. The remediation cost estimate could change materially due to results of further investigations, actions of environmental agencies or the financial viability of other responsible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6880225</wp:posOffset>
            </wp:positionH>
            <wp:positionV relativeFrom="paragraph">
              <wp:posOffset>-509905</wp:posOffset>
            </wp:positionV>
            <wp:extent cx="2457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457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-389890</wp:posOffset>
            </wp:positionV>
            <wp:extent cx="5715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15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 and Legal Proceedings</w:t>
      </w:r>
    </w:p>
    <w:p>
      <w:pPr>
        <w:spacing w:after="0" w:line="194"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We record gain contingencies when realized and expected recoveries under applicable insurance contracts when we are assured of recovery.</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GT Resources, LLC v. Black Hills Corporation, Case No. 2020CV30751 (U.S. District Court for the City and County of Denver, Colorado)</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On April 13, 2022, a jury awarded $41 million for claims made by GT Resources, LLC (“GTR”) against BHC and two of its subsidiaries (Black Hills Exploration and Production, Inc. and Black Hills Gas Resources, Inc.), which ceased oil and natural gas operations in 2018 as part of BHC’s decision to exit the exploration and production business. The claims involved a dispute over a 2.3 million-acre concession award in Costa Rica which was acquired by a BHC subsidiary in 2003. GTR retained rights to receive a royalty interest on any hydrocarbon production from the concession upon the occurrence of contingent events. GTR contended that BHC and its subsidiaries failed to adequately pursue the opportunity and failed to transfer the concession to GTR. We appealed this verdict to the Colorado Court of Appeals. On October 19, 2023, the Appellate Court reversed and remanded the case with directions limiting any retrial to the narrow issue of whether there was improper interference with the prospective conveyance of the concession. We continue to believe this lawsuit has no merit and will vigorously defend it. At this time, we do not believe any losses from this matter will have a material impact on our financial position, results of operations and cash flows.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Gain Contingency -- Wygen 1 Business Interruption Insurance Recovery</w:t>
      </w: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In September 2021, Wygen I experienced an unplanned outage that continued until December 2021. For the year ended December 31, 2021, the outage resulted in lost revenues at our subsidiaries Black Hills Wyoming and WRDC. A claim for these losses was submitted under our business interruption insurance policy. During the third quarter of 2023 we recovered $5.0 million from our business interruption insurance, which was recognized as Revenue in our Consolidated Statements of Income for year ended December 31, 2023.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Indemnification</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Guarantees</w:t>
      </w:r>
    </w:p>
    <w:p>
      <w:pPr>
        <w:spacing w:after="0" w:line="19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have entered into various parent company-level guarantees providing financial or performance assurance to third parties on behalf of certain of our subsidiaries. These guarantees do not represent incremental consolidated obligations, but rather, represent guarantees of subsidiary obligations to allow those subsidiaries to conduct business without posting other forms of assurance. The agreements, which are off-balance sheet commitments, include support for business operations, indemnification for reclamation and surety bonds. The guarantees were entered into in the normal course of business. To the extent liabilities are incurred as a result of activities covered by these guarantees, such liabilities are included in our Consolidated Balance Sheets.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We had the following guarantees in place as of (in millions):</w:t>
            </w:r>
          </w:p>
        </w:tc>
        <w:tc>
          <w:tcPr>
            <w:tcW w:w="2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spacing w:after="0"/>
              <w:rPr>
                <w:sz w:val="18"/>
                <w:szCs w:val="18"/>
                <w:color w:val="auto"/>
              </w:rPr>
            </w:pPr>
          </w:p>
        </w:tc>
      </w:tr>
      <w:tr>
        <w:trPr>
          <w:trHeight w:val="393"/>
        </w:trPr>
        <w:tc>
          <w:tcPr>
            <w:tcW w:w="49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20" w:type="dxa"/>
            <w:vAlign w:val="bottom"/>
          </w:tcPr>
          <w:p>
            <w:pPr>
              <w:jc w:val="right"/>
              <w:ind w:right="1059"/>
              <w:spacing w:after="0"/>
              <w:rPr>
                <w:sz w:val="20"/>
                <w:szCs w:val="20"/>
                <w:color w:val="auto"/>
              </w:rPr>
            </w:pPr>
            <w:r>
              <w:rPr>
                <w:rFonts w:ascii="Arial" w:cs="Arial" w:eastAsia="Arial" w:hAnsi="Arial"/>
                <w:sz w:val="16"/>
                <w:szCs w:val="16"/>
                <w:b w:val="1"/>
                <w:bCs w:val="1"/>
                <w:color w:val="auto"/>
              </w:rPr>
              <w:t>Maximum Exposure at</w:t>
            </w:r>
          </w:p>
        </w:tc>
      </w:tr>
      <w:tr>
        <w:trPr>
          <w:trHeight w:val="21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Nature of Guarantee</w:t>
            </w:r>
          </w:p>
        </w:tc>
        <w:tc>
          <w:tcPr>
            <w:tcW w:w="2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1179"/>
              <w:spacing w:after="0"/>
              <w:rPr>
                <w:sz w:val="20"/>
                <w:szCs w:val="20"/>
                <w:color w:val="auto"/>
              </w:rPr>
            </w:pPr>
            <w:r>
              <w:rPr>
                <w:rFonts w:ascii="Arial" w:cs="Arial" w:eastAsia="Arial" w:hAnsi="Arial"/>
                <w:sz w:val="16"/>
                <w:szCs w:val="16"/>
                <w:b w:val="1"/>
                <w:bCs w:val="1"/>
                <w:color w:val="auto"/>
              </w:rPr>
              <w:t>December 31, 2023</w:t>
            </w:r>
          </w:p>
        </w:tc>
      </w:tr>
      <w:tr>
        <w:trPr>
          <w:trHeight w:val="209"/>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Indemnification for reclamation/surety bonds</w:t>
            </w:r>
          </w:p>
        </w:tc>
        <w:tc>
          <w:tcPr>
            <w:tcW w:w="302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3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100.9</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Guarantees supporting business transactions</w:t>
            </w:r>
          </w:p>
        </w:tc>
        <w:tc>
          <w:tcPr>
            <w:tcW w:w="24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462.9</w:t>
            </w:r>
          </w:p>
        </w:tc>
      </w:tr>
      <w:tr>
        <w:trPr>
          <w:trHeight w:val="25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guarantees</w:t>
            </w:r>
          </w:p>
        </w:tc>
        <w:tc>
          <w:tcPr>
            <w:tcW w:w="3020" w:type="dxa"/>
            <w:vAlign w:val="bottom"/>
            <w:gridSpan w:val="2"/>
            <w:shd w:val="clear" w:color="auto" w:fill="CFF0FC"/>
          </w:tcPr>
          <w:p>
            <w:pPr>
              <w:jc w:val="right"/>
              <w:ind w:right="460"/>
              <w:spacing w:after="0"/>
              <w:rPr>
                <w:sz w:val="20"/>
                <w:szCs w:val="20"/>
                <w:color w:val="auto"/>
              </w:rPr>
            </w:pPr>
            <w:r>
              <w:rPr>
                <w:rFonts w:ascii="Arial" w:cs="Arial" w:eastAsia="Arial" w:hAnsi="Arial"/>
                <w:sz w:val="16"/>
                <w:szCs w:val="16"/>
                <w:color w:val="auto"/>
              </w:rPr>
              <w:t>$</w:t>
            </w:r>
          </w:p>
        </w:tc>
        <w:tc>
          <w:tcPr>
            <w:tcW w:w="3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563.8</w:t>
            </w:r>
          </w:p>
        </w:tc>
      </w:tr>
      <w:tr>
        <w:trPr>
          <w:trHeight w:val="397"/>
        </w:trPr>
        <w:tc>
          <w:tcPr>
            <w:tcW w:w="4900" w:type="dxa"/>
            <w:vAlign w:val="bottom"/>
            <w:tcBorders>
              <w:top w:val="single" w:sz="8" w:color="CFF0FC"/>
            </w:tcBorders>
          </w:tcPr>
          <w:p>
            <w:pPr>
              <w:spacing w:after="0"/>
              <w:rPr>
                <w:sz w:val="24"/>
                <w:szCs w:val="24"/>
                <w:color w:val="auto"/>
              </w:rPr>
            </w:pPr>
          </w:p>
        </w:tc>
        <w:tc>
          <w:tcPr>
            <w:tcW w:w="2460" w:type="dxa"/>
            <w:vAlign w:val="bottom"/>
            <w:tcBorders>
              <w:top w:val="single" w:sz="8" w:color="CFF0FC"/>
            </w:tcBorders>
          </w:tcPr>
          <w:p>
            <w:pPr>
              <w:jc w:val="right"/>
              <w:ind w:right="1559"/>
              <w:spacing w:after="0"/>
              <w:rPr>
                <w:sz w:val="20"/>
                <w:szCs w:val="20"/>
                <w:color w:val="auto"/>
              </w:rPr>
            </w:pPr>
            <w:r>
              <w:rPr>
                <w:rFonts w:ascii="Arial" w:cs="Arial" w:eastAsia="Arial" w:hAnsi="Arial"/>
                <w:sz w:val="16"/>
                <w:szCs w:val="16"/>
                <w:color w:val="auto"/>
              </w:rPr>
              <w:t>78</w:t>
            </w:r>
          </w:p>
        </w:tc>
        <w:tc>
          <w:tcPr>
            <w:tcW w:w="560" w:type="dxa"/>
            <w:vAlign w:val="bottom"/>
            <w:tcBorders>
              <w:top w:val="single" w:sz="8" w:color="auto"/>
            </w:tcBorders>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r>
      <w:tr>
        <w:trPr>
          <w:trHeight w:val="738"/>
        </w:trPr>
        <w:tc>
          <w:tcPr>
            <w:tcW w:w="49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REVENUE</w:t>
      </w:r>
    </w:p>
    <w:p>
      <w:pPr>
        <w:spacing w:after="0" w:line="194" w:lineRule="exact"/>
        <w:rPr>
          <w:sz w:val="20"/>
          <w:szCs w:val="20"/>
          <w:color w:val="auto"/>
        </w:rPr>
      </w:pPr>
    </w:p>
    <w:p>
      <w:pPr>
        <w:ind w:right="260"/>
        <w:spacing w:after="0" w:line="266" w:lineRule="auto"/>
        <w:rPr>
          <w:sz w:val="20"/>
          <w:szCs w:val="20"/>
          <w:color w:val="auto"/>
        </w:rPr>
      </w:pPr>
      <w:r>
        <w:rPr>
          <w:rFonts w:ascii="Arial" w:cs="Arial" w:eastAsia="Arial" w:hAnsi="Arial"/>
          <w:sz w:val="16"/>
          <w:szCs w:val="16"/>
          <w:color w:val="auto"/>
        </w:rPr>
        <w:t>The following tables depict the disaggregation of revenue, including intercompany revenue, from contracts with customers by customer type and timing of revenue recognition for each of the reportable segments, for the years ended December 31, 2023, 2022 and 2021. Sales tax and other similar taxes are excluded from revenues.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Inter-segment</w:t>
            </w:r>
          </w:p>
        </w:tc>
        <w:tc>
          <w:tcPr>
            <w:tcW w:w="1320" w:type="dxa"/>
            <w:vAlign w:val="bottom"/>
          </w:tcPr>
          <w:p>
            <w:pPr>
              <w:spacing w:after="0"/>
              <w:rPr>
                <w:sz w:val="16"/>
                <w:szCs w:val="16"/>
                <w:color w:val="auto"/>
              </w:rPr>
            </w:pPr>
          </w:p>
        </w:tc>
      </w:tr>
      <w:tr>
        <w:trPr>
          <w:trHeight w:val="217"/>
        </w:trPr>
        <w:tc>
          <w:tcPr>
            <w:tcW w:w="44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Electric Utilities</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Eliminations</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46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60" w:type="dxa"/>
            <w:vAlign w:val="bottom"/>
            <w:shd w:val="clear" w:color="auto" w:fill="CFF0FC"/>
          </w:tcPr>
          <w:p>
            <w:pPr>
              <w:spacing w:after="0"/>
              <w:rPr>
                <w:sz w:val="16"/>
                <w:szCs w:val="16"/>
                <w:color w:val="auto"/>
              </w:rPr>
            </w:pPr>
          </w:p>
        </w:tc>
        <w:tc>
          <w:tcPr>
            <w:tcW w:w="1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500" w:type="dxa"/>
            <w:vAlign w:val="bottom"/>
            <w:gridSpan w:val="3"/>
            <w:shd w:val="clear" w:color="auto" w:fill="CFF0FC"/>
          </w:tcPr>
          <w:p>
            <w:pPr>
              <w:jc w:val="right"/>
              <w:ind w:right="1619"/>
              <w:spacing w:after="0" w:line="169" w:lineRule="exact"/>
              <w:rPr>
                <w:sz w:val="20"/>
                <w:szCs w:val="20"/>
                <w:color w:val="auto"/>
              </w:rPr>
            </w:pPr>
            <w:r>
              <w:rPr>
                <w:rFonts w:ascii="Arial" w:cs="Arial" w:eastAsia="Arial" w:hAnsi="Arial"/>
                <w:sz w:val="16"/>
                <w:szCs w:val="16"/>
                <w:color w:val="auto"/>
              </w:rPr>
              <w:t>(in millions)</w:t>
            </w:r>
          </w:p>
        </w:tc>
        <w:tc>
          <w:tcPr>
            <w:tcW w:w="132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ind w:left="180"/>
              <w:spacing w:after="0"/>
              <w:rPr>
                <w:sz w:val="20"/>
                <w:szCs w:val="20"/>
                <w:color w:val="auto"/>
              </w:rPr>
            </w:pPr>
            <w:r>
              <w:rPr>
                <w:rFonts w:ascii="Arial" w:cs="Arial" w:eastAsia="Arial" w:hAnsi="Arial"/>
                <w:sz w:val="16"/>
                <w:szCs w:val="16"/>
                <w:color w:val="auto"/>
              </w:rPr>
              <w:t>Retail</w:t>
            </w:r>
          </w:p>
        </w:tc>
        <w:tc>
          <w:tcPr>
            <w:tcW w:w="32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697.7</w:t>
            </w:r>
          </w:p>
        </w:tc>
        <w:tc>
          <w:tcPr>
            <w:tcW w:w="28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1,248.8</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CFF0FC"/>
            </w:tcBorders>
          </w:tcPr>
          <w:p>
            <w:pPr>
              <w:jc w:val="right"/>
              <w:ind w:right="17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1,946.5</w:t>
            </w:r>
          </w:p>
        </w:tc>
      </w:tr>
      <w:tr>
        <w:trPr>
          <w:trHeight w:val="217"/>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Transportation</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176.8</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(0.5 )</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176.3</w:t>
            </w:r>
          </w:p>
        </w:tc>
      </w:tr>
      <w:tr>
        <w:trPr>
          <w:trHeight w:val="215"/>
        </w:trPr>
        <w:tc>
          <w:tcPr>
            <w:tcW w:w="20" w:type="dxa"/>
            <w:vAlign w:val="bottom"/>
          </w:tcPr>
          <w:p>
            <w:pPr>
              <w:spacing w:after="0"/>
              <w:rPr>
                <w:sz w:val="18"/>
                <w:szCs w:val="18"/>
                <w:color w:val="auto"/>
              </w:rPr>
            </w:pPr>
          </w:p>
        </w:tc>
        <w:tc>
          <w:tcPr>
            <w:tcW w:w="4460" w:type="dxa"/>
            <w:vAlign w:val="bottom"/>
            <w:gridSpan w:val="2"/>
          </w:tcPr>
          <w:p>
            <w:pPr>
              <w:ind w:left="180"/>
              <w:spacing w:after="0"/>
              <w:rPr>
                <w:sz w:val="20"/>
                <w:szCs w:val="20"/>
                <w:color w:val="auto"/>
              </w:rPr>
            </w:pPr>
            <w:r>
              <w:rPr>
                <w:rFonts w:ascii="Arial" w:cs="Arial" w:eastAsia="Arial" w:hAnsi="Arial"/>
                <w:sz w:val="16"/>
                <w:szCs w:val="16"/>
                <w:color w:val="auto"/>
              </w:rPr>
              <w:t>Wholesale</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34.2</w:t>
            </w:r>
          </w:p>
        </w:tc>
        <w:tc>
          <w:tcPr>
            <w:tcW w:w="2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34.2</w:t>
            </w:r>
          </w:p>
        </w:tc>
      </w:tr>
      <w:tr>
        <w:trPr>
          <w:trHeight w:val="217"/>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Market - off-system sales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50.9</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51.3</w:t>
            </w:r>
          </w:p>
        </w:tc>
      </w:tr>
      <w:tr>
        <w:trPr>
          <w:trHeight w:val="215"/>
        </w:trPr>
        <w:tc>
          <w:tcPr>
            <w:tcW w:w="20" w:type="dxa"/>
            <w:vAlign w:val="bottom"/>
          </w:tcPr>
          <w:p>
            <w:pPr>
              <w:spacing w:after="0"/>
              <w:rPr>
                <w:sz w:val="18"/>
                <w:szCs w:val="18"/>
                <w:color w:val="auto"/>
              </w:rPr>
            </w:pPr>
          </w:p>
        </w:tc>
        <w:tc>
          <w:tcPr>
            <w:tcW w:w="4460" w:type="dxa"/>
            <w:vAlign w:val="bottom"/>
            <w:gridSpan w:val="2"/>
          </w:tcPr>
          <w:p>
            <w:pPr>
              <w:ind w:left="180"/>
              <w:spacing w:after="0"/>
              <w:rPr>
                <w:sz w:val="20"/>
                <w:szCs w:val="20"/>
                <w:color w:val="auto"/>
              </w:rPr>
            </w:pPr>
            <w:r>
              <w:rPr>
                <w:rFonts w:ascii="Arial" w:cs="Arial" w:eastAsia="Arial" w:hAnsi="Arial"/>
                <w:sz w:val="16"/>
                <w:szCs w:val="16"/>
                <w:color w:val="auto"/>
              </w:rPr>
              <w:t>Transmission/Other</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(17.4 )</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93.4</w:t>
            </w:r>
          </w:p>
        </w:tc>
      </w:tr>
      <w:tr>
        <w:trPr>
          <w:trHeight w:val="210"/>
        </w:trPr>
        <w:tc>
          <w:tcPr>
            <w:tcW w:w="20" w:type="dxa"/>
            <w:vAlign w:val="bottom"/>
            <w:shd w:val="clear" w:color="auto" w:fill="CFF0FC"/>
          </w:tcPr>
          <w:p>
            <w:pPr>
              <w:spacing w:after="0"/>
              <w:rPr>
                <w:sz w:val="18"/>
                <w:szCs w:val="18"/>
                <w:color w:val="auto"/>
              </w:rPr>
            </w:pPr>
          </w:p>
        </w:tc>
        <w:tc>
          <w:tcPr>
            <w:tcW w:w="4460" w:type="dxa"/>
            <w:vAlign w:val="bottom"/>
            <w:gridSpan w:val="2"/>
            <w:shd w:val="clear" w:color="auto" w:fill="CFF0FC"/>
          </w:tcPr>
          <w:p>
            <w:pPr>
              <w:ind w:left="180"/>
              <w:spacing w:after="0"/>
              <w:rPr>
                <w:sz w:val="20"/>
                <w:szCs w:val="20"/>
                <w:color w:val="auto"/>
              </w:rPr>
            </w:pPr>
            <w:r>
              <w:rPr>
                <w:rFonts w:ascii="Arial" w:cs="Arial" w:eastAsia="Arial" w:hAnsi="Arial"/>
                <w:sz w:val="16"/>
                <w:szCs w:val="16"/>
                <w:color w:val="auto"/>
              </w:rPr>
              <w:t>Revenue from contracts with customers</w:t>
            </w: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854.2</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1,465.4</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(17.9 )</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2,301.7</w:t>
            </w:r>
          </w:p>
        </w:tc>
      </w:tr>
      <w:tr>
        <w:trPr>
          <w:trHeight w:val="215"/>
        </w:trPr>
        <w:tc>
          <w:tcPr>
            <w:tcW w:w="20" w:type="dxa"/>
            <w:vAlign w:val="bottom"/>
          </w:tcPr>
          <w:p>
            <w:pPr>
              <w:spacing w:after="0"/>
              <w:rPr>
                <w:sz w:val="18"/>
                <w:szCs w:val="18"/>
                <w:color w:val="auto"/>
              </w:rPr>
            </w:pPr>
          </w:p>
        </w:tc>
        <w:tc>
          <w:tcPr>
            <w:tcW w:w="4460" w:type="dxa"/>
            <w:vAlign w:val="bottom"/>
            <w:gridSpan w:val="2"/>
          </w:tcPr>
          <w:p>
            <w:pPr>
              <w:ind w:left="180"/>
              <w:spacing w:after="0"/>
              <w:rPr>
                <w:sz w:val="20"/>
                <w:szCs w:val="20"/>
                <w:color w:val="auto"/>
              </w:rPr>
            </w:pPr>
            <w:r>
              <w:rPr>
                <w:rFonts w:ascii="Arial" w:cs="Arial" w:eastAsia="Arial" w:hAnsi="Arial"/>
                <w:sz w:val="16"/>
                <w:szCs w:val="16"/>
                <w:color w:val="auto"/>
              </w:rPr>
              <w:t>Other revenues</w:t>
            </w: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29.6</w:t>
            </w:r>
          </w:p>
        </w:tc>
      </w:tr>
      <w:tr>
        <w:trPr>
          <w:trHeight w:val="249"/>
        </w:trPr>
        <w:tc>
          <w:tcPr>
            <w:tcW w:w="44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865.0</w:t>
            </w: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1,484.2</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(17.9 ) $</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2,331.3</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Services transferred over time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31.5</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31.5</w:t>
            </w:r>
          </w:p>
        </w:tc>
      </w:tr>
      <w:tr>
        <w:trPr>
          <w:trHeight w:val="217"/>
        </w:trPr>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822.7</w:t>
            </w:r>
          </w:p>
        </w:tc>
        <w:tc>
          <w:tcPr>
            <w:tcW w:w="6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1,465.4</w:t>
            </w:r>
          </w:p>
        </w:tc>
        <w:tc>
          <w:tcPr>
            <w:tcW w:w="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(17.9 )</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2,270.2</w:t>
            </w:r>
          </w:p>
        </w:tc>
      </w:tr>
      <w:tr>
        <w:trPr>
          <w:trHeight w:val="210"/>
        </w:trPr>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854.2</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1,465.4</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(17.9 ) $</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2,301.7</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-445135</wp:posOffset>
            </wp:positionV>
            <wp:extent cx="7132320" cy="13716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-162560</wp:posOffset>
            </wp:positionV>
            <wp:extent cx="7132320" cy="16319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760" w:space="720"/>
            <w:col w:w="676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Inter-segment</w:t>
            </w:r>
          </w:p>
        </w:tc>
        <w:tc>
          <w:tcPr>
            <w:tcW w:w="1320" w:type="dxa"/>
            <w:vAlign w:val="bottom"/>
          </w:tcPr>
          <w:p>
            <w:pPr>
              <w:spacing w:after="0"/>
              <w:rPr>
                <w:sz w:val="16"/>
                <w:szCs w:val="16"/>
                <w:color w:val="auto"/>
              </w:rPr>
            </w:pPr>
          </w:p>
        </w:tc>
      </w:tr>
      <w:tr>
        <w:trPr>
          <w:trHeight w:val="217"/>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Eliminations</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48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500" w:type="dxa"/>
            <w:vAlign w:val="bottom"/>
            <w:gridSpan w:val="3"/>
            <w:shd w:val="clear" w:color="auto" w:fill="CFF0FC"/>
          </w:tcPr>
          <w:p>
            <w:pPr>
              <w:jc w:val="right"/>
              <w:ind w:right="1619"/>
              <w:spacing w:after="0" w:line="169" w:lineRule="exact"/>
              <w:rPr>
                <w:sz w:val="20"/>
                <w:szCs w:val="20"/>
                <w:color w:val="auto"/>
              </w:rPr>
            </w:pPr>
            <w:r>
              <w:rPr>
                <w:rFonts w:ascii="Arial" w:cs="Arial" w:eastAsia="Arial" w:hAnsi="Arial"/>
                <w:sz w:val="16"/>
                <w:szCs w:val="16"/>
                <w:color w:val="auto"/>
              </w:rPr>
              <w:t>(in millions)</w:t>
            </w:r>
          </w:p>
        </w:tc>
        <w:tc>
          <w:tcPr>
            <w:tcW w:w="132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Retail</w:t>
            </w:r>
          </w:p>
        </w:tc>
        <w:tc>
          <w:tcPr>
            <w:tcW w:w="33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739.7</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1,453.3</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CFF0FC"/>
            </w:tcBorders>
          </w:tcPr>
          <w:p>
            <w:pPr>
              <w:jc w:val="right"/>
              <w:ind w:right="17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2,193.0</w:t>
            </w:r>
          </w:p>
        </w:tc>
      </w:tr>
      <w:tr>
        <w:trPr>
          <w:trHeight w:val="217"/>
        </w:trPr>
        <w:tc>
          <w:tcPr>
            <w:tcW w:w="4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173.3</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(0.4 )</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172.9</w:t>
            </w:r>
          </w:p>
        </w:tc>
      </w:tr>
      <w:tr>
        <w:trPr>
          <w:trHeight w:val="215"/>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Wholesale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44.8</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44.8</w:t>
            </w:r>
          </w:p>
        </w:tc>
      </w:tr>
      <w:tr>
        <w:trPr>
          <w:trHeight w:val="217"/>
        </w:trPr>
        <w:tc>
          <w:tcPr>
            <w:tcW w:w="4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Market - off-system sales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48.6</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49.4</w:t>
            </w:r>
          </w:p>
        </w:tc>
      </w:tr>
      <w:tr>
        <w:trPr>
          <w:trHeight w:val="215"/>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Transmission/Other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(16.6 )</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82.8</w:t>
            </w:r>
          </w:p>
        </w:tc>
      </w:tr>
      <w:tr>
        <w:trPr>
          <w:trHeight w:val="210"/>
        </w:trPr>
        <w:tc>
          <w:tcPr>
            <w:tcW w:w="4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 from contracts with customers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894.6</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1,665.3</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(17.0 )</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2,542.9</w:t>
            </w:r>
          </w:p>
        </w:tc>
      </w:tr>
      <w:tr>
        <w:trPr>
          <w:trHeight w:val="215"/>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(0.5 )</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8.9</w:t>
            </w:r>
          </w:p>
        </w:tc>
      </w:tr>
      <w:tr>
        <w:trPr>
          <w:trHeight w:val="249"/>
        </w:trPr>
        <w:tc>
          <w:tcPr>
            <w:tcW w:w="45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900.2</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1,669.1</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(17.5 ) $</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2,551.8</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Services transferred over time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30.4</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30.4</w:t>
            </w:r>
          </w:p>
        </w:tc>
      </w:tr>
      <w:tr>
        <w:trPr>
          <w:trHeight w:val="217"/>
        </w:trPr>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864.2</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1,665.3</w:t>
            </w:r>
          </w:p>
        </w:tc>
        <w:tc>
          <w:tcPr>
            <w:tcW w:w="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(17.0 )</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2,512.5</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894.6</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1,665.3</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(17.0 ) $</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2,542.9</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-445135</wp:posOffset>
            </wp:positionV>
            <wp:extent cx="713232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-162560</wp:posOffset>
            </wp:positionV>
            <wp:extent cx="7132320" cy="1631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3780" w:space="720"/>
            <w:col w:w="674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Inter-segment</w:t>
            </w:r>
          </w:p>
        </w:tc>
        <w:tc>
          <w:tcPr>
            <w:tcW w:w="1320" w:type="dxa"/>
            <w:vAlign w:val="bottom"/>
          </w:tcPr>
          <w:p>
            <w:pPr>
              <w:spacing w:after="0"/>
              <w:rPr>
                <w:sz w:val="16"/>
                <w:szCs w:val="16"/>
                <w:color w:val="auto"/>
              </w:rPr>
            </w:pPr>
          </w:p>
        </w:tc>
      </w:tr>
      <w:tr>
        <w:trPr>
          <w:trHeight w:val="217"/>
        </w:trPr>
        <w:tc>
          <w:tcPr>
            <w:tcW w:w="45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Electric Utilities</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Gas Utilities</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Eliminations</w:t>
            </w: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Total</w:t>
            </w:r>
          </w:p>
        </w:tc>
      </w:tr>
      <w:tr>
        <w:trPr>
          <w:trHeight w:val="190"/>
        </w:trPr>
        <w:tc>
          <w:tcPr>
            <w:tcW w:w="20" w:type="dxa"/>
            <w:vAlign w:val="bottom"/>
            <w:shd w:val="clear" w:color="auto" w:fill="CFF0FC"/>
          </w:tcPr>
          <w:p>
            <w:pPr>
              <w:spacing w:after="0"/>
              <w:rPr>
                <w:sz w:val="16"/>
                <w:szCs w:val="16"/>
                <w:color w:val="auto"/>
              </w:rPr>
            </w:pPr>
          </w:p>
        </w:tc>
        <w:tc>
          <w:tcPr>
            <w:tcW w:w="448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Customer types:</w:t>
            </w:r>
          </w:p>
        </w:tc>
        <w:tc>
          <w:tcPr>
            <w:tcW w:w="14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500" w:type="dxa"/>
            <w:vAlign w:val="bottom"/>
            <w:gridSpan w:val="3"/>
            <w:shd w:val="clear" w:color="auto" w:fill="CFF0FC"/>
          </w:tcPr>
          <w:p>
            <w:pPr>
              <w:jc w:val="right"/>
              <w:ind w:right="1619"/>
              <w:spacing w:after="0" w:line="169" w:lineRule="exact"/>
              <w:rPr>
                <w:sz w:val="20"/>
                <w:szCs w:val="20"/>
                <w:color w:val="auto"/>
              </w:rPr>
            </w:pPr>
            <w:r>
              <w:rPr>
                <w:rFonts w:ascii="Arial" w:cs="Arial" w:eastAsia="Arial" w:hAnsi="Arial"/>
                <w:sz w:val="16"/>
                <w:szCs w:val="16"/>
                <w:color w:val="auto"/>
              </w:rPr>
              <w:t>(in millions)</w:t>
            </w:r>
          </w:p>
        </w:tc>
        <w:tc>
          <w:tcPr>
            <w:tcW w:w="1320" w:type="dxa"/>
            <w:vAlign w:val="bottom"/>
            <w:shd w:val="clear" w:color="auto" w:fill="CFF0FC"/>
          </w:tcPr>
          <w:p>
            <w:pPr>
              <w:spacing w:after="0"/>
              <w:rPr>
                <w:sz w:val="16"/>
                <w:szCs w:val="16"/>
                <w:color w:val="auto"/>
              </w:rPr>
            </w:pPr>
          </w:p>
        </w:tc>
      </w:tr>
      <w:tr>
        <w:trPr>
          <w:trHeight w:val="215"/>
        </w:trPr>
        <w:tc>
          <w:tcPr>
            <w:tcW w:w="2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Retail</w:t>
            </w:r>
          </w:p>
        </w:tc>
        <w:tc>
          <w:tcPr>
            <w:tcW w:w="33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711.5</w:t>
            </w:r>
          </w:p>
        </w:tc>
        <w:tc>
          <w:tcPr>
            <w:tcW w:w="260" w:type="dxa"/>
            <w:vAlign w:val="bottom"/>
            <w:tcBorders>
              <w:top w:val="single" w:sz="8" w:color="CFF0FC"/>
            </w:tcBorders>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913.7</w:t>
            </w:r>
          </w:p>
        </w:tc>
        <w:tc>
          <w:tcPr>
            <w:tcW w:w="220" w:type="dxa"/>
            <w:vAlign w:val="bottom"/>
            <w:tcBorders>
              <w:top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CFF0FC"/>
            </w:tcBorders>
          </w:tcPr>
          <w:p>
            <w:pPr>
              <w:jc w:val="right"/>
              <w:ind w:right="179"/>
              <w:spacing w:after="0"/>
              <w:rPr>
                <w:sz w:val="20"/>
                <w:szCs w:val="20"/>
                <w:color w:val="auto"/>
              </w:rPr>
            </w:pPr>
            <w:r>
              <w:rPr>
                <w:rFonts w:ascii="Arial" w:cs="Arial" w:eastAsia="Arial" w:hAnsi="Arial"/>
                <w:sz w:val="16"/>
                <w:szCs w:val="16"/>
                <w:color w:val="auto"/>
              </w:rPr>
              <w:t>—  $</w:t>
            </w:r>
          </w:p>
        </w:tc>
        <w:tc>
          <w:tcPr>
            <w:tcW w:w="1320" w:type="dxa"/>
            <w:vAlign w:val="bottom"/>
            <w:tcBorders>
              <w:top w:val="single" w:sz="8" w:color="CFF0FC"/>
            </w:tcBorders>
          </w:tcPr>
          <w:p>
            <w:pPr>
              <w:jc w:val="right"/>
              <w:ind w:right="39"/>
              <w:spacing w:after="0"/>
              <w:rPr>
                <w:sz w:val="20"/>
                <w:szCs w:val="20"/>
                <w:color w:val="auto"/>
              </w:rPr>
            </w:pPr>
            <w:r>
              <w:rPr>
                <w:rFonts w:ascii="Arial" w:cs="Arial" w:eastAsia="Arial" w:hAnsi="Arial"/>
                <w:sz w:val="16"/>
                <w:szCs w:val="16"/>
                <w:color w:val="auto"/>
              </w:rPr>
              <w:t>1,625.2</w:t>
            </w:r>
          </w:p>
        </w:tc>
      </w:tr>
      <w:tr>
        <w:trPr>
          <w:trHeight w:val="217"/>
        </w:trPr>
        <w:tc>
          <w:tcPr>
            <w:tcW w:w="4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Transportation</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(0.4 )</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157.7</w:t>
            </w:r>
          </w:p>
        </w:tc>
      </w:tr>
      <w:tr>
        <w:trPr>
          <w:trHeight w:val="215"/>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Wholesale</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30.8</w:t>
            </w:r>
          </w:p>
        </w:tc>
        <w:tc>
          <w:tcPr>
            <w:tcW w:w="2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30.8</w:t>
            </w:r>
          </w:p>
        </w:tc>
      </w:tr>
      <w:tr>
        <w:trPr>
          <w:trHeight w:val="217"/>
        </w:trPr>
        <w:tc>
          <w:tcPr>
            <w:tcW w:w="4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Market - off-system sales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42.1</w:t>
            </w:r>
          </w:p>
        </w:tc>
      </w:tr>
      <w:tr>
        <w:trPr>
          <w:trHeight w:val="215"/>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Transmission/Other</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(17.2 )</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75.1</w:t>
            </w:r>
          </w:p>
        </w:tc>
      </w:tr>
      <w:tr>
        <w:trPr>
          <w:trHeight w:val="210"/>
        </w:trPr>
        <w:tc>
          <w:tcPr>
            <w:tcW w:w="45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 from contracts with customers</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836.9</w:t>
            </w:r>
          </w:p>
        </w:tc>
        <w:tc>
          <w:tcPr>
            <w:tcW w:w="2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1,111.6</w:t>
            </w:r>
          </w:p>
        </w:tc>
        <w:tc>
          <w:tcPr>
            <w:tcW w:w="22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(17.6 )</w:t>
            </w:r>
          </w:p>
        </w:tc>
        <w:tc>
          <w:tcPr>
            <w:tcW w:w="13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1,930.9</w:t>
            </w:r>
          </w:p>
        </w:tc>
      </w:tr>
      <w:tr>
        <w:trPr>
          <w:trHeight w:val="215"/>
        </w:trPr>
        <w:tc>
          <w:tcPr>
            <w:tcW w:w="4500" w:type="dxa"/>
            <w:vAlign w:val="bottom"/>
            <w:gridSpan w:val="3"/>
          </w:tcPr>
          <w:p>
            <w:pPr>
              <w:ind w:left="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(0.4 )</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18.2</w:t>
            </w:r>
          </w:p>
        </w:tc>
      </w:tr>
      <w:tr>
        <w:trPr>
          <w:trHeight w:val="249"/>
        </w:trPr>
        <w:tc>
          <w:tcPr>
            <w:tcW w:w="45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Total revenues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842.2</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1,124.9</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(18.0 ) $</w:t>
            </w: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1,949.1</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type w:val="continuous"/>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Timing of revenue recognition: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Services transferred at a point in time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Services transferred over time</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640" w:type="dxa"/>
            <w:vAlign w:val="bottom"/>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27.1</w:t>
            </w:r>
          </w:p>
        </w:tc>
        <w:tc>
          <w:tcPr>
            <w:tcW w:w="62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79"/>
              <w:spacing w:after="0"/>
              <w:rPr>
                <w:sz w:val="20"/>
                <w:szCs w:val="20"/>
                <w:color w:val="auto"/>
              </w:rPr>
            </w:pPr>
            <w:r>
              <w:rPr>
                <w:rFonts w:ascii="Arial" w:cs="Arial" w:eastAsia="Arial" w:hAnsi="Arial"/>
                <w:sz w:val="16"/>
                <w:szCs w:val="16"/>
                <w:color w:val="auto"/>
              </w:rPr>
              <w:t>—  $</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27.1</w:t>
            </w:r>
          </w:p>
        </w:tc>
      </w:tr>
      <w:tr>
        <w:trPr>
          <w:trHeight w:val="217"/>
        </w:trPr>
        <w:tc>
          <w:tcPr>
            <w:tcW w:w="6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809.8</w:t>
            </w: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1,111.6</w:t>
            </w:r>
          </w:p>
        </w:tc>
        <w:tc>
          <w:tcPr>
            <w:tcW w:w="7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(17.6 )</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1,903.8</w:t>
            </w:r>
          </w:p>
        </w:tc>
      </w:tr>
      <w:tr>
        <w:trPr>
          <w:trHeight w:val="210"/>
        </w:trPr>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836.9</w:t>
            </w:r>
          </w:p>
        </w:tc>
        <w:tc>
          <w:tcPr>
            <w:tcW w:w="6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1,111.6</w:t>
            </w:r>
          </w:p>
        </w:tc>
        <w:tc>
          <w:tcPr>
            <w:tcW w:w="7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(17.6 ) $</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1,930.9</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-2851785</wp:posOffset>
            </wp:positionH>
            <wp:positionV relativeFrom="paragraph">
              <wp:posOffset>-445135</wp:posOffset>
            </wp:positionV>
            <wp:extent cx="713232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-161925</wp:posOffset>
            </wp:positionV>
            <wp:extent cx="7132320" cy="1625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80" w:space="720"/>
            <w:col w:w="6740"/>
          </w:cols>
          <w:pgMar w:left="320" w:top="773" w:right="339" w:bottom="1440" w:gutter="0" w:footer="0" w:header="0"/>
          <w:type w:val="continuous"/>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79" w:name="page80"/>
    <w:bookmarkEnd w:id="7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PROPERTY, PLANT AND EQUIPMENT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at December 31 consisted of the following (dollars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Lives (in years)</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20" w:type="dxa"/>
            <w:vAlign w:val="bottom"/>
            <w:gridSpan w:val="2"/>
          </w:tcPr>
          <w:p>
            <w:pPr>
              <w:ind w:left="20"/>
              <w:spacing w:after="0" w:line="160" w:lineRule="exact"/>
              <w:rPr>
                <w:sz w:val="20"/>
                <w:szCs w:val="20"/>
                <w:color w:val="auto"/>
              </w:rPr>
            </w:pPr>
            <w:r>
              <w:rPr>
                <w:rFonts w:ascii="Arial" w:cs="Arial" w:eastAsia="Arial" w:hAnsi="Arial"/>
                <w:sz w:val="14"/>
                <w:szCs w:val="14"/>
                <w:b w:val="1"/>
                <w:bCs w:val="1"/>
                <w:color w:val="auto"/>
              </w:rPr>
              <w:t>Weighted Average</w:t>
            </w: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Property, Plant and</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rPr>
              <w:t>Useful Life (in</w:t>
            </w:r>
          </w:p>
        </w:tc>
        <w:tc>
          <w:tcPr>
            <w:tcW w:w="16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Property, Plant and</w:t>
            </w:r>
          </w:p>
        </w:tc>
        <w:tc>
          <w:tcPr>
            <w:tcW w:w="1280" w:type="dxa"/>
            <w:vAlign w:val="bottom"/>
          </w:tcPr>
          <w:p>
            <w:pPr>
              <w:jc w:val="center"/>
              <w:ind w:right="208"/>
              <w:spacing w:after="0"/>
              <w:rPr>
                <w:sz w:val="20"/>
                <w:szCs w:val="20"/>
                <w:color w:val="auto"/>
              </w:rPr>
            </w:pPr>
            <w:r>
              <w:rPr>
                <w:rFonts w:ascii="Arial" w:cs="Arial" w:eastAsia="Arial" w:hAnsi="Arial"/>
                <w:sz w:val="14"/>
                <w:szCs w:val="14"/>
                <w:b w:val="1"/>
                <w:bCs w:val="1"/>
                <w:color w:val="auto"/>
              </w:rPr>
              <w:t>Useful Life (in</w:t>
            </w: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Electric Utilities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Equipment</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rPr>
              <w:t>Equipment</w:t>
            </w:r>
          </w:p>
        </w:tc>
        <w:tc>
          <w:tcPr>
            <w:tcW w:w="128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years)</w:t>
            </w:r>
          </w:p>
        </w:tc>
        <w:tc>
          <w:tcPr>
            <w:tcW w:w="10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Minimum</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83"/>
        </w:trPr>
        <w:tc>
          <w:tcPr>
            <w:tcW w:w="32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Electric plant:</w:t>
            </w:r>
          </w:p>
        </w:tc>
        <w:tc>
          <w:tcPr>
            <w:tcW w:w="2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Production</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1,492.8</w:t>
            </w:r>
          </w:p>
        </w:tc>
        <w:tc>
          <w:tcPr>
            <w:tcW w:w="1340" w:type="dxa"/>
            <w:vAlign w:val="bottom"/>
          </w:tcPr>
          <w:p>
            <w:pPr>
              <w:jc w:val="center"/>
              <w:spacing w:after="0"/>
              <w:rPr>
                <w:sz w:val="20"/>
                <w:szCs w:val="20"/>
                <w:color w:val="auto"/>
              </w:rPr>
            </w:pPr>
            <w:r>
              <w:rPr>
                <w:rFonts w:ascii="Arial" w:cs="Arial" w:eastAsia="Arial" w:hAnsi="Arial"/>
                <w:sz w:val="14"/>
                <w:szCs w:val="14"/>
                <w:color w:val="auto"/>
              </w:rPr>
              <w:t>40</w:t>
            </w: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1,482.1</w:t>
            </w:r>
          </w:p>
        </w:tc>
        <w:tc>
          <w:tcPr>
            <w:tcW w:w="1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Arial" w:cs="Arial" w:eastAsia="Arial" w:hAnsi="Arial"/>
                <w:sz w:val="14"/>
                <w:szCs w:val="14"/>
                <w:color w:val="auto"/>
              </w:rPr>
              <w:t>41</w:t>
            </w:r>
          </w:p>
        </w:tc>
        <w:tc>
          <w:tcPr>
            <w:tcW w:w="1060" w:type="dxa"/>
            <w:vAlign w:val="bottom"/>
          </w:tcPr>
          <w:p>
            <w:pPr>
              <w:jc w:val="center"/>
              <w:ind w:right="28"/>
              <w:spacing w:after="0"/>
              <w:rPr>
                <w:sz w:val="20"/>
                <w:szCs w:val="20"/>
                <w:color w:val="auto"/>
              </w:rPr>
            </w:pPr>
            <w:r>
              <w:rPr>
                <w:rFonts w:ascii="Arial" w:cs="Arial" w:eastAsia="Arial" w:hAnsi="Arial"/>
                <w:sz w:val="14"/>
                <w:szCs w:val="14"/>
                <w:color w:val="auto"/>
              </w:rPr>
              <w:t>32</w:t>
            </w:r>
          </w:p>
        </w:tc>
        <w:tc>
          <w:tcPr>
            <w:tcW w:w="1200" w:type="dxa"/>
            <w:vAlign w:val="bottom"/>
          </w:tcPr>
          <w:p>
            <w:pPr>
              <w:jc w:val="center"/>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Electric transmission</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737.4</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48</w:t>
            </w: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632.9</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48</w:t>
            </w:r>
          </w:p>
        </w:tc>
        <w:tc>
          <w:tcPr>
            <w:tcW w:w="1060" w:type="dxa"/>
            <w:vAlign w:val="bottom"/>
            <w:shd w:val="clear" w:color="auto" w:fill="CFF0FC"/>
          </w:tcPr>
          <w:p>
            <w:pPr>
              <w:jc w:val="center"/>
              <w:ind w:right="28"/>
              <w:spacing w:after="0"/>
              <w:rPr>
                <w:sz w:val="20"/>
                <w:szCs w:val="20"/>
                <w:color w:val="auto"/>
              </w:rPr>
            </w:pPr>
            <w:r>
              <w:rPr>
                <w:rFonts w:ascii="Arial" w:cs="Arial" w:eastAsia="Arial" w:hAnsi="Arial"/>
                <w:sz w:val="14"/>
                <w:szCs w:val="14"/>
                <w:color w:val="auto"/>
              </w:rPr>
              <w:t>42</w:t>
            </w: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rPr>
                <w:sz w:val="20"/>
                <w:szCs w:val="20"/>
                <w:color w:val="auto"/>
              </w:rPr>
            </w:pPr>
            <w:r>
              <w:rPr>
                <w:rFonts w:ascii="Arial" w:cs="Arial" w:eastAsia="Arial" w:hAnsi="Arial"/>
                <w:sz w:val="14"/>
                <w:szCs w:val="14"/>
                <w:color w:val="auto"/>
              </w:rPr>
              <w:t>Electric distribution</w:t>
            </w:r>
          </w:p>
        </w:tc>
        <w:tc>
          <w:tcPr>
            <w:tcW w:w="20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1,146.9</w:t>
            </w:r>
          </w:p>
        </w:tc>
        <w:tc>
          <w:tcPr>
            <w:tcW w:w="1340" w:type="dxa"/>
            <w:vAlign w:val="bottom"/>
          </w:tcPr>
          <w:p>
            <w:pPr>
              <w:jc w:val="center"/>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1,082.5</w:t>
            </w:r>
          </w:p>
        </w:tc>
        <w:tc>
          <w:tcPr>
            <w:tcW w:w="1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Arial" w:cs="Arial" w:eastAsia="Arial" w:hAnsi="Arial"/>
                <w:sz w:val="14"/>
                <w:szCs w:val="14"/>
                <w:color w:val="auto"/>
              </w:rPr>
              <w:t>47</w:t>
            </w:r>
          </w:p>
        </w:tc>
        <w:tc>
          <w:tcPr>
            <w:tcW w:w="1060" w:type="dxa"/>
            <w:vAlign w:val="bottom"/>
          </w:tcPr>
          <w:p>
            <w:pPr>
              <w:jc w:val="center"/>
              <w:ind w:right="28"/>
              <w:spacing w:after="0"/>
              <w:rPr>
                <w:sz w:val="20"/>
                <w:szCs w:val="20"/>
                <w:color w:val="auto"/>
              </w:rPr>
            </w:pPr>
            <w:r>
              <w:rPr>
                <w:rFonts w:ascii="Arial" w:cs="Arial" w:eastAsia="Arial" w:hAnsi="Arial"/>
                <w:sz w:val="14"/>
                <w:szCs w:val="14"/>
                <w:color w:val="auto"/>
              </w:rPr>
              <w:t>45</w:t>
            </w:r>
          </w:p>
        </w:tc>
        <w:tc>
          <w:tcPr>
            <w:tcW w:w="1200" w:type="dxa"/>
            <w:vAlign w:val="bottom"/>
          </w:tcPr>
          <w:p>
            <w:pPr>
              <w:jc w:val="center"/>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89"/>
        </w:trPr>
        <w:tc>
          <w:tcPr>
            <w:tcW w:w="32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Integrated Generation</w:t>
            </w:r>
          </w:p>
        </w:tc>
        <w:tc>
          <w:tcPr>
            <w:tcW w:w="2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720.0</w:t>
            </w:r>
          </w:p>
        </w:tc>
        <w:tc>
          <w:tcPr>
            <w:tcW w:w="13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30</w:t>
            </w:r>
          </w:p>
        </w:tc>
        <w:tc>
          <w:tcPr>
            <w:tcW w:w="200" w:type="dxa"/>
            <w:vAlign w:val="bottom"/>
            <w:shd w:val="clear" w:color="auto" w:fill="CFF0FC"/>
          </w:tcPr>
          <w:p>
            <w:pPr>
              <w:spacing w:after="0"/>
              <w:rPr>
                <w:sz w:val="16"/>
                <w:szCs w:val="16"/>
                <w:color w:val="auto"/>
              </w:rPr>
            </w:pPr>
          </w:p>
        </w:tc>
        <w:tc>
          <w:tcPr>
            <w:tcW w:w="12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713.5</w:t>
            </w:r>
          </w:p>
        </w:tc>
        <w:tc>
          <w:tcPr>
            <w:tcW w:w="140" w:type="dxa"/>
            <w:vAlign w:val="bottom"/>
            <w:shd w:val="clear" w:color="auto" w:fill="CFF0FC"/>
          </w:tcPr>
          <w:p>
            <w:pPr>
              <w:spacing w:after="0"/>
              <w:rPr>
                <w:sz w:val="16"/>
                <w:szCs w:val="16"/>
                <w:color w:val="auto"/>
              </w:rPr>
            </w:pPr>
          </w:p>
        </w:tc>
        <w:tc>
          <w:tcPr>
            <w:tcW w:w="1280" w:type="dxa"/>
            <w:vAlign w:val="bottom"/>
            <w:shd w:val="clear" w:color="auto" w:fill="CFF0FC"/>
          </w:tcPr>
          <w:p>
            <w:pPr>
              <w:jc w:val="center"/>
              <w:ind w:right="168"/>
              <w:spacing w:after="0"/>
              <w:rPr>
                <w:sz w:val="20"/>
                <w:szCs w:val="20"/>
                <w:color w:val="auto"/>
              </w:rPr>
            </w:pPr>
            <w:r>
              <w:rPr>
                <w:rFonts w:ascii="Arial" w:cs="Arial" w:eastAsia="Arial" w:hAnsi="Arial"/>
                <w:sz w:val="14"/>
                <w:szCs w:val="14"/>
                <w:color w:val="auto"/>
              </w:rPr>
              <w:t>31</w:t>
            </w:r>
          </w:p>
        </w:tc>
        <w:tc>
          <w:tcPr>
            <w:tcW w:w="1060" w:type="dxa"/>
            <w:vAlign w:val="bottom"/>
            <w:shd w:val="clear" w:color="auto" w:fill="CFF0FC"/>
          </w:tcPr>
          <w:p>
            <w:pPr>
              <w:jc w:val="center"/>
              <w:ind w:right="28"/>
              <w:spacing w:after="0"/>
              <w:rPr>
                <w:sz w:val="20"/>
                <w:szCs w:val="20"/>
                <w:color w:val="auto"/>
              </w:rPr>
            </w:pPr>
            <w:r>
              <w:rPr>
                <w:rFonts w:ascii="Arial" w:cs="Arial" w:eastAsia="Arial" w:hAnsi="Arial"/>
                <w:sz w:val="14"/>
                <w:szCs w:val="14"/>
                <w:color w:val="auto"/>
              </w:rPr>
              <w:t>19</w:t>
            </w:r>
          </w:p>
        </w:tc>
        <w:tc>
          <w:tcPr>
            <w:tcW w:w="12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3280" w:type="dxa"/>
            <w:vAlign w:val="bottom"/>
          </w:tcPr>
          <w:p>
            <w:pPr>
              <w:ind w:left="200"/>
              <w:spacing w:after="0" w:line="189" w:lineRule="exact"/>
              <w:rPr>
                <w:sz w:val="20"/>
                <w:szCs w:val="20"/>
                <w:color w:val="auto"/>
              </w:rPr>
            </w:pPr>
            <w:r>
              <w:rPr>
                <w:rFonts w:ascii="Arial" w:cs="Arial" w:eastAsia="Arial" w:hAnsi="Arial"/>
                <w:sz w:val="14"/>
                <w:szCs w:val="14"/>
                <w:color w:val="auto"/>
              </w:rPr>
              <w:t xml:space="preserve">Plant acquisition adjustment </w:t>
            </w:r>
            <w:r>
              <w:rPr>
                <w:rFonts w:ascii="Arial" w:cs="Arial" w:eastAsia="Arial" w:hAnsi="Arial"/>
                <w:sz w:val="19"/>
                <w:szCs w:val="19"/>
                <w:color w:val="auto"/>
                <w:vertAlign w:val="superscript"/>
              </w:rPr>
              <w:t>(a)</w:t>
            </w:r>
          </w:p>
        </w:tc>
        <w:tc>
          <w:tcPr>
            <w:tcW w:w="200" w:type="dxa"/>
            <w:vAlign w:val="bottom"/>
          </w:tcPr>
          <w:p>
            <w:pPr>
              <w:spacing w:after="0"/>
              <w:rPr>
                <w:sz w:val="16"/>
                <w:szCs w:val="16"/>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4.9</w:t>
            </w:r>
          </w:p>
        </w:tc>
        <w:tc>
          <w:tcPr>
            <w:tcW w:w="1340" w:type="dxa"/>
            <w:vAlign w:val="bottom"/>
          </w:tcPr>
          <w:p>
            <w:pPr>
              <w:jc w:val="center"/>
              <w:spacing w:after="0"/>
              <w:rPr>
                <w:sz w:val="20"/>
                <w:szCs w:val="20"/>
                <w:color w:val="auto"/>
              </w:rPr>
            </w:pPr>
            <w:r>
              <w:rPr>
                <w:rFonts w:ascii="Arial" w:cs="Arial" w:eastAsia="Arial" w:hAnsi="Arial"/>
                <w:sz w:val="14"/>
                <w:szCs w:val="14"/>
                <w:color w:val="auto"/>
              </w:rPr>
              <w:t>32</w:t>
            </w:r>
          </w:p>
        </w:tc>
        <w:tc>
          <w:tcPr>
            <w:tcW w:w="200" w:type="dxa"/>
            <w:vAlign w:val="bottom"/>
          </w:tcPr>
          <w:p>
            <w:pPr>
              <w:spacing w:after="0"/>
              <w:rPr>
                <w:sz w:val="16"/>
                <w:szCs w:val="16"/>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40" w:type="dxa"/>
            <w:vAlign w:val="bottom"/>
          </w:tcPr>
          <w:p>
            <w:pPr>
              <w:spacing w:after="0"/>
              <w:rPr>
                <w:sz w:val="16"/>
                <w:szCs w:val="16"/>
                <w:color w:val="auto"/>
              </w:rPr>
            </w:pPr>
          </w:p>
        </w:tc>
        <w:tc>
          <w:tcPr>
            <w:tcW w:w="1280" w:type="dxa"/>
            <w:vAlign w:val="bottom"/>
          </w:tcPr>
          <w:p>
            <w:pPr>
              <w:jc w:val="center"/>
              <w:ind w:right="168"/>
              <w:spacing w:after="0"/>
              <w:rPr>
                <w:sz w:val="20"/>
                <w:szCs w:val="20"/>
                <w:color w:val="auto"/>
              </w:rPr>
            </w:pPr>
            <w:r>
              <w:rPr>
                <w:rFonts w:ascii="Arial" w:cs="Arial" w:eastAsia="Arial" w:hAnsi="Arial"/>
                <w:sz w:val="14"/>
                <w:szCs w:val="14"/>
                <w:color w:val="auto"/>
              </w:rPr>
              <w:t>32</w:t>
            </w:r>
          </w:p>
        </w:tc>
        <w:tc>
          <w:tcPr>
            <w:tcW w:w="1060" w:type="dxa"/>
            <w:vAlign w:val="bottom"/>
          </w:tcPr>
          <w:p>
            <w:pPr>
              <w:jc w:val="center"/>
              <w:ind w:right="28"/>
              <w:spacing w:after="0"/>
              <w:rPr>
                <w:sz w:val="20"/>
                <w:szCs w:val="20"/>
                <w:color w:val="auto"/>
              </w:rPr>
            </w:pPr>
            <w:r>
              <w:rPr>
                <w:rFonts w:ascii="Arial" w:cs="Arial" w:eastAsia="Arial" w:hAnsi="Arial"/>
                <w:sz w:val="14"/>
                <w:szCs w:val="14"/>
                <w:color w:val="auto"/>
              </w:rPr>
              <w:t>32</w:t>
            </w:r>
          </w:p>
        </w:tc>
        <w:tc>
          <w:tcPr>
            <w:tcW w:w="1200" w:type="dxa"/>
            <w:vAlign w:val="bottom"/>
          </w:tcPr>
          <w:p>
            <w:pPr>
              <w:jc w:val="center"/>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9"/>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General</w:t>
            </w:r>
          </w:p>
        </w:tc>
        <w:tc>
          <w:tcPr>
            <w:tcW w:w="2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291.7</w:t>
            </w:r>
          </w:p>
        </w:tc>
        <w:tc>
          <w:tcPr>
            <w:tcW w:w="13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27</w:t>
            </w: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274.8</w:t>
            </w:r>
          </w:p>
        </w:tc>
        <w:tc>
          <w:tcPr>
            <w:tcW w:w="14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jc w:val="center"/>
              <w:ind w:right="168"/>
              <w:spacing w:after="0"/>
              <w:rPr>
                <w:sz w:val="20"/>
                <w:szCs w:val="20"/>
                <w:color w:val="auto"/>
              </w:rPr>
            </w:pPr>
            <w:r>
              <w:rPr>
                <w:rFonts w:ascii="Arial" w:cs="Arial" w:eastAsia="Arial" w:hAnsi="Arial"/>
                <w:sz w:val="14"/>
                <w:szCs w:val="14"/>
                <w:color w:val="auto"/>
              </w:rPr>
              <w:t>27</w:t>
            </w:r>
          </w:p>
        </w:tc>
        <w:tc>
          <w:tcPr>
            <w:tcW w:w="1060" w:type="dxa"/>
            <w:vAlign w:val="bottom"/>
            <w:tcBorders>
              <w:bottom w:val="single" w:sz="8" w:color="CFF0FC"/>
            </w:tcBorders>
            <w:shd w:val="clear" w:color="auto" w:fill="CFF0FC"/>
          </w:tcPr>
          <w:p>
            <w:pPr>
              <w:jc w:val="center"/>
              <w:ind w:right="28"/>
              <w:spacing w:after="0"/>
              <w:rPr>
                <w:sz w:val="20"/>
                <w:szCs w:val="20"/>
                <w:color w:val="auto"/>
              </w:rPr>
            </w:pPr>
            <w:r>
              <w:rPr>
                <w:rFonts w:ascii="Arial" w:cs="Arial" w:eastAsia="Arial" w:hAnsi="Arial"/>
                <w:sz w:val="14"/>
                <w:szCs w:val="14"/>
                <w:color w:val="auto"/>
              </w:rPr>
              <w:t>24</w:t>
            </w:r>
          </w:p>
        </w:tc>
        <w:tc>
          <w:tcPr>
            <w:tcW w:w="12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83"/>
        </w:trPr>
        <w:tc>
          <w:tcPr>
            <w:tcW w:w="3280" w:type="dxa"/>
            <w:vAlign w:val="bottom"/>
          </w:tcPr>
          <w:p>
            <w:pPr>
              <w:ind w:left="200"/>
              <w:spacing w:after="0"/>
              <w:rPr>
                <w:sz w:val="20"/>
                <w:szCs w:val="20"/>
                <w:color w:val="auto"/>
              </w:rPr>
            </w:pPr>
            <w:r>
              <w:rPr>
                <w:rFonts w:ascii="Arial" w:cs="Arial" w:eastAsia="Arial" w:hAnsi="Arial"/>
                <w:sz w:val="14"/>
                <w:szCs w:val="14"/>
                <w:color w:val="auto"/>
              </w:rPr>
              <w:t>Total electric plant in service</w:t>
            </w:r>
          </w:p>
        </w:tc>
        <w:tc>
          <w:tcPr>
            <w:tcW w:w="20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4,393.7</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4,190.7</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Construction work in progress</w:t>
            </w:r>
          </w:p>
        </w:tc>
        <w:tc>
          <w:tcPr>
            <w:tcW w:w="2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123.1</w:t>
            </w:r>
          </w:p>
        </w:tc>
        <w:tc>
          <w:tcPr>
            <w:tcW w:w="13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153.0</w:t>
            </w:r>
          </w:p>
        </w:tc>
        <w:tc>
          <w:tcPr>
            <w:tcW w:w="14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80" w:type="dxa"/>
            <w:vAlign w:val="bottom"/>
          </w:tcPr>
          <w:p>
            <w:pPr>
              <w:ind w:left="200"/>
              <w:spacing w:after="0"/>
              <w:rPr>
                <w:sz w:val="20"/>
                <w:szCs w:val="20"/>
                <w:color w:val="auto"/>
              </w:rPr>
            </w:pPr>
            <w:r>
              <w:rPr>
                <w:rFonts w:ascii="Arial" w:cs="Arial" w:eastAsia="Arial" w:hAnsi="Arial"/>
                <w:sz w:val="14"/>
                <w:szCs w:val="14"/>
                <w:color w:val="auto"/>
              </w:rPr>
              <w:t>Total electric plant</w:t>
            </w:r>
          </w:p>
        </w:tc>
        <w:tc>
          <w:tcPr>
            <w:tcW w:w="200" w:type="dxa"/>
            <w:vAlign w:val="bottom"/>
          </w:tcPr>
          <w:p>
            <w:pPr>
              <w:spacing w:after="0"/>
              <w:rPr>
                <w:sz w:val="15"/>
                <w:szCs w:val="15"/>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4,516.8</w:t>
            </w: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jc w:val="right"/>
              <w:ind w:right="48"/>
              <w:spacing w:after="0"/>
              <w:rPr>
                <w:sz w:val="20"/>
                <w:szCs w:val="20"/>
                <w:color w:val="auto"/>
              </w:rPr>
            </w:pPr>
            <w:r>
              <w:rPr>
                <w:rFonts w:ascii="Arial" w:cs="Arial" w:eastAsia="Arial" w:hAnsi="Arial"/>
                <w:sz w:val="14"/>
                <w:szCs w:val="14"/>
                <w:color w:val="auto"/>
              </w:rPr>
              <w:t>4,343.7</w:t>
            </w: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accumulated depreciation and depletion</w:t>
            </w:r>
          </w:p>
        </w:tc>
        <w:tc>
          <w:tcPr>
            <w:tcW w:w="2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(1,207.7 )</w:t>
            </w:r>
          </w:p>
        </w:tc>
        <w:tc>
          <w:tcPr>
            <w:tcW w:w="134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(1,104.1 )</w:t>
            </w:r>
          </w:p>
        </w:tc>
        <w:tc>
          <w:tcPr>
            <w:tcW w:w="14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12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280" w:type="dxa"/>
            <w:vAlign w:val="bottom"/>
          </w:tcPr>
          <w:p>
            <w:pPr>
              <w:ind w:left="200"/>
              <w:spacing w:after="0" w:line="160" w:lineRule="exact"/>
              <w:rPr>
                <w:sz w:val="20"/>
                <w:szCs w:val="20"/>
                <w:color w:val="auto"/>
              </w:rPr>
            </w:pPr>
            <w:r>
              <w:rPr>
                <w:rFonts w:ascii="Arial" w:cs="Arial" w:eastAsia="Arial" w:hAnsi="Arial"/>
                <w:sz w:val="14"/>
                <w:szCs w:val="14"/>
                <w:color w:val="auto"/>
              </w:rPr>
              <w:t>Electric plant net of accumulated depreciation</w:t>
            </w:r>
          </w:p>
        </w:tc>
        <w:tc>
          <w:tcPr>
            <w:tcW w:w="200" w:type="dxa"/>
            <w:vAlign w:val="bottom"/>
            <w:vMerge w:val="restart"/>
          </w:tcPr>
          <w:p>
            <w:pPr>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3,309.1</w:t>
            </w:r>
          </w:p>
        </w:tc>
        <w:tc>
          <w:tcPr>
            <w:tcW w:w="1340" w:type="dxa"/>
            <w:vAlign w:val="bottom"/>
          </w:tcPr>
          <w:p>
            <w:pPr>
              <w:spacing w:after="0"/>
              <w:rPr>
                <w:sz w:val="13"/>
                <w:szCs w:val="13"/>
                <w:color w:val="auto"/>
              </w:rPr>
            </w:pPr>
          </w:p>
        </w:tc>
        <w:tc>
          <w:tcPr>
            <w:tcW w:w="2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260" w:type="dxa"/>
            <w:vAlign w:val="bottom"/>
            <w:vMerge w:val="restart"/>
          </w:tcPr>
          <w:p>
            <w:pPr>
              <w:jc w:val="right"/>
              <w:ind w:right="48"/>
              <w:spacing w:after="0"/>
              <w:rPr>
                <w:sz w:val="20"/>
                <w:szCs w:val="20"/>
                <w:color w:val="auto"/>
              </w:rPr>
            </w:pPr>
            <w:r>
              <w:rPr>
                <w:rFonts w:ascii="Arial" w:cs="Arial" w:eastAsia="Arial" w:hAnsi="Arial"/>
                <w:sz w:val="14"/>
                <w:szCs w:val="14"/>
                <w:color w:val="auto"/>
              </w:rPr>
              <w:t>3,239.6</w:t>
            </w: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80" w:type="dxa"/>
            <w:vAlign w:val="bottom"/>
          </w:tcPr>
          <w:p>
            <w:pPr>
              <w:ind w:left="200"/>
              <w:spacing w:after="0" w:line="125" w:lineRule="exact"/>
              <w:rPr>
                <w:sz w:val="20"/>
                <w:szCs w:val="20"/>
                <w:color w:val="auto"/>
              </w:rPr>
            </w:pPr>
            <w:r>
              <w:rPr>
                <w:rFonts w:ascii="Arial" w:cs="Arial" w:eastAsia="Arial" w:hAnsi="Arial"/>
                <w:sz w:val="14"/>
                <w:szCs w:val="14"/>
                <w:color w:val="auto"/>
              </w:rPr>
              <w:t>and depletion</w:t>
            </w:r>
          </w:p>
        </w:tc>
        <w:tc>
          <w:tcPr>
            <w:tcW w:w="20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Borders>
              <w:bottom w:val="single" w:sz="8" w:color="auto"/>
            </w:tcBorders>
            <w:vMerge w:val="continue"/>
          </w:tcPr>
          <w:p>
            <w:pPr>
              <w:spacing w:after="0"/>
              <w:rPr>
                <w:sz w:val="12"/>
                <w:szCs w:val="12"/>
                <w:color w:val="auto"/>
              </w:rPr>
            </w:pPr>
          </w:p>
        </w:tc>
        <w:tc>
          <w:tcPr>
            <w:tcW w:w="1260" w:type="dxa"/>
            <w:vAlign w:val="bottom"/>
            <w:tcBorders>
              <w:bottom w:val="single" w:sz="8" w:color="auto"/>
            </w:tcBorders>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-710565</wp:posOffset>
            </wp:positionV>
            <wp:extent cx="8572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-710565</wp:posOffset>
            </wp:positionV>
            <wp:extent cx="84899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-462280</wp:posOffset>
            </wp:positionV>
            <wp:extent cx="8572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-462280</wp:posOffset>
            </wp:positionV>
            <wp:extent cx="84899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-213995</wp:posOffset>
            </wp:positionV>
            <wp:extent cx="85725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-213995</wp:posOffset>
            </wp:positionV>
            <wp:extent cx="84899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48995"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8255</wp:posOffset>
            </wp:positionV>
            <wp:extent cx="94297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4297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8255</wp:posOffset>
            </wp:positionV>
            <wp:extent cx="91694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w:t>
      </w:r>
    </w:p>
    <w:p>
      <w:pPr>
        <w:spacing w:after="0" w:line="40" w:lineRule="exact"/>
        <w:rPr>
          <w:sz w:val="20"/>
          <w:szCs w:val="20"/>
          <w:color w:val="auto"/>
        </w:rPr>
      </w:pPr>
    </w:p>
    <w:p>
      <w:pPr>
        <w:ind w:left="760" w:right="160" w:hanging="752"/>
        <w:spacing w:after="0" w:line="285" w:lineRule="auto"/>
        <w:tabs>
          <w:tab w:leader="none" w:pos="427"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plant acquisition adjustment, which relates to the acquisition of our ownership interest in Wyodak Plant, is included in rate base and is being recovered with 7 years remaining.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Lives (in years)</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jc w:val="center"/>
              <w:ind w:right="48"/>
              <w:spacing w:after="0" w:line="160" w:lineRule="exact"/>
              <w:rPr>
                <w:sz w:val="20"/>
                <w:szCs w:val="20"/>
                <w:color w:val="auto"/>
              </w:rPr>
            </w:pPr>
            <w:r>
              <w:rPr>
                <w:rFonts w:ascii="Arial" w:cs="Arial" w:eastAsia="Arial" w:hAnsi="Arial"/>
                <w:sz w:val="14"/>
                <w:szCs w:val="14"/>
                <w:b w:val="1"/>
                <w:bCs w:val="1"/>
                <w:color w:val="auto"/>
              </w:rPr>
              <w:t>Weighted Average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Property, Plant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Useful Life (in</w:t>
            </w:r>
          </w:p>
        </w:tc>
        <w:tc>
          <w:tcPr>
            <w:tcW w:w="1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w:t>
            </w:r>
          </w:p>
        </w:tc>
        <w:tc>
          <w:tcPr>
            <w:tcW w:w="1280" w:type="dxa"/>
            <w:vAlign w:val="bottom"/>
          </w:tcPr>
          <w:p>
            <w:pPr>
              <w:jc w:val="center"/>
              <w:ind w:right="228"/>
              <w:spacing w:after="0"/>
              <w:rPr>
                <w:sz w:val="20"/>
                <w:szCs w:val="20"/>
                <w:color w:val="auto"/>
              </w:rPr>
            </w:pPr>
            <w:r>
              <w:rPr>
                <w:rFonts w:ascii="Arial" w:cs="Arial" w:eastAsia="Arial" w:hAnsi="Arial"/>
                <w:sz w:val="14"/>
                <w:szCs w:val="14"/>
                <w:b w:val="1"/>
                <w:bCs w:val="1"/>
                <w:color w:val="auto"/>
              </w:rPr>
              <w:t>Useful Life (in</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Gas Utilities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Equipment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and Equipment</w:t>
            </w: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years)</w:t>
            </w: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Minimum</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82"/>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Gas plant:</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Production</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21.0</w:t>
            </w:r>
          </w:p>
        </w:tc>
        <w:tc>
          <w:tcPr>
            <w:tcW w:w="1380" w:type="dxa"/>
            <w:vAlign w:val="bottom"/>
          </w:tcPr>
          <w:p>
            <w:pPr>
              <w:jc w:val="center"/>
              <w:spacing w:after="0"/>
              <w:rPr>
                <w:sz w:val="20"/>
                <w:szCs w:val="20"/>
                <w:color w:val="auto"/>
              </w:rPr>
            </w:pPr>
            <w:r>
              <w:rPr>
                <w:rFonts w:ascii="Arial" w:cs="Arial" w:eastAsia="Arial" w:hAnsi="Arial"/>
                <w:sz w:val="14"/>
                <w:szCs w:val="14"/>
                <w:color w:val="auto"/>
              </w:rPr>
              <w:t>45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80" w:type="dxa"/>
            <w:vAlign w:val="bottom"/>
          </w:tcPr>
          <w:p>
            <w:pPr>
              <w:spacing w:after="0"/>
              <w:rPr>
                <w:sz w:val="16"/>
                <w:szCs w:val="16"/>
                <w:color w:val="auto"/>
              </w:rPr>
            </w:pP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rPr>
              <w:t>45</w:t>
            </w:r>
          </w:p>
        </w:tc>
        <w:tc>
          <w:tcPr>
            <w:tcW w:w="1080" w:type="dxa"/>
            <w:vAlign w:val="bottom"/>
          </w:tcPr>
          <w:p>
            <w:pPr>
              <w:jc w:val="center"/>
              <w:ind w:right="8"/>
              <w:spacing w:after="0"/>
              <w:rPr>
                <w:sz w:val="20"/>
                <w:szCs w:val="20"/>
                <w:color w:val="auto"/>
              </w:rPr>
            </w:pPr>
            <w:r>
              <w:rPr>
                <w:rFonts w:ascii="Arial" w:cs="Arial" w:eastAsia="Arial" w:hAnsi="Arial"/>
                <w:sz w:val="14"/>
                <w:szCs w:val="14"/>
                <w:color w:val="auto"/>
              </w:rPr>
              <w:t>24</w:t>
            </w:r>
          </w:p>
        </w:tc>
        <w:tc>
          <w:tcPr>
            <w:tcW w:w="1160" w:type="dxa"/>
            <w:vAlign w:val="bottom"/>
          </w:tcPr>
          <w:p>
            <w:pPr>
              <w:jc w:val="center"/>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Gas transmission</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759.5</w:t>
            </w:r>
          </w:p>
        </w:tc>
        <w:tc>
          <w:tcPr>
            <w:tcW w:w="13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695.4</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center"/>
              <w:ind w:right="208"/>
              <w:spacing w:after="0"/>
              <w:rPr>
                <w:sz w:val="20"/>
                <w:szCs w:val="20"/>
                <w:color w:val="auto"/>
              </w:rPr>
            </w:pPr>
            <w:r>
              <w:rPr>
                <w:rFonts w:ascii="Arial" w:cs="Arial" w:eastAsia="Arial" w:hAnsi="Arial"/>
                <w:sz w:val="14"/>
                <w:szCs w:val="14"/>
                <w:color w:val="auto"/>
              </w:rPr>
              <w:t>58</w:t>
            </w:r>
          </w:p>
        </w:tc>
        <w:tc>
          <w:tcPr>
            <w:tcW w:w="108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32</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Gas distribution</w:t>
            </w:r>
          </w:p>
        </w:tc>
        <w:tc>
          <w:tcPr>
            <w:tcW w:w="1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2,860.0</w:t>
            </w:r>
          </w:p>
        </w:tc>
        <w:tc>
          <w:tcPr>
            <w:tcW w:w="1380" w:type="dxa"/>
            <w:vAlign w:val="bottom"/>
          </w:tcPr>
          <w:p>
            <w:pPr>
              <w:jc w:val="center"/>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2,620.2</w:t>
            </w:r>
          </w:p>
        </w:tc>
        <w:tc>
          <w:tcPr>
            <w:tcW w:w="180" w:type="dxa"/>
            <w:vAlign w:val="bottom"/>
          </w:tcPr>
          <w:p>
            <w:pPr>
              <w:spacing w:after="0"/>
              <w:rPr>
                <w:sz w:val="16"/>
                <w:szCs w:val="16"/>
                <w:color w:val="auto"/>
              </w:rPr>
            </w:pP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rPr>
              <w:t>57</w:t>
            </w:r>
          </w:p>
        </w:tc>
        <w:tc>
          <w:tcPr>
            <w:tcW w:w="1080" w:type="dxa"/>
            <w:vAlign w:val="bottom"/>
          </w:tcPr>
          <w:p>
            <w:pPr>
              <w:jc w:val="center"/>
              <w:ind w:right="8"/>
              <w:spacing w:after="0"/>
              <w:rPr>
                <w:sz w:val="20"/>
                <w:szCs w:val="20"/>
                <w:color w:val="auto"/>
              </w:rPr>
            </w:pPr>
            <w:r>
              <w:rPr>
                <w:rFonts w:ascii="Arial" w:cs="Arial" w:eastAsia="Arial" w:hAnsi="Arial"/>
                <w:sz w:val="14"/>
                <w:szCs w:val="14"/>
                <w:color w:val="auto"/>
              </w:rPr>
              <w:t>48</w:t>
            </w:r>
          </w:p>
        </w:tc>
        <w:tc>
          <w:tcPr>
            <w:tcW w:w="1160" w:type="dxa"/>
            <w:vAlign w:val="bottom"/>
          </w:tcPr>
          <w:p>
            <w:pPr>
              <w:jc w:val="center"/>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9"/>
        </w:trPr>
        <w:tc>
          <w:tcPr>
            <w:tcW w:w="3360" w:type="dxa"/>
            <w:vAlign w:val="bottom"/>
            <w:shd w:val="clear" w:color="auto" w:fill="CFF0FC"/>
          </w:tcPr>
          <w:p>
            <w:pPr>
              <w:ind w:left="20"/>
              <w:spacing w:after="0" w:line="189" w:lineRule="exact"/>
              <w:rPr>
                <w:sz w:val="20"/>
                <w:szCs w:val="20"/>
                <w:color w:val="auto"/>
              </w:rPr>
            </w:pPr>
            <w:r>
              <w:rPr>
                <w:rFonts w:ascii="Arial" w:cs="Arial" w:eastAsia="Arial" w:hAnsi="Arial"/>
                <w:sz w:val="14"/>
                <w:szCs w:val="14"/>
                <w:color w:val="auto"/>
              </w:rPr>
              <w:t xml:space="preserve">Cushion gas - not depreciable </w:t>
            </w:r>
            <w:r>
              <w:rPr>
                <w:rFonts w:ascii="Arial" w:cs="Arial" w:eastAsia="Arial" w:hAnsi="Arial"/>
                <w:sz w:val="19"/>
                <w:szCs w:val="19"/>
                <w:color w:val="auto"/>
                <w:vertAlign w:val="superscript"/>
              </w:rPr>
              <w:t>(a)</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58.2</w:t>
            </w:r>
          </w:p>
        </w:tc>
        <w:tc>
          <w:tcPr>
            <w:tcW w:w="1380" w:type="dxa"/>
            <w:vAlign w:val="bottom"/>
            <w:shd w:val="clear" w:color="auto" w:fill="CFF0FC"/>
          </w:tcPr>
          <w:p>
            <w:pPr>
              <w:jc w:val="right"/>
              <w:ind w:right="508"/>
              <w:spacing w:after="0"/>
              <w:rPr>
                <w:sz w:val="20"/>
                <w:szCs w:val="20"/>
                <w:color w:val="auto"/>
              </w:rPr>
            </w:pPr>
            <w:r>
              <w:rPr>
                <w:rFonts w:ascii="Arial" w:cs="Arial" w:eastAsia="Arial" w:hAnsi="Arial"/>
                <w:sz w:val="14"/>
                <w:szCs w:val="14"/>
                <w:color w:val="auto"/>
              </w:rPr>
              <w:t>N/A</w:t>
            </w:r>
          </w:p>
        </w:tc>
        <w:tc>
          <w:tcPr>
            <w:tcW w:w="10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63.1</w:t>
            </w:r>
          </w:p>
        </w:tc>
        <w:tc>
          <w:tcPr>
            <w:tcW w:w="180" w:type="dxa"/>
            <w:vAlign w:val="bottom"/>
            <w:shd w:val="clear" w:color="auto" w:fill="CFF0FC"/>
          </w:tcPr>
          <w:p>
            <w:pPr>
              <w:spacing w:after="0"/>
              <w:rPr>
                <w:sz w:val="16"/>
                <w:szCs w:val="16"/>
                <w:color w:val="auto"/>
              </w:rPr>
            </w:pPr>
          </w:p>
        </w:tc>
        <w:tc>
          <w:tcPr>
            <w:tcW w:w="1280" w:type="dxa"/>
            <w:vAlign w:val="bottom"/>
            <w:shd w:val="clear" w:color="auto" w:fill="CFF0FC"/>
          </w:tcPr>
          <w:p>
            <w:pPr>
              <w:jc w:val="center"/>
              <w:ind w:right="208"/>
              <w:spacing w:after="0"/>
              <w:rPr>
                <w:sz w:val="20"/>
                <w:szCs w:val="20"/>
                <w:color w:val="auto"/>
              </w:rPr>
            </w:pPr>
            <w:r>
              <w:rPr>
                <w:rFonts w:ascii="Arial" w:cs="Arial" w:eastAsia="Arial" w:hAnsi="Arial"/>
                <w:sz w:val="14"/>
                <w:szCs w:val="14"/>
                <w:color w:val="auto"/>
              </w:rPr>
              <w:t>N/A</w:t>
            </w:r>
          </w:p>
        </w:tc>
        <w:tc>
          <w:tcPr>
            <w:tcW w:w="1080" w:type="dxa"/>
            <w:vAlign w:val="bottom"/>
            <w:shd w:val="clear" w:color="auto" w:fill="CFF0FC"/>
          </w:tcPr>
          <w:p>
            <w:pPr>
              <w:jc w:val="center"/>
              <w:ind w:right="8"/>
              <w:spacing w:after="0"/>
              <w:rPr>
                <w:sz w:val="20"/>
                <w:szCs w:val="20"/>
                <w:color w:val="auto"/>
              </w:rPr>
            </w:pPr>
            <w:r>
              <w:rPr>
                <w:rFonts w:ascii="Arial" w:cs="Arial" w:eastAsia="Arial" w:hAnsi="Arial"/>
                <w:sz w:val="14"/>
                <w:szCs w:val="14"/>
                <w:color w:val="auto"/>
              </w:rPr>
              <w:t>N/A</w:t>
            </w:r>
          </w:p>
        </w:tc>
        <w:tc>
          <w:tcPr>
            <w:tcW w:w="11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Storage</w:t>
            </w:r>
          </w:p>
        </w:tc>
        <w:tc>
          <w:tcPr>
            <w:tcW w:w="100" w:type="dxa"/>
            <w:vAlign w:val="bottom"/>
          </w:tcPr>
          <w:p>
            <w:pPr>
              <w:spacing w:after="0"/>
              <w:rPr>
                <w:sz w:val="16"/>
                <w:szCs w:val="16"/>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71.4</w:t>
            </w:r>
          </w:p>
        </w:tc>
        <w:tc>
          <w:tcPr>
            <w:tcW w:w="1380" w:type="dxa"/>
            <w:vAlign w:val="bottom"/>
          </w:tcPr>
          <w:p>
            <w:pPr>
              <w:jc w:val="center"/>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65.8</w:t>
            </w:r>
          </w:p>
        </w:tc>
        <w:tc>
          <w:tcPr>
            <w:tcW w:w="180" w:type="dxa"/>
            <w:vAlign w:val="bottom"/>
          </w:tcPr>
          <w:p>
            <w:pPr>
              <w:spacing w:after="0"/>
              <w:rPr>
                <w:sz w:val="16"/>
                <w:szCs w:val="16"/>
                <w:color w:val="auto"/>
              </w:rPr>
            </w:pP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rPr>
              <w:t>41</w:t>
            </w:r>
          </w:p>
        </w:tc>
        <w:tc>
          <w:tcPr>
            <w:tcW w:w="1080" w:type="dxa"/>
            <w:vAlign w:val="bottom"/>
          </w:tcPr>
          <w:p>
            <w:pPr>
              <w:jc w:val="center"/>
              <w:ind w:right="8"/>
              <w:spacing w:after="0"/>
              <w:rPr>
                <w:sz w:val="20"/>
                <w:szCs w:val="20"/>
                <w:color w:val="auto"/>
              </w:rPr>
            </w:pPr>
            <w:r>
              <w:rPr>
                <w:rFonts w:ascii="Arial" w:cs="Arial" w:eastAsia="Arial" w:hAnsi="Arial"/>
                <w:sz w:val="14"/>
                <w:szCs w:val="14"/>
                <w:color w:val="auto"/>
              </w:rPr>
              <w:t>36</w:t>
            </w:r>
          </w:p>
        </w:tc>
        <w:tc>
          <w:tcPr>
            <w:tcW w:w="1160" w:type="dxa"/>
            <w:vAlign w:val="bottom"/>
          </w:tcPr>
          <w:p>
            <w:pPr>
              <w:jc w:val="center"/>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9"/>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General</w:t>
            </w: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571.8</w:t>
            </w:r>
          </w:p>
        </w:tc>
        <w:tc>
          <w:tcPr>
            <w:tcW w:w="138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497.4</w:t>
            </w:r>
          </w:p>
        </w:tc>
        <w:tc>
          <w:tcPr>
            <w:tcW w:w="1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jc w:val="center"/>
              <w:ind w:right="208"/>
              <w:spacing w:after="0"/>
              <w:rPr>
                <w:sz w:val="20"/>
                <w:szCs w:val="20"/>
                <w:color w:val="auto"/>
              </w:rPr>
            </w:pPr>
            <w:r>
              <w:rPr>
                <w:rFonts w:ascii="Arial" w:cs="Arial" w:eastAsia="Arial" w:hAnsi="Arial"/>
                <w:sz w:val="14"/>
                <w:szCs w:val="14"/>
                <w:color w:val="auto"/>
              </w:rPr>
              <w:t>23</w:t>
            </w:r>
          </w:p>
        </w:tc>
        <w:tc>
          <w:tcPr>
            <w:tcW w:w="1080" w:type="dxa"/>
            <w:vAlign w:val="bottom"/>
            <w:tcBorders>
              <w:bottom w:val="single" w:sz="8" w:color="CFF0FC"/>
            </w:tcBorders>
            <w:shd w:val="clear" w:color="auto" w:fill="CFF0FC"/>
          </w:tcPr>
          <w:p>
            <w:pPr>
              <w:jc w:val="center"/>
              <w:ind w:right="8"/>
              <w:spacing w:after="0"/>
              <w:rPr>
                <w:sz w:val="20"/>
                <w:szCs w:val="20"/>
                <w:color w:val="auto"/>
              </w:rPr>
            </w:pPr>
            <w:r>
              <w:rPr>
                <w:rFonts w:ascii="Arial" w:cs="Arial" w:eastAsia="Arial" w:hAnsi="Arial"/>
                <w:sz w:val="14"/>
                <w:szCs w:val="14"/>
                <w:color w:val="auto"/>
              </w:rPr>
              <w:t>20</w:t>
            </w:r>
          </w:p>
        </w:tc>
        <w:tc>
          <w:tcPr>
            <w:tcW w:w="11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Total gas plant in service</w:t>
            </w:r>
          </w:p>
        </w:tc>
        <w:tc>
          <w:tcPr>
            <w:tcW w:w="10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4,341.9</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3,959.7</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Construction work in progress</w:t>
            </w: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39.2</w:t>
            </w:r>
          </w:p>
        </w:tc>
        <w:tc>
          <w:tcPr>
            <w:tcW w:w="13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52.0</w:t>
            </w:r>
          </w:p>
        </w:tc>
        <w:tc>
          <w:tcPr>
            <w:tcW w:w="1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Total gas plant</w:t>
            </w:r>
          </w:p>
        </w:tc>
        <w:tc>
          <w:tcPr>
            <w:tcW w:w="100" w:type="dxa"/>
            <w:vAlign w:val="bottom"/>
          </w:tcPr>
          <w:p>
            <w:pPr>
              <w:spacing w:after="0"/>
              <w:rPr>
                <w:sz w:val="15"/>
                <w:szCs w:val="15"/>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4,381.1</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4,011.7</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Less accumulated depreciation</w:t>
            </w: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(588.3 )</w:t>
            </w:r>
          </w:p>
        </w:tc>
        <w:tc>
          <w:tcPr>
            <w:tcW w:w="138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(471.0 )</w:t>
            </w:r>
          </w:p>
        </w:tc>
        <w:tc>
          <w:tcPr>
            <w:tcW w:w="180" w:type="dxa"/>
            <w:vAlign w:val="bottom"/>
            <w:tcBorders>
              <w:bottom w:val="single" w:sz="8" w:color="CFF0FC"/>
            </w:tcBorders>
            <w:shd w:val="clear" w:color="auto" w:fill="CFF0FC"/>
          </w:tcPr>
          <w:p>
            <w:pPr>
              <w:spacing w:after="0"/>
              <w:rPr>
                <w:sz w:val="16"/>
                <w:szCs w:val="16"/>
                <w:color w:val="auto"/>
              </w:rPr>
            </w:pPr>
          </w:p>
        </w:tc>
        <w:tc>
          <w:tcPr>
            <w:tcW w:w="128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shd w:val="clear" w:color="auto" w:fill="CFF0FC"/>
          </w:tcPr>
          <w:p>
            <w:pPr>
              <w:spacing w:after="0"/>
              <w:rPr>
                <w:sz w:val="16"/>
                <w:szCs w:val="16"/>
                <w:color w:val="auto"/>
              </w:rPr>
            </w:pPr>
          </w:p>
        </w:tc>
        <w:tc>
          <w:tcPr>
            <w:tcW w:w="116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360" w:type="dxa"/>
            <w:vAlign w:val="bottom"/>
          </w:tcPr>
          <w:p>
            <w:pPr>
              <w:ind w:left="20"/>
              <w:spacing w:after="0"/>
              <w:rPr>
                <w:sz w:val="20"/>
                <w:szCs w:val="20"/>
                <w:color w:val="auto"/>
              </w:rPr>
            </w:pPr>
            <w:r>
              <w:rPr>
                <w:rFonts w:ascii="Arial" w:cs="Arial" w:eastAsia="Arial" w:hAnsi="Arial"/>
                <w:sz w:val="14"/>
                <w:szCs w:val="14"/>
                <w:color w:val="auto"/>
              </w:rPr>
              <w:t>Gas plant net of accumulated depreciation</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3,792.8</w:t>
            </w:r>
          </w:p>
        </w:tc>
        <w:tc>
          <w:tcPr>
            <w:tcW w:w="13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3,540.7</w:t>
            </w:r>
          </w:p>
        </w:tc>
        <w:tc>
          <w:tcPr>
            <w:tcW w:w="1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Arial" w:cs="Arial" w:eastAsia="Arial" w:hAnsi="Arial"/>
                <w:sz w:val="11"/>
                <w:szCs w:val="11"/>
                <w:color w:val="auto"/>
              </w:rPr>
              <w:t>____________________</w:t>
            </w: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-732790</wp:posOffset>
            </wp:positionV>
            <wp:extent cx="88265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-732790</wp:posOffset>
            </wp:positionV>
            <wp:extent cx="87439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-483870</wp:posOffset>
            </wp:positionV>
            <wp:extent cx="88265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-483870</wp:posOffset>
            </wp:positionV>
            <wp:extent cx="8743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7439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-235585</wp:posOffset>
            </wp:positionV>
            <wp:extent cx="88265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-235585</wp:posOffset>
            </wp:positionV>
            <wp:extent cx="87439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ind w:left="380" w:right="640" w:hanging="372"/>
        <w:spacing w:after="0" w:line="285" w:lineRule="auto"/>
        <w:tabs>
          <w:tab w:leader="none" w:pos="341" w:val="left"/>
        </w:tabs>
        <w:numPr>
          <w:ilvl w:val="0"/>
          <w:numId w:val="54"/>
        </w:numPr>
        <w:rPr>
          <w:rFonts w:ascii="Arial" w:cs="Arial" w:eastAsia="Arial" w:hAnsi="Arial"/>
          <w:sz w:val="14"/>
          <w:szCs w:val="14"/>
          <w:color w:val="auto"/>
        </w:rPr>
      </w:pPr>
      <w:r>
        <w:rPr>
          <w:rFonts w:ascii="Arial" w:cs="Arial" w:eastAsia="Arial" w:hAnsi="Arial"/>
          <w:sz w:val="14"/>
          <w:szCs w:val="14"/>
          <w:color w:val="auto"/>
        </w:rPr>
        <w:t>Depreciation of Cushion Gas is determined by the respective regulatory jurisdiction in which the Cushion Gas resides. In 2022, assets classified as Cushion gas - depreciable were fully depreciated and removed from gross plant in service and accumulated depreciation.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2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Lives (in years)</w:t>
            </w:r>
          </w:p>
        </w:tc>
      </w:tr>
      <w:tr>
        <w:trPr>
          <w:trHeight w:val="160"/>
        </w:trPr>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460" w:type="dxa"/>
            <w:vAlign w:val="bottom"/>
            <w:gridSpan w:val="2"/>
          </w:tcPr>
          <w:p>
            <w:pPr>
              <w:jc w:val="center"/>
              <w:ind w:right="48"/>
              <w:spacing w:after="0" w:line="160" w:lineRule="exact"/>
              <w:rPr>
                <w:sz w:val="20"/>
                <w:szCs w:val="20"/>
                <w:color w:val="auto"/>
              </w:rPr>
            </w:pPr>
            <w:r>
              <w:rPr>
                <w:rFonts w:ascii="Arial" w:cs="Arial" w:eastAsia="Arial" w:hAnsi="Arial"/>
                <w:sz w:val="14"/>
                <w:szCs w:val="14"/>
                <w:b w:val="1"/>
                <w:bCs w:val="1"/>
                <w:color w:val="auto"/>
              </w:rPr>
              <w:t>Weighted Average</w:t>
            </w: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2"/>
        </w:trPr>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ind w:left="20"/>
              <w:spacing w:after="0"/>
              <w:rPr>
                <w:sz w:val="20"/>
                <w:szCs w:val="20"/>
                <w:color w:val="auto"/>
              </w:rPr>
            </w:pPr>
            <w:r>
              <w:rPr>
                <w:rFonts w:ascii="Arial" w:cs="Arial" w:eastAsia="Arial" w:hAnsi="Arial"/>
                <w:sz w:val="14"/>
                <w:szCs w:val="14"/>
                <w:b w:val="1"/>
                <w:bCs w:val="1"/>
                <w:color w:val="auto"/>
              </w:rPr>
              <w:t>Property, Plant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Useful Life (in</w:t>
            </w:r>
          </w:p>
        </w:tc>
        <w:tc>
          <w:tcPr>
            <w:tcW w:w="100" w:type="dxa"/>
            <w:vAlign w:val="bottom"/>
          </w:tcPr>
          <w:p>
            <w:pPr>
              <w:spacing w:after="0"/>
              <w:rPr>
                <w:sz w:val="14"/>
                <w:szCs w:val="1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Property, Plant</w:t>
            </w:r>
          </w:p>
        </w:tc>
        <w:tc>
          <w:tcPr>
            <w:tcW w:w="1280" w:type="dxa"/>
            <w:vAlign w:val="bottom"/>
          </w:tcPr>
          <w:p>
            <w:pPr>
              <w:jc w:val="center"/>
              <w:ind w:right="228"/>
              <w:spacing w:after="0"/>
              <w:rPr>
                <w:sz w:val="20"/>
                <w:szCs w:val="20"/>
                <w:color w:val="auto"/>
              </w:rPr>
            </w:pPr>
            <w:r>
              <w:rPr>
                <w:rFonts w:ascii="Arial" w:cs="Arial" w:eastAsia="Arial" w:hAnsi="Arial"/>
                <w:sz w:val="14"/>
                <w:szCs w:val="14"/>
                <w:b w:val="1"/>
                <w:bCs w:val="1"/>
                <w:color w:val="auto"/>
              </w:rPr>
              <w:t>Useful Life (in</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85"/>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and Equipment</w:t>
            </w: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and Equipment</w:t>
            </w:r>
          </w:p>
        </w:tc>
        <w:tc>
          <w:tcPr>
            <w:tcW w:w="12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years)</w:t>
            </w:r>
          </w:p>
        </w:tc>
        <w:tc>
          <w:tcPr>
            <w:tcW w:w="10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Minimum</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Maximum</w:t>
            </w:r>
          </w:p>
        </w:tc>
      </w:tr>
      <w:tr>
        <w:trPr>
          <w:trHeight w:val="182"/>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plant in service</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5.7</w:t>
            </w:r>
          </w:p>
        </w:tc>
        <w:tc>
          <w:tcPr>
            <w:tcW w:w="138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5.7</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jc w:val="center"/>
              <w:ind w:right="188"/>
              <w:spacing w:after="0"/>
              <w:rPr>
                <w:sz w:val="20"/>
                <w:szCs w:val="20"/>
                <w:color w:val="auto"/>
              </w:rPr>
            </w:pPr>
            <w:r>
              <w:rPr>
                <w:rFonts w:ascii="Arial" w:cs="Arial" w:eastAsia="Arial" w:hAnsi="Arial"/>
                <w:sz w:val="14"/>
                <w:szCs w:val="14"/>
                <w:color w:val="auto"/>
                <w:w w:val="89"/>
              </w:rPr>
              <w:t>11</w:t>
            </w:r>
          </w:p>
        </w:tc>
        <w:tc>
          <w:tcPr>
            <w:tcW w:w="1080" w:type="dxa"/>
            <w:vAlign w:val="bottom"/>
            <w:shd w:val="clear" w:color="auto" w:fill="CFF0FC"/>
          </w:tcPr>
          <w:p>
            <w:pPr>
              <w:jc w:val="right"/>
              <w:ind w:right="468"/>
              <w:spacing w:after="0"/>
              <w:rPr>
                <w:sz w:val="20"/>
                <w:szCs w:val="20"/>
                <w:color w:val="auto"/>
              </w:rPr>
            </w:pPr>
            <w:r>
              <w:rPr>
                <w:rFonts w:ascii="Arial" w:cs="Arial" w:eastAsia="Arial" w:hAnsi="Arial"/>
                <w:sz w:val="14"/>
                <w:szCs w:val="14"/>
                <w:color w:val="auto"/>
              </w:rPr>
              <w:t>4</w:t>
            </w:r>
          </w:p>
        </w:tc>
        <w:tc>
          <w:tcPr>
            <w:tcW w:w="1160" w:type="dxa"/>
            <w:vAlign w:val="bottom"/>
            <w:shd w:val="clear" w:color="auto" w:fill="CFF0FC"/>
          </w:tcPr>
          <w:p>
            <w:pPr>
              <w:jc w:val="right"/>
              <w:ind w:right="428"/>
              <w:spacing w:after="0"/>
              <w:rPr>
                <w:sz w:val="20"/>
                <w:szCs w:val="20"/>
                <w:color w:val="auto"/>
              </w:rPr>
            </w:pPr>
            <w:r>
              <w:rPr>
                <w:rFonts w:ascii="Arial" w:cs="Arial" w:eastAsia="Arial" w:hAnsi="Arial"/>
                <w:sz w:val="14"/>
                <w:szCs w:val="14"/>
                <w:color w:val="auto"/>
              </w:rPr>
              <w:t>23</w:t>
            </w: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Construction work in progress</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13.6</w:t>
            </w:r>
          </w:p>
        </w:tc>
        <w:tc>
          <w:tcPr>
            <w:tcW w:w="1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13.7</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3"/>
        </w:trPr>
        <w:tc>
          <w:tcPr>
            <w:tcW w:w="33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Total gross property, plant and equipment</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19.3</w:t>
            </w: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19.4</w:t>
            </w:r>
          </w:p>
        </w:tc>
        <w:tc>
          <w:tcPr>
            <w:tcW w:w="1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r>
      <w:tr>
        <w:trPr>
          <w:trHeight w:val="189"/>
        </w:trPr>
        <w:tc>
          <w:tcPr>
            <w:tcW w:w="336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(1.9 )</w:t>
            </w:r>
          </w:p>
        </w:tc>
        <w:tc>
          <w:tcPr>
            <w:tcW w:w="13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(1.8 )</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23"/>
        </w:trPr>
        <w:tc>
          <w:tcPr>
            <w:tcW w:w="3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Total net of accumulated depreciation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17.4</w:t>
            </w:r>
          </w:p>
        </w:tc>
        <w:tc>
          <w:tcPr>
            <w:tcW w:w="13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17.6</w:t>
            </w:r>
          </w:p>
        </w:tc>
        <w:tc>
          <w:tcPr>
            <w:tcW w:w="180" w:type="dxa"/>
            <w:vAlign w:val="bottom"/>
            <w:tcBorders>
              <w:bottom w:val="single" w:sz="8" w:color="CFF0FC"/>
            </w:tcBorders>
            <w:shd w:val="clear" w:color="auto" w:fill="CFF0FC"/>
          </w:tcPr>
          <w:p>
            <w:pPr>
              <w:spacing w:after="0"/>
              <w:rPr>
                <w:sz w:val="19"/>
                <w:szCs w:val="19"/>
                <w:color w:val="auto"/>
              </w:rPr>
            </w:pPr>
          </w:p>
        </w:tc>
        <w:tc>
          <w:tcPr>
            <w:tcW w:w="128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-24765</wp:posOffset>
            </wp:positionV>
            <wp:extent cx="8826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2650"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-8255</wp:posOffset>
            </wp:positionV>
            <wp:extent cx="88265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265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87439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87439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74395"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0" w:name="page81"/>
    <w:bookmarkEnd w:id="8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JOINTLY OWNED FACILITIES</w:t>
      </w:r>
    </w:p>
    <w:p>
      <w:pPr>
        <w:spacing w:after="0" w:line="194" w:lineRule="exact"/>
        <w:rPr>
          <w:sz w:val="20"/>
          <w:szCs w:val="20"/>
          <w:color w:val="auto"/>
        </w:rPr>
      </w:pPr>
    </w:p>
    <w:p>
      <w:pPr>
        <w:jc w:val="both"/>
        <w:ind w:right="640"/>
        <w:spacing w:after="0" w:line="266" w:lineRule="auto"/>
        <w:rPr>
          <w:sz w:val="20"/>
          <w:szCs w:val="20"/>
          <w:color w:val="auto"/>
        </w:rPr>
      </w:pPr>
      <w:r>
        <w:rPr>
          <w:rFonts w:ascii="Arial" w:cs="Arial" w:eastAsia="Arial" w:hAnsi="Arial"/>
          <w:sz w:val="16"/>
          <w:szCs w:val="16"/>
          <w:color w:val="auto"/>
        </w:rPr>
        <w:t>Our consolidated financial statements include our share of several jointly-owned facilities as described below. Our share of the facilities’ expenses is reflected in the appropriate categories of operating expenses in the Consolidated Statements of Income. Each owner of the facility is responsible for financing its investment in the jointly-owned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2023, our interests in jointly-owned generating facilities and transmission systems were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20" w:type="dxa"/>
            <w:vAlign w:val="bottom"/>
          </w:tcPr>
          <w:p>
            <w:pPr>
              <w:jc w:val="center"/>
              <w:ind w:right="259"/>
              <w:spacing w:after="0"/>
              <w:rPr>
                <w:sz w:val="20"/>
                <w:szCs w:val="20"/>
                <w:color w:val="auto"/>
              </w:rPr>
            </w:pPr>
            <w:r>
              <w:rPr>
                <w:rFonts w:ascii="Arial" w:cs="Arial" w:eastAsia="Arial" w:hAnsi="Arial"/>
                <w:sz w:val="16"/>
                <w:szCs w:val="16"/>
                <w:b w:val="1"/>
                <w:bCs w:val="1"/>
                <w:color w:val="auto"/>
              </w:rPr>
              <w:t>Plant Net of</w:t>
            </w:r>
          </w:p>
        </w:tc>
      </w:tr>
      <w:tr>
        <w:trPr>
          <w:trHeight w:val="189"/>
        </w:trPr>
        <w:tc>
          <w:tcPr>
            <w:tcW w:w="25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7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Construction Work</w:t>
            </w:r>
          </w:p>
        </w:tc>
        <w:tc>
          <w:tcPr>
            <w:tcW w:w="1960" w:type="dxa"/>
            <w:vAlign w:val="bottom"/>
            <w:gridSpan w:val="2"/>
          </w:tcPr>
          <w:p>
            <w:pPr>
              <w:jc w:val="right"/>
              <w:ind w:right="339"/>
              <w:spacing w:after="0"/>
              <w:rPr>
                <w:sz w:val="20"/>
                <w:szCs w:val="20"/>
                <w:color w:val="auto"/>
              </w:rPr>
            </w:pPr>
            <w:r>
              <w:rPr>
                <w:rFonts w:ascii="Arial" w:cs="Arial" w:eastAsia="Arial" w:hAnsi="Arial"/>
                <w:sz w:val="16"/>
                <w:szCs w:val="16"/>
                <w:b w:val="1"/>
                <w:bCs w:val="1"/>
                <w:color w:val="auto"/>
              </w:rPr>
              <w:t>Less Accumulated</w:t>
            </w:r>
          </w:p>
        </w:tc>
        <w:tc>
          <w:tcPr>
            <w:tcW w:w="1520" w:type="dxa"/>
            <w:vAlign w:val="bottom"/>
          </w:tcPr>
          <w:p>
            <w:pPr>
              <w:jc w:val="center"/>
              <w:ind w:right="259"/>
              <w:spacing w:after="0"/>
              <w:rPr>
                <w:sz w:val="20"/>
                <w:szCs w:val="20"/>
                <w:color w:val="auto"/>
              </w:rPr>
            </w:pPr>
            <w:r>
              <w:rPr>
                <w:rFonts w:ascii="Arial" w:cs="Arial" w:eastAsia="Arial" w:hAnsi="Arial"/>
                <w:sz w:val="16"/>
                <w:szCs w:val="16"/>
                <w:b w:val="1"/>
                <w:bCs w:val="1"/>
                <w:color w:val="auto"/>
              </w:rPr>
              <w:t>Accumulated</w:t>
            </w:r>
          </w:p>
        </w:tc>
      </w:tr>
      <w:tr>
        <w:trPr>
          <w:trHeight w:val="217"/>
        </w:trPr>
        <w:tc>
          <w:tcPr>
            <w:tcW w:w="2580" w:type="dxa"/>
            <w:vAlign w:val="bottom"/>
          </w:tcPr>
          <w:p>
            <w:pPr>
              <w:spacing w:after="0"/>
              <w:rPr>
                <w:sz w:val="18"/>
                <w:szCs w:val="18"/>
                <w:color w:val="auto"/>
              </w:rPr>
            </w:pPr>
          </w:p>
        </w:tc>
        <w:tc>
          <w:tcPr>
            <w:tcW w:w="1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Ownership Interest</w:t>
            </w:r>
          </w:p>
        </w:tc>
        <w:tc>
          <w:tcPr>
            <w:tcW w:w="15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Plant in Service</w:t>
            </w: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 Progress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Depreciation</w:t>
            </w:r>
          </w:p>
        </w:tc>
        <w:tc>
          <w:tcPr>
            <w:tcW w:w="152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Depreciation</w:t>
            </w:r>
          </w:p>
        </w:tc>
      </w:tr>
      <w:tr>
        <w:trPr>
          <w:trHeight w:val="209"/>
        </w:trPr>
        <w:tc>
          <w:tcPr>
            <w:tcW w:w="258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Wyodak Plant </w:t>
            </w:r>
            <w:r>
              <w:rPr>
                <w:rFonts w:ascii="Arial" w:cs="Arial" w:eastAsia="Arial" w:hAnsi="Arial"/>
                <w:sz w:val="21"/>
                <w:szCs w:val="21"/>
                <w:color w:val="auto"/>
                <w:vertAlign w:val="superscript"/>
              </w:rPr>
              <w:t>(a)</w:t>
            </w: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20 %$</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(73.4 ) $</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48.9</w:t>
            </w:r>
          </w:p>
        </w:tc>
      </w:tr>
      <w:tr>
        <w:trPr>
          <w:trHeight w:val="215"/>
        </w:trPr>
        <w:tc>
          <w:tcPr>
            <w:tcW w:w="2580" w:type="dxa"/>
            <w:vAlign w:val="bottom"/>
          </w:tcPr>
          <w:p>
            <w:pPr>
              <w:ind w:left="20"/>
              <w:spacing w:after="0"/>
              <w:rPr>
                <w:sz w:val="20"/>
                <w:szCs w:val="20"/>
                <w:color w:val="auto"/>
              </w:rPr>
            </w:pPr>
            <w:r>
              <w:rPr>
                <w:rFonts w:ascii="Arial" w:cs="Arial" w:eastAsia="Arial" w:hAnsi="Arial"/>
                <w:sz w:val="16"/>
                <w:szCs w:val="16"/>
                <w:color w:val="auto"/>
              </w:rPr>
              <w:t>Transmission Tie</w:t>
            </w:r>
          </w:p>
        </w:tc>
        <w:tc>
          <w:tcPr>
            <w:tcW w:w="1960" w:type="dxa"/>
            <w:vAlign w:val="bottom"/>
          </w:tcPr>
          <w:p>
            <w:pPr>
              <w:jc w:val="right"/>
              <w:spacing w:after="0"/>
              <w:rPr>
                <w:sz w:val="20"/>
                <w:szCs w:val="20"/>
                <w:color w:val="auto"/>
              </w:rPr>
            </w:pPr>
            <w:r>
              <w:rPr>
                <w:rFonts w:ascii="Arial" w:cs="Arial" w:eastAsia="Arial" w:hAnsi="Arial"/>
                <w:sz w:val="16"/>
                <w:szCs w:val="16"/>
                <w:color w:val="auto"/>
              </w:rPr>
              <w:t>35 %$</w:t>
            </w:r>
          </w:p>
        </w:tc>
        <w:tc>
          <w:tcPr>
            <w:tcW w:w="1500" w:type="dxa"/>
            <w:vAlign w:val="bottom"/>
          </w:tcPr>
          <w:p>
            <w:pPr>
              <w:jc w:val="right"/>
              <w:spacing w:after="0"/>
              <w:rPr>
                <w:sz w:val="20"/>
                <w:szCs w:val="20"/>
                <w:color w:val="auto"/>
              </w:rPr>
            </w:pPr>
            <w:r>
              <w:rPr>
                <w:rFonts w:ascii="Arial" w:cs="Arial" w:eastAsia="Arial" w:hAnsi="Arial"/>
                <w:sz w:val="16"/>
                <w:szCs w:val="16"/>
                <w:color w:val="auto"/>
              </w:rPr>
              <w:t>24.5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0.3</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(7.8 ) $</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17.0</w:t>
            </w:r>
          </w:p>
        </w:tc>
      </w:tr>
      <w:tr>
        <w:trPr>
          <w:trHeight w:val="217"/>
        </w:trPr>
        <w:tc>
          <w:tcPr>
            <w:tcW w:w="2580" w:type="dxa"/>
            <w:vAlign w:val="bottom"/>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Wygen III </w:t>
            </w:r>
            <w:r>
              <w:rPr>
                <w:rFonts w:ascii="Arial" w:cs="Arial" w:eastAsia="Arial" w:hAnsi="Arial"/>
                <w:sz w:val="21"/>
                <w:szCs w:val="21"/>
                <w:color w:val="auto"/>
                <w:vertAlign w:val="superscript"/>
              </w:rPr>
              <w:t>(b)</w:t>
            </w:r>
          </w:p>
        </w:tc>
        <w:tc>
          <w:tcPr>
            <w:tcW w:w="1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52 %$</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(32.2 ) $</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113.4</w:t>
            </w:r>
          </w:p>
        </w:tc>
      </w:tr>
      <w:tr>
        <w:trPr>
          <w:trHeight w:val="290"/>
        </w:trPr>
        <w:tc>
          <w:tcPr>
            <w:tcW w:w="2580" w:type="dxa"/>
            <w:vAlign w:val="bottom"/>
          </w:tcPr>
          <w:p>
            <w:pPr>
              <w:ind w:left="20"/>
              <w:spacing w:after="0"/>
              <w:rPr>
                <w:sz w:val="20"/>
                <w:szCs w:val="20"/>
                <w:color w:val="auto"/>
              </w:rPr>
            </w:pPr>
            <w:r>
              <w:rPr>
                <w:rFonts w:ascii="Arial" w:cs="Arial" w:eastAsia="Arial" w:hAnsi="Arial"/>
                <w:sz w:val="16"/>
                <w:szCs w:val="16"/>
                <w:color w:val="auto"/>
              </w:rPr>
              <w:t xml:space="preserve">Wygen I </w:t>
            </w:r>
            <w:r>
              <w:rPr>
                <w:rFonts w:ascii="Arial" w:cs="Arial" w:eastAsia="Arial" w:hAnsi="Arial"/>
                <w:sz w:val="21"/>
                <w:szCs w:val="21"/>
                <w:color w:val="auto"/>
                <w:vertAlign w:val="superscript"/>
              </w:rPr>
              <w:t>(c)</w:t>
            </w:r>
          </w:p>
        </w:tc>
        <w:tc>
          <w:tcPr>
            <w:tcW w:w="1960" w:type="dxa"/>
            <w:vAlign w:val="bottom"/>
          </w:tcPr>
          <w:p>
            <w:pPr>
              <w:jc w:val="right"/>
              <w:spacing w:after="0"/>
              <w:rPr>
                <w:sz w:val="20"/>
                <w:szCs w:val="20"/>
                <w:color w:val="auto"/>
              </w:rPr>
            </w:pPr>
            <w:r>
              <w:rPr>
                <w:rFonts w:ascii="Arial" w:cs="Arial" w:eastAsia="Arial" w:hAnsi="Arial"/>
                <w:sz w:val="16"/>
                <w:szCs w:val="16"/>
                <w:color w:val="auto"/>
              </w:rPr>
              <w:t>76.5 %$</w:t>
            </w:r>
          </w:p>
        </w:tc>
        <w:tc>
          <w:tcPr>
            <w:tcW w:w="1500" w:type="dxa"/>
            <w:vAlign w:val="bottom"/>
          </w:tcPr>
          <w:p>
            <w:pPr>
              <w:jc w:val="right"/>
              <w:spacing w:after="0"/>
              <w:rPr>
                <w:sz w:val="20"/>
                <w:szCs w:val="20"/>
                <w:color w:val="auto"/>
              </w:rPr>
            </w:pPr>
            <w:r>
              <w:rPr>
                <w:rFonts w:ascii="Arial" w:cs="Arial" w:eastAsia="Arial" w:hAnsi="Arial"/>
                <w:sz w:val="16"/>
                <w:szCs w:val="16"/>
                <w:color w:val="auto"/>
              </w:rPr>
              <w:t>116.0</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(60.1 ) $</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56.7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21431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86" w:lineRule="exact"/>
        <w:rPr>
          <w:sz w:val="20"/>
          <w:szCs w:val="20"/>
          <w:color w:val="auto"/>
        </w:rPr>
      </w:pPr>
    </w:p>
    <w:p>
      <w:pPr>
        <w:jc w:val="both"/>
        <w:ind w:left="520" w:right="220" w:hanging="512"/>
        <w:spacing w:after="0" w:line="248"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In addition to supplying South Dakota Electric with coal for its share of the Wyodak Plant, our mine supplies PacifiCorp’s share of the coal under a separate long-term agreement through December 31, 2026, with an annual renewal option for one-year extensions. This coal supply agreement is collateralized by a mortgage on and a security interest in some of WRDC’s coal reserves.</w:t>
      </w:r>
    </w:p>
    <w:p>
      <w:pPr>
        <w:ind w:left="520" w:hanging="512"/>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South Dakota Electric retains responsibility for plant operations. WRDC supplies fuel to Wygen III for the life of the plant.</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Black Hills Wyoming retains responsibility for plant operations. WRDC supplies fuel to Wygen I for the life of the plant.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ASSET RETIREMENT OBLIGATIONS</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identified legal obligations related to reclamation of mining sites; removal of fuel tanks, transformers containing polychlorinated biphenyls, an evaporation pond; and reclamation of wind turbine sites at our Electric Utilities segment. In addition, we have identified legal obligations related to retirement of gas pipelines, wells and compressor stations at our Gas Utilities and removal of asbestos at our Utilities. We periodically review and update estimated costs related to these AROs. The actual cost may vary from estimates due to regulatory requirements, changes in technology and increased labor, materials and equipment costs.</w:t>
      </w:r>
    </w:p>
    <w:p>
      <w:pPr>
        <w:spacing w:after="0" w:line="15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following tables present the details of AROs which are included on the accompanying Consolidated Balance Sheets in Other deferred credits and other liabilities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Liabilities</w:t>
            </w: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center"/>
              <w:ind w:right="319"/>
              <w:spacing w:after="0"/>
              <w:rPr>
                <w:sz w:val="20"/>
                <w:szCs w:val="20"/>
                <w:color w:val="auto"/>
              </w:rPr>
            </w:pPr>
            <w:r>
              <w:rPr>
                <w:rFonts w:ascii="Arial" w:cs="Arial" w:eastAsia="Arial" w:hAnsi="Arial"/>
                <w:sz w:val="16"/>
                <w:szCs w:val="16"/>
                <w:b w:val="1"/>
                <w:bCs w:val="1"/>
                <w:color w:val="auto"/>
              </w:rPr>
              <w:t>Revisions to</w:t>
            </w: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2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Incurred</w:t>
            </w:r>
          </w:p>
        </w:tc>
        <w:tc>
          <w:tcPr>
            <w:tcW w:w="3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Liabilities Settled</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Accretion</w:t>
            </w:r>
          </w:p>
        </w:tc>
        <w:tc>
          <w:tcPr>
            <w:tcW w:w="164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rPr>
              <w:t>Prior Estimates</w:t>
            </w: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210"/>
        </w:trPr>
        <w:tc>
          <w:tcPr>
            <w:tcW w:w="2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w:t>
            </w:r>
          </w:p>
        </w:tc>
        <w:tc>
          <w:tcPr>
            <w:tcW w:w="1180" w:type="dxa"/>
            <w:vAlign w:val="bottom"/>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FF0FC"/>
          </w:tcPr>
          <w:p>
            <w:pPr>
              <w:ind w:left="940"/>
              <w:spacing w:after="0"/>
              <w:rPr>
                <w:sz w:val="20"/>
                <w:szCs w:val="20"/>
                <w:color w:val="auto"/>
              </w:rPr>
            </w:pPr>
            <w:r>
              <w:rPr>
                <w:rFonts w:ascii="Arial" w:cs="Arial" w:eastAsia="Arial" w:hAnsi="Arial"/>
                <w:sz w:val="16"/>
                <w:szCs w:val="16"/>
                <w:color w:val="auto"/>
                <w:w w:val="94"/>
              </w:rPr>
              <w:t>(0.1 ) $</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28.7</w:t>
            </w:r>
          </w:p>
        </w:tc>
      </w:tr>
      <w:tr>
        <w:trPr>
          <w:trHeight w:val="216"/>
        </w:trPr>
        <w:tc>
          <w:tcPr>
            <w:tcW w:w="216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61.3</w:t>
            </w:r>
          </w:p>
        </w:tc>
        <w:tc>
          <w:tcPr>
            <w:tcW w:w="1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w:t>
            </w: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(2.8 )</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67.5</w:t>
            </w:r>
          </w:p>
        </w:tc>
      </w:tr>
      <w:tr>
        <w:trPr>
          <w:trHeight w:val="249"/>
        </w:trPr>
        <w:tc>
          <w:tcPr>
            <w:tcW w:w="2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88.9</w:t>
            </w:r>
          </w:p>
        </w:tc>
        <w:tc>
          <w:tcPr>
            <w:tcW w:w="118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740" w:type="dxa"/>
            <w:vAlign w:val="bottom"/>
            <w:tcBorders>
              <w:bottom w:val="single" w:sz="8" w:color="auto"/>
            </w:tcBorders>
            <w:shd w:val="clear" w:color="auto" w:fill="CFF0FC"/>
          </w:tcPr>
          <w:p>
            <w:pPr>
              <w:jc w:val="right"/>
              <w:ind w:right="4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w w:val="94"/>
              </w:rPr>
              <w:t>(2.9 ) $</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96.2</w:t>
            </w:r>
          </w:p>
        </w:tc>
      </w:tr>
    </w:tbl>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December 31,</w:t>
            </w:r>
          </w:p>
        </w:tc>
        <w:tc>
          <w:tcPr>
            <w:tcW w:w="1220" w:type="dxa"/>
            <w:vAlign w:val="bottom"/>
          </w:tcPr>
          <w:p>
            <w:pPr>
              <w:jc w:val="right"/>
              <w:ind w:right="19"/>
              <w:spacing w:after="0"/>
              <w:rPr>
                <w:sz w:val="20"/>
                <w:szCs w:val="20"/>
                <w:color w:val="auto"/>
              </w:rPr>
            </w:pPr>
            <w:r>
              <w:rPr>
                <w:rFonts w:ascii="Arial" w:cs="Arial" w:eastAsia="Arial" w:hAnsi="Arial"/>
                <w:sz w:val="16"/>
                <w:szCs w:val="16"/>
                <w:b w:val="1"/>
                <w:bCs w:val="1"/>
                <w:color w:val="auto"/>
              </w:rPr>
              <w:t>Liabilities</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199"/>
              <w:spacing w:after="0"/>
              <w:rPr>
                <w:sz w:val="20"/>
                <w:szCs w:val="20"/>
                <w:color w:val="auto"/>
              </w:rPr>
            </w:pPr>
            <w:r>
              <w:rPr>
                <w:rFonts w:ascii="Arial" w:cs="Arial" w:eastAsia="Arial" w:hAnsi="Arial"/>
                <w:sz w:val="16"/>
                <w:szCs w:val="16"/>
                <w:b w:val="1"/>
                <w:bCs w:val="1"/>
                <w:color w:val="auto"/>
              </w:rPr>
              <w:t>Revisions to</w:t>
            </w:r>
          </w:p>
        </w:tc>
        <w:tc>
          <w:tcPr>
            <w:tcW w:w="160" w:type="dxa"/>
            <w:vAlign w:val="bottom"/>
          </w:tcPr>
          <w:p>
            <w:pPr>
              <w:spacing w:after="0"/>
              <w:rPr>
                <w:sz w:val="16"/>
                <w:szCs w:val="16"/>
                <w:color w:val="auto"/>
              </w:rPr>
            </w:pP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2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Incurred</w:t>
            </w: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Liabilities Settled</w:t>
            </w:r>
          </w:p>
        </w:tc>
        <w:tc>
          <w:tcPr>
            <w:tcW w:w="12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Accretion</w:t>
            </w:r>
          </w:p>
        </w:tc>
        <w:tc>
          <w:tcPr>
            <w:tcW w:w="148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Prior Estimates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09"/>
        </w:trPr>
        <w:tc>
          <w:tcPr>
            <w:tcW w:w="2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Electric Utilities</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30.1</w:t>
            </w:r>
          </w:p>
        </w:tc>
        <w:tc>
          <w:tcPr>
            <w:tcW w:w="1220" w:type="dxa"/>
            <w:vAlign w:val="bottom"/>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(3.0 ) $</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(0.9 ) $</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w:t>
            </w:r>
          </w:p>
        </w:tc>
      </w:tr>
      <w:tr>
        <w:trPr>
          <w:trHeight w:val="216"/>
        </w:trPr>
        <w:tc>
          <w:tcPr>
            <w:tcW w:w="21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Gas Utilities </w:t>
            </w:r>
            <w:r>
              <w:rPr>
                <w:rFonts w:ascii="Arial" w:cs="Arial" w:eastAsia="Arial" w:hAnsi="Arial"/>
                <w:sz w:val="21"/>
                <w:szCs w:val="21"/>
                <w:color w:val="auto"/>
                <w:vertAlign w:val="superscript"/>
              </w:rPr>
              <w:t>(a)</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45.5</w:t>
            </w:r>
          </w:p>
        </w:tc>
        <w:tc>
          <w:tcPr>
            <w:tcW w:w="12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500"/>
              <w:spacing w:after="0"/>
              <w:rPr>
                <w:sz w:val="20"/>
                <w:szCs w:val="20"/>
                <w:color w:val="auto"/>
              </w:rPr>
            </w:pPr>
            <w:r>
              <w:rPr>
                <w:rFonts w:ascii="Arial" w:cs="Arial" w:eastAsia="Arial" w:hAnsi="Arial"/>
                <w:sz w:val="16"/>
                <w:szCs w:val="16"/>
                <w:color w:val="auto"/>
              </w:rPr>
              <w:t>(0.2 )</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61.3</w:t>
            </w:r>
          </w:p>
        </w:tc>
      </w:tr>
      <w:tr>
        <w:trPr>
          <w:trHeight w:val="249"/>
        </w:trPr>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75.6</w:t>
            </w:r>
          </w:p>
        </w:tc>
        <w:tc>
          <w:tcPr>
            <w:tcW w:w="1220" w:type="dxa"/>
            <w:vAlign w:val="bottom"/>
            <w:tcBorders>
              <w:bottom w:val="single" w:sz="8" w:color="auto"/>
            </w:tcBorders>
            <w:shd w:val="clear" w:color="auto" w:fill="CFF0FC"/>
          </w:tcPr>
          <w:p>
            <w:pPr>
              <w:jc w:val="right"/>
              <w:ind w:right="9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FF0FC"/>
          </w:tcPr>
          <w:p>
            <w:pPr>
              <w:ind w:left="500"/>
              <w:spacing w:after="0"/>
              <w:rPr>
                <w:sz w:val="20"/>
                <w:szCs w:val="20"/>
                <w:color w:val="auto"/>
              </w:rPr>
            </w:pPr>
            <w:r>
              <w:rPr>
                <w:rFonts w:ascii="Arial" w:cs="Arial" w:eastAsia="Arial" w:hAnsi="Arial"/>
                <w:sz w:val="16"/>
                <w:szCs w:val="16"/>
                <w:color w:val="auto"/>
              </w:rPr>
              <w:t>(3.2 ) $</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88.9</w:t>
            </w:r>
          </w:p>
        </w:tc>
      </w:tr>
      <w:tr>
        <w:trPr>
          <w:trHeight w:val="116"/>
        </w:trPr>
        <w:tc>
          <w:tcPr>
            <w:tcW w:w="2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Revisions to Prior Estimates were primarily driven by changes in estimates associated with natural gas wells and compressor stations.</w:t>
      </w:r>
    </w:p>
    <w:p>
      <w:pPr>
        <w:spacing w:after="0" w:line="158"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1" w:name="page82"/>
    <w:bookmarkEnd w:id="8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FINANCING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194"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We maintain an effective shelf registration statement with the SEC under which we may issue, from time to time, an unspecified amount of senior debt securities, subordinate debt securities, common stock, preferred stock, warrants and other securities. In anticipation of the approaching expiration of our previous shelf registration statement on Form S-3 originally filed on August 4, 2020 (Registration No. 333-240320), we filed a new shelf registration statement on Form S-3 on June 16, 2023 (Registration No. 333-272739).</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Short-term debt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 and CP Program</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On May 9, 2023, we amended and restated our corporate Revolving Credit Facility, which replaced LIBOR as a benchmark interest rate with the SOFR. The adoption of SOFR as a benchmark interest rate was in advance of the scheduled elimination of LIBOR as a benchmark interest rate on June 30, 2023. No other significant terms or conditions, including borrowing capacity, credit spreads or financial covenants were modified under these amendments and restatements.</w:t>
      </w:r>
    </w:p>
    <w:p>
      <w:pPr>
        <w:spacing w:after="0" w:line="151" w:lineRule="exact"/>
        <w:rPr>
          <w:sz w:val="20"/>
          <w:szCs w:val="20"/>
          <w:color w:val="auto"/>
        </w:rPr>
      </w:pPr>
    </w:p>
    <w:p>
      <w:pPr>
        <w:jc w:val="both"/>
        <w:ind w:right="120"/>
        <w:spacing w:after="0" w:line="253" w:lineRule="auto"/>
        <w:rPr>
          <w:sz w:val="20"/>
          <w:szCs w:val="20"/>
          <w:color w:val="auto"/>
        </w:rPr>
      </w:pPr>
      <w:r>
        <w:rPr>
          <w:rFonts w:ascii="Arial" w:cs="Arial" w:eastAsia="Arial" w:hAnsi="Arial"/>
          <w:sz w:val="16"/>
          <w:szCs w:val="16"/>
          <w:color w:val="auto"/>
        </w:rPr>
        <w:t>We have a $750 million Revolving Credit Facility that matures on July 19, 2026, with two one-year extension options (subject to consent from lenders). This facility includes an accordion feature that allows us to increase total commitments up to $1.0 billion with the consent of the administrative agent, the issuing agents and each bank increasing or providing a new commitment. Borrowings continue to be available under a base rate or various SOFR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current credit ratings, the margins for base rate borrowings, SOFR borrowings and letters of credit were 0.125%, 1.125% and 1.125%, respectively, at December 31, 2023. Based on our credit ratings, the commitment fee on unused amounts was 0.175%.</w:t>
      </w:r>
    </w:p>
    <w:p>
      <w:pPr>
        <w:spacing w:after="0" w:line="15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3" w:lineRule="exact"/>
        <w:rPr>
          <w:sz w:val="20"/>
          <w:szCs w:val="20"/>
          <w:color w:val="auto"/>
        </w:rPr>
      </w:pPr>
    </w:p>
    <w:p>
      <w:pPr>
        <w:ind w:right="320"/>
        <w:spacing w:after="0" w:line="286" w:lineRule="auto"/>
        <w:rPr>
          <w:sz w:val="20"/>
          <w:szCs w:val="20"/>
          <w:color w:val="auto"/>
        </w:rPr>
      </w:pPr>
      <w:r>
        <w:rPr>
          <w:rFonts w:ascii="Arial" w:cs="Arial" w:eastAsia="Arial" w:hAnsi="Arial"/>
          <w:sz w:val="16"/>
          <w:szCs w:val="16"/>
          <w:color w:val="auto"/>
        </w:rPr>
        <w:t>Our Revolving Credit Facility and CP Program, which are classified as Notes payable on the Consolidated Balance Sheets, had the following borrowings, outstanding letters of credit, and available capacity at December 31 (dollars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50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115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8"/>
                <w:szCs w:val="18"/>
                <w:color w:val="auto"/>
              </w:rPr>
            </w:pPr>
          </w:p>
        </w:tc>
      </w:tr>
      <w:tr>
        <w:trPr>
          <w:trHeight w:val="209"/>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Amount outstanding</w:t>
            </w:r>
          </w:p>
        </w:tc>
        <w:tc>
          <w:tcPr>
            <w:tcW w:w="3580" w:type="dxa"/>
            <w:vAlign w:val="bottom"/>
            <w:shd w:val="clear" w:color="auto" w:fill="CFF0FC"/>
          </w:tcPr>
          <w:p>
            <w:pPr>
              <w:jc w:val="right"/>
              <w:ind w:right="167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  $</w:t>
            </w: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535.6</w:t>
            </w:r>
          </w:p>
        </w:tc>
        <w:tc>
          <w:tcPr>
            <w:tcW w:w="40" w:type="dxa"/>
            <w:vAlign w:val="bottom"/>
          </w:tcPr>
          <w:p>
            <w:pPr>
              <w:spacing w:after="0"/>
              <w:rPr>
                <w:sz w:val="18"/>
                <w:szCs w:val="18"/>
                <w:color w:val="auto"/>
              </w:rPr>
            </w:pPr>
          </w:p>
        </w:tc>
      </w:tr>
      <w:tr>
        <w:trPr>
          <w:trHeight w:val="216"/>
        </w:trPr>
        <w:tc>
          <w:tcPr>
            <w:tcW w:w="40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Letters of credit </w:t>
            </w:r>
            <w:r>
              <w:rPr>
                <w:rFonts w:ascii="Arial" w:cs="Arial" w:eastAsia="Arial" w:hAnsi="Arial"/>
                <w:sz w:val="21"/>
                <w:szCs w:val="21"/>
                <w:color w:val="auto"/>
                <w:vertAlign w:val="superscript"/>
              </w:rPr>
              <w:t>(a)</w:t>
            </w:r>
          </w:p>
        </w:tc>
        <w:tc>
          <w:tcPr>
            <w:tcW w:w="3580" w:type="dxa"/>
            <w:vAlign w:val="bottom"/>
          </w:tcPr>
          <w:p>
            <w:pPr>
              <w:spacing w:after="0"/>
              <w:rPr>
                <w:sz w:val="18"/>
                <w:szCs w:val="18"/>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color w:val="auto"/>
              </w:rPr>
              <w:t>3.7</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24.6</w:t>
            </w:r>
          </w:p>
        </w:tc>
        <w:tc>
          <w:tcPr>
            <w:tcW w:w="40" w:type="dxa"/>
            <w:vAlign w:val="bottom"/>
          </w:tcPr>
          <w:p>
            <w:pPr>
              <w:spacing w:after="0"/>
              <w:rPr>
                <w:sz w:val="18"/>
                <w:szCs w:val="18"/>
                <w:color w:val="auto"/>
              </w:rPr>
            </w:pPr>
          </w:p>
        </w:tc>
      </w:tr>
      <w:tr>
        <w:trPr>
          <w:trHeight w:val="216"/>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Available capacity</w:t>
            </w:r>
          </w:p>
        </w:tc>
        <w:tc>
          <w:tcPr>
            <w:tcW w:w="35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639"/>
              <w:spacing w:after="0"/>
              <w:rPr>
                <w:sz w:val="20"/>
                <w:szCs w:val="20"/>
                <w:color w:val="auto"/>
              </w:rPr>
            </w:pPr>
            <w:r>
              <w:rPr>
                <w:rFonts w:ascii="Arial" w:cs="Arial" w:eastAsia="Arial" w:hAnsi="Arial"/>
                <w:sz w:val="16"/>
                <w:szCs w:val="16"/>
                <w:color w:val="auto"/>
              </w:rPr>
              <w:t>746.3</w:t>
            </w:r>
          </w:p>
        </w:tc>
        <w:tc>
          <w:tcPr>
            <w:tcW w:w="21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189.8</w:t>
            </w:r>
          </w:p>
        </w:tc>
        <w:tc>
          <w:tcPr>
            <w:tcW w:w="40" w:type="dxa"/>
            <w:vAlign w:val="bottom"/>
          </w:tcPr>
          <w:p>
            <w:pPr>
              <w:spacing w:after="0"/>
              <w:rPr>
                <w:sz w:val="18"/>
                <w:szCs w:val="18"/>
                <w:color w:val="auto"/>
              </w:rPr>
            </w:pP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3580" w:type="dxa"/>
            <w:vAlign w:val="bottom"/>
          </w:tcPr>
          <w:p>
            <w:pPr>
              <w:spacing w:after="0"/>
              <w:rPr>
                <w:sz w:val="18"/>
                <w:szCs w:val="18"/>
                <w:color w:val="auto"/>
              </w:rPr>
            </w:pPr>
          </w:p>
        </w:tc>
        <w:tc>
          <w:tcPr>
            <w:tcW w:w="1500" w:type="dxa"/>
            <w:vAlign w:val="bottom"/>
          </w:tcPr>
          <w:p>
            <w:pPr>
              <w:jc w:val="right"/>
              <w:ind w:right="639"/>
              <w:spacing w:after="0"/>
              <w:rPr>
                <w:sz w:val="20"/>
                <w:szCs w:val="20"/>
                <w:color w:val="auto"/>
              </w:rPr>
            </w:pPr>
            <w:r>
              <w:rPr>
                <w:rFonts w:ascii="Arial" w:cs="Arial" w:eastAsia="Arial" w:hAnsi="Arial"/>
                <w:sz w:val="16"/>
                <w:szCs w:val="16"/>
                <w:color w:val="auto"/>
              </w:rPr>
              <w:t>N/A</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4.88 %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14312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4"/>
          <w:szCs w:val="14"/>
          <w:color w:val="auto"/>
        </w:rPr>
      </w:pPr>
      <w:r>
        <w:rPr>
          <w:rFonts w:ascii="Arial" w:cs="Arial" w:eastAsia="Arial" w:hAnsi="Arial"/>
          <w:sz w:val="14"/>
          <w:szCs w:val="14"/>
          <w:color w:val="auto"/>
        </w:rPr>
        <w:t>Letters of credit are off-balance sheet commitments that reduce the borrowing capacity available on our corporate Revolving Credit Facility.</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Revolving Credit Facility and CP Program borrowing activity for the years ended December 31 was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8"/>
                <w:szCs w:val="18"/>
                <w:color w:val="auto"/>
              </w:rPr>
            </w:pPr>
          </w:p>
        </w:tc>
      </w:tr>
      <w:tr>
        <w:trPr>
          <w:trHeight w:val="210"/>
        </w:trPr>
        <w:tc>
          <w:tcPr>
            <w:tcW w:w="6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Maximum amount outstanding (based on daily outstanding balances)</w:t>
            </w:r>
          </w:p>
        </w:tc>
        <w:tc>
          <w:tcPr>
            <w:tcW w:w="2440" w:type="dxa"/>
            <w:vAlign w:val="bottom"/>
            <w:shd w:val="clear" w:color="auto" w:fill="CFF0FC"/>
          </w:tcPr>
          <w:p>
            <w:pPr>
              <w:jc w:val="right"/>
              <w:ind w:right="107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548.7</w:t>
            </w:r>
          </w:p>
        </w:tc>
        <w:tc>
          <w:tcPr>
            <w:tcW w:w="48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572.3</w:t>
            </w:r>
          </w:p>
        </w:tc>
        <w:tc>
          <w:tcPr>
            <w:tcW w:w="40" w:type="dxa"/>
            <w:vAlign w:val="bottom"/>
          </w:tcPr>
          <w:p>
            <w:pPr>
              <w:spacing w:after="0"/>
              <w:rPr>
                <w:sz w:val="18"/>
                <w:szCs w:val="18"/>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Average amount outstanding (based on daily outstanding balances)</w:t>
            </w:r>
          </w:p>
        </w:tc>
        <w:tc>
          <w:tcPr>
            <w:tcW w:w="2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81.7</w:t>
            </w:r>
          </w:p>
        </w:tc>
        <w:tc>
          <w:tcPr>
            <w:tcW w:w="48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390.7</w:t>
            </w:r>
          </w:p>
        </w:tc>
        <w:tc>
          <w:tcPr>
            <w:tcW w:w="40" w:type="dxa"/>
            <w:vAlign w:val="bottom"/>
          </w:tcPr>
          <w:p>
            <w:pPr>
              <w:spacing w:after="0"/>
              <w:rPr>
                <w:sz w:val="18"/>
                <w:szCs w:val="18"/>
                <w:color w:val="auto"/>
              </w:rPr>
            </w:pP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Weighted average interest rates</w:t>
            </w:r>
          </w:p>
        </w:tc>
        <w:tc>
          <w:tcPr>
            <w:tcW w:w="2440" w:type="dxa"/>
            <w:vAlign w:val="bottom"/>
          </w:tcPr>
          <w:p>
            <w:pPr>
              <w:spacing w:after="0"/>
              <w:rPr>
                <w:sz w:val="18"/>
                <w:szCs w:val="18"/>
                <w:color w:val="auto"/>
              </w:rPr>
            </w:pPr>
          </w:p>
        </w:tc>
        <w:tc>
          <w:tcPr>
            <w:tcW w:w="1120" w:type="dxa"/>
            <w:vAlign w:val="bottom"/>
            <w:gridSpan w:val="2"/>
          </w:tcPr>
          <w:p>
            <w:pPr>
              <w:jc w:val="right"/>
              <w:ind w:right="299"/>
              <w:spacing w:after="0"/>
              <w:rPr>
                <w:sz w:val="20"/>
                <w:szCs w:val="20"/>
                <w:color w:val="auto"/>
              </w:rPr>
            </w:pPr>
            <w:r>
              <w:rPr>
                <w:rFonts w:ascii="Arial" w:cs="Arial" w:eastAsia="Arial" w:hAnsi="Arial"/>
                <w:sz w:val="16"/>
                <w:szCs w:val="16"/>
                <w:color w:val="auto"/>
              </w:rPr>
              <w:t>4.91 %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2.11 %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132320"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Deferred Financing Costs on the Revolving Credit Facility</w:t>
      </w:r>
    </w:p>
    <w:p>
      <w:pPr>
        <w:spacing w:after="0" w:line="192"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auto"/>
        </w:rPr>
        <w:t>Total accumulated deferred financing costs on the Revolving Credit Facility of $8.9 million are being amortized over its estimated useful life and were included in Interest expense on the accompanying Consolidated Statements of Income. See below for additional details.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4"/>
        </w:trPr>
        <w:tc>
          <w:tcPr>
            <w:tcW w:w="4840" w:type="dxa"/>
            <w:vAlign w:val="bottom"/>
            <w:gridSpan w:val="5"/>
          </w:tcPr>
          <w:p>
            <w:pPr>
              <w:spacing w:after="0"/>
              <w:rPr>
                <w:sz w:val="20"/>
                <w:szCs w:val="20"/>
                <w:color w:val="auto"/>
              </w:rPr>
            </w:pPr>
            <w:r>
              <w:rPr>
                <w:rFonts w:ascii="Arial" w:cs="Arial" w:eastAsia="Arial" w:hAnsi="Arial"/>
                <w:sz w:val="16"/>
                <w:szCs w:val="16"/>
                <w:b w:val="1"/>
                <w:bCs w:val="1"/>
                <w:color w:val="0000FF"/>
              </w:rPr>
              <w:t>Table of Contents</w:t>
            </w:r>
          </w:p>
        </w:tc>
        <w:tc>
          <w:tcPr>
            <w:tcW w:w="1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620"/>
        </w:trPr>
        <w:tc>
          <w:tcPr>
            <w:tcW w:w="1360" w:type="dxa"/>
            <w:vAlign w:val="bottom"/>
            <w:tcBorders>
              <w:top w:val="single" w:sz="8" w:color="0000FF"/>
            </w:tcBorders>
            <w:gridSpan w:val="3"/>
          </w:tcPr>
          <w:p>
            <w:pPr>
              <w:spacing w:after="0"/>
              <w:rPr>
                <w:sz w:val="20"/>
                <w:szCs w:val="20"/>
                <w:color w:val="auto"/>
              </w:rPr>
            </w:pPr>
            <w:r>
              <w:rPr>
                <w:rFonts w:ascii="Arial" w:cs="Arial" w:eastAsia="Arial" w:hAnsi="Arial"/>
                <w:sz w:val="16"/>
                <w:szCs w:val="16"/>
                <w:b w:val="1"/>
                <w:bCs w:val="1"/>
                <w:color w:val="auto"/>
              </w:rPr>
              <w:t>Long-term debt</w:t>
            </w:r>
          </w:p>
        </w:tc>
        <w:tc>
          <w:tcPr>
            <w:tcW w:w="3480" w:type="dxa"/>
            <w:vAlign w:val="bottom"/>
            <w:gridSpan w:val="2"/>
          </w:tcPr>
          <w:p>
            <w:pPr>
              <w:spacing w:after="0"/>
              <w:rPr>
                <w:sz w:val="24"/>
                <w:szCs w:val="24"/>
                <w:color w:val="auto"/>
              </w:rPr>
            </w:pP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0"/>
        </w:trPr>
        <w:tc>
          <w:tcPr>
            <w:tcW w:w="4840" w:type="dxa"/>
            <w:vAlign w:val="bottom"/>
            <w:gridSpan w:val="5"/>
          </w:tcPr>
          <w:p>
            <w:pPr>
              <w:spacing w:after="0"/>
              <w:rPr>
                <w:sz w:val="20"/>
                <w:szCs w:val="20"/>
                <w:color w:val="auto"/>
              </w:rPr>
            </w:pPr>
            <w:r>
              <w:rPr>
                <w:rFonts w:ascii="Arial" w:cs="Arial" w:eastAsia="Arial" w:hAnsi="Arial"/>
                <w:sz w:val="16"/>
                <w:szCs w:val="16"/>
                <w:color w:val="auto"/>
              </w:rPr>
              <w:t>Long-term debt outstanding was as follows (dollars in millions):</w:t>
            </w:r>
          </w:p>
        </w:tc>
        <w:tc>
          <w:tcPr>
            <w:tcW w:w="1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06"/>
        </w:trPr>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6"/>
                <w:szCs w:val="16"/>
                <w:b w:val="1"/>
                <w:bCs w:val="1"/>
                <w:color w:val="auto"/>
              </w:rPr>
              <w:t>Interest Rate at</w:t>
            </w:r>
          </w:p>
        </w:tc>
        <w:tc>
          <w:tcPr>
            <w:tcW w:w="120" w:type="dxa"/>
            <w:vAlign w:val="bottom"/>
          </w:tcPr>
          <w:p>
            <w:pPr>
              <w:spacing w:after="0"/>
              <w:rPr>
                <w:sz w:val="24"/>
                <w:szCs w:val="24"/>
                <w:color w:val="auto"/>
              </w:rPr>
            </w:pPr>
          </w:p>
        </w:tc>
        <w:tc>
          <w:tcPr>
            <w:tcW w:w="278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Balance Outstanding</w:t>
            </w:r>
          </w:p>
        </w:tc>
      </w:tr>
      <w:tr>
        <w:trPr>
          <w:trHeight w:val="189"/>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299"/>
              <w:spacing w:after="0"/>
              <w:rPr>
                <w:sz w:val="20"/>
                <w:szCs w:val="20"/>
                <w:color w:val="auto"/>
              </w:rPr>
            </w:pPr>
            <w:r>
              <w:rPr>
                <w:rFonts w:ascii="Arial" w:cs="Arial" w:eastAsia="Arial" w:hAnsi="Arial"/>
                <w:sz w:val="16"/>
                <w:szCs w:val="16"/>
                <w:b w:val="1"/>
                <w:bCs w:val="1"/>
                <w:color w:val="auto"/>
                <w:w w:val="99"/>
              </w:rPr>
              <w:t>December 31,</w:t>
            </w:r>
          </w:p>
        </w:tc>
        <w:tc>
          <w:tcPr>
            <w:tcW w:w="1340" w:type="dxa"/>
            <w:vAlign w:val="bottom"/>
          </w:tcPr>
          <w:p>
            <w:pPr>
              <w:jc w:val="right"/>
              <w:ind w:right="19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Due Date</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December 31, 2023</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169"/>
        </w:trPr>
        <w:tc>
          <w:tcPr>
            <w:tcW w:w="20" w:type="dxa"/>
            <w:vAlign w:val="bottom"/>
            <w:shd w:val="clear" w:color="auto" w:fill="CFF0FC"/>
          </w:tcPr>
          <w:p>
            <w:pPr>
              <w:spacing w:after="0"/>
              <w:rPr>
                <w:sz w:val="14"/>
                <w:szCs w:val="14"/>
                <w:color w:val="auto"/>
              </w:rPr>
            </w:pPr>
          </w:p>
        </w:tc>
        <w:tc>
          <w:tcPr>
            <w:tcW w:w="482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Corporate</w:t>
            </w:r>
          </w:p>
        </w:tc>
        <w:tc>
          <w:tcPr>
            <w:tcW w:w="1840" w:type="dxa"/>
            <w:vAlign w:val="bottom"/>
            <w:shd w:val="clear" w:color="auto" w:fill="CFF0FC"/>
          </w:tcPr>
          <w:p>
            <w:pPr>
              <w:spacing w:after="0"/>
              <w:rPr>
                <w:sz w:val="14"/>
                <w:szCs w:val="14"/>
                <w:color w:val="auto"/>
              </w:rPr>
            </w:pPr>
          </w:p>
        </w:tc>
        <w:tc>
          <w:tcPr>
            <w:tcW w:w="16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60" w:type="dxa"/>
            <w:vAlign w:val="bottom"/>
            <w:tcBorders>
              <w:top w:val="single" w:sz="8" w:color="CFF0FC"/>
            </w:tcBorders>
            <w:shd w:val="clear" w:color="auto" w:fill="CFF0FC"/>
          </w:tcPr>
          <w:p>
            <w:pPr>
              <w:spacing w:after="0" w:line="20" w:lineRule="exact"/>
              <w:rPr>
                <w:sz w:val="1"/>
                <w:szCs w:val="1"/>
                <w:color w:val="auto"/>
              </w:rPr>
            </w:pPr>
          </w:p>
        </w:tc>
        <w:tc>
          <w:tcPr>
            <w:tcW w:w="1840" w:type="dxa"/>
            <w:vAlign w:val="bottom"/>
            <w:tcBorders>
              <w:top w:val="single" w:sz="8" w:color="CFF0FC"/>
            </w:tcBorders>
            <w:shd w:val="clear" w:color="auto" w:fill="CFF0FC"/>
          </w:tcPr>
          <w:p>
            <w:pPr>
              <w:spacing w:after="0" w:line="20" w:lineRule="exact"/>
              <w:rPr>
                <w:sz w:val="1"/>
                <w:szCs w:val="1"/>
                <w:color w:val="auto"/>
              </w:rPr>
            </w:pPr>
          </w:p>
        </w:tc>
        <w:tc>
          <w:tcPr>
            <w:tcW w:w="16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4820" w:type="dxa"/>
            <w:vAlign w:val="bottom"/>
            <w:gridSpan w:val="4"/>
          </w:tcPr>
          <w:p>
            <w:pPr>
              <w:spacing w:after="0"/>
              <w:rPr>
                <w:sz w:val="20"/>
                <w:szCs w:val="20"/>
                <w:color w:val="auto"/>
              </w:rPr>
            </w:pPr>
            <w:r>
              <w:rPr>
                <w:rFonts w:ascii="Arial" w:cs="Arial" w:eastAsia="Arial" w:hAnsi="Arial"/>
                <w:sz w:val="16"/>
                <w:szCs w:val="16"/>
                <w:color w:val="auto"/>
              </w:rPr>
              <w:t>Senior unsecured notes due 2023</w:t>
            </w:r>
          </w:p>
        </w:tc>
        <w:tc>
          <w:tcPr>
            <w:tcW w:w="1840" w:type="dxa"/>
            <w:vAlign w:val="bottom"/>
          </w:tcPr>
          <w:p>
            <w:pPr>
              <w:jc w:val="center"/>
              <w:spacing w:after="0"/>
              <w:rPr>
                <w:sz w:val="20"/>
                <w:szCs w:val="20"/>
                <w:color w:val="auto"/>
              </w:rPr>
            </w:pPr>
            <w:r>
              <w:rPr>
                <w:rFonts w:ascii="Arial" w:cs="Arial" w:eastAsia="Arial" w:hAnsi="Arial"/>
                <w:sz w:val="16"/>
                <w:szCs w:val="16"/>
                <w:color w:val="auto"/>
              </w:rPr>
              <w:t>November 30, 2023</w:t>
            </w:r>
          </w:p>
        </w:tc>
        <w:tc>
          <w:tcPr>
            <w:tcW w:w="166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  $</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525.0</w:t>
            </w:r>
          </w:p>
        </w:tc>
      </w:tr>
      <w:tr>
        <w:trPr>
          <w:trHeight w:val="217"/>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Senior unsecured notes due 2024</w:t>
            </w:r>
          </w:p>
        </w:tc>
        <w:tc>
          <w:tcPr>
            <w:tcW w:w="1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August 23, 2024</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600.0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600.0</w:t>
            </w: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Senior unsecured notes due 2026</w:t>
            </w:r>
          </w:p>
        </w:tc>
        <w:tc>
          <w:tcPr>
            <w:tcW w:w="1840" w:type="dxa"/>
            <w:vAlign w:val="bottom"/>
          </w:tcPr>
          <w:p>
            <w:pPr>
              <w:jc w:val="center"/>
              <w:spacing w:after="0"/>
              <w:rPr>
                <w:sz w:val="20"/>
                <w:szCs w:val="20"/>
                <w:color w:val="auto"/>
              </w:rPr>
            </w:pPr>
            <w:r>
              <w:rPr>
                <w:rFonts w:ascii="Arial" w:cs="Arial" w:eastAsia="Arial" w:hAnsi="Arial"/>
                <w:sz w:val="16"/>
                <w:szCs w:val="16"/>
                <w:color w:val="auto"/>
              </w:rPr>
              <w:t>January 15, 2026</w:t>
            </w:r>
          </w:p>
        </w:tc>
        <w:tc>
          <w:tcPr>
            <w:tcW w:w="1660" w:type="dxa"/>
            <w:vAlign w:val="bottom"/>
          </w:tcPr>
          <w:p>
            <w:pPr>
              <w:jc w:val="center"/>
              <w:spacing w:after="0"/>
              <w:rPr>
                <w:sz w:val="20"/>
                <w:szCs w:val="20"/>
                <w:color w:val="auto"/>
              </w:rPr>
            </w:pPr>
            <w:r>
              <w:rPr>
                <w:rFonts w:ascii="Arial" w:cs="Arial" w:eastAsia="Arial" w:hAnsi="Arial"/>
                <w:sz w:val="16"/>
                <w:szCs w:val="16"/>
                <w:color w:val="auto"/>
              </w:rPr>
              <w:t>3.95%</w:t>
            </w:r>
          </w:p>
        </w:tc>
        <w:tc>
          <w:tcPr>
            <w:tcW w:w="12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300.0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300.0</w:t>
            </w:r>
          </w:p>
        </w:tc>
      </w:tr>
      <w:tr>
        <w:trPr>
          <w:trHeight w:val="217"/>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Senior unsecured notes due 2027</w:t>
            </w:r>
          </w:p>
        </w:tc>
        <w:tc>
          <w:tcPr>
            <w:tcW w:w="1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January 15, 2027</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3.15%</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400.0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w:t>
            </w: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Senior unsecured notes due 2028</w:t>
            </w:r>
          </w:p>
        </w:tc>
        <w:tc>
          <w:tcPr>
            <w:tcW w:w="1840" w:type="dxa"/>
            <w:vAlign w:val="bottom"/>
          </w:tcPr>
          <w:p>
            <w:pPr>
              <w:jc w:val="center"/>
              <w:spacing w:after="0"/>
              <w:rPr>
                <w:sz w:val="20"/>
                <w:szCs w:val="20"/>
                <w:color w:val="auto"/>
              </w:rPr>
            </w:pPr>
            <w:r>
              <w:rPr>
                <w:rFonts w:ascii="Arial" w:cs="Arial" w:eastAsia="Arial" w:hAnsi="Arial"/>
                <w:sz w:val="16"/>
                <w:szCs w:val="16"/>
                <w:color w:val="auto"/>
              </w:rPr>
              <w:t>March 15, 2028</w:t>
            </w:r>
          </w:p>
        </w:tc>
        <w:tc>
          <w:tcPr>
            <w:tcW w:w="1660" w:type="dxa"/>
            <w:vAlign w:val="bottom"/>
          </w:tcPr>
          <w:p>
            <w:pPr>
              <w:jc w:val="center"/>
              <w:spacing w:after="0"/>
              <w:rPr>
                <w:sz w:val="20"/>
                <w:szCs w:val="20"/>
                <w:color w:val="auto"/>
              </w:rPr>
            </w:pPr>
            <w:r>
              <w:rPr>
                <w:rFonts w:ascii="Arial" w:cs="Arial" w:eastAsia="Arial" w:hAnsi="Arial"/>
                <w:sz w:val="16"/>
                <w:szCs w:val="16"/>
                <w:color w:val="auto"/>
              </w:rPr>
              <w:t>5.95%</w:t>
            </w:r>
          </w:p>
        </w:tc>
        <w:tc>
          <w:tcPr>
            <w:tcW w:w="12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350.0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Senior unsecured notes, due 2029</w:t>
            </w:r>
          </w:p>
        </w:tc>
        <w:tc>
          <w:tcPr>
            <w:tcW w:w="1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October 15, 2029</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3.05%</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400.0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w:t>
            </w: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Senior unsecured notes, due 2030</w:t>
            </w:r>
          </w:p>
        </w:tc>
        <w:tc>
          <w:tcPr>
            <w:tcW w:w="1840" w:type="dxa"/>
            <w:vAlign w:val="bottom"/>
          </w:tcPr>
          <w:p>
            <w:pPr>
              <w:jc w:val="center"/>
              <w:spacing w:after="0"/>
              <w:rPr>
                <w:sz w:val="20"/>
                <w:szCs w:val="20"/>
                <w:color w:val="auto"/>
              </w:rPr>
            </w:pPr>
            <w:r>
              <w:rPr>
                <w:rFonts w:ascii="Arial" w:cs="Arial" w:eastAsia="Arial" w:hAnsi="Arial"/>
                <w:sz w:val="16"/>
                <w:szCs w:val="16"/>
                <w:color w:val="auto"/>
              </w:rPr>
              <w:t>June 15, 2030</w:t>
            </w:r>
          </w:p>
        </w:tc>
        <w:tc>
          <w:tcPr>
            <w:tcW w:w="1660" w:type="dxa"/>
            <w:vAlign w:val="bottom"/>
          </w:tcPr>
          <w:p>
            <w:pPr>
              <w:jc w:val="center"/>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400.0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400.0</w:t>
            </w:r>
          </w:p>
        </w:tc>
      </w:tr>
      <w:tr>
        <w:trPr>
          <w:trHeight w:val="217"/>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Senior unsecured notes due 2033</w:t>
            </w:r>
          </w:p>
        </w:tc>
        <w:tc>
          <w:tcPr>
            <w:tcW w:w="18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May 1, 2033</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400.0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400.0</w:t>
            </w: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Senior unsecured notes due 2034</w:t>
            </w:r>
          </w:p>
        </w:tc>
        <w:tc>
          <w:tcPr>
            <w:tcW w:w="1840" w:type="dxa"/>
            <w:vAlign w:val="bottom"/>
          </w:tcPr>
          <w:p>
            <w:pPr>
              <w:jc w:val="center"/>
              <w:spacing w:after="0"/>
              <w:rPr>
                <w:sz w:val="20"/>
                <w:szCs w:val="20"/>
                <w:color w:val="auto"/>
              </w:rPr>
            </w:pPr>
            <w:r>
              <w:rPr>
                <w:rFonts w:ascii="Arial" w:cs="Arial" w:eastAsia="Arial" w:hAnsi="Arial"/>
                <w:sz w:val="16"/>
                <w:szCs w:val="16"/>
                <w:color w:val="auto"/>
              </w:rPr>
              <w:t>May 15, 2034</w:t>
            </w:r>
          </w:p>
        </w:tc>
        <w:tc>
          <w:tcPr>
            <w:tcW w:w="1660" w:type="dxa"/>
            <w:vAlign w:val="bottom"/>
          </w:tcPr>
          <w:p>
            <w:pPr>
              <w:jc w:val="center"/>
              <w:spacing w:after="0"/>
              <w:rPr>
                <w:sz w:val="20"/>
                <w:szCs w:val="20"/>
                <w:color w:val="auto"/>
              </w:rPr>
            </w:pPr>
            <w:r>
              <w:rPr>
                <w:rFonts w:ascii="Arial" w:cs="Arial" w:eastAsia="Arial" w:hAnsi="Arial"/>
                <w:sz w:val="16"/>
                <w:szCs w:val="16"/>
                <w:color w:val="auto"/>
              </w:rPr>
              <w:t>6.15%</w:t>
            </w:r>
          </w:p>
        </w:tc>
        <w:tc>
          <w:tcPr>
            <w:tcW w:w="12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450.0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Senior unsecured notes, due 2046</w:t>
            </w:r>
          </w:p>
        </w:tc>
        <w:tc>
          <w:tcPr>
            <w:tcW w:w="1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September 15, 2046</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300.0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300.0</w:t>
            </w:r>
          </w:p>
        </w:tc>
      </w:tr>
      <w:tr>
        <w:trPr>
          <w:trHeight w:val="216"/>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Senior unsecured notes, due 2049</w:t>
            </w:r>
          </w:p>
        </w:tc>
        <w:tc>
          <w:tcPr>
            <w:tcW w:w="1840" w:type="dxa"/>
            <w:vAlign w:val="bottom"/>
          </w:tcPr>
          <w:p>
            <w:pPr>
              <w:jc w:val="center"/>
              <w:spacing w:after="0"/>
              <w:rPr>
                <w:sz w:val="20"/>
                <w:szCs w:val="20"/>
                <w:color w:val="auto"/>
              </w:rPr>
            </w:pPr>
            <w:r>
              <w:rPr>
                <w:rFonts w:ascii="Arial" w:cs="Arial" w:eastAsia="Arial" w:hAnsi="Arial"/>
                <w:sz w:val="16"/>
                <w:szCs w:val="16"/>
                <w:color w:val="auto"/>
              </w:rPr>
              <w:t>October 15, 2049</w:t>
            </w:r>
          </w:p>
        </w:tc>
        <w:tc>
          <w:tcPr>
            <w:tcW w:w="1660" w:type="dxa"/>
            <w:vAlign w:val="bottom"/>
          </w:tcPr>
          <w:p>
            <w:pPr>
              <w:jc w:val="center"/>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300.0</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300.0</w:t>
            </w:r>
          </w:p>
        </w:tc>
      </w:tr>
      <w:tr>
        <w:trPr>
          <w:trHeight w:val="209"/>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Total Corporate debt</w:t>
            </w:r>
          </w:p>
        </w:tc>
        <w:tc>
          <w:tcPr>
            <w:tcW w:w="18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3,900.0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3,625.0</w:t>
            </w: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Less unamortized debt discount</w:t>
            </w:r>
          </w:p>
        </w:tc>
        <w:tc>
          <w:tcPr>
            <w:tcW w:w="1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(8.9 )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r>
      <w:tr>
        <w:trPr>
          <w:trHeight w:val="210"/>
        </w:trPr>
        <w:tc>
          <w:tcPr>
            <w:tcW w:w="484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Corporate debt, net</w:t>
            </w:r>
          </w:p>
        </w:tc>
        <w:tc>
          <w:tcPr>
            <w:tcW w:w="18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3,891.1</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3,619.7</w:t>
            </w:r>
          </w:p>
        </w:tc>
      </w:tr>
      <w:tr>
        <w:trPr>
          <w:trHeight w:val="210"/>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96"/>
        </w:trPr>
        <w:tc>
          <w:tcPr>
            <w:tcW w:w="20" w:type="dxa"/>
            <w:vAlign w:val="bottom"/>
            <w:tcBorders>
              <w:bottom w:val="single" w:sz="8" w:color="CFF0FC"/>
            </w:tcBorders>
            <w:shd w:val="clear" w:color="auto" w:fill="CFF0FC"/>
          </w:tcPr>
          <w:p>
            <w:pPr>
              <w:spacing w:after="0"/>
              <w:rPr>
                <w:sz w:val="17"/>
                <w:szCs w:val="17"/>
                <w:color w:val="auto"/>
              </w:rPr>
            </w:pPr>
          </w:p>
        </w:tc>
        <w:tc>
          <w:tcPr>
            <w:tcW w:w="1560" w:type="dxa"/>
            <w:vAlign w:val="bottom"/>
            <w:tcBorders>
              <w:bottom w:val="single" w:sz="8" w:color="auto"/>
            </w:tcBorders>
            <w:gridSpan w:val="3"/>
            <w:shd w:val="clear" w:color="auto" w:fill="CFF0FC"/>
          </w:tcPr>
          <w:p>
            <w:pPr>
              <w:spacing w:after="0" w:line="175" w:lineRule="exact"/>
              <w:rPr>
                <w:sz w:val="20"/>
                <w:szCs w:val="20"/>
                <w:color w:val="auto"/>
              </w:rPr>
            </w:pPr>
            <w:r>
              <w:rPr>
                <w:rFonts w:ascii="Arial" w:cs="Arial" w:eastAsia="Arial" w:hAnsi="Arial"/>
                <w:sz w:val="16"/>
                <w:szCs w:val="16"/>
                <w:color w:val="auto"/>
              </w:rPr>
              <w:t>South Dakota Electric</w:t>
            </w:r>
          </w:p>
        </w:tc>
        <w:tc>
          <w:tcPr>
            <w:tcW w:w="326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CFF0FC"/>
            </w:tcBorders>
            <w:shd w:val="clear" w:color="auto" w:fill="CFF0FC"/>
          </w:tcPr>
          <w:p>
            <w:pPr>
              <w:spacing w:after="0"/>
              <w:rPr>
                <w:sz w:val="17"/>
                <w:szCs w:val="17"/>
                <w:color w:val="auto"/>
              </w:rPr>
            </w:pPr>
          </w:p>
        </w:tc>
        <w:tc>
          <w:tcPr>
            <w:tcW w:w="16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4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CFF0FC"/>
            </w:tcBorders>
            <w:shd w:val="clear" w:color="auto" w:fill="CFF0FC"/>
          </w:tcPr>
          <w:p>
            <w:pPr>
              <w:spacing w:after="0"/>
              <w:rPr>
                <w:sz w:val="17"/>
                <w:szCs w:val="17"/>
                <w:color w:val="auto"/>
              </w:rPr>
            </w:pP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First Mortgage Bonds due 2032</w:t>
            </w:r>
          </w:p>
        </w:tc>
        <w:tc>
          <w:tcPr>
            <w:tcW w:w="1840" w:type="dxa"/>
            <w:vAlign w:val="bottom"/>
          </w:tcPr>
          <w:p>
            <w:pPr>
              <w:jc w:val="center"/>
              <w:spacing w:after="0"/>
              <w:rPr>
                <w:sz w:val="20"/>
                <w:szCs w:val="20"/>
                <w:color w:val="auto"/>
              </w:rPr>
            </w:pPr>
            <w:r>
              <w:rPr>
                <w:rFonts w:ascii="Arial" w:cs="Arial" w:eastAsia="Arial" w:hAnsi="Arial"/>
                <w:sz w:val="16"/>
                <w:szCs w:val="16"/>
                <w:color w:val="auto"/>
              </w:rPr>
              <w:t>August 15, 2032</w:t>
            </w:r>
          </w:p>
        </w:tc>
        <w:tc>
          <w:tcPr>
            <w:tcW w:w="1660" w:type="dxa"/>
            <w:vAlign w:val="bottom"/>
          </w:tcPr>
          <w:p>
            <w:pPr>
              <w:jc w:val="center"/>
              <w:spacing w:after="0"/>
              <w:rPr>
                <w:sz w:val="20"/>
                <w:szCs w:val="20"/>
                <w:color w:val="auto"/>
              </w:rPr>
            </w:pPr>
            <w:r>
              <w:rPr>
                <w:rFonts w:ascii="Arial" w:cs="Arial" w:eastAsia="Arial" w:hAnsi="Arial"/>
                <w:sz w:val="16"/>
                <w:szCs w:val="16"/>
                <w:color w:val="auto"/>
              </w:rPr>
              <w:t>7.23%</w:t>
            </w:r>
          </w:p>
        </w:tc>
        <w:tc>
          <w:tcPr>
            <w:tcW w:w="12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75.0</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75.0</w:t>
            </w:r>
          </w:p>
        </w:tc>
      </w:tr>
      <w:tr>
        <w:trPr>
          <w:trHeight w:val="217"/>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First Mortgage Bonds due 2039</w:t>
            </w:r>
          </w:p>
        </w:tc>
        <w:tc>
          <w:tcPr>
            <w:tcW w:w="18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November 1, 2039</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6.13%</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180.0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180.0</w:t>
            </w:r>
          </w:p>
        </w:tc>
      </w:tr>
      <w:tr>
        <w:trPr>
          <w:trHeight w:val="216"/>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First Mortgage Bonds due 2044</w:t>
            </w:r>
          </w:p>
        </w:tc>
        <w:tc>
          <w:tcPr>
            <w:tcW w:w="1840" w:type="dxa"/>
            <w:vAlign w:val="bottom"/>
          </w:tcPr>
          <w:p>
            <w:pPr>
              <w:jc w:val="center"/>
              <w:spacing w:after="0"/>
              <w:rPr>
                <w:sz w:val="20"/>
                <w:szCs w:val="20"/>
                <w:color w:val="auto"/>
              </w:rPr>
            </w:pPr>
            <w:r>
              <w:rPr>
                <w:rFonts w:ascii="Arial" w:cs="Arial" w:eastAsia="Arial" w:hAnsi="Arial"/>
                <w:sz w:val="16"/>
                <w:szCs w:val="16"/>
                <w:color w:val="auto"/>
              </w:rPr>
              <w:t>October 20, 2044</w:t>
            </w:r>
          </w:p>
        </w:tc>
        <w:tc>
          <w:tcPr>
            <w:tcW w:w="1660" w:type="dxa"/>
            <w:vAlign w:val="bottom"/>
          </w:tcPr>
          <w:p>
            <w:pPr>
              <w:jc w:val="center"/>
              <w:spacing w:after="0"/>
              <w:rPr>
                <w:sz w:val="20"/>
                <w:szCs w:val="20"/>
                <w:color w:val="auto"/>
              </w:rPr>
            </w:pPr>
            <w:r>
              <w:rPr>
                <w:rFonts w:ascii="Arial" w:cs="Arial" w:eastAsia="Arial" w:hAnsi="Arial"/>
                <w:sz w:val="16"/>
                <w:szCs w:val="16"/>
                <w:color w:val="auto"/>
              </w:rPr>
              <w:t>4.43%</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85.0</w:t>
            </w:r>
          </w:p>
        </w:tc>
        <w:tc>
          <w:tcPr>
            <w:tcW w:w="1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85.0</w:t>
            </w:r>
          </w:p>
        </w:tc>
      </w:tr>
      <w:tr>
        <w:trPr>
          <w:trHeight w:val="209"/>
        </w:trPr>
        <w:tc>
          <w:tcPr>
            <w:tcW w:w="484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Total South Dakota Electric debt</w:t>
            </w:r>
          </w:p>
        </w:tc>
        <w:tc>
          <w:tcPr>
            <w:tcW w:w="18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rPr>
              <w:t>340.0</w:t>
            </w:r>
          </w:p>
        </w:tc>
        <w:tc>
          <w:tcPr>
            <w:tcW w:w="13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340.0</w:t>
            </w:r>
          </w:p>
        </w:tc>
      </w:tr>
      <w:tr>
        <w:trPr>
          <w:trHeight w:val="215"/>
        </w:trPr>
        <w:tc>
          <w:tcPr>
            <w:tcW w:w="4840" w:type="dxa"/>
            <w:vAlign w:val="bottom"/>
            <w:gridSpan w:val="5"/>
          </w:tcPr>
          <w:p>
            <w:pPr>
              <w:ind w:left="20"/>
              <w:spacing w:after="0"/>
              <w:rPr>
                <w:sz w:val="20"/>
                <w:szCs w:val="20"/>
                <w:color w:val="auto"/>
              </w:rPr>
            </w:pPr>
            <w:r>
              <w:rPr>
                <w:rFonts w:ascii="Arial" w:cs="Arial" w:eastAsia="Arial" w:hAnsi="Arial"/>
                <w:sz w:val="16"/>
                <w:szCs w:val="16"/>
                <w:color w:val="auto"/>
              </w:rPr>
              <w:t>Less unamortized debt discount</w:t>
            </w:r>
          </w:p>
        </w:tc>
        <w:tc>
          <w:tcPr>
            <w:tcW w:w="18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(0.1 )</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09"/>
        </w:trPr>
        <w:tc>
          <w:tcPr>
            <w:tcW w:w="4840" w:type="dxa"/>
            <w:vAlign w:val="bottom"/>
            <w:tcBorders>
              <w:bottom w:val="single" w:sz="8" w:color="CFF0FC"/>
            </w:tcBorders>
            <w:gridSpan w:val="5"/>
            <w:shd w:val="clear" w:color="auto" w:fill="CFF0FC"/>
          </w:tcPr>
          <w:p>
            <w:pPr>
              <w:ind w:left="20"/>
              <w:spacing w:after="0"/>
              <w:rPr>
                <w:sz w:val="20"/>
                <w:szCs w:val="20"/>
                <w:color w:val="auto"/>
              </w:rPr>
            </w:pPr>
            <w:r>
              <w:rPr>
                <w:rFonts w:ascii="Arial" w:cs="Arial" w:eastAsia="Arial" w:hAnsi="Arial"/>
                <w:sz w:val="16"/>
                <w:szCs w:val="16"/>
                <w:color w:val="auto"/>
              </w:rPr>
              <w:t>Total South Dakota Electric debt, net</w:t>
            </w:r>
          </w:p>
        </w:tc>
        <w:tc>
          <w:tcPr>
            <w:tcW w:w="184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39"/>
              <w:spacing w:after="0"/>
              <w:rPr>
                <w:sz w:val="20"/>
                <w:szCs w:val="20"/>
                <w:color w:val="auto"/>
              </w:rPr>
            </w:pPr>
            <w:r>
              <w:rPr>
                <w:rFonts w:ascii="Arial" w:cs="Arial" w:eastAsia="Arial" w:hAnsi="Arial"/>
                <w:sz w:val="16"/>
                <w:szCs w:val="16"/>
                <w:color w:val="auto"/>
              </w:rPr>
              <w:t>339.9</w:t>
            </w:r>
          </w:p>
        </w:tc>
        <w:tc>
          <w:tcPr>
            <w:tcW w:w="13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339.9</w:t>
            </w:r>
          </w:p>
        </w:tc>
      </w:tr>
    </w:tbl>
    <w:p>
      <w:pPr>
        <w:spacing w:after="0" w:line="200" w:lineRule="exact"/>
        <w:rPr>
          <w:sz w:val="20"/>
          <w:szCs w:val="20"/>
          <w:color w:val="auto"/>
        </w:rPr>
      </w:pPr>
    </w:p>
    <w:p>
      <w:pPr>
        <w:sectPr>
          <w:pgSz w:w="11900" w:h="16838" w:orient="portrait"/>
          <w:cols w:equalWidth="0" w:num="1">
            <w:col w:w="11240"/>
          </w:cols>
          <w:pgMar w:left="320" w:top="766"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u w:val="single" w:color="auto"/>
          <w:color w:val="auto"/>
        </w:rPr>
        <w:t>Wyoming Electric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5"/>
          <w:szCs w:val="15"/>
          <w:color w:val="auto"/>
        </w:rPr>
        <w:t>Industrial development revenue bonds due 2027</w:t>
      </w:r>
      <w:r>
        <w:rPr>
          <w:rFonts w:ascii="Arial" w:cs="Arial" w:eastAsia="Arial" w:hAnsi="Arial"/>
          <w:sz w:val="20"/>
          <w:szCs w:val="20"/>
          <w:color w:val="auto"/>
          <w:vertAlign w:val="superscript"/>
        </w:rPr>
        <w:t>(a) (b)</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First Mortgage Bonds due 2037</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First Mortgage Bonds due 2044</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840" w:type="dxa"/>
            <w:vAlign w:val="bottom"/>
          </w:tcPr>
          <w:p>
            <w:pPr>
              <w:jc w:val="center"/>
              <w:ind w:right="319"/>
              <w:spacing w:after="0"/>
              <w:rPr>
                <w:sz w:val="20"/>
                <w:szCs w:val="20"/>
                <w:color w:val="auto"/>
              </w:rPr>
            </w:pPr>
            <w:r>
              <w:rPr>
                <w:rFonts w:ascii="Arial" w:cs="Arial" w:eastAsia="Arial" w:hAnsi="Arial"/>
                <w:sz w:val="16"/>
                <w:szCs w:val="16"/>
                <w:color w:val="auto"/>
              </w:rPr>
              <w:t>March 1, 2027</w:t>
            </w:r>
          </w:p>
        </w:tc>
        <w:tc>
          <w:tcPr>
            <w:tcW w:w="1600" w:type="dxa"/>
            <w:vAlign w:val="bottom"/>
          </w:tcPr>
          <w:p>
            <w:pPr>
              <w:jc w:val="right"/>
              <w:ind w:right="659"/>
              <w:spacing w:after="0"/>
              <w:rPr>
                <w:sz w:val="20"/>
                <w:szCs w:val="20"/>
                <w:color w:val="auto"/>
              </w:rPr>
            </w:pPr>
            <w:r>
              <w:rPr>
                <w:rFonts w:ascii="Arial" w:cs="Arial" w:eastAsia="Arial" w:hAnsi="Arial"/>
                <w:sz w:val="16"/>
                <w:szCs w:val="16"/>
                <w:color w:val="auto"/>
              </w:rPr>
              <w:t>3.93%</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10.0</w:t>
            </w:r>
          </w:p>
        </w:tc>
        <w:tc>
          <w:tcPr>
            <w:tcW w:w="9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16"/>
        </w:trPr>
        <w:tc>
          <w:tcPr>
            <w:tcW w:w="1840" w:type="dxa"/>
            <w:vAlign w:val="bottom"/>
          </w:tcPr>
          <w:p>
            <w:pPr>
              <w:jc w:val="center"/>
              <w:ind w:right="319"/>
              <w:spacing w:after="0"/>
              <w:rPr>
                <w:sz w:val="20"/>
                <w:szCs w:val="20"/>
                <w:color w:val="auto"/>
              </w:rPr>
            </w:pPr>
            <w:r>
              <w:rPr>
                <w:rFonts w:ascii="Arial" w:cs="Arial" w:eastAsia="Arial" w:hAnsi="Arial"/>
                <w:sz w:val="16"/>
                <w:szCs w:val="16"/>
                <w:color w:val="auto"/>
              </w:rPr>
              <w:t>November 20, 2037</w:t>
            </w:r>
          </w:p>
        </w:tc>
        <w:tc>
          <w:tcPr>
            <w:tcW w:w="1600" w:type="dxa"/>
            <w:vAlign w:val="bottom"/>
          </w:tcPr>
          <w:p>
            <w:pPr>
              <w:jc w:val="right"/>
              <w:ind w:right="659"/>
              <w:spacing w:after="0"/>
              <w:rPr>
                <w:sz w:val="20"/>
                <w:szCs w:val="20"/>
                <w:color w:val="auto"/>
              </w:rPr>
            </w:pPr>
            <w:r>
              <w:rPr>
                <w:rFonts w:ascii="Arial" w:cs="Arial" w:eastAsia="Arial" w:hAnsi="Arial"/>
                <w:sz w:val="16"/>
                <w:szCs w:val="16"/>
                <w:color w:val="auto"/>
              </w:rPr>
              <w:t>6.67%</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110.0</w:t>
            </w:r>
          </w:p>
        </w:tc>
        <w:tc>
          <w:tcPr>
            <w:tcW w:w="920" w:type="dxa"/>
            <w:vAlign w:val="bottom"/>
          </w:tcPr>
          <w:p>
            <w:pPr>
              <w:jc w:val="right"/>
              <w:spacing w:after="0"/>
              <w:rPr>
                <w:sz w:val="20"/>
                <w:szCs w:val="20"/>
                <w:color w:val="auto"/>
              </w:rPr>
            </w:pPr>
            <w:r>
              <w:rPr>
                <w:rFonts w:ascii="Arial" w:cs="Arial" w:eastAsia="Arial" w:hAnsi="Arial"/>
                <w:sz w:val="16"/>
                <w:szCs w:val="16"/>
                <w:color w:val="auto"/>
              </w:rPr>
              <w:t>110.0</w:t>
            </w:r>
          </w:p>
        </w:tc>
      </w:tr>
      <w:tr>
        <w:trPr>
          <w:trHeight w:val="218"/>
        </w:trPr>
        <w:tc>
          <w:tcPr>
            <w:tcW w:w="1840" w:type="dxa"/>
            <w:vAlign w:val="bottom"/>
          </w:tcPr>
          <w:p>
            <w:pPr>
              <w:jc w:val="center"/>
              <w:ind w:right="319"/>
              <w:spacing w:after="0"/>
              <w:rPr>
                <w:sz w:val="20"/>
                <w:szCs w:val="20"/>
                <w:color w:val="auto"/>
              </w:rPr>
            </w:pPr>
            <w:r>
              <w:rPr>
                <w:rFonts w:ascii="Arial" w:cs="Arial" w:eastAsia="Arial" w:hAnsi="Arial"/>
                <w:sz w:val="16"/>
                <w:szCs w:val="16"/>
                <w:color w:val="auto"/>
              </w:rPr>
              <w:t>October 20, 2044</w:t>
            </w:r>
          </w:p>
        </w:tc>
        <w:tc>
          <w:tcPr>
            <w:tcW w:w="1600" w:type="dxa"/>
            <w:vAlign w:val="bottom"/>
          </w:tcPr>
          <w:p>
            <w:pPr>
              <w:jc w:val="right"/>
              <w:ind w:right="659"/>
              <w:spacing w:after="0"/>
              <w:rPr>
                <w:sz w:val="20"/>
                <w:szCs w:val="20"/>
                <w:color w:val="auto"/>
              </w:rPr>
            </w:pPr>
            <w:r>
              <w:rPr>
                <w:rFonts w:ascii="Arial" w:cs="Arial" w:eastAsia="Arial" w:hAnsi="Arial"/>
                <w:sz w:val="16"/>
                <w:szCs w:val="16"/>
                <w:color w:val="auto"/>
              </w:rPr>
              <w:t>4.53%</w:t>
            </w:r>
          </w:p>
        </w:tc>
        <w:tc>
          <w:tcPr>
            <w:tcW w:w="1680" w:type="dxa"/>
            <w:vAlign w:val="bottom"/>
          </w:tcPr>
          <w:p>
            <w:pPr>
              <w:jc w:val="right"/>
              <w:ind w:right="439"/>
              <w:spacing w:after="0"/>
              <w:rPr>
                <w:sz w:val="20"/>
                <w:szCs w:val="20"/>
                <w:color w:val="auto"/>
              </w:rPr>
            </w:pPr>
            <w:r>
              <w:rPr>
                <w:rFonts w:ascii="Arial" w:cs="Arial" w:eastAsia="Arial" w:hAnsi="Arial"/>
                <w:sz w:val="16"/>
                <w:szCs w:val="16"/>
                <w:color w:val="auto"/>
              </w:rPr>
              <w:t>75.0</w:t>
            </w:r>
          </w:p>
        </w:tc>
        <w:tc>
          <w:tcPr>
            <w:tcW w:w="92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-548005</wp:posOffset>
            </wp:positionV>
            <wp:extent cx="7132320" cy="13716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-273685</wp:posOffset>
            </wp:positionV>
            <wp:extent cx="7132320" cy="13716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360" w:space="720"/>
            <w:col w:w="6160"/>
          </w:cols>
          <w:pgMar w:left="320" w:top="766"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Wyoming Electric debt</w:t>
            </w:r>
          </w:p>
        </w:tc>
        <w:tc>
          <w:tcPr>
            <w:tcW w:w="4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195.0</w:t>
            </w:r>
          </w:p>
        </w:tc>
        <w:tc>
          <w:tcPr>
            <w:tcW w:w="4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Less unamortized debt discount</w:t>
            </w: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3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Wyoming Electric debt, net</w:t>
            </w: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195.0</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195.0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Total long-term debt</w:t>
            </w:r>
          </w:p>
        </w:tc>
        <w:tc>
          <w:tcPr>
            <w:tcW w:w="4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4,426.0</w:t>
            </w:r>
          </w:p>
        </w:tc>
        <w:tc>
          <w:tcPr>
            <w:tcW w:w="4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4,154.6</w:t>
            </w:r>
          </w:p>
        </w:tc>
        <w:tc>
          <w:tcPr>
            <w:tcW w:w="0" w:type="dxa"/>
            <w:vAlign w:val="bottom"/>
          </w:tcPr>
          <w:p>
            <w:pPr>
              <w:spacing w:after="0"/>
              <w:rPr>
                <w:sz w:val="1"/>
                <w:szCs w:val="1"/>
                <w:color w:val="auto"/>
              </w:rPr>
            </w:pP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Less current maturities</w:t>
            </w: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(600.0 )</w:t>
            </w:r>
          </w:p>
        </w:tc>
        <w:tc>
          <w:tcPr>
            <w:tcW w:w="4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(525.0 )</w:t>
            </w:r>
          </w:p>
        </w:tc>
        <w:tc>
          <w:tcPr>
            <w:tcW w:w="0" w:type="dxa"/>
            <w:vAlign w:val="bottom"/>
          </w:tcPr>
          <w:p>
            <w:pPr>
              <w:spacing w:after="0"/>
              <w:rPr>
                <w:sz w:val="1"/>
                <w:szCs w:val="1"/>
                <w:color w:val="auto"/>
              </w:rPr>
            </w:pPr>
          </w:p>
        </w:tc>
      </w:tr>
      <w:tr>
        <w:trPr>
          <w:trHeight w:val="217"/>
        </w:trPr>
        <w:tc>
          <w:tcPr>
            <w:tcW w:w="8340" w:type="dxa"/>
            <w:vAlign w:val="bottom"/>
            <w:tcBorders>
              <w:bottom w:val="single" w:sz="8" w:color="CFF0FC"/>
            </w:tcBorders>
            <w:shd w:val="clear" w:color="auto" w:fill="CFF0FC"/>
          </w:tcPr>
          <w:p>
            <w:pPr>
              <w:ind w:left="20"/>
              <w:spacing w:after="0" w:line="217" w:lineRule="exact"/>
              <w:rPr>
                <w:sz w:val="20"/>
                <w:szCs w:val="20"/>
                <w:color w:val="auto"/>
              </w:rPr>
            </w:pPr>
            <w:r>
              <w:rPr>
                <w:rFonts w:ascii="Arial" w:cs="Arial" w:eastAsia="Arial" w:hAnsi="Arial"/>
                <w:sz w:val="16"/>
                <w:szCs w:val="16"/>
                <w:color w:val="auto"/>
              </w:rPr>
              <w:t xml:space="preserve">Less unamortized deferred financing costs </w:t>
            </w:r>
            <w:r>
              <w:rPr>
                <w:rFonts w:ascii="Arial" w:cs="Arial" w:eastAsia="Arial" w:hAnsi="Arial"/>
                <w:sz w:val="21"/>
                <w:szCs w:val="21"/>
                <w:color w:val="auto"/>
                <w:vertAlign w:val="superscript"/>
              </w:rPr>
              <w:t>(c)</w:t>
            </w:r>
          </w:p>
        </w:tc>
        <w:tc>
          <w:tcPr>
            <w:tcW w:w="4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(24.8 )</w:t>
            </w:r>
          </w:p>
        </w:tc>
        <w:tc>
          <w:tcPr>
            <w:tcW w:w="4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(22.3 )</w:t>
            </w:r>
          </w:p>
        </w:tc>
        <w:tc>
          <w:tcPr>
            <w:tcW w:w="0" w:type="dxa"/>
            <w:vAlign w:val="bottom"/>
          </w:tcPr>
          <w:p>
            <w:pPr>
              <w:spacing w:after="0"/>
              <w:rPr>
                <w:sz w:val="1"/>
                <w:szCs w:val="1"/>
                <w:color w:val="auto"/>
              </w:rPr>
            </w:pPr>
          </w:p>
        </w:tc>
      </w:tr>
      <w:tr>
        <w:trPr>
          <w:trHeight w:val="182"/>
        </w:trPr>
        <w:tc>
          <w:tcPr>
            <w:tcW w:w="8340" w:type="dxa"/>
            <w:vAlign w:val="bottom"/>
          </w:tcPr>
          <w:p>
            <w:pPr>
              <w:ind w:left="20"/>
              <w:spacing w:after="0" w:line="182" w:lineRule="exact"/>
              <w:rPr>
                <w:sz w:val="20"/>
                <w:szCs w:val="20"/>
                <w:color w:val="auto"/>
              </w:rPr>
            </w:pPr>
            <w:r>
              <w:rPr>
                <w:rFonts w:ascii="Arial" w:cs="Arial" w:eastAsia="Arial" w:hAnsi="Arial"/>
                <w:sz w:val="16"/>
                <w:szCs w:val="16"/>
                <w:color w:val="auto"/>
              </w:rPr>
              <w:t>Long-term debt, net of current maturities and deferred financing</w:t>
            </w: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tcPr>
          <w:p>
            <w:pPr>
              <w:jc w:val="right"/>
              <w:ind w:right="19"/>
              <w:spacing w:after="0"/>
              <w:rPr>
                <w:sz w:val="20"/>
                <w:szCs w:val="20"/>
                <w:color w:val="auto"/>
              </w:rPr>
            </w:pPr>
            <w:r>
              <w:rPr>
                <w:rFonts w:ascii="Arial" w:cs="Arial" w:eastAsia="Arial" w:hAnsi="Arial"/>
                <w:sz w:val="16"/>
                <w:szCs w:val="16"/>
                <w:color w:val="auto"/>
              </w:rPr>
              <w:t>3,801.2</w:t>
            </w:r>
          </w:p>
        </w:tc>
        <w:tc>
          <w:tcPr>
            <w:tcW w:w="460" w:type="dxa"/>
            <w:vAlign w:val="bottom"/>
            <w:vMerge w:val="restart"/>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vMerge w:val="restart"/>
          </w:tcPr>
          <w:p>
            <w:pPr>
              <w:jc w:val="right"/>
              <w:ind w:right="39"/>
              <w:spacing w:after="0"/>
              <w:rPr>
                <w:sz w:val="20"/>
                <w:szCs w:val="20"/>
                <w:color w:val="auto"/>
              </w:rPr>
            </w:pPr>
            <w:r>
              <w:rPr>
                <w:rFonts w:ascii="Arial" w:cs="Arial" w:eastAsia="Arial" w:hAnsi="Arial"/>
                <w:sz w:val="16"/>
                <w:szCs w:val="16"/>
                <w:color w:val="auto"/>
              </w:rPr>
              <w:t>3,607.3</w:t>
            </w:r>
          </w:p>
        </w:tc>
        <w:tc>
          <w:tcPr>
            <w:tcW w:w="0" w:type="dxa"/>
            <w:vAlign w:val="bottom"/>
          </w:tcPr>
          <w:p>
            <w:pPr>
              <w:spacing w:after="0"/>
              <w:rPr>
                <w:sz w:val="1"/>
                <w:szCs w:val="1"/>
                <w:color w:val="auto"/>
              </w:rPr>
            </w:pPr>
          </w:p>
        </w:tc>
      </w:tr>
      <w:tr>
        <w:trPr>
          <w:trHeight w:val="181"/>
        </w:trPr>
        <w:tc>
          <w:tcPr>
            <w:tcW w:w="8340" w:type="dxa"/>
            <w:vAlign w:val="bottom"/>
          </w:tcPr>
          <w:p>
            <w:pPr>
              <w:ind w:left="20"/>
              <w:spacing w:after="0" w:line="176" w:lineRule="exact"/>
              <w:rPr>
                <w:sz w:val="20"/>
                <w:szCs w:val="20"/>
                <w:color w:val="auto"/>
              </w:rPr>
            </w:pPr>
            <w:r>
              <w:rPr>
                <w:rFonts w:ascii="Arial" w:cs="Arial" w:eastAsia="Arial" w:hAnsi="Arial"/>
                <w:sz w:val="16"/>
                <w:szCs w:val="16"/>
                <w:color w:val="auto"/>
              </w:rPr>
              <w:t>costs</w:t>
            </w:r>
          </w:p>
        </w:tc>
        <w:tc>
          <w:tcPr>
            <w:tcW w:w="4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Variable interest rate.</w:t>
      </w:r>
    </w:p>
    <w:p>
      <w:pPr>
        <w:spacing w:after="0" w:line="15" w:lineRule="exact"/>
        <w:rPr>
          <w:rFonts w:ascii="Arial" w:cs="Arial" w:eastAsia="Arial" w:hAnsi="Arial"/>
          <w:sz w:val="14"/>
          <w:szCs w:val="14"/>
          <w:color w:val="auto"/>
        </w:rPr>
      </w:pPr>
    </w:p>
    <w:p>
      <w:pPr>
        <w:ind w:left="520" w:right="100" w:hanging="512"/>
        <w:spacing w:after="0" w:line="241"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 reimbursement agreement is in place with Wells Fargo on behalf of Wyoming Electric for the $10 million bonds due March 1, 2027. In the case of default, we hold the assumption of liability for drawings on Wyoming Electric’s Letter of Credit attached to these bonds.</w:t>
      </w:r>
    </w:p>
    <w:p>
      <w:pPr>
        <w:ind w:left="520" w:right="520" w:hanging="512"/>
        <w:spacing w:after="0" w:line="264" w:lineRule="auto"/>
        <w:tabs>
          <w:tab w:leader="none" w:pos="5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deferred financing costs associated with our Revolving Credit Facility of $1.1 million and $1.8 million as of December 31, 2023 and December 31, 2022, respectively.</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Scheduled maturities of long-term debt and associated interest payments by year are shown below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8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2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2025</w:t>
            </w: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2027</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2028</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Thereafter</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Total</w:t>
            </w:r>
          </w:p>
        </w:tc>
      </w:tr>
      <w:tr>
        <w:trPr>
          <w:trHeight w:val="155"/>
        </w:trPr>
        <w:tc>
          <w:tcPr>
            <w:tcW w:w="2920" w:type="dxa"/>
            <w:vAlign w:val="bottom"/>
            <w:shd w:val="clear" w:color="auto" w:fill="CFF0FC"/>
          </w:tcPr>
          <w:p>
            <w:pPr>
              <w:ind w:left="20"/>
              <w:spacing w:after="0" w:line="155" w:lineRule="exact"/>
              <w:rPr>
                <w:sz w:val="20"/>
                <w:szCs w:val="20"/>
                <w:color w:val="auto"/>
              </w:rPr>
            </w:pPr>
            <w:r>
              <w:rPr>
                <w:rFonts w:ascii="Arial" w:cs="Arial" w:eastAsia="Arial" w:hAnsi="Arial"/>
                <w:sz w:val="16"/>
                <w:szCs w:val="16"/>
                <w:color w:val="auto"/>
              </w:rPr>
              <w:t>Principal payments on Long-term debt</w:t>
            </w:r>
          </w:p>
        </w:tc>
        <w:tc>
          <w:tcPr>
            <w:tcW w:w="24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r>
      <w:tr>
        <w:trPr>
          <w:trHeight w:val="243"/>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 xml:space="preserve">including current maturities </w:t>
            </w:r>
            <w:r>
              <w:rPr>
                <w:rFonts w:ascii="Arial" w:cs="Arial" w:eastAsia="Arial" w:hAnsi="Arial"/>
                <w:sz w:val="21"/>
                <w:szCs w:val="21"/>
                <w:color w:val="auto"/>
                <w:vertAlign w:val="superscript"/>
              </w:rPr>
              <w:t>(a)</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  $</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3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410.0</w:t>
            </w:r>
          </w:p>
        </w:tc>
        <w:tc>
          <w:tcPr>
            <w:tcW w:w="36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350.0</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2,775.0</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4,435.0</w:t>
            </w:r>
          </w:p>
        </w:tc>
      </w:tr>
      <w:tr>
        <w:trPr>
          <w:trHeight w:val="290"/>
        </w:trPr>
        <w:tc>
          <w:tcPr>
            <w:tcW w:w="2920" w:type="dxa"/>
            <w:vAlign w:val="bottom"/>
          </w:tcPr>
          <w:p>
            <w:pPr>
              <w:ind w:left="20"/>
              <w:spacing w:after="0"/>
              <w:rPr>
                <w:sz w:val="20"/>
                <w:szCs w:val="20"/>
                <w:color w:val="auto"/>
              </w:rPr>
            </w:pPr>
            <w:r>
              <w:rPr>
                <w:rFonts w:ascii="Arial" w:cs="Arial" w:eastAsia="Arial" w:hAnsi="Arial"/>
                <w:sz w:val="16"/>
                <w:szCs w:val="16"/>
                <w:color w:val="auto"/>
              </w:rPr>
              <w:t xml:space="preserve">Interest payments on Long-term debt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179.0</w:t>
            </w:r>
          </w:p>
        </w:tc>
        <w:tc>
          <w:tcPr>
            <w:tcW w:w="300" w:type="dxa"/>
            <w:vAlign w:val="bottom"/>
          </w:tcPr>
          <w:p>
            <w:pPr>
              <w:spacing w:after="0"/>
              <w:rPr>
                <w:sz w:val="24"/>
                <w:szCs w:val="24"/>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color w:val="auto"/>
              </w:rPr>
              <w:t>168.1</w:t>
            </w:r>
          </w:p>
        </w:tc>
        <w:tc>
          <w:tcPr>
            <w:tcW w:w="900" w:type="dxa"/>
            <w:vAlign w:val="bottom"/>
          </w:tcPr>
          <w:p>
            <w:pPr>
              <w:jc w:val="right"/>
              <w:spacing w:after="0"/>
              <w:rPr>
                <w:sz w:val="20"/>
                <w:szCs w:val="20"/>
                <w:color w:val="auto"/>
              </w:rPr>
            </w:pPr>
            <w:r>
              <w:rPr>
                <w:rFonts w:ascii="Arial" w:cs="Arial" w:eastAsia="Arial" w:hAnsi="Arial"/>
                <w:sz w:val="16"/>
                <w:szCs w:val="16"/>
                <w:color w:val="auto"/>
              </w:rPr>
              <w:t>162.2</w:t>
            </w: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149.6</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132.9</w:t>
            </w: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1,052.2</w:t>
            </w:r>
          </w:p>
        </w:tc>
        <w:tc>
          <w:tcPr>
            <w:tcW w:w="280" w:type="dxa"/>
            <w:vAlign w:val="bottom"/>
          </w:tcPr>
          <w:p>
            <w:pPr>
              <w:spacing w:after="0"/>
              <w:rPr>
                <w:sz w:val="24"/>
                <w:szCs w:val="24"/>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1,844.0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90309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86" w:lineRule="exact"/>
        <w:rPr>
          <w:sz w:val="20"/>
          <w:szCs w:val="20"/>
          <w:color w:val="auto"/>
        </w:rPr>
      </w:pPr>
    </w:p>
    <w:p>
      <w:pPr>
        <w:ind w:left="520" w:right="100" w:hanging="512"/>
        <w:spacing w:after="0" w:line="285"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Long-term debt amounts do not include deferred financing costs or discounts or premiums on debt. Estimated interest payments on variable rate debt are calculated by utilizing the applicable rates as of December 31, 2023.</w:t>
      </w:r>
    </w:p>
    <w:p>
      <w:pPr>
        <w:sectPr>
          <w:pgSz w:w="11900" w:h="16838" w:orient="portrait"/>
          <w:cols w:equalWidth="0" w:num="1">
            <w:col w:w="11240"/>
          </w:cols>
          <w:pgMar w:left="320" w:top="766" w:right="339" w:bottom="1440" w:gutter="0" w:footer="0" w:header="0"/>
          <w:type w:val="continuous"/>
        </w:sectPr>
      </w:pP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Our debt securities contain certain restrictive financial covenants, all of which the Company and its subsidiaries were in compliance with at December 31, 2023. See below for additional information.</w:t>
      </w:r>
    </w:p>
    <w:p>
      <w:pPr>
        <w:spacing w:after="0" w:line="129" w:lineRule="exact"/>
        <w:rPr>
          <w:sz w:val="20"/>
          <w:szCs w:val="20"/>
          <w:color w:val="auto"/>
        </w:rPr>
      </w:pPr>
    </w:p>
    <w:p>
      <w:pPr>
        <w:jc w:val="both"/>
        <w:ind w:right="80"/>
        <w:spacing w:after="0" w:line="266" w:lineRule="auto"/>
        <w:rPr>
          <w:sz w:val="20"/>
          <w:szCs w:val="20"/>
          <w:color w:val="auto"/>
        </w:rPr>
      </w:pPr>
      <w:r>
        <w:rPr>
          <w:rFonts w:ascii="Arial" w:cs="Arial" w:eastAsia="Arial" w:hAnsi="Arial"/>
          <w:sz w:val="16"/>
          <w:szCs w:val="16"/>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Debt Transactions</w:t>
      </w:r>
    </w:p>
    <w:p>
      <w:pPr>
        <w:spacing w:after="0" w:line="194"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On September 15, 2023, we completed a public debt offering of $450 million, 6.15% senior unsecured notes due May 15, 2034. Proceeds from the offering, which were net of $7.6 million of deferred financing costs, along with available cash were used to repay all of our $525 million principal amount outstanding notes on their November 30, 2023 maturity date and for other general corporate purposes.</w:t>
      </w:r>
    </w:p>
    <w:p>
      <w:pPr>
        <w:spacing w:after="0" w:line="14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March 7, 2023, we completed a public debt offering of $350 million, 5.95% five year senior unsecured notes due March 15, 2028. The proceeds from the offering, which were net of $4.2 million of deferred financing costs, were used to repay notes outstanding under our CP Program and for other general corporate purposes.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Covenants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Revolving Credit Facility</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We were in compliance with all of our Revolving Credit Facility covenants as of December 31, 2023. We are required to maintain a Consolidated Indebtedness to Capitalization Ratio not to exceed 0.65 to 1.00. Subject to applicable cure periods, a violation of this covenant would constitute an event of default that entitles the lenders to terminate their remaining commitments and accelerate all principal and interest outstanding. As of December 31, 2023, our Consolidated Indebtedness to Capitalization Ratio was 0.58 to 1.00.</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Wyoming Electric</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Wyoming Electric was in compliance with all covenants within its financing agreements as of December 31, 2023. Wyoming Electric is required to maintain a debt to capitalization ratio of no more than 0.60 to 1.00. As of December 31, 2023, Wyoming Electric's debt to capitalization ratio was 0.51 to 1.00.</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Restrictions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Our Revolving Credit Facility and other debt obligations contain restrictions on the payment of cash dividends when a default or event of default occurs.</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Utilities are generally limited to the amount of dividends allowed to be paid to our utility holding company under the Federal Power Act and settlement agreements with state regulatory jurisdictions. As of December 31, 2023, the amount of restricted net assets at our Utilities that may not be distributed to our utility holding company in the form of a loan or dividend was approximately $142.6 million.</w:t>
      </w:r>
    </w:p>
    <w:p>
      <w:pPr>
        <w:spacing w:after="0" w:line="144"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South Dakota Electric and Wyoming Electric are generally limited to the amount of dividends allowed to be paid to our utility holding company under certain financing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w:t>
      </w:r>
    </w:p>
    <w:p>
      <w:pPr>
        <w:spacing w:after="0" w:line="19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Although our aforementioned shelf registration statement does not limit our issuance capacity, our ability to issue securities is limited to the authority granted by our Board of Directors, certain covenants in our financing arrangements and restrictions imposed by federal and state regulatory authorities. Our articles of incorporation authorize the issuance of 100 million shares of common stock and 25 million shares of preferred stock. As of December 31, 2023, we had approximately 68 million shares of common stock outstanding and no shares of preferred stock outstanding.</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4" w:name="page85"/>
    <w:bookmarkEnd w:id="8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At-the-Market Equity Offering Program</w:t>
      </w:r>
    </w:p>
    <w:p>
      <w:pPr>
        <w:spacing w:after="0" w:line="194"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As previously disclosed, on August 4, 2020, we entered into an Amended and Restated Equity Distribution Sales Agreement ("Previous Sales Agreement") to sell shares of common stock up to an aggregate of $400 million, from time to time, through our ATM program utilizing our shelf registration statement. In conjunction with the new shelf registration statement filing discussed above, we entered into a new Equity Distribution Sales Agreement ("Sales Agreement") on June 16, 2023. We also terminated the Previous Sales Agreement on June 16, 2023. The Sales Agreement is similar to the Previous Sales Agreement and allows us to sell shares of common stock up to an aggregate of $400 million through our ATM program.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ATM activity for the years ended December 31 was as follows (in millions, except Average price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60" w:type="dxa"/>
            <w:vAlign w:val="bottom"/>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16"/>
                <w:szCs w:val="16"/>
                <w:color w:val="auto"/>
              </w:rPr>
            </w:pPr>
          </w:p>
        </w:tc>
        <w:tc>
          <w:tcPr>
            <w:tcW w:w="134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6"/>
                <w:szCs w:val="16"/>
                <w:color w:val="auto"/>
              </w:rPr>
            </w:pPr>
          </w:p>
        </w:tc>
        <w:tc>
          <w:tcPr>
            <w:tcW w:w="1400" w:type="dxa"/>
            <w:vAlign w:val="bottom"/>
          </w:tcPr>
          <w:p>
            <w:pPr>
              <w:jc w:val="right"/>
              <w:ind w:right="23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2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2140" w:type="dxa"/>
            <w:vAlign w:val="bottom"/>
            <w:tcBorders>
              <w:bottom w:val="single" w:sz="8" w:color="auto"/>
            </w:tcBorders>
            <w:gridSpan w:val="2"/>
            <w:shd w:val="clear" w:color="auto" w:fill="CFF0FC"/>
          </w:tcPr>
          <w:p>
            <w:pPr>
              <w:spacing w:after="0" w:line="169" w:lineRule="exact"/>
              <w:rPr>
                <w:sz w:val="20"/>
                <w:szCs w:val="20"/>
                <w:color w:val="auto"/>
              </w:rPr>
            </w:pPr>
            <w:r>
              <w:rPr>
                <w:rFonts w:ascii="Arial" w:cs="Arial" w:eastAsia="Arial" w:hAnsi="Arial"/>
                <w:sz w:val="16"/>
                <w:szCs w:val="16"/>
                <w:i w:val="1"/>
                <w:iCs w:val="1"/>
                <w:color w:val="auto"/>
              </w:rPr>
              <w:t>August 4, 2020 ATM Program</w:t>
            </w:r>
          </w:p>
        </w:tc>
        <w:tc>
          <w:tcPr>
            <w:tcW w:w="3820" w:type="dxa"/>
            <w:vAlign w:val="bottom"/>
            <w:tcBorders>
              <w:bottom w:val="single" w:sz="8" w:color="CFF0FC"/>
            </w:tcBorders>
            <w:gridSpan w:val="2"/>
            <w:shd w:val="clear" w:color="auto" w:fill="CFF0FC"/>
          </w:tcPr>
          <w:p>
            <w:pPr>
              <w:spacing w:after="0"/>
              <w:rPr>
                <w:sz w:val="16"/>
                <w:szCs w:val="16"/>
                <w:color w:val="auto"/>
              </w:rPr>
            </w:pPr>
          </w:p>
        </w:tc>
        <w:tc>
          <w:tcPr>
            <w:tcW w:w="78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34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CFF0FC"/>
            </w:tcBorders>
            <w:shd w:val="clear" w:color="auto" w:fill="CFF0FC"/>
          </w:tcPr>
          <w:p>
            <w:pPr>
              <w:spacing w:after="0"/>
              <w:rPr>
                <w:sz w:val="16"/>
                <w:szCs w:val="16"/>
                <w:color w:val="auto"/>
              </w:rPr>
            </w:pPr>
          </w:p>
        </w:tc>
        <w:tc>
          <w:tcPr>
            <w:tcW w:w="1400" w:type="dxa"/>
            <w:vAlign w:val="bottom"/>
            <w:tcBorders>
              <w:bottom w:val="single" w:sz="8" w:color="CFF0FC"/>
            </w:tcBorders>
            <w:shd w:val="clear" w:color="auto" w:fill="CFF0FC"/>
          </w:tcPr>
          <w:p>
            <w:pPr>
              <w:spacing w:after="0"/>
              <w:rPr>
                <w:sz w:val="16"/>
                <w:szCs w:val="16"/>
                <w:color w:val="auto"/>
              </w:rPr>
            </w:pPr>
          </w:p>
        </w:tc>
      </w:tr>
      <w:tr>
        <w:trPr>
          <w:trHeight w:val="215"/>
        </w:trPr>
        <w:tc>
          <w:tcPr>
            <w:tcW w:w="5980" w:type="dxa"/>
            <w:vAlign w:val="bottom"/>
            <w:gridSpan w:val="5"/>
          </w:tcPr>
          <w:p>
            <w:pPr>
              <w:ind w:left="20"/>
              <w:spacing w:after="0"/>
              <w:rPr>
                <w:sz w:val="20"/>
                <w:szCs w:val="20"/>
                <w:color w:val="auto"/>
              </w:rPr>
            </w:pPr>
            <w:r>
              <w:rPr>
                <w:rFonts w:ascii="Arial" w:cs="Arial" w:eastAsia="Arial" w:hAnsi="Arial"/>
                <w:sz w:val="16"/>
                <w:szCs w:val="16"/>
                <w:color w:val="auto"/>
              </w:rPr>
              <w:t>Proceeds, (net of issuance costs of $(0.5), $(0.9) and $(1.1), respectively)</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48.5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118.8</w:t>
            </w:r>
          </w:p>
        </w:tc>
      </w:tr>
      <w:tr>
        <w:trPr>
          <w:trHeight w:val="217"/>
        </w:trPr>
        <w:tc>
          <w:tcPr>
            <w:tcW w:w="59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7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5"/>
        </w:trPr>
        <w:tc>
          <w:tcPr>
            <w:tcW w:w="20" w:type="dxa"/>
            <w:vAlign w:val="bottom"/>
            <w:shd w:val="clear" w:color="auto" w:fill="CFF0FC"/>
          </w:tcPr>
          <w:p>
            <w:pPr>
              <w:spacing w:after="0"/>
              <w:rPr>
                <w:sz w:val="15"/>
                <w:szCs w:val="15"/>
                <w:color w:val="auto"/>
              </w:rPr>
            </w:pPr>
          </w:p>
        </w:tc>
        <w:tc>
          <w:tcPr>
            <w:tcW w:w="5960" w:type="dxa"/>
            <w:vAlign w:val="bottom"/>
            <w:gridSpan w:val="4"/>
            <w:shd w:val="clear" w:color="auto" w:fill="CFF0FC"/>
          </w:tcPr>
          <w:p>
            <w:pPr>
              <w:spacing w:after="0" w:line="175" w:lineRule="exact"/>
              <w:rPr>
                <w:sz w:val="20"/>
                <w:szCs w:val="20"/>
                <w:color w:val="auto"/>
              </w:rPr>
            </w:pPr>
            <w:r>
              <w:rPr>
                <w:rFonts w:ascii="Arial" w:cs="Arial" w:eastAsia="Arial" w:hAnsi="Arial"/>
                <w:sz w:val="16"/>
                <w:szCs w:val="16"/>
                <w:i w:val="1"/>
                <w:iCs w:val="1"/>
                <w:color w:val="auto"/>
              </w:rPr>
              <w:t>June 16, 2023 ATM Program</w:t>
            </w:r>
          </w:p>
        </w:tc>
        <w:tc>
          <w:tcPr>
            <w:tcW w:w="7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6"/>
                <w:szCs w:val="16"/>
                <w:color w:val="auto"/>
              </w:rPr>
              <w:t>Proceeds, (net of issuance costs of $(0.7), $0, $0, respectively</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17"/>
        </w:trPr>
        <w:tc>
          <w:tcPr>
            <w:tcW w:w="59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7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76"/>
        </w:trPr>
        <w:tc>
          <w:tcPr>
            <w:tcW w:w="20" w:type="dxa"/>
            <w:vAlign w:val="bottom"/>
            <w:shd w:val="clear" w:color="auto" w:fill="CFF0FC"/>
          </w:tcPr>
          <w:p>
            <w:pPr>
              <w:spacing w:after="0"/>
              <w:rPr>
                <w:sz w:val="15"/>
                <w:szCs w:val="15"/>
                <w:color w:val="auto"/>
              </w:rPr>
            </w:pPr>
          </w:p>
        </w:tc>
        <w:tc>
          <w:tcPr>
            <w:tcW w:w="5960" w:type="dxa"/>
            <w:vAlign w:val="bottom"/>
            <w:gridSpan w:val="4"/>
            <w:shd w:val="clear" w:color="auto" w:fill="CFF0FC"/>
          </w:tcPr>
          <w:p>
            <w:pPr>
              <w:spacing w:after="0" w:line="175" w:lineRule="exact"/>
              <w:rPr>
                <w:sz w:val="20"/>
                <w:szCs w:val="20"/>
                <w:color w:val="auto"/>
              </w:rPr>
            </w:pPr>
            <w:r>
              <w:rPr>
                <w:rFonts w:ascii="Arial" w:cs="Arial" w:eastAsia="Arial" w:hAnsi="Arial"/>
                <w:sz w:val="16"/>
                <w:szCs w:val="16"/>
                <w:i w:val="1"/>
                <w:iCs w:val="1"/>
                <w:color w:val="auto"/>
              </w:rPr>
              <w:t>Total activity under both ATM Programs</w:t>
            </w:r>
          </w:p>
        </w:tc>
        <w:tc>
          <w:tcPr>
            <w:tcW w:w="7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r>
      <w:tr>
        <w:trPr>
          <w:trHeight w:val="21"/>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CFF0FC"/>
          </w:tcPr>
          <w:p>
            <w:pPr>
              <w:spacing w:after="0" w:line="20" w:lineRule="exact"/>
              <w:rPr>
                <w:sz w:val="1"/>
                <w:szCs w:val="1"/>
                <w:color w:val="auto"/>
              </w:rPr>
            </w:pPr>
          </w:p>
        </w:tc>
        <w:tc>
          <w:tcPr>
            <w:tcW w:w="31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CFF0FC"/>
            </w:tcBorders>
            <w:shd w:val="clear" w:color="auto" w:fill="CFF0FC"/>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4"/>
          </w:tcPr>
          <w:p>
            <w:pPr>
              <w:spacing w:after="0"/>
              <w:rPr>
                <w:sz w:val="20"/>
                <w:szCs w:val="20"/>
                <w:color w:val="auto"/>
              </w:rPr>
            </w:pPr>
            <w:r>
              <w:rPr>
                <w:rFonts w:ascii="Arial" w:cs="Arial" w:eastAsia="Arial" w:hAnsi="Arial"/>
                <w:sz w:val="16"/>
                <w:szCs w:val="16"/>
                <w:color w:val="auto"/>
              </w:rPr>
              <w:t>Proceeds, (net of issuance costs of $(1.2), $(0.9) and $(1.1), respectively)</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118.7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90.3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118.8</w:t>
            </w:r>
          </w:p>
        </w:tc>
      </w:tr>
      <w:tr>
        <w:trPr>
          <w:trHeight w:val="217"/>
        </w:trPr>
        <w:tc>
          <w:tcPr>
            <w:tcW w:w="5980" w:type="dxa"/>
            <w:vAlign w:val="bottom"/>
            <w:gridSpan w:val="5"/>
            <w:shd w:val="clear" w:color="auto" w:fill="CFF0FC"/>
          </w:tcPr>
          <w:p>
            <w:pPr>
              <w:ind w:left="20"/>
              <w:spacing w:after="0"/>
              <w:rPr>
                <w:sz w:val="20"/>
                <w:szCs w:val="20"/>
                <w:color w:val="auto"/>
              </w:rPr>
            </w:pPr>
            <w:r>
              <w:rPr>
                <w:rFonts w:ascii="Arial" w:cs="Arial" w:eastAsia="Arial" w:hAnsi="Arial"/>
                <w:sz w:val="16"/>
                <w:szCs w:val="16"/>
                <w:color w:val="auto"/>
              </w:rPr>
              <w:t>Number of shares issued</w:t>
            </w:r>
          </w:p>
        </w:tc>
        <w:tc>
          <w:tcPr>
            <w:tcW w:w="7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5"/>
        </w:trPr>
        <w:tc>
          <w:tcPr>
            <w:tcW w:w="5980" w:type="dxa"/>
            <w:vAlign w:val="bottom"/>
            <w:gridSpan w:val="5"/>
          </w:tcPr>
          <w:p>
            <w:pPr>
              <w:ind w:left="20"/>
              <w:spacing w:after="0"/>
              <w:rPr>
                <w:sz w:val="20"/>
                <w:szCs w:val="20"/>
                <w:color w:val="auto"/>
              </w:rPr>
            </w:pPr>
            <w:r>
              <w:rPr>
                <w:rFonts w:ascii="Arial" w:cs="Arial" w:eastAsia="Arial" w:hAnsi="Arial"/>
                <w:sz w:val="16"/>
                <w:szCs w:val="16"/>
                <w:color w:val="auto"/>
              </w:rPr>
              <w:t>Average price per share</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59.04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69.74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66.18</w:t>
            </w: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Shareholder Dividend Reinvestment and Stock Purchase Plan</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Effective as of July 7, 2023, we terminated our DRSPP. On July 10, 2023, we filed a post-effective amendment to amend the Registration Statement on Form S-3 (File No. 333-240319) filed with the SEC on August 4, 2020. The filing of this post-effective amendment de-registered all shares of common stock that were issuable under the DRSPP but not sold as of July 7, 2023. With the termination of the DRSPP, a direct stock purchase plan is being offered which will allow shareholders to continue making share transactions. This plan is sponsored and administered solely by EQ Shareowner Services, our transfer agent.</w:t>
      </w:r>
    </w:p>
    <w:p>
      <w:pPr>
        <w:spacing w:after="0" w:line="340" w:lineRule="exact"/>
        <w:rPr>
          <w:sz w:val="20"/>
          <w:szCs w:val="20"/>
          <w:color w:val="auto"/>
        </w:rPr>
      </w:pPr>
    </w:p>
    <w:p>
      <w:pPr>
        <w:ind w:right="7880" w:firstLine="8"/>
        <w:spacing w:after="0" w:line="493" w:lineRule="auto"/>
        <w:tabs>
          <w:tab w:leader="none" w:pos="243" w:val="left"/>
        </w:tabs>
        <w:numPr>
          <w:ilvl w:val="0"/>
          <w:numId w:val="60"/>
        </w:numPr>
        <w:rPr>
          <w:rFonts w:ascii="Arial" w:cs="Arial" w:eastAsia="Arial" w:hAnsi="Arial"/>
          <w:sz w:val="16"/>
          <w:szCs w:val="16"/>
          <w:b w:val="1"/>
          <w:bCs w:val="1"/>
          <w:color w:val="auto"/>
        </w:rPr>
      </w:pPr>
      <w:r>
        <w:rPr>
          <w:rFonts w:ascii="Arial" w:cs="Arial" w:eastAsia="Arial" w:hAnsi="Arial"/>
          <w:sz w:val="16"/>
          <w:szCs w:val="16"/>
          <w:b w:val="1"/>
          <w:bCs w:val="1"/>
          <w:color w:val="auto"/>
        </w:rPr>
        <w:t>RISK MANAGEMENT AND DERIVATIVES Market and Credit Risk Disclosures</w:t>
      </w:r>
    </w:p>
    <w:p>
      <w:pPr>
        <w:ind w:right="40"/>
        <w:spacing w:after="0" w:line="286" w:lineRule="auto"/>
        <w:rPr>
          <w:sz w:val="20"/>
          <w:szCs w:val="20"/>
          <w:color w:val="auto"/>
        </w:rPr>
      </w:pPr>
      <w:r>
        <w:rPr>
          <w:rFonts w:ascii="Arial" w:cs="Arial" w:eastAsia="Arial" w:hAnsi="Arial"/>
          <w:sz w:val="16"/>
          <w:szCs w:val="16"/>
          <w:color w:val="auto"/>
        </w:rPr>
        <w:t>Our activities in the energy industry expose us to a number of risks in the normal operations of our businesses. Depending on the activity, we are exposed to varying degrees of market risk and credit risk.</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Market Risk</w:t>
      </w:r>
    </w:p>
    <w:p>
      <w:pPr>
        <w:spacing w:after="0" w:line="19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Market risk is the potential loss that may occur as a result of an adverse change in market price, rate or supply. We are exposed, but not limited to, the following market risks:</w:t>
      </w:r>
    </w:p>
    <w:p>
      <w:pPr>
        <w:spacing w:after="0" w:line="129" w:lineRule="exact"/>
        <w:rPr>
          <w:sz w:val="20"/>
          <w:szCs w:val="20"/>
          <w:color w:val="auto"/>
        </w:rPr>
      </w:pPr>
    </w:p>
    <w:p>
      <w:pPr>
        <w:ind w:left="1020" w:right="220" w:hanging="503"/>
        <w:spacing w:after="0" w:line="259" w:lineRule="auto"/>
        <w:tabs>
          <w:tab w:leader="none" w:pos="102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Commodity price risk associated with our retail natural gas and wholesale electric power marketing activities and our fuel procurement for several of our gas-fired generation assets, which include market fluctuations due to unpredictable factors such as the COVID-19 pandemic, weather (e.g. Winter Storm Uri), geopolitical events, market speculation, recession, inflation, pipeline constraints, and other factors that may impact natural gas and electric supply and demand; and</w:t>
      </w:r>
    </w:p>
    <w:p>
      <w:pPr>
        <w:spacing w:after="0" w:line="150" w:lineRule="exact"/>
        <w:rPr>
          <w:rFonts w:ascii="Times New Roman" w:cs="Times New Roman" w:eastAsia="Times New Roman" w:hAnsi="Times New Roman"/>
          <w:sz w:val="16"/>
          <w:szCs w:val="16"/>
          <w:color w:val="auto"/>
        </w:rPr>
      </w:pPr>
    </w:p>
    <w:p>
      <w:pPr>
        <w:ind w:left="1020" w:right="140" w:hanging="503"/>
        <w:spacing w:after="0" w:line="285" w:lineRule="auto"/>
        <w:tabs>
          <w:tab w:leader="none" w:pos="1020" w:val="left"/>
        </w:tabs>
        <w:numPr>
          <w:ilvl w:val="0"/>
          <w:numId w:val="61"/>
        </w:numPr>
        <w:rPr>
          <w:rFonts w:ascii="Times New Roman" w:cs="Times New Roman" w:eastAsia="Times New Roman" w:hAnsi="Times New Roman"/>
          <w:sz w:val="16"/>
          <w:szCs w:val="16"/>
          <w:color w:val="auto"/>
        </w:rPr>
      </w:pPr>
      <w:r>
        <w:rPr>
          <w:rFonts w:ascii="Arial" w:cs="Arial" w:eastAsia="Arial" w:hAnsi="Arial"/>
          <w:sz w:val="16"/>
          <w:szCs w:val="16"/>
          <w:color w:val="auto"/>
        </w:rPr>
        <w:t>Interest rate risk associated with future debt, including reduced access to liquidity during periods of extreme capital markets volatility, such as the 2008 financial crisis and the COVID-19 pandemic.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Credit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Credit risk is the risk of financial loss resulting from non-performance of contractual obligations by a counterparty.</w:t>
      </w:r>
    </w:p>
    <w:p>
      <w:pPr>
        <w:spacing w:after="0" w:line="194" w:lineRule="exact"/>
        <w:rPr>
          <w:sz w:val="20"/>
          <w:szCs w:val="20"/>
          <w:color w:val="auto"/>
        </w:rPr>
      </w:pPr>
    </w:p>
    <w:p>
      <w:pPr>
        <w:ind w:right="340"/>
        <w:spacing w:after="0" w:line="253" w:lineRule="auto"/>
        <w:rPr>
          <w:sz w:val="20"/>
          <w:szCs w:val="20"/>
          <w:color w:val="auto"/>
        </w:rPr>
      </w:pPr>
      <w:r>
        <w:rPr>
          <w:rFonts w:ascii="Arial" w:cs="Arial" w:eastAsia="Arial" w:hAnsi="Arial"/>
          <w:sz w:val="16"/>
          <w:szCs w:val="16"/>
          <w:color w:val="auto"/>
        </w:rPr>
        <w:t>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cash collateral requirements, letters of credit and other security agreements.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We perform periodic credit evaluations of our customers and adjust credit limits based upon payment history and the customer’s current creditworthiness, as determined by review of their current credit information. We maintain a provision for estimated credit losses based upon historical experience, changes in current market conditions, expected losses and any specific customer collection issue that is identified. Our credit exposure at December 31, 2023 was concentrated primarily among retail utility customers, investment grade companies, cooperative utilities and federal agencies.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Derivatives and Hedging Activity</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 xml:space="preserve">Our derivative and hedging activities included in the accompanying Consolidated Balance Sheets, Consolidated Statements of Income and Consolidated Statements of Comprehensive Income (Loss) are detailed below and within </w:t>
      </w:r>
      <w:r>
        <w:rPr>
          <w:rFonts w:ascii="Arial" w:cs="Arial" w:eastAsia="Arial" w:hAnsi="Arial"/>
          <w:sz w:val="16"/>
          <w:szCs w:val="16"/>
          <w:u w:val="single" w:color="auto"/>
          <w:color w:val="0000FF"/>
        </w:rPr>
        <w:t>Note 10</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-45720</wp:posOffset>
            </wp:positionV>
            <wp:extent cx="36004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09"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natural gas price volatility. Therefore, as allowed or required by state utility commissions, we have entered into commission 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5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state regulatory commission guidelines. When the related costs are recovered through our rates, the hedging activity is recognized in the Consolidated Statements of Income.</w:t>
      </w:r>
    </w:p>
    <w:p>
      <w:pPr>
        <w:spacing w:after="0" w:line="14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We periodically have wholesale power purchase and sale contracts used to manage purchased power costs and load requirements associated with serving our electric customers that are considered derivative instruments due to not qualifying for the normal purchase and normal sales exception to derivative accounting. Changes in the fair value of these commodity derivatives are recognized in the Consolidated Statements of Income.</w:t>
      </w:r>
    </w:p>
    <w:p>
      <w:pPr>
        <w:spacing w:after="0" w:line="14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To support our Choice Gas Program customers, 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 sales during time frames ranging from January 2024 through October 2025. A portion of our over-the-counter swaps have been designated as cash flow hedges to mitigate the commodity price risk associated with deliveries under fixed price forward contracts to deliver gas to our Choice Gas Program customers. The gain or loss on these designated derivatives is reported in AOCI in the accompanying Consolidated Balance Sheets and reclassified into earnings in the same period that the underlying hedged item is recognized in earnings. Effectiveness of our hedging position is evaluated at least quarterly.</w:t>
      </w:r>
    </w:p>
    <w:p>
      <w:pPr>
        <w:spacing w:after="0" w:line="154"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contract or notional amounts and terms of the natural gas derivative commodity instruments held by our utilities are comprised of both short and long positions. We had the following net long positions as of:</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140" w:type="dxa"/>
            <w:vAlign w:val="bottom"/>
            <w:tcBorders>
              <w:bottom w:val="single" w:sz="8" w:color="auto"/>
            </w:tcBorders>
            <w:gridSpan w:val="2"/>
          </w:tcPr>
          <w:p>
            <w:pPr>
              <w:ind w:left="880"/>
              <w:spacing w:after="0"/>
              <w:rPr>
                <w:sz w:val="20"/>
                <w:szCs w:val="20"/>
                <w:color w:val="auto"/>
              </w:rPr>
            </w:pPr>
            <w:r>
              <w:rPr>
                <w:rFonts w:ascii="Arial" w:cs="Arial" w:eastAsia="Arial" w:hAnsi="Arial"/>
                <w:sz w:val="16"/>
                <w:szCs w:val="16"/>
                <w:b w:val="1"/>
                <w:bCs w:val="1"/>
                <w:color w:val="auto"/>
              </w:rPr>
              <w:t>December 31, 2023</w:t>
            </w:r>
          </w:p>
        </w:tc>
        <w:tc>
          <w:tcPr>
            <w:tcW w:w="3280" w:type="dxa"/>
            <w:vAlign w:val="bottom"/>
            <w:tcBorders>
              <w:bottom w:val="single" w:sz="8" w:color="auto"/>
            </w:tcBorders>
            <w:gridSpan w:val="2"/>
          </w:tcPr>
          <w:p>
            <w:pPr>
              <w:ind w:left="960"/>
              <w:spacing w:after="0"/>
              <w:rPr>
                <w:sz w:val="20"/>
                <w:szCs w:val="20"/>
                <w:color w:val="auto"/>
              </w:rPr>
            </w:pPr>
            <w:r>
              <w:rPr>
                <w:rFonts w:ascii="Arial" w:cs="Arial" w:eastAsia="Arial" w:hAnsi="Arial"/>
                <w:sz w:val="16"/>
                <w:szCs w:val="16"/>
                <w:b w:val="1"/>
                <w:bCs w:val="1"/>
                <w:color w:val="auto"/>
              </w:rPr>
              <w:t>December 31, 2022</w:t>
            </w:r>
          </w:p>
        </w:tc>
      </w:tr>
      <w:tr>
        <w:trPr>
          <w:trHeight w:val="155"/>
        </w:trPr>
        <w:tc>
          <w:tcPr>
            <w:tcW w:w="35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8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rPr>
              <w:t>Maximum Term</w:t>
            </w:r>
          </w:p>
        </w:tc>
        <w:tc>
          <w:tcPr>
            <w:tcW w:w="1720" w:type="dxa"/>
            <w:vAlign w:val="bottom"/>
          </w:tcPr>
          <w:p>
            <w:pPr>
              <w:spacing w:after="0"/>
              <w:rPr>
                <w:sz w:val="13"/>
                <w:szCs w:val="13"/>
                <w:color w:val="auto"/>
              </w:rPr>
            </w:pPr>
          </w:p>
        </w:tc>
        <w:tc>
          <w:tcPr>
            <w:tcW w:w="1560" w:type="dxa"/>
            <w:vAlign w:val="bottom"/>
          </w:tcPr>
          <w:p>
            <w:pPr>
              <w:jc w:val="center"/>
              <w:ind w:right="19"/>
              <w:spacing w:after="0" w:line="155" w:lineRule="exact"/>
              <w:rPr>
                <w:sz w:val="20"/>
                <w:szCs w:val="20"/>
                <w:color w:val="auto"/>
              </w:rPr>
            </w:pPr>
            <w:r>
              <w:rPr>
                <w:rFonts w:ascii="Arial" w:cs="Arial" w:eastAsia="Arial" w:hAnsi="Arial"/>
                <w:sz w:val="16"/>
                <w:szCs w:val="16"/>
                <w:b w:val="1"/>
                <w:bCs w:val="1"/>
                <w:color w:val="auto"/>
              </w:rPr>
              <w:t>Maximum Term</w:t>
            </w:r>
          </w:p>
        </w:tc>
      </w:tr>
      <w:tr>
        <w:trPr>
          <w:trHeight w:val="243"/>
        </w:trPr>
        <w:tc>
          <w:tcPr>
            <w:tcW w:w="3540" w:type="dxa"/>
            <w:vAlign w:val="bottom"/>
          </w:tcPr>
          <w:p>
            <w:pPr>
              <w:spacing w:after="0"/>
              <w:rPr>
                <w:sz w:val="21"/>
                <w:szCs w:val="21"/>
                <w:color w:val="auto"/>
              </w:rPr>
            </w:pPr>
          </w:p>
        </w:tc>
        <w:tc>
          <w:tcPr>
            <w:tcW w:w="1280" w:type="dxa"/>
            <w:vAlign w:val="bottom"/>
          </w:tcPr>
          <w:p>
            <w:pPr>
              <w:jc w:val="center"/>
              <w:ind w:left="179"/>
              <w:spacing w:after="0"/>
              <w:rPr>
                <w:sz w:val="20"/>
                <w:szCs w:val="20"/>
                <w:color w:val="auto"/>
              </w:rPr>
            </w:pPr>
            <w:r>
              <w:rPr>
                <w:rFonts w:ascii="Arial" w:cs="Arial" w:eastAsia="Arial" w:hAnsi="Arial"/>
                <w:sz w:val="16"/>
                <w:szCs w:val="16"/>
                <w:b w:val="1"/>
                <w:bCs w:val="1"/>
                <w:color w:val="auto"/>
              </w:rPr>
              <w:t>Units</w:t>
            </w:r>
          </w:p>
        </w:tc>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Notional Amounts</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c>
          <w:tcPr>
            <w:tcW w:w="17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Notional Amounts</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 xml:space="preserve">(months) </w:t>
            </w:r>
            <w:r>
              <w:rPr>
                <w:rFonts w:ascii="Arial" w:cs="Arial" w:eastAsia="Arial" w:hAnsi="Arial"/>
                <w:sz w:val="21"/>
                <w:szCs w:val="21"/>
                <w:b w:val="1"/>
                <w:bCs w:val="1"/>
                <w:color w:val="auto"/>
                <w:w w:val="95"/>
                <w:vertAlign w:val="superscript"/>
              </w:rPr>
              <w:t>(a)</w:t>
            </w:r>
          </w:p>
        </w:tc>
      </w:tr>
      <w:tr>
        <w:trPr>
          <w:trHeight w:val="210"/>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futures purchased</w:t>
            </w:r>
          </w:p>
        </w:tc>
        <w:tc>
          <w:tcPr>
            <w:tcW w:w="12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8"/>
              </w:rPr>
              <w:t>MMBtus</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650,000</w:t>
            </w: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17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630,000</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Natural gas options purchased, net</w:t>
            </w:r>
          </w:p>
        </w:tc>
        <w:tc>
          <w:tcPr>
            <w:tcW w:w="1280" w:type="dxa"/>
            <w:vAlign w:val="bottom"/>
          </w:tcPr>
          <w:p>
            <w:pPr>
              <w:jc w:val="center"/>
              <w:ind w:left="179"/>
              <w:spacing w:after="0"/>
              <w:rPr>
                <w:sz w:val="20"/>
                <w:szCs w:val="20"/>
                <w:color w:val="auto"/>
              </w:rPr>
            </w:pPr>
            <w:r>
              <w:rPr>
                <w:rFonts w:ascii="Arial" w:cs="Arial" w:eastAsia="Arial" w:hAnsi="Arial"/>
                <w:sz w:val="16"/>
                <w:szCs w:val="16"/>
                <w:color w:val="auto"/>
                <w:w w:val="98"/>
              </w:rPr>
              <w:t>MMBtus</w:t>
            </w:r>
          </w:p>
        </w:tc>
        <w:tc>
          <w:tcPr>
            <w:tcW w:w="1660" w:type="dxa"/>
            <w:vAlign w:val="bottom"/>
          </w:tcPr>
          <w:p>
            <w:pPr>
              <w:jc w:val="center"/>
              <w:spacing w:after="0"/>
              <w:rPr>
                <w:sz w:val="20"/>
                <w:szCs w:val="20"/>
                <w:color w:val="auto"/>
              </w:rPr>
            </w:pPr>
            <w:r>
              <w:rPr>
                <w:rFonts w:ascii="Arial" w:cs="Arial" w:eastAsia="Arial" w:hAnsi="Arial"/>
                <w:sz w:val="16"/>
                <w:szCs w:val="16"/>
                <w:color w:val="auto"/>
              </w:rPr>
              <w:t>2,850,000</w:t>
            </w:r>
          </w:p>
        </w:tc>
        <w:tc>
          <w:tcPr>
            <w:tcW w:w="1480" w:type="dxa"/>
            <w:vAlign w:val="bottom"/>
          </w:tcPr>
          <w:p>
            <w:pPr>
              <w:jc w:val="center"/>
              <w:spacing w:after="0"/>
              <w:rPr>
                <w:sz w:val="20"/>
                <w:szCs w:val="20"/>
                <w:color w:val="auto"/>
              </w:rPr>
            </w:pPr>
            <w:r>
              <w:rPr>
                <w:rFonts w:ascii="Arial" w:cs="Arial" w:eastAsia="Arial" w:hAnsi="Arial"/>
                <w:sz w:val="16"/>
                <w:szCs w:val="16"/>
                <w:color w:val="auto"/>
              </w:rPr>
              <w:t>3</w:t>
            </w:r>
          </w:p>
        </w:tc>
        <w:tc>
          <w:tcPr>
            <w:tcW w:w="1720" w:type="dxa"/>
            <w:vAlign w:val="bottom"/>
          </w:tcPr>
          <w:p>
            <w:pPr>
              <w:jc w:val="center"/>
              <w:spacing w:after="0"/>
              <w:rPr>
                <w:sz w:val="20"/>
                <w:szCs w:val="20"/>
                <w:color w:val="auto"/>
              </w:rPr>
            </w:pPr>
            <w:r>
              <w:rPr>
                <w:rFonts w:ascii="Arial" w:cs="Arial" w:eastAsia="Arial" w:hAnsi="Arial"/>
                <w:sz w:val="16"/>
                <w:szCs w:val="16"/>
                <w:color w:val="auto"/>
              </w:rPr>
              <w:t>1,790,000</w:t>
            </w:r>
          </w:p>
        </w:tc>
        <w:tc>
          <w:tcPr>
            <w:tcW w:w="1560" w:type="dxa"/>
            <w:vAlign w:val="bottom"/>
          </w:tcPr>
          <w:p>
            <w:pPr>
              <w:jc w:val="center"/>
              <w:spacing w:after="0"/>
              <w:rPr>
                <w:sz w:val="20"/>
                <w:szCs w:val="20"/>
                <w:color w:val="auto"/>
              </w:rPr>
            </w:pPr>
            <w:r>
              <w:rPr>
                <w:rFonts w:ascii="Arial" w:cs="Arial" w:eastAsia="Arial" w:hAnsi="Arial"/>
                <w:sz w:val="16"/>
                <w:szCs w:val="16"/>
                <w:color w:val="auto"/>
              </w:rPr>
              <w:t>3</w:t>
            </w:r>
          </w:p>
        </w:tc>
      </w:tr>
      <w:tr>
        <w:trPr>
          <w:trHeight w:val="217"/>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Natural gas basis swaps purchased</w:t>
            </w:r>
          </w:p>
        </w:tc>
        <w:tc>
          <w:tcPr>
            <w:tcW w:w="12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8"/>
              </w:rPr>
              <w:t>MMBtus</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1,050,000</w:t>
            </w: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c>
          <w:tcPr>
            <w:tcW w:w="17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900,000</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3</w:t>
            </w:r>
          </w:p>
        </w:tc>
      </w:tr>
      <w:tr>
        <w:trPr>
          <w:trHeight w:val="216"/>
        </w:trPr>
        <w:tc>
          <w:tcPr>
            <w:tcW w:w="35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Natural gas over-the-counter swaps, net </w:t>
            </w:r>
            <w:r>
              <w:rPr>
                <w:rFonts w:ascii="Arial" w:cs="Arial" w:eastAsia="Arial" w:hAnsi="Arial"/>
                <w:sz w:val="21"/>
                <w:szCs w:val="21"/>
                <w:color w:val="auto"/>
                <w:vertAlign w:val="superscript"/>
              </w:rPr>
              <w:t>(b)</w:t>
            </w:r>
          </w:p>
        </w:tc>
        <w:tc>
          <w:tcPr>
            <w:tcW w:w="1280" w:type="dxa"/>
            <w:vAlign w:val="bottom"/>
          </w:tcPr>
          <w:p>
            <w:pPr>
              <w:jc w:val="center"/>
              <w:ind w:left="179"/>
              <w:spacing w:after="0"/>
              <w:rPr>
                <w:sz w:val="20"/>
                <w:szCs w:val="20"/>
                <w:color w:val="auto"/>
              </w:rPr>
            </w:pPr>
            <w:r>
              <w:rPr>
                <w:rFonts w:ascii="Arial" w:cs="Arial" w:eastAsia="Arial" w:hAnsi="Arial"/>
                <w:sz w:val="16"/>
                <w:szCs w:val="16"/>
                <w:color w:val="auto"/>
                <w:w w:val="98"/>
              </w:rPr>
              <w:t>MMBtus</w:t>
            </w:r>
          </w:p>
        </w:tc>
        <w:tc>
          <w:tcPr>
            <w:tcW w:w="1660" w:type="dxa"/>
            <w:vAlign w:val="bottom"/>
          </w:tcPr>
          <w:p>
            <w:pPr>
              <w:jc w:val="center"/>
              <w:spacing w:after="0"/>
              <w:rPr>
                <w:sz w:val="20"/>
                <w:szCs w:val="20"/>
                <w:color w:val="auto"/>
              </w:rPr>
            </w:pPr>
            <w:r>
              <w:rPr>
                <w:rFonts w:ascii="Arial" w:cs="Arial" w:eastAsia="Arial" w:hAnsi="Arial"/>
                <w:sz w:val="16"/>
                <w:szCs w:val="16"/>
                <w:color w:val="auto"/>
              </w:rPr>
              <w:t>3,890,000</w:t>
            </w:r>
          </w:p>
        </w:tc>
        <w:tc>
          <w:tcPr>
            <w:tcW w:w="1480" w:type="dxa"/>
            <w:vAlign w:val="bottom"/>
          </w:tcPr>
          <w:p>
            <w:pPr>
              <w:jc w:val="center"/>
              <w:spacing w:after="0"/>
              <w:rPr>
                <w:sz w:val="20"/>
                <w:szCs w:val="20"/>
                <w:color w:val="auto"/>
              </w:rPr>
            </w:pPr>
            <w:r>
              <w:rPr>
                <w:rFonts w:ascii="Arial" w:cs="Arial" w:eastAsia="Arial" w:hAnsi="Arial"/>
                <w:sz w:val="16"/>
                <w:szCs w:val="16"/>
                <w:color w:val="auto"/>
              </w:rPr>
              <w:t>21</w:t>
            </w:r>
          </w:p>
        </w:tc>
        <w:tc>
          <w:tcPr>
            <w:tcW w:w="1720" w:type="dxa"/>
            <w:vAlign w:val="bottom"/>
          </w:tcPr>
          <w:p>
            <w:pPr>
              <w:jc w:val="center"/>
              <w:spacing w:after="0"/>
              <w:rPr>
                <w:sz w:val="20"/>
                <w:szCs w:val="20"/>
                <w:color w:val="auto"/>
              </w:rPr>
            </w:pPr>
            <w:r>
              <w:rPr>
                <w:rFonts w:ascii="Arial" w:cs="Arial" w:eastAsia="Arial" w:hAnsi="Arial"/>
                <w:sz w:val="16"/>
                <w:szCs w:val="16"/>
                <w:color w:val="auto"/>
              </w:rPr>
              <w:t>4,460,000</w:t>
            </w:r>
          </w:p>
        </w:tc>
        <w:tc>
          <w:tcPr>
            <w:tcW w:w="1560" w:type="dxa"/>
            <w:vAlign w:val="bottom"/>
          </w:tcPr>
          <w:p>
            <w:pPr>
              <w:jc w:val="center"/>
              <w:spacing w:after="0"/>
              <w:rPr>
                <w:sz w:val="20"/>
                <w:szCs w:val="20"/>
                <w:color w:val="auto"/>
              </w:rPr>
            </w:pPr>
            <w:r>
              <w:rPr>
                <w:rFonts w:ascii="Arial" w:cs="Arial" w:eastAsia="Arial" w:hAnsi="Arial"/>
                <w:sz w:val="16"/>
                <w:szCs w:val="16"/>
                <w:color w:val="auto"/>
              </w:rPr>
              <w:t>24</w:t>
            </w:r>
          </w:p>
        </w:tc>
      </w:tr>
      <w:tr>
        <w:trPr>
          <w:trHeight w:val="216"/>
        </w:trPr>
        <w:tc>
          <w:tcPr>
            <w:tcW w:w="35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Natural gas physical commitments, net </w:t>
            </w:r>
            <w:r>
              <w:rPr>
                <w:rFonts w:ascii="Arial" w:cs="Arial" w:eastAsia="Arial" w:hAnsi="Arial"/>
                <w:sz w:val="21"/>
                <w:szCs w:val="21"/>
                <w:color w:val="auto"/>
                <w:vertAlign w:val="superscript"/>
              </w:rPr>
              <w:t>(c)</w:t>
            </w:r>
          </w:p>
        </w:tc>
        <w:tc>
          <w:tcPr>
            <w:tcW w:w="1280" w:type="dxa"/>
            <w:vAlign w:val="bottom"/>
            <w:shd w:val="clear" w:color="auto" w:fill="CFF0FC"/>
          </w:tcPr>
          <w:p>
            <w:pPr>
              <w:jc w:val="center"/>
              <w:ind w:left="179"/>
              <w:spacing w:after="0"/>
              <w:rPr>
                <w:sz w:val="20"/>
                <w:szCs w:val="20"/>
                <w:color w:val="auto"/>
              </w:rPr>
            </w:pPr>
            <w:r>
              <w:rPr>
                <w:rFonts w:ascii="Arial" w:cs="Arial" w:eastAsia="Arial" w:hAnsi="Arial"/>
                <w:sz w:val="16"/>
                <w:szCs w:val="16"/>
                <w:color w:val="auto"/>
                <w:w w:val="98"/>
              </w:rPr>
              <w:t>MMBtus</w:t>
            </w:r>
          </w:p>
        </w:tc>
        <w:tc>
          <w:tcPr>
            <w:tcW w:w="16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12,582,415</w:t>
            </w:r>
          </w:p>
        </w:tc>
        <w:tc>
          <w:tcPr>
            <w:tcW w:w="148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10</w:t>
            </w:r>
          </w:p>
        </w:tc>
        <w:tc>
          <w:tcPr>
            <w:tcW w:w="17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17,864,412</w:t>
            </w:r>
          </w:p>
        </w:tc>
        <w:tc>
          <w:tcPr>
            <w:tcW w:w="15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Term reflects the maximum forward period hedged.</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As of December 31, 2023, 2,101,700 MMBtus of natural gas over-the-counter swaps purchased were designated as cash flow hedges.</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Volumes exclude derivative contracts that qualify for the normal purchase, normal sales exception permitted by GAAP.</w:t>
      </w:r>
    </w:p>
    <w:p>
      <w:pPr>
        <w:spacing w:after="0" w:line="171" w:lineRule="exact"/>
        <w:rPr>
          <w:sz w:val="20"/>
          <w:szCs w:val="20"/>
          <w:color w:val="auto"/>
        </w:rPr>
      </w:pPr>
    </w:p>
    <w:p>
      <w:pPr>
        <w:ind w:right="400"/>
        <w:spacing w:after="0" w:line="266" w:lineRule="auto"/>
        <w:rPr>
          <w:sz w:val="20"/>
          <w:szCs w:val="20"/>
          <w:color w:val="auto"/>
        </w:rPr>
      </w:pPr>
      <w:r>
        <w:rPr>
          <w:rFonts w:ascii="Arial" w:cs="Arial" w:eastAsia="Arial" w:hAnsi="Arial"/>
          <w:sz w:val="16"/>
          <w:szCs w:val="16"/>
          <w:color w:val="auto"/>
        </w:rPr>
        <w:t>We have certain derivative contracts which contain credit provisions. These credit provisions may require the Company to post collateral when credit exposure to the Company is in excess of a negotiated line of unsecured credit. At December 31, 2023, the Company posted $2.0 million related to such provisions, which is included in Other current assets on the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6" w:name="page87"/>
    <w:bookmarkEnd w:id="8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by Balance Sheet Classification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fair value and balance sheet classification of our derivative instruments as of December 31,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4080" w:type="dxa"/>
            <w:vAlign w:val="bottom"/>
            <w:tcBorders>
              <w:bottom w:val="single" w:sz="8" w:color="auto"/>
            </w:tcBorders>
          </w:tcPr>
          <w:p>
            <w:pPr>
              <w:ind w:left="1140"/>
              <w:spacing w:after="0"/>
              <w:rPr>
                <w:sz w:val="20"/>
                <w:szCs w:val="20"/>
                <w:color w:val="auto"/>
              </w:rPr>
            </w:pPr>
            <w:r>
              <w:rPr>
                <w:rFonts w:ascii="Arial" w:cs="Arial" w:eastAsia="Arial" w:hAnsi="Arial"/>
                <w:sz w:val="16"/>
                <w:szCs w:val="16"/>
                <w:b w:val="1"/>
                <w:bCs w:val="1"/>
                <w:color w:val="auto"/>
              </w:rPr>
              <w:t>Balance Sheet Location</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r>
      <w:tr>
        <w:trPr>
          <w:trHeight w:val="208"/>
        </w:trPr>
        <w:tc>
          <w:tcPr>
            <w:tcW w:w="4240" w:type="dxa"/>
            <w:vAlign w:val="bottom"/>
          </w:tcPr>
          <w:p>
            <w:pPr>
              <w:ind w:left="20"/>
              <w:spacing w:after="0"/>
              <w:rPr>
                <w:sz w:val="20"/>
                <w:szCs w:val="20"/>
                <w:color w:val="auto"/>
              </w:rPr>
            </w:pPr>
            <w:r>
              <w:rPr>
                <w:rFonts w:ascii="Arial" w:cs="Arial" w:eastAsia="Arial" w:hAnsi="Arial"/>
                <w:sz w:val="16"/>
                <w:szCs w:val="16"/>
                <w:color w:val="auto"/>
              </w:rPr>
              <w:t>Derivatives designated as hedges:</w:t>
            </w: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Asset derivative instruments:</w:t>
            </w:r>
          </w:p>
        </w:tc>
        <w:tc>
          <w:tcPr>
            <w:tcW w:w="4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424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4080" w:type="dxa"/>
            <w:vAlign w:val="bottom"/>
          </w:tcPr>
          <w:p>
            <w:pPr>
              <w:ind w:left="20"/>
              <w:spacing w:after="0"/>
              <w:rPr>
                <w:sz w:val="20"/>
                <w:szCs w:val="20"/>
                <w:color w:val="auto"/>
              </w:rPr>
            </w:pPr>
            <w:r>
              <w:rPr>
                <w:rFonts w:ascii="Arial" w:cs="Arial" w:eastAsia="Arial" w:hAnsi="Arial"/>
                <w:sz w:val="16"/>
                <w:szCs w:val="16"/>
                <w:color w:val="auto"/>
              </w:rPr>
              <w:t>Derivative assets - current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0.1</w:t>
            </w:r>
          </w:p>
        </w:tc>
      </w:tr>
      <w:tr>
        <w:trPr>
          <w:trHeight w:val="217"/>
        </w:trPr>
        <w:tc>
          <w:tcPr>
            <w:tcW w:w="4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4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 non-current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0.2</w:t>
            </w: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auto"/>
              </w:rPr>
              <w:t>Liability derivative instruments:</w:t>
            </w: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4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liabilities - current</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(2.7 )</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(1.7 )</w:t>
            </w:r>
          </w:p>
        </w:tc>
      </w:tr>
      <w:tr>
        <w:trPr>
          <w:trHeight w:val="215"/>
        </w:trPr>
        <w:tc>
          <w:tcPr>
            <w:tcW w:w="424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4080" w:type="dxa"/>
            <w:vAlign w:val="bottom"/>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49"/>
        </w:trPr>
        <w:tc>
          <w:tcPr>
            <w:tcW w:w="4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derivatives designated as hedges</w:t>
            </w:r>
          </w:p>
        </w:tc>
        <w:tc>
          <w:tcPr>
            <w:tcW w:w="40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(2.9 ) $</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(1.4 )</w:t>
            </w:r>
          </w:p>
        </w:tc>
      </w:tr>
      <w:tr>
        <w:trPr>
          <w:trHeight w:val="197"/>
        </w:trPr>
        <w:tc>
          <w:tcPr>
            <w:tcW w:w="42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Derivatives not designated as hedges:</w:t>
            </w:r>
          </w:p>
        </w:tc>
        <w:tc>
          <w:tcPr>
            <w:tcW w:w="4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4240" w:type="dxa"/>
            <w:vAlign w:val="bottom"/>
          </w:tcPr>
          <w:p>
            <w:pPr>
              <w:ind w:left="120"/>
              <w:spacing w:after="0"/>
              <w:rPr>
                <w:sz w:val="20"/>
                <w:szCs w:val="20"/>
                <w:color w:val="auto"/>
              </w:rPr>
            </w:pPr>
            <w:r>
              <w:rPr>
                <w:rFonts w:ascii="Arial" w:cs="Arial" w:eastAsia="Arial" w:hAnsi="Arial"/>
                <w:sz w:val="16"/>
                <w:szCs w:val="16"/>
                <w:color w:val="auto"/>
              </w:rPr>
              <w:t>Asset derivative instruments:</w:t>
            </w:r>
          </w:p>
        </w:tc>
        <w:tc>
          <w:tcPr>
            <w:tcW w:w="4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7"/>
        </w:trPr>
        <w:tc>
          <w:tcPr>
            <w:tcW w:w="4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Current commodity derivatives</w:t>
            </w:r>
          </w:p>
        </w:tc>
        <w:tc>
          <w:tcPr>
            <w:tcW w:w="4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Derivative assets - current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0.5</w:t>
            </w:r>
          </w:p>
        </w:tc>
      </w:tr>
      <w:tr>
        <w:trPr>
          <w:trHeight w:val="215"/>
        </w:trPr>
        <w:tc>
          <w:tcPr>
            <w:tcW w:w="4240" w:type="dxa"/>
            <w:vAlign w:val="bottom"/>
          </w:tcPr>
          <w:p>
            <w:pPr>
              <w:ind w:left="200"/>
              <w:spacing w:after="0"/>
              <w:rPr>
                <w:sz w:val="20"/>
                <w:szCs w:val="20"/>
                <w:color w:val="auto"/>
              </w:rPr>
            </w:pPr>
            <w:r>
              <w:rPr>
                <w:rFonts w:ascii="Arial" w:cs="Arial" w:eastAsia="Arial" w:hAnsi="Arial"/>
                <w:sz w:val="16"/>
                <w:szCs w:val="16"/>
                <w:color w:val="auto"/>
              </w:rPr>
              <w:t>Noncurrent commodity derivatives</w:t>
            </w:r>
          </w:p>
        </w:tc>
        <w:tc>
          <w:tcPr>
            <w:tcW w:w="4080" w:type="dxa"/>
            <w:vAlign w:val="bottom"/>
          </w:tcPr>
          <w:p>
            <w:pPr>
              <w:ind w:left="20"/>
              <w:spacing w:after="0"/>
              <w:rPr>
                <w:sz w:val="20"/>
                <w:szCs w:val="20"/>
                <w:color w:val="auto"/>
              </w:rPr>
            </w:pPr>
            <w:r>
              <w:rPr>
                <w:rFonts w:ascii="Arial" w:cs="Arial" w:eastAsia="Arial" w:hAnsi="Arial"/>
                <w:sz w:val="16"/>
                <w:szCs w:val="16"/>
                <w:color w:val="auto"/>
              </w:rPr>
              <w:t>Other assets, non-current</w:t>
            </w:r>
          </w:p>
        </w:tc>
        <w:tc>
          <w:tcPr>
            <w:tcW w:w="300" w:type="dxa"/>
            <w:vAlign w:val="bottom"/>
          </w:tcPr>
          <w:p>
            <w:pPr>
              <w:spacing w:after="0"/>
              <w:rPr>
                <w:sz w:val="18"/>
                <w:szCs w:val="18"/>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0.3</w:t>
            </w:r>
          </w:p>
        </w:tc>
      </w:tr>
      <w:tr>
        <w:trPr>
          <w:trHeight w:val="217"/>
        </w:trPr>
        <w:tc>
          <w:tcPr>
            <w:tcW w:w="42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Liability derivative instruments:</w:t>
            </w:r>
          </w:p>
        </w:tc>
        <w:tc>
          <w:tcPr>
            <w:tcW w:w="4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5"/>
        </w:trPr>
        <w:tc>
          <w:tcPr>
            <w:tcW w:w="4240" w:type="dxa"/>
            <w:vAlign w:val="bottom"/>
          </w:tcPr>
          <w:p>
            <w:pPr>
              <w:ind w:left="200"/>
              <w:spacing w:after="0"/>
              <w:rPr>
                <w:sz w:val="20"/>
                <w:szCs w:val="20"/>
                <w:color w:val="auto"/>
              </w:rPr>
            </w:pPr>
            <w:r>
              <w:rPr>
                <w:rFonts w:ascii="Arial" w:cs="Arial" w:eastAsia="Arial" w:hAnsi="Arial"/>
                <w:sz w:val="16"/>
                <w:szCs w:val="16"/>
                <w:color w:val="auto"/>
              </w:rPr>
              <w:t>Current commodity derivatives</w:t>
            </w:r>
          </w:p>
        </w:tc>
        <w:tc>
          <w:tcPr>
            <w:tcW w:w="4080" w:type="dxa"/>
            <w:vAlign w:val="bottom"/>
          </w:tcPr>
          <w:p>
            <w:pPr>
              <w:ind w:left="20"/>
              <w:spacing w:after="0"/>
              <w:rPr>
                <w:sz w:val="20"/>
                <w:szCs w:val="20"/>
                <w:color w:val="auto"/>
              </w:rPr>
            </w:pPr>
            <w:r>
              <w:rPr>
                <w:rFonts w:ascii="Arial" w:cs="Arial" w:eastAsia="Arial" w:hAnsi="Arial"/>
                <w:sz w:val="16"/>
                <w:szCs w:val="16"/>
                <w:color w:val="auto"/>
              </w:rPr>
              <w:t>Derivative liabilities - current</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(3.8 )</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(4.9 )</w:t>
            </w:r>
          </w:p>
        </w:tc>
      </w:tr>
      <w:tr>
        <w:trPr>
          <w:trHeight w:val="21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Noncurrent commodity derivatives</w:t>
            </w:r>
          </w:p>
        </w:tc>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deferred credits and other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(0.1 )</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240" w:type="dxa"/>
            <w:vAlign w:val="bottom"/>
          </w:tcPr>
          <w:p>
            <w:pPr>
              <w:ind w:left="20"/>
              <w:spacing w:after="0"/>
              <w:rPr>
                <w:sz w:val="20"/>
                <w:szCs w:val="20"/>
                <w:color w:val="auto"/>
              </w:rPr>
            </w:pPr>
            <w:r>
              <w:rPr>
                <w:rFonts w:ascii="Arial" w:cs="Arial" w:eastAsia="Arial" w:hAnsi="Arial"/>
                <w:sz w:val="16"/>
                <w:szCs w:val="16"/>
                <w:color w:val="auto"/>
              </w:rPr>
              <w:t>Total derivatives not designated as hedges</w:t>
            </w:r>
          </w:p>
        </w:tc>
        <w:tc>
          <w:tcPr>
            <w:tcW w:w="40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color w:val="auto"/>
              </w:rPr>
              <w:t>(3.9 ) $</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(4.1 )</w:t>
            </w:r>
          </w:p>
        </w:tc>
      </w:tr>
      <w:tr>
        <w:trPr>
          <w:trHeight w:val="20"/>
        </w:trPr>
        <w:tc>
          <w:tcPr>
            <w:tcW w:w="42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Designated as Hedge Instruments</w:t>
      </w:r>
    </w:p>
    <w:p>
      <w:pPr>
        <w:spacing w:after="0" w:line="194"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impact of cash flow hedges on our Consolidated Statements of Comprehensive Income and Consolidated Statements of Income is presented below for the years ended December 31, 2023, 2022 and 2021. Note that this presentation does not reflect the gains or losses arising from the underlying physical transactions; therefore, it is not indicative of the economic profit or loss we realized when the underlying physical and financial transactions were settled.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2022</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2023</w:t>
            </w: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r>
      <w:tr>
        <w:trPr>
          <w:trHeight w:val="182"/>
        </w:trPr>
        <w:tc>
          <w:tcPr>
            <w:tcW w:w="286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Derivatives in Cash Flow Hedging</w:t>
            </w:r>
          </w:p>
        </w:tc>
        <w:tc>
          <w:tcPr>
            <w:tcW w:w="2940" w:type="dxa"/>
            <w:vAlign w:val="bottom"/>
            <w:gridSpan w:val="6"/>
          </w:tcPr>
          <w:p>
            <w:pPr>
              <w:jc w:val="center"/>
              <w:ind w:right="79"/>
              <w:spacing w:after="0" w:line="182" w:lineRule="exact"/>
              <w:rPr>
                <w:sz w:val="20"/>
                <w:szCs w:val="20"/>
                <w:color w:val="auto"/>
              </w:rPr>
            </w:pPr>
            <w:r>
              <w:rPr>
                <w:rFonts w:ascii="Arial" w:cs="Arial" w:eastAsia="Arial" w:hAnsi="Arial"/>
                <w:sz w:val="16"/>
                <w:szCs w:val="16"/>
                <w:b w:val="1"/>
                <w:bCs w:val="1"/>
                <w:color w:val="auto"/>
              </w:rPr>
              <w:t>Amount of Gain/(Loss) Recognized</w:t>
            </w:r>
          </w:p>
        </w:tc>
        <w:tc>
          <w:tcPr>
            <w:tcW w:w="2500" w:type="dxa"/>
            <w:vAlign w:val="bottom"/>
          </w:tcPr>
          <w:p>
            <w:pPr>
              <w:spacing w:after="0"/>
              <w:rPr>
                <w:sz w:val="15"/>
                <w:szCs w:val="15"/>
                <w:color w:val="auto"/>
              </w:rPr>
            </w:pPr>
          </w:p>
        </w:tc>
        <w:tc>
          <w:tcPr>
            <w:tcW w:w="2940" w:type="dxa"/>
            <w:vAlign w:val="bottom"/>
            <w:gridSpan w:val="4"/>
          </w:tcPr>
          <w:p>
            <w:pPr>
              <w:ind w:left="20"/>
              <w:spacing w:after="0" w:line="182" w:lineRule="exact"/>
              <w:rPr>
                <w:sz w:val="20"/>
                <w:szCs w:val="20"/>
                <w:color w:val="auto"/>
              </w:rPr>
            </w:pPr>
            <w:r>
              <w:rPr>
                <w:rFonts w:ascii="Arial" w:cs="Arial" w:eastAsia="Arial" w:hAnsi="Arial"/>
                <w:sz w:val="16"/>
                <w:szCs w:val="16"/>
                <w:b w:val="1"/>
                <w:bCs w:val="1"/>
                <w:color w:val="auto"/>
              </w:rPr>
              <w:t>Amount of Gain/(Loss) Reclassified</w:t>
            </w:r>
          </w:p>
        </w:tc>
      </w:tr>
      <w:tr>
        <w:trPr>
          <w:trHeight w:val="217"/>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Relationships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in OCI</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Income Statement Location</w:t>
            </w:r>
          </w:p>
        </w:tc>
        <w:tc>
          <w:tcPr>
            <w:tcW w:w="1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ind w:left="380"/>
              <w:spacing w:after="0"/>
              <w:rPr>
                <w:sz w:val="20"/>
                <w:szCs w:val="20"/>
                <w:color w:val="auto"/>
              </w:rPr>
            </w:pPr>
            <w:r>
              <w:rPr>
                <w:rFonts w:ascii="Arial" w:cs="Arial" w:eastAsia="Arial" w:hAnsi="Arial"/>
                <w:sz w:val="16"/>
                <w:szCs w:val="16"/>
                <w:b w:val="1"/>
                <w:bCs w:val="1"/>
                <w:color w:val="auto"/>
              </w:rPr>
              <w:t>from AOCI into Income</w:t>
            </w:r>
          </w:p>
        </w:tc>
      </w:tr>
      <w:tr>
        <w:trPr>
          <w:trHeight w:val="210"/>
        </w:trPr>
        <w:tc>
          <w:tcPr>
            <w:tcW w:w="2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(in millions)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(in millions)</w:t>
            </w:r>
          </w:p>
        </w:tc>
        <w:tc>
          <w:tcPr>
            <w:tcW w:w="820" w:type="dxa"/>
            <w:vAlign w:val="bottom"/>
            <w:tcBorders>
              <w:bottom w:val="single" w:sz="8" w:color="auto"/>
            </w:tcBorders>
          </w:tcPr>
          <w:p>
            <w:pPr>
              <w:spacing w:after="0"/>
              <w:rPr>
                <w:sz w:val="18"/>
                <w:szCs w:val="18"/>
                <w:color w:val="auto"/>
              </w:rPr>
            </w:pPr>
          </w:p>
        </w:tc>
      </w:tr>
      <w:tr>
        <w:trPr>
          <w:trHeight w:val="210"/>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rate swaps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w:t>
            </w:r>
          </w:p>
        </w:tc>
        <w:tc>
          <w:tcPr>
            <w:tcW w:w="25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(2.9 ) $</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(2.8 ) $</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(2.9 )</w:t>
            </w:r>
          </w:p>
        </w:tc>
      </w:tr>
      <w:tr>
        <w:trPr>
          <w:trHeight w:val="188"/>
        </w:trPr>
        <w:tc>
          <w:tcPr>
            <w:tcW w:w="2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500" w:type="dxa"/>
            <w:vAlign w:val="bottom"/>
          </w:tcPr>
          <w:p>
            <w:pPr>
              <w:ind w:left="20"/>
              <w:spacing w:after="0"/>
              <w:rPr>
                <w:sz w:val="20"/>
                <w:szCs w:val="20"/>
                <w:color w:val="auto"/>
              </w:rPr>
            </w:pPr>
            <w:r>
              <w:rPr>
                <w:rFonts w:ascii="Arial" w:cs="Arial" w:eastAsia="Arial" w:hAnsi="Arial"/>
                <w:sz w:val="16"/>
                <w:szCs w:val="16"/>
                <w:color w:val="auto"/>
              </w:rPr>
              <w:t>Fuel, purchased power and cost</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17"/>
        </w:trPr>
        <w:tc>
          <w:tcPr>
            <w:tcW w:w="2860" w:type="dxa"/>
            <w:vAlign w:val="bottom"/>
          </w:tcPr>
          <w:p>
            <w:pPr>
              <w:ind w:left="20"/>
              <w:spacing w:after="0"/>
              <w:rPr>
                <w:sz w:val="20"/>
                <w:szCs w:val="20"/>
                <w:color w:val="auto"/>
              </w:rPr>
            </w:pPr>
            <w:r>
              <w:rPr>
                <w:rFonts w:ascii="Arial" w:cs="Arial" w:eastAsia="Arial" w:hAnsi="Arial"/>
                <w:sz w:val="16"/>
                <w:szCs w:val="16"/>
                <w:color w:val="auto"/>
              </w:rPr>
              <w:t>Commodity derivatives</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w:t>
            </w:r>
          </w:p>
        </w:tc>
        <w:tc>
          <w:tcPr>
            <w:tcW w:w="2500" w:type="dxa"/>
            <w:vAlign w:val="bottom"/>
          </w:tcPr>
          <w:p>
            <w:pPr>
              <w:ind w:left="20"/>
              <w:spacing w:after="0"/>
              <w:rPr>
                <w:sz w:val="20"/>
                <w:szCs w:val="20"/>
                <w:color w:val="auto"/>
              </w:rPr>
            </w:pPr>
            <w:r>
              <w:rPr>
                <w:rFonts w:ascii="Arial" w:cs="Arial" w:eastAsia="Arial" w:hAnsi="Arial"/>
                <w:sz w:val="16"/>
                <w:szCs w:val="16"/>
                <w:color w:val="auto"/>
              </w:rPr>
              <w:t>of natural gas sold</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rPr>
              <w:t>(3.0 )</w:t>
            </w:r>
          </w:p>
        </w:tc>
        <w:tc>
          <w:tcPr>
            <w:tcW w:w="10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2.7</w:t>
            </w:r>
          </w:p>
        </w:tc>
        <w:tc>
          <w:tcPr>
            <w:tcW w:w="8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r>
      <w:tr>
        <w:trPr>
          <w:trHeight w:val="249"/>
        </w:trPr>
        <w:tc>
          <w:tcPr>
            <w:tcW w:w="2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(0.7 ) $</w:t>
            </w:r>
          </w:p>
        </w:tc>
        <w:tc>
          <w:tcPr>
            <w:tcW w:w="8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4.8</w:t>
            </w:r>
          </w:p>
        </w:tc>
        <w:tc>
          <w:tcPr>
            <w:tcW w:w="25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6"/>
                <w:szCs w:val="16"/>
                <w:color w:val="auto"/>
              </w:rPr>
              <w:t>(5.9 ) $</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(0.1 ) $</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-24765</wp:posOffset>
            </wp:positionV>
            <wp:extent cx="158559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58559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-8255</wp:posOffset>
            </wp:positionV>
            <wp:extent cx="158559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168"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As of December 31, 2023, $5.9 million of net losses related to our interest rate swaps and commodity derivatives are expected to be reclassified from AOCI into earnings within the next 12 months. As market prices fluctuate, estimated and actual realized gains or losses will change during future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Derivatives Not Designated as Hedge Instruments</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following table summarizes the impacts of derivative instruments not designated as hedge instruments on our Consolidated Statements of Income for the years ended December 31, 2023, 2022 and 2021.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2021</w:t>
            </w:r>
          </w:p>
        </w:tc>
      </w:tr>
      <w:tr>
        <w:trPr>
          <w:trHeight w:val="182"/>
        </w:trPr>
        <w:tc>
          <w:tcPr>
            <w:tcW w:w="3720" w:type="dxa"/>
            <w:vAlign w:val="bottom"/>
          </w:tcPr>
          <w:p>
            <w:pPr>
              <w:jc w:val="center"/>
              <w:ind w:left="99"/>
              <w:spacing w:after="0" w:line="182" w:lineRule="exact"/>
              <w:rPr>
                <w:sz w:val="20"/>
                <w:szCs w:val="20"/>
                <w:color w:val="auto"/>
              </w:rPr>
            </w:pPr>
            <w:r>
              <w:rPr>
                <w:rFonts w:ascii="Arial" w:cs="Arial" w:eastAsia="Arial" w:hAnsi="Arial"/>
                <w:sz w:val="16"/>
                <w:szCs w:val="16"/>
                <w:b w:val="1"/>
                <w:bCs w:val="1"/>
                <w:color w:val="auto"/>
              </w:rPr>
              <w:t>Derivatives Not Designated as Hedging</w:t>
            </w:r>
          </w:p>
        </w:tc>
        <w:tc>
          <w:tcPr>
            <w:tcW w:w="3960" w:type="dxa"/>
            <w:vAlign w:val="bottom"/>
          </w:tcPr>
          <w:p>
            <w:pPr>
              <w:jc w:val="right"/>
              <w:ind w:right="319"/>
              <w:spacing w:after="0" w:line="182" w:lineRule="exact"/>
              <w:rPr>
                <w:sz w:val="20"/>
                <w:szCs w:val="20"/>
                <w:color w:val="auto"/>
              </w:rPr>
            </w:pPr>
            <w:r>
              <w:rPr>
                <w:rFonts w:ascii="Arial" w:cs="Arial" w:eastAsia="Arial" w:hAnsi="Arial"/>
                <w:sz w:val="16"/>
                <w:szCs w:val="16"/>
                <w:b w:val="1"/>
                <w:bCs w:val="1"/>
                <w:color w:val="auto"/>
              </w:rPr>
              <w:t>Location of Gain/(Loss) on Derivatives</w:t>
            </w:r>
          </w:p>
        </w:tc>
        <w:tc>
          <w:tcPr>
            <w:tcW w:w="180" w:type="dxa"/>
            <w:vAlign w:val="bottom"/>
          </w:tcPr>
          <w:p>
            <w:pPr>
              <w:spacing w:after="0"/>
              <w:rPr>
                <w:sz w:val="15"/>
                <w:szCs w:val="15"/>
                <w:color w:val="auto"/>
              </w:rPr>
            </w:pPr>
          </w:p>
        </w:tc>
        <w:tc>
          <w:tcPr>
            <w:tcW w:w="3380" w:type="dxa"/>
            <w:vAlign w:val="bottom"/>
            <w:gridSpan w:val="3"/>
          </w:tcPr>
          <w:p>
            <w:pPr>
              <w:jc w:val="center"/>
              <w:ind w:right="239"/>
              <w:spacing w:after="0" w:line="182" w:lineRule="exact"/>
              <w:rPr>
                <w:sz w:val="20"/>
                <w:szCs w:val="20"/>
                <w:color w:val="auto"/>
              </w:rPr>
            </w:pPr>
            <w:r>
              <w:rPr>
                <w:rFonts w:ascii="Arial" w:cs="Arial" w:eastAsia="Arial" w:hAnsi="Arial"/>
                <w:sz w:val="16"/>
                <w:szCs w:val="16"/>
                <w:b w:val="1"/>
                <w:bCs w:val="1"/>
                <w:color w:val="auto"/>
              </w:rPr>
              <w:t>Amount of Gain/(Loss) on Derivatives</w:t>
            </w:r>
          </w:p>
        </w:tc>
      </w:tr>
      <w:tr>
        <w:trPr>
          <w:trHeight w:val="217"/>
        </w:trPr>
        <w:tc>
          <w:tcPr>
            <w:tcW w:w="3720" w:type="dxa"/>
            <w:vAlign w:val="bottom"/>
            <w:tcBorders>
              <w:bottom w:val="single" w:sz="8" w:color="auto"/>
            </w:tcBorders>
          </w:tcPr>
          <w:p>
            <w:pPr>
              <w:jc w:val="center"/>
              <w:ind w:left="159"/>
              <w:spacing w:after="0"/>
              <w:rPr>
                <w:sz w:val="20"/>
                <w:szCs w:val="20"/>
                <w:color w:val="auto"/>
              </w:rPr>
            </w:pPr>
            <w:r>
              <w:rPr>
                <w:rFonts w:ascii="Arial" w:cs="Arial" w:eastAsia="Arial" w:hAnsi="Arial"/>
                <w:sz w:val="16"/>
                <w:szCs w:val="16"/>
                <w:b w:val="1"/>
                <w:bCs w:val="1"/>
                <w:color w:val="auto"/>
              </w:rPr>
              <w:t>Instruments</w:t>
            </w:r>
          </w:p>
        </w:tc>
        <w:tc>
          <w:tcPr>
            <w:tcW w:w="4140" w:type="dxa"/>
            <w:vAlign w:val="bottom"/>
            <w:tcBorders>
              <w:bottom w:val="single" w:sz="8" w:color="auto"/>
            </w:tcBorders>
            <w:gridSpan w:val="2"/>
          </w:tcPr>
          <w:p>
            <w:pPr>
              <w:jc w:val="right"/>
              <w:ind w:right="1099"/>
              <w:spacing w:after="0"/>
              <w:rPr>
                <w:sz w:val="20"/>
                <w:szCs w:val="20"/>
                <w:color w:val="auto"/>
              </w:rPr>
            </w:pPr>
            <w:r>
              <w:rPr>
                <w:rFonts w:ascii="Arial" w:cs="Arial" w:eastAsia="Arial" w:hAnsi="Arial"/>
                <w:sz w:val="16"/>
                <w:szCs w:val="16"/>
                <w:b w:val="1"/>
                <w:bCs w:val="1"/>
                <w:color w:val="auto"/>
              </w:rPr>
              <w:t>Recognized in Income</w:t>
            </w:r>
          </w:p>
        </w:tc>
        <w:tc>
          <w:tcPr>
            <w:tcW w:w="24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Recognized in Income</w:t>
            </w:r>
          </w:p>
        </w:tc>
        <w:tc>
          <w:tcPr>
            <w:tcW w:w="900" w:type="dxa"/>
            <w:vAlign w:val="bottom"/>
            <w:tcBorders>
              <w:bottom w:val="single" w:sz="8" w:color="auto"/>
            </w:tcBorders>
          </w:tcPr>
          <w:p>
            <w:pPr>
              <w:spacing w:after="0"/>
              <w:rPr>
                <w:sz w:val="18"/>
                <w:szCs w:val="18"/>
                <w:color w:val="auto"/>
              </w:rPr>
            </w:pPr>
          </w:p>
        </w:tc>
      </w:tr>
      <w:tr>
        <w:trPr>
          <w:trHeight w:val="210"/>
        </w:trPr>
        <w:tc>
          <w:tcPr>
            <w:tcW w:w="37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center"/>
              <w:ind w:left="539"/>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Borders>
              <w:bottom w:val="single" w:sz="8" w:color="auto"/>
            </w:tcBorders>
          </w:tcPr>
          <w:p>
            <w:pPr>
              <w:spacing w:after="0"/>
              <w:rPr>
                <w:sz w:val="18"/>
                <w:szCs w:val="18"/>
                <w:color w:val="auto"/>
              </w:rPr>
            </w:pPr>
          </w:p>
        </w:tc>
      </w:tr>
      <w:tr>
        <w:trPr>
          <w:trHeight w:val="209"/>
        </w:trPr>
        <w:tc>
          <w:tcPr>
            <w:tcW w:w="3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Commodity derivatives - Natural Gas</w:t>
            </w:r>
          </w:p>
        </w:tc>
        <w:tc>
          <w:tcPr>
            <w:tcW w:w="4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Fuel, purchased power and cost of natural gas sold $</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(4.2 ) $</w:t>
            </w:r>
          </w:p>
        </w:tc>
        <w:tc>
          <w:tcPr>
            <w:tcW w:w="12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(0.8 ) $</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w:t>
            </w:r>
          </w:p>
        </w:tc>
      </w:tr>
      <w:tr>
        <w:trPr>
          <w:trHeight w:val="210"/>
        </w:trPr>
        <w:tc>
          <w:tcPr>
            <w:tcW w:w="3720" w:type="dxa"/>
            <w:vAlign w:val="bottom"/>
            <w:tcBorders>
              <w:top w:val="single" w:sz="8" w:color="CFF0FC"/>
            </w:tcBorders>
          </w:tcPr>
          <w:p>
            <w:pPr>
              <w:spacing w:after="0"/>
              <w:rPr>
                <w:sz w:val="18"/>
                <w:szCs w:val="18"/>
                <w:color w:val="auto"/>
              </w:rPr>
            </w:pPr>
          </w:p>
        </w:tc>
        <w:tc>
          <w:tcPr>
            <w:tcW w:w="396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(4.2 ) $</w:t>
            </w:r>
          </w:p>
        </w:tc>
        <w:tc>
          <w:tcPr>
            <w:tcW w:w="12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(0.8 ) $</w:t>
            </w:r>
          </w:p>
        </w:tc>
        <w:tc>
          <w:tcPr>
            <w:tcW w:w="9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2.6</w:t>
            </w:r>
          </w:p>
        </w:tc>
      </w:tr>
      <w:tr>
        <w:trPr>
          <w:trHeight w:val="20"/>
        </w:trPr>
        <w:tc>
          <w:tcPr>
            <w:tcW w:w="37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As discussed above, financial instruments used in our regulated Gas Utilities are not designated as cash flow hedges. However, there is no earnings impact because the unrealized gains and losses arising from the use of these financial instruments are recorded as Regulatory assets or Regulatory liabilities. The net unrealized losses included in a Regulatory asset related to these financial instruments used in our Gas Utilities were $5.1 million and $8.8 million at December 31, 2023 and 2022, respectively.</w:t>
      </w:r>
    </w:p>
    <w:p>
      <w:pPr>
        <w:sectPr>
          <w:pgSz w:w="11900" w:h="16838" w:orient="portrait"/>
          <w:cols w:equalWidth="0" w:num="1">
            <w:col w:w="11240"/>
          </w:cols>
          <w:pgMar w:left="320" w:top="773"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For our Electric Utilities, the unrealized gains and losses arising from these derivatives are recognized in the Consolidated Statements of Income.</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Recurring Fair Value Measurements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Derivatives</w:t>
      </w:r>
    </w:p>
    <w:p>
      <w:pPr>
        <w:spacing w:after="0" w:line="192"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Valuation methodologies for our derivatives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The following tables set forth, by level within the fair value hierarchy, our gross assets and gross liabilities and related offsetting as permitted by GAAP that were accounted for at fair value on a recurring basis for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2856230</wp:posOffset>
            </wp:positionH>
            <wp:positionV relativeFrom="paragraph">
              <wp:posOffset>-165735</wp:posOffset>
            </wp:positionV>
            <wp:extent cx="30289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5"/>
          </w:tcPr>
          <w:p>
            <w:pPr>
              <w:jc w:val="right"/>
              <w:ind w:right="1599"/>
              <w:spacing w:after="0"/>
              <w:rPr>
                <w:sz w:val="20"/>
                <w:szCs w:val="20"/>
                <w:color w:val="auto"/>
              </w:rPr>
            </w:pPr>
            <w:r>
              <w:rPr>
                <w:rFonts w:ascii="Arial" w:cs="Arial" w:eastAsia="Arial" w:hAnsi="Arial"/>
                <w:sz w:val="16"/>
                <w:szCs w:val="16"/>
                <w:b w:val="1"/>
                <w:bCs w:val="1"/>
                <w:color w:val="auto"/>
              </w:rPr>
              <w:t>As of December 31, 2023</w:t>
            </w:r>
          </w:p>
        </w:tc>
        <w:tc>
          <w:tcPr>
            <w:tcW w:w="1160" w:type="dxa"/>
            <w:vAlign w:val="bottom"/>
            <w:tcBorders>
              <w:bottom w:val="single" w:sz="8" w:color="auto"/>
            </w:tcBorders>
          </w:tcPr>
          <w:p>
            <w:pPr>
              <w:spacing w:after="0"/>
              <w:rPr>
                <w:sz w:val="18"/>
                <w:szCs w:val="18"/>
                <w:color w:val="auto"/>
              </w:rPr>
            </w:pPr>
          </w:p>
        </w:tc>
      </w:tr>
      <w:tr>
        <w:trPr>
          <w:trHeight w:val="182"/>
        </w:trPr>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jc w:val="center"/>
              <w:ind w:right="459"/>
              <w:spacing w:after="0" w:line="182" w:lineRule="exact"/>
              <w:rPr>
                <w:sz w:val="20"/>
                <w:szCs w:val="20"/>
                <w:color w:val="auto"/>
              </w:rPr>
            </w:pPr>
            <w:r>
              <w:rPr>
                <w:rFonts w:ascii="Arial" w:cs="Arial" w:eastAsia="Arial" w:hAnsi="Arial"/>
                <w:sz w:val="16"/>
                <w:szCs w:val="16"/>
                <w:b w:val="1"/>
                <w:bCs w:val="1"/>
                <w:color w:val="auto"/>
              </w:rPr>
              <w:t>Cash Collateral</w:t>
            </w:r>
          </w:p>
        </w:tc>
        <w:tc>
          <w:tcPr>
            <w:tcW w:w="1160" w:type="dxa"/>
            <w:vAlign w:val="bottom"/>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gridSpan w:val="2"/>
          </w:tcPr>
          <w:p>
            <w:pPr>
              <w:jc w:val="center"/>
              <w:ind w:right="299"/>
              <w:spacing w:after="0" w:line="163" w:lineRule="exact"/>
              <w:rPr>
                <w:sz w:val="20"/>
                <w:szCs w:val="20"/>
                <w:color w:val="auto"/>
              </w:rPr>
            </w:pPr>
            <w:r>
              <w:rPr>
                <w:rFonts w:ascii="Arial" w:cs="Arial" w:eastAsia="Arial" w:hAnsi="Arial"/>
                <w:sz w:val="16"/>
                <w:szCs w:val="16"/>
                <w:b w:val="1"/>
                <w:bCs w:val="1"/>
                <w:color w:val="auto"/>
              </w:rPr>
              <w:t>and Counterparty</w:t>
            </w:r>
          </w:p>
        </w:tc>
        <w:tc>
          <w:tcPr>
            <w:tcW w:w="1160" w:type="dxa"/>
            <w:vAlign w:val="bottom"/>
          </w:tcPr>
          <w:p>
            <w:pPr>
              <w:spacing w:after="0"/>
              <w:rPr>
                <w:sz w:val="14"/>
                <w:szCs w:val="14"/>
                <w:color w:val="auto"/>
              </w:rPr>
            </w:pPr>
          </w:p>
        </w:tc>
      </w:tr>
      <w:tr>
        <w:trPr>
          <w:trHeight w:val="242"/>
        </w:trPr>
        <w:tc>
          <w:tcPr>
            <w:tcW w:w="3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1"/>
                <w:szCs w:val="21"/>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21"/>
                <w:szCs w:val="21"/>
                <w:color w:val="auto"/>
              </w:rPr>
            </w:pP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760" w:type="dxa"/>
            <w:vAlign w:val="bottom"/>
          </w:tcPr>
          <w:p>
            <w:pPr>
              <w:jc w:val="center"/>
              <w:ind w:right="419"/>
              <w:spacing w:after="0"/>
              <w:rPr>
                <w:sz w:val="20"/>
                <w:szCs w:val="20"/>
                <w:color w:val="auto"/>
              </w:rPr>
            </w:pPr>
            <w:r>
              <w:rPr>
                <w:rFonts w:ascii="Arial" w:cs="Arial" w:eastAsia="Arial" w:hAnsi="Arial"/>
                <w:sz w:val="16"/>
                <w:szCs w:val="16"/>
                <w:b w:val="1"/>
                <w:bCs w:val="1"/>
                <w:color w:val="auto"/>
                <w:w w:val="96"/>
              </w:rPr>
              <w:t xml:space="preserve">Netting </w:t>
            </w:r>
            <w:r>
              <w:rPr>
                <w:rFonts w:ascii="Arial" w:cs="Arial" w:eastAsia="Arial" w:hAnsi="Arial"/>
                <w:sz w:val="21"/>
                <w:szCs w:val="21"/>
                <w:b w:val="1"/>
                <w:bCs w:val="1"/>
                <w:color w:val="auto"/>
                <w:w w:val="96"/>
                <w:vertAlign w:val="superscript"/>
              </w:rPr>
              <w:t>(a)</w:t>
            </w: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17"/>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(1.9 )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r>
      <w:tr>
        <w:trPr>
          <w:trHeight w:val="250"/>
        </w:trPr>
        <w:tc>
          <w:tcPr>
            <w:tcW w:w="37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(1.9 ) $</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197"/>
        </w:trPr>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3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(3.3 )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w:t>
            </w:r>
          </w:p>
        </w:tc>
      </w:tr>
      <w:tr>
        <w:trPr>
          <w:trHeight w:val="249"/>
        </w:trPr>
        <w:tc>
          <w:tcPr>
            <w:tcW w:w="37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(3.3 ) $</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w:t>
            </w:r>
          </w:p>
        </w:tc>
      </w:tr>
      <w:tr>
        <w:trPr>
          <w:trHeight w:val="116"/>
        </w:trPr>
        <w:tc>
          <w:tcPr>
            <w:tcW w:w="3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31" w:lineRule="exact"/>
        <w:rPr>
          <w:sz w:val="20"/>
          <w:szCs w:val="20"/>
          <w:color w:val="auto"/>
        </w:rPr>
      </w:pPr>
    </w:p>
    <w:p>
      <w:pPr>
        <w:ind w:left="520" w:right="240" w:hanging="512"/>
        <w:spacing w:after="0" w:line="285"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As of December 31, 2023, $1.9 million of our commodity derivative gross assets and $3.3 million of our commodity derivative gross liabilities, as well as related gross collateral amounts, were subject to master netting agreements.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560" w:type="dxa"/>
            <w:vAlign w:val="bottom"/>
            <w:tcBorders>
              <w:bottom w:val="single" w:sz="8" w:color="auto"/>
            </w:tcBorders>
            <w:gridSpan w:val="5"/>
          </w:tcPr>
          <w:p>
            <w:pPr>
              <w:jc w:val="right"/>
              <w:ind w:right="1599"/>
              <w:spacing w:after="0"/>
              <w:rPr>
                <w:sz w:val="20"/>
                <w:szCs w:val="20"/>
                <w:color w:val="auto"/>
              </w:rPr>
            </w:pPr>
            <w:r>
              <w:rPr>
                <w:rFonts w:ascii="Arial" w:cs="Arial" w:eastAsia="Arial" w:hAnsi="Arial"/>
                <w:sz w:val="16"/>
                <w:szCs w:val="16"/>
                <w:b w:val="1"/>
                <w:bCs w:val="1"/>
                <w:color w:val="auto"/>
              </w:rPr>
              <w:t>As of December 31, 2022</w:t>
            </w:r>
          </w:p>
        </w:tc>
        <w:tc>
          <w:tcPr>
            <w:tcW w:w="1160" w:type="dxa"/>
            <w:vAlign w:val="bottom"/>
            <w:tcBorders>
              <w:bottom w:val="single" w:sz="8" w:color="auto"/>
            </w:tcBorders>
          </w:tcPr>
          <w:p>
            <w:pPr>
              <w:spacing w:after="0"/>
              <w:rPr>
                <w:sz w:val="18"/>
                <w:szCs w:val="18"/>
                <w:color w:val="auto"/>
              </w:rPr>
            </w:pPr>
          </w:p>
        </w:tc>
      </w:tr>
      <w:tr>
        <w:trPr>
          <w:trHeight w:val="182"/>
        </w:trPr>
        <w:tc>
          <w:tcPr>
            <w:tcW w:w="3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jc w:val="center"/>
              <w:ind w:right="459"/>
              <w:spacing w:after="0" w:line="182" w:lineRule="exact"/>
              <w:rPr>
                <w:sz w:val="20"/>
                <w:szCs w:val="20"/>
                <w:color w:val="auto"/>
              </w:rPr>
            </w:pPr>
            <w:r>
              <w:rPr>
                <w:rFonts w:ascii="Arial" w:cs="Arial" w:eastAsia="Arial" w:hAnsi="Arial"/>
                <w:sz w:val="16"/>
                <w:szCs w:val="16"/>
                <w:b w:val="1"/>
                <w:bCs w:val="1"/>
                <w:color w:val="auto"/>
              </w:rPr>
              <w:t>Cash Collateral</w:t>
            </w:r>
          </w:p>
        </w:tc>
        <w:tc>
          <w:tcPr>
            <w:tcW w:w="1160" w:type="dxa"/>
            <w:vAlign w:val="bottom"/>
          </w:tcPr>
          <w:p>
            <w:pPr>
              <w:spacing w:after="0"/>
              <w:rPr>
                <w:sz w:val="15"/>
                <w:szCs w:val="15"/>
                <w:color w:val="auto"/>
              </w:rPr>
            </w:pPr>
          </w:p>
        </w:tc>
      </w:tr>
      <w:tr>
        <w:trPr>
          <w:trHeight w:val="163"/>
        </w:trPr>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gridSpan w:val="2"/>
          </w:tcPr>
          <w:p>
            <w:pPr>
              <w:jc w:val="center"/>
              <w:ind w:right="299"/>
              <w:spacing w:after="0" w:line="163" w:lineRule="exact"/>
              <w:rPr>
                <w:sz w:val="20"/>
                <w:szCs w:val="20"/>
                <w:color w:val="auto"/>
              </w:rPr>
            </w:pPr>
            <w:r>
              <w:rPr>
                <w:rFonts w:ascii="Arial" w:cs="Arial" w:eastAsia="Arial" w:hAnsi="Arial"/>
                <w:sz w:val="16"/>
                <w:szCs w:val="16"/>
                <w:b w:val="1"/>
                <w:bCs w:val="1"/>
                <w:color w:val="auto"/>
              </w:rPr>
              <w:t>and Counterparty</w:t>
            </w:r>
          </w:p>
        </w:tc>
        <w:tc>
          <w:tcPr>
            <w:tcW w:w="1160" w:type="dxa"/>
            <w:vAlign w:val="bottom"/>
          </w:tcPr>
          <w:p>
            <w:pPr>
              <w:spacing w:after="0"/>
              <w:rPr>
                <w:sz w:val="14"/>
                <w:szCs w:val="14"/>
                <w:color w:val="auto"/>
              </w:rPr>
            </w:pPr>
          </w:p>
        </w:tc>
      </w:tr>
      <w:tr>
        <w:trPr>
          <w:trHeight w:val="242"/>
        </w:trPr>
        <w:tc>
          <w:tcPr>
            <w:tcW w:w="3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16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21"/>
                <w:szCs w:val="21"/>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21"/>
                <w:szCs w:val="21"/>
                <w:color w:val="auto"/>
              </w:rPr>
            </w:pPr>
          </w:p>
        </w:tc>
        <w:tc>
          <w:tcPr>
            <w:tcW w:w="1240" w:type="dxa"/>
            <w:vAlign w:val="bottom"/>
          </w:tcPr>
          <w:p>
            <w:pPr>
              <w:ind w:left="24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1"/>
                <w:szCs w:val="21"/>
                <w:color w:val="auto"/>
              </w:rPr>
            </w:pPr>
          </w:p>
        </w:tc>
        <w:tc>
          <w:tcPr>
            <w:tcW w:w="1760" w:type="dxa"/>
            <w:vAlign w:val="bottom"/>
          </w:tcPr>
          <w:p>
            <w:pPr>
              <w:jc w:val="center"/>
              <w:ind w:right="419"/>
              <w:spacing w:after="0"/>
              <w:rPr>
                <w:sz w:val="20"/>
                <w:szCs w:val="20"/>
                <w:color w:val="auto"/>
              </w:rPr>
            </w:pPr>
            <w:r>
              <w:rPr>
                <w:rFonts w:ascii="Arial" w:cs="Arial" w:eastAsia="Arial" w:hAnsi="Arial"/>
                <w:sz w:val="16"/>
                <w:szCs w:val="16"/>
                <w:b w:val="1"/>
                <w:bCs w:val="1"/>
                <w:color w:val="auto"/>
                <w:w w:val="96"/>
              </w:rPr>
              <w:t xml:space="preserve">Netting </w:t>
            </w:r>
            <w:r>
              <w:rPr>
                <w:rFonts w:ascii="Arial" w:cs="Arial" w:eastAsia="Arial" w:hAnsi="Arial"/>
                <w:sz w:val="21"/>
                <w:szCs w:val="21"/>
                <w:b w:val="1"/>
                <w:bCs w:val="1"/>
                <w:color w:val="auto"/>
                <w:w w:val="96"/>
                <w:vertAlign w:val="superscript"/>
              </w:rPr>
              <w:t>(a)</w:t>
            </w:r>
          </w:p>
        </w:tc>
        <w:tc>
          <w:tcPr>
            <w:tcW w:w="1160" w:type="dxa"/>
            <w:vAlign w:val="bottom"/>
          </w:tcPr>
          <w:p>
            <w:pPr>
              <w:jc w:val="right"/>
              <w:ind w:right="499"/>
              <w:spacing w:after="0"/>
              <w:rPr>
                <w:sz w:val="20"/>
                <w:szCs w:val="20"/>
                <w:color w:val="auto"/>
              </w:rPr>
            </w:pPr>
            <w:r>
              <w:rPr>
                <w:rFonts w:ascii="Arial" w:cs="Arial" w:eastAsia="Arial" w:hAnsi="Arial"/>
                <w:sz w:val="16"/>
                <w:szCs w:val="16"/>
                <w:b w:val="1"/>
                <w:bCs w:val="1"/>
                <w:color w:val="auto"/>
              </w:rPr>
              <w:t>Total</w:t>
            </w:r>
          </w:p>
        </w:tc>
      </w:tr>
      <w:tr>
        <w:trPr>
          <w:trHeight w:val="217"/>
        </w:trPr>
        <w:tc>
          <w:tcPr>
            <w:tcW w:w="3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ind w:left="80"/>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3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(4.3 )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r>
      <w:tr>
        <w:trPr>
          <w:trHeight w:val="250"/>
        </w:trPr>
        <w:tc>
          <w:tcPr>
            <w:tcW w:w="37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(4.3 ) $</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1.1</w:t>
            </w:r>
          </w:p>
        </w:tc>
      </w:tr>
      <w:tr>
        <w:trPr>
          <w:trHeight w:val="197"/>
        </w:trPr>
        <w:tc>
          <w:tcPr>
            <w:tcW w:w="3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6"/>
        </w:trPr>
        <w:tc>
          <w:tcPr>
            <w:tcW w:w="37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3780" w:type="dxa"/>
            <w:vAlign w:val="bottom"/>
            <w:gridSpan w:val="2"/>
          </w:tcPr>
          <w:p>
            <w:pPr>
              <w:ind w:left="200"/>
              <w:spacing w:after="0"/>
              <w:rPr>
                <w:sz w:val="20"/>
                <w:szCs w:val="20"/>
                <w:color w:val="auto"/>
              </w:rPr>
            </w:pPr>
            <w:r>
              <w:rPr>
                <w:rFonts w:ascii="Arial" w:cs="Arial" w:eastAsia="Arial" w:hAnsi="Arial"/>
                <w:sz w:val="16"/>
                <w:szCs w:val="16"/>
                <w:color w:val="auto"/>
              </w:rPr>
              <w:t>Commodity derivatives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(4.8 ) $</w:t>
            </w: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r>
      <w:tr>
        <w:trPr>
          <w:trHeight w:val="249"/>
        </w:trPr>
        <w:tc>
          <w:tcPr>
            <w:tcW w:w="3780" w:type="dxa"/>
            <w:vAlign w:val="bottom"/>
            <w:tcBorders>
              <w:bottom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(4.8 ) $</w:t>
            </w: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w:t>
            </w:r>
          </w:p>
        </w:tc>
      </w:tr>
      <w:tr>
        <w:trPr>
          <w:trHeight w:val="116"/>
        </w:trPr>
        <w:tc>
          <w:tcPr>
            <w:tcW w:w="338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tcPr>
          <w:p>
            <w:pPr>
              <w:spacing w:after="0"/>
              <w:rPr>
                <w:sz w:val="10"/>
                <w:szCs w:val="10"/>
                <w:color w:val="auto"/>
              </w:rPr>
            </w:pPr>
          </w:p>
        </w:tc>
      </w:tr>
    </w:tbl>
    <w:p>
      <w:pPr>
        <w:spacing w:after="0" w:line="31" w:lineRule="exact"/>
        <w:rPr>
          <w:sz w:val="20"/>
          <w:szCs w:val="20"/>
          <w:color w:val="auto"/>
        </w:rPr>
      </w:pPr>
    </w:p>
    <w:p>
      <w:pPr>
        <w:ind w:left="520" w:right="400" w:hanging="512"/>
        <w:spacing w:after="0" w:line="285"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As of December 31, 2022, $4.3 million of our commodity derivative assets and $4.8 million of our commodity derivative liabilities, as well as related gross collateral amounts, were subject to master netting agreements.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Pension and Postretirement Plan Assets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discussion of the fair value of our Pension and Postretirement Plan assets is included in </w:t>
      </w:r>
      <w:r>
        <w:rPr>
          <w:rFonts w:ascii="Arial" w:cs="Arial" w:eastAsia="Arial" w:hAnsi="Arial"/>
          <w:sz w:val="16"/>
          <w:szCs w:val="16"/>
          <w:u w:val="single" w:color="auto"/>
          <w:color w:val="0000FF"/>
        </w:rPr>
        <w:t>Note 13</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4116705</wp:posOffset>
            </wp:positionH>
            <wp:positionV relativeFrom="paragraph">
              <wp:posOffset>-4445</wp:posOffset>
            </wp:positionV>
            <wp:extent cx="36004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Fair Value Measurements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The carrying amount of cash and cash equivalents, restricted cash and equivalents and short-term borrowings approximates fair value due to their liquid or short-term nature. Cash, cash equivalents and restricted cash are classified in Level 1 in the fair value hierarchy. Notes payable consist of commercial paper borrowings and are not traded on an exchange; therefore, they are classified as Level 2 in the fair value hierarchy.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8" w:name="page89"/>
    <w:bookmarkEnd w:id="8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carrying amounts and fair values of financial instruments not recorded at fair value on the Consolidated Balance Sheets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1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1300" w:type="dxa"/>
            <w:vAlign w:val="bottom"/>
            <w:tcBorders>
              <w:bottom w:val="single" w:sz="8" w:color="auto"/>
            </w:tcBorders>
          </w:tcPr>
          <w:p>
            <w:pPr>
              <w:spacing w:after="0"/>
              <w:rPr>
                <w:sz w:val="18"/>
                <w:szCs w:val="18"/>
                <w:color w:val="auto"/>
              </w:rPr>
            </w:pPr>
          </w:p>
        </w:tc>
      </w:tr>
      <w:tr>
        <w:trPr>
          <w:trHeight w:val="209"/>
        </w:trPr>
        <w:tc>
          <w:tcPr>
            <w:tcW w:w="5080" w:type="dxa"/>
            <w:vAlign w:val="bottom"/>
          </w:tcPr>
          <w:p>
            <w:pPr>
              <w:spacing w:after="0"/>
              <w:rPr>
                <w:sz w:val="18"/>
                <w:szCs w:val="18"/>
                <w:color w:val="auto"/>
              </w:rPr>
            </w:pPr>
          </w:p>
        </w:tc>
        <w:tc>
          <w:tcPr>
            <w:tcW w:w="150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Carrying Amount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Fair Value</w:t>
            </w:r>
          </w:p>
        </w:tc>
        <w:tc>
          <w:tcPr>
            <w:tcW w:w="152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Fair Value</w:t>
            </w:r>
          </w:p>
        </w:tc>
      </w:tr>
      <w:tr>
        <w:trPr>
          <w:trHeight w:val="210"/>
        </w:trPr>
        <w:tc>
          <w:tcPr>
            <w:tcW w:w="5080" w:type="dxa"/>
            <w:vAlign w:val="bottom"/>
            <w:shd w:val="clear" w:color="auto" w:fill="CFF0FC"/>
          </w:tcPr>
          <w:p>
            <w:pPr>
              <w:ind w:left="20"/>
              <w:spacing w:after="0" w:line="210" w:lineRule="exact"/>
              <w:rPr>
                <w:sz w:val="20"/>
                <w:szCs w:val="20"/>
                <w:color w:val="auto"/>
              </w:rPr>
            </w:pPr>
            <w:r>
              <w:rPr>
                <w:rFonts w:ascii="Arial" w:cs="Arial" w:eastAsia="Arial" w:hAnsi="Arial"/>
                <w:sz w:val="16"/>
                <w:szCs w:val="16"/>
                <w:color w:val="auto"/>
              </w:rPr>
              <w:t xml:space="preserve">Long-term debt, including current maturities </w:t>
            </w:r>
            <w:r>
              <w:rPr>
                <w:rFonts w:ascii="Arial" w:cs="Arial" w:eastAsia="Arial" w:hAnsi="Arial"/>
                <w:sz w:val="21"/>
                <w:szCs w:val="21"/>
                <w:color w:val="auto"/>
                <w:vertAlign w:val="superscript"/>
              </w:rPr>
              <w:t>(a)</w:t>
            </w:r>
          </w:p>
        </w:tc>
        <w:tc>
          <w:tcPr>
            <w:tcW w:w="50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4,401.2</w:t>
            </w:r>
          </w:p>
        </w:tc>
        <w:tc>
          <w:tcPr>
            <w:tcW w:w="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4,215.6</w:t>
            </w:r>
          </w:p>
        </w:tc>
        <w:tc>
          <w:tcPr>
            <w:tcW w:w="5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4,132.3</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3,760.8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right="220" w:hanging="512"/>
        <w:spacing w:after="0" w:line="285"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OTHER COMPREHENSIVE INCOME</w:t>
      </w:r>
    </w:p>
    <w:p>
      <w:pPr>
        <w:spacing w:after="0" w:line="194"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details reclassifications out of AOCI and into Net income. The amounts in parentheses below indicate decreases to Net income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Consolidated Statements of Income for the period, net of tax (in millions):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3480" w:type="dxa"/>
            <w:vAlign w:val="bottom"/>
          </w:tcPr>
          <w:p>
            <w:pPr>
              <w:ind w:left="660"/>
              <w:spacing w:after="0"/>
              <w:rPr>
                <w:sz w:val="20"/>
                <w:szCs w:val="20"/>
                <w:color w:val="auto"/>
              </w:rPr>
            </w:pPr>
            <w:r>
              <w:rPr>
                <w:rFonts w:ascii="Arial" w:cs="Arial" w:eastAsia="Arial" w:hAnsi="Arial"/>
                <w:sz w:val="16"/>
                <w:szCs w:val="16"/>
                <w:b w:val="1"/>
                <w:bCs w:val="1"/>
                <w:color w:val="auto"/>
              </w:rPr>
              <w:t>Location on the Consolidated</w:t>
            </w:r>
          </w:p>
        </w:tc>
        <w:tc>
          <w:tcPr>
            <w:tcW w:w="26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6"/>
                <w:szCs w:val="16"/>
                <w:b w:val="1"/>
                <w:bCs w:val="1"/>
                <w:color w:val="auto"/>
              </w:rPr>
              <w:t>Amount Reclassified from AOCI</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ind w:left="960"/>
              <w:spacing w:after="0"/>
              <w:rPr>
                <w:sz w:val="20"/>
                <w:szCs w:val="20"/>
                <w:color w:val="auto"/>
              </w:rPr>
            </w:pPr>
            <w:r>
              <w:rPr>
                <w:rFonts w:ascii="Arial" w:cs="Arial" w:eastAsia="Arial" w:hAnsi="Arial"/>
                <w:sz w:val="16"/>
                <w:szCs w:val="16"/>
                <w:b w:val="1"/>
                <w:bCs w:val="1"/>
                <w:color w:val="auto"/>
              </w:rPr>
              <w:t>Statements of Income</w:t>
            </w:r>
          </w:p>
        </w:tc>
        <w:tc>
          <w:tcPr>
            <w:tcW w:w="17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b w:val="1"/>
                <w:bCs w:val="1"/>
                <w:color w:val="auto"/>
              </w:rPr>
              <w:t>December 31, 2023</w:t>
            </w:r>
          </w:p>
        </w:tc>
        <w:tc>
          <w:tcPr>
            <w:tcW w:w="17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December 31, 2022</w:t>
            </w:r>
          </w:p>
        </w:tc>
        <w:tc>
          <w:tcPr>
            <w:tcW w:w="0" w:type="dxa"/>
            <w:vAlign w:val="bottom"/>
          </w:tcPr>
          <w:p>
            <w:pPr>
              <w:spacing w:after="0"/>
              <w:rPr>
                <w:sz w:val="1"/>
                <w:szCs w:val="1"/>
                <w:color w:val="auto"/>
              </w:rPr>
            </w:pPr>
          </w:p>
        </w:tc>
      </w:tr>
      <w:tr>
        <w:trPr>
          <w:trHeight w:val="210"/>
        </w:trPr>
        <w:tc>
          <w:tcPr>
            <w:tcW w:w="43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Gains and (losses) on cash flow hedges:</w:t>
            </w:r>
          </w:p>
        </w:tc>
        <w:tc>
          <w:tcPr>
            <w:tcW w:w="3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34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700" w:type="dxa"/>
            <w:vAlign w:val="bottom"/>
            <w:gridSpan w:val="2"/>
          </w:tcPr>
          <w:p>
            <w:pPr>
              <w:jc w:val="right"/>
              <w:ind w:right="1059"/>
              <w:spacing w:after="0"/>
              <w:rPr>
                <w:sz w:val="20"/>
                <w:szCs w:val="20"/>
                <w:color w:val="auto"/>
              </w:rPr>
            </w:pPr>
            <w:r>
              <w:rPr>
                <w:rFonts w:ascii="Arial" w:cs="Arial" w:eastAsia="Arial" w:hAnsi="Arial"/>
                <w:sz w:val="16"/>
                <w:szCs w:val="16"/>
                <w:color w:val="auto"/>
              </w:rPr>
              <w:t>(2.9 ) $</w:t>
            </w:r>
          </w:p>
        </w:tc>
        <w:tc>
          <w:tcPr>
            <w:tcW w:w="460" w:type="dxa"/>
            <w:vAlign w:val="bottom"/>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189"/>
        </w:trPr>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Commodity contracts</w:t>
            </w:r>
          </w:p>
        </w:tc>
        <w:tc>
          <w:tcPr>
            <w:tcW w:w="3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Fuel, purchased power and cost of natural gas</w:t>
            </w:r>
          </w:p>
        </w:tc>
        <w:tc>
          <w:tcPr>
            <w:tcW w:w="260" w:type="dxa"/>
            <w:vAlign w:val="bottom"/>
            <w:shd w:val="clear" w:color="auto" w:fill="CFF0FC"/>
          </w:tcPr>
          <w:p>
            <w:pPr>
              <w:spacing w:after="0"/>
              <w:rPr>
                <w:sz w:val="16"/>
                <w:szCs w:val="16"/>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(3.0 )</w:t>
            </w:r>
          </w:p>
        </w:tc>
        <w:tc>
          <w:tcPr>
            <w:tcW w:w="1260" w:type="dxa"/>
            <w:vAlign w:val="bottom"/>
            <w:shd w:val="clear" w:color="auto" w:fill="CFF0FC"/>
          </w:tcPr>
          <w:p>
            <w:pPr>
              <w:spacing w:after="0"/>
              <w:rPr>
                <w:sz w:val="16"/>
                <w:szCs w:val="16"/>
                <w:color w:val="auto"/>
              </w:rPr>
            </w:pPr>
          </w:p>
        </w:tc>
        <w:tc>
          <w:tcPr>
            <w:tcW w:w="4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shd w:val="clear" w:color="auto" w:fill="CFF0FC"/>
          </w:tcPr>
          <w:p>
            <w:pPr>
              <w:spacing w:after="0"/>
              <w:rPr>
                <w:sz w:val="17"/>
                <w:szCs w:val="17"/>
                <w:color w:val="auto"/>
              </w:rPr>
            </w:pP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sold</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vMerge w:val="continue"/>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(5.9 )</w:t>
            </w:r>
          </w:p>
        </w:tc>
        <w:tc>
          <w:tcPr>
            <w:tcW w:w="1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217"/>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1.4</w:t>
            </w:r>
          </w:p>
        </w:tc>
        <w:tc>
          <w:tcPr>
            <w:tcW w:w="12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434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cash flow</w:t>
            </w:r>
          </w:p>
        </w:tc>
        <w:tc>
          <w:tcPr>
            <w:tcW w:w="3480" w:type="dxa"/>
            <w:vAlign w:val="bottom"/>
          </w:tcPr>
          <w:p>
            <w:pPr>
              <w:spacing w:after="0"/>
              <w:rPr>
                <w:sz w:val="15"/>
                <w:szCs w:val="15"/>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2700" w:type="dxa"/>
            <w:vAlign w:val="bottom"/>
            <w:gridSpan w:val="2"/>
            <w:vMerge w:val="restart"/>
          </w:tcPr>
          <w:p>
            <w:pPr>
              <w:jc w:val="right"/>
              <w:ind w:right="1059"/>
              <w:spacing w:after="0"/>
              <w:rPr>
                <w:sz w:val="20"/>
                <w:szCs w:val="20"/>
                <w:color w:val="auto"/>
              </w:rPr>
            </w:pPr>
            <w:r>
              <w:rPr>
                <w:rFonts w:ascii="Arial" w:cs="Arial" w:eastAsia="Arial" w:hAnsi="Arial"/>
                <w:sz w:val="16"/>
                <w:szCs w:val="16"/>
                <w:color w:val="auto"/>
              </w:rPr>
              <w:t>(4.5 ) $</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(0.1 )</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76" w:lineRule="exact"/>
              <w:rPr>
                <w:sz w:val="20"/>
                <w:szCs w:val="20"/>
                <w:color w:val="auto"/>
              </w:rPr>
            </w:pPr>
            <w:r>
              <w:rPr>
                <w:rFonts w:ascii="Arial" w:cs="Arial" w:eastAsia="Arial" w:hAnsi="Arial"/>
                <w:sz w:val="16"/>
                <w:szCs w:val="16"/>
                <w:color w:val="auto"/>
              </w:rPr>
              <w:t>hedges, net of tax</w:t>
            </w:r>
          </w:p>
        </w:tc>
        <w:tc>
          <w:tcPr>
            <w:tcW w:w="34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270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FF0FC"/>
          </w:tcPr>
          <w:p>
            <w:pPr>
              <w:spacing w:after="0"/>
              <w:rPr>
                <w:sz w:val="17"/>
                <w:szCs w:val="17"/>
                <w:color w:val="auto"/>
              </w:rPr>
            </w:pPr>
          </w:p>
        </w:tc>
        <w:tc>
          <w:tcPr>
            <w:tcW w:w="34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340" w:type="dxa"/>
            <w:vAlign w:val="bottom"/>
          </w:tcPr>
          <w:p>
            <w:pPr>
              <w:ind w:left="20"/>
              <w:spacing w:after="0"/>
              <w:rPr>
                <w:sz w:val="20"/>
                <w:szCs w:val="20"/>
                <w:color w:val="auto"/>
              </w:rPr>
            </w:pPr>
            <w:r>
              <w:rPr>
                <w:rFonts w:ascii="Arial" w:cs="Arial" w:eastAsia="Arial" w:hAnsi="Arial"/>
                <w:sz w:val="16"/>
                <w:szCs w:val="16"/>
                <w:color w:val="auto"/>
              </w:rPr>
              <w:t>Amortization of components of defined benefit plans:</w:t>
            </w: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3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Prior service cost</w:t>
            </w:r>
          </w:p>
        </w:tc>
        <w:tc>
          <w:tcPr>
            <w:tcW w:w="34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Operations and maintenance</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10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Actuarial gain (loss)</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Operations and maintenance</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(0.2 )</w:t>
            </w:r>
          </w:p>
        </w:tc>
        <w:tc>
          <w:tcPr>
            <w:tcW w:w="12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(0.8 )</w:t>
            </w:r>
          </w:p>
        </w:tc>
        <w:tc>
          <w:tcPr>
            <w:tcW w:w="0" w:type="dxa"/>
            <w:vAlign w:val="bottom"/>
          </w:tcPr>
          <w:p>
            <w:pPr>
              <w:spacing w:after="0"/>
              <w:rPr>
                <w:sz w:val="1"/>
                <w:szCs w:val="1"/>
                <w:color w:val="auto"/>
              </w:rPr>
            </w:pPr>
          </w:p>
        </w:tc>
      </w:tr>
      <w:tr>
        <w:trPr>
          <w:trHeight w:val="209"/>
        </w:trPr>
        <w:tc>
          <w:tcPr>
            <w:tcW w:w="43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(0.2 )</w:t>
            </w:r>
          </w:p>
        </w:tc>
        <w:tc>
          <w:tcPr>
            <w:tcW w:w="1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Income tax</w:t>
            </w:r>
          </w:p>
        </w:tc>
        <w:tc>
          <w:tcPr>
            <w:tcW w:w="34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Income tax benefit (expense)</w:t>
            </w:r>
          </w:p>
        </w:tc>
        <w:tc>
          <w:tcPr>
            <w:tcW w:w="2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82"/>
        </w:trPr>
        <w:tc>
          <w:tcPr>
            <w:tcW w:w="4340" w:type="dxa"/>
            <w:vAlign w:val="bottom"/>
          </w:tcPr>
          <w:p>
            <w:pPr>
              <w:ind w:left="20"/>
              <w:spacing w:after="0" w:line="182" w:lineRule="exact"/>
              <w:rPr>
                <w:sz w:val="20"/>
                <w:szCs w:val="20"/>
                <w:color w:val="auto"/>
              </w:rPr>
            </w:pPr>
            <w:r>
              <w:rPr>
                <w:rFonts w:ascii="Arial" w:cs="Arial" w:eastAsia="Arial" w:hAnsi="Arial"/>
                <w:sz w:val="16"/>
                <w:szCs w:val="16"/>
                <w:color w:val="auto"/>
              </w:rPr>
              <w:t>Total reclassification adjustments related to defined benefit</w:t>
            </w:r>
          </w:p>
        </w:tc>
        <w:tc>
          <w:tcPr>
            <w:tcW w:w="3480" w:type="dxa"/>
            <w:vAlign w:val="bottom"/>
          </w:tcPr>
          <w:p>
            <w:pPr>
              <w:spacing w:after="0"/>
              <w:rPr>
                <w:sz w:val="15"/>
                <w:szCs w:val="15"/>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2700" w:type="dxa"/>
            <w:vAlign w:val="bottom"/>
            <w:gridSpan w:val="2"/>
            <w:vMerge w:val="restart"/>
          </w:tcPr>
          <w:p>
            <w:pPr>
              <w:jc w:val="right"/>
              <w:ind w:right="1059"/>
              <w:spacing w:after="0"/>
              <w:rPr>
                <w:sz w:val="20"/>
                <w:szCs w:val="20"/>
                <w:color w:val="auto"/>
              </w:rPr>
            </w:pPr>
            <w:r>
              <w:rPr>
                <w:rFonts w:ascii="Arial" w:cs="Arial" w:eastAsia="Arial" w:hAnsi="Arial"/>
                <w:sz w:val="16"/>
                <w:szCs w:val="16"/>
                <w:color w:val="auto"/>
              </w:rPr>
              <w:t>(0.2 ) $</w:t>
            </w:r>
          </w:p>
        </w:tc>
        <w:tc>
          <w:tcPr>
            <w:tcW w:w="460" w:type="dxa"/>
            <w:vAlign w:val="bottom"/>
            <w:vMerge w:val="restart"/>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181"/>
        </w:trPr>
        <w:tc>
          <w:tcPr>
            <w:tcW w:w="4340" w:type="dxa"/>
            <w:vAlign w:val="bottom"/>
          </w:tcPr>
          <w:p>
            <w:pPr>
              <w:ind w:left="20"/>
              <w:spacing w:after="0" w:line="176" w:lineRule="exact"/>
              <w:rPr>
                <w:sz w:val="20"/>
                <w:szCs w:val="20"/>
                <w:color w:val="auto"/>
              </w:rPr>
            </w:pPr>
            <w:r>
              <w:rPr>
                <w:rFonts w:ascii="Arial" w:cs="Arial" w:eastAsia="Arial" w:hAnsi="Arial"/>
                <w:sz w:val="16"/>
                <w:szCs w:val="16"/>
                <w:color w:val="auto"/>
              </w:rPr>
              <w:t>plans, net of tax</w:t>
            </w:r>
          </w:p>
        </w:tc>
        <w:tc>
          <w:tcPr>
            <w:tcW w:w="348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2700" w:type="dxa"/>
            <w:vAlign w:val="bottom"/>
            <w:tcBorders>
              <w:bottom w:val="single" w:sz="8" w:color="auto"/>
            </w:tcBorders>
            <w:gridSpan w:val="2"/>
            <w:vMerge w:val="continue"/>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tcBorders>
              <w:bottom w:val="single" w:sz="8" w:color="CFF0FC"/>
            </w:tcBorders>
            <w:shd w:val="clear" w:color="auto" w:fill="CFF0FC"/>
          </w:tcPr>
          <w:p>
            <w:pPr>
              <w:spacing w:after="0"/>
              <w:rPr>
                <w:sz w:val="17"/>
                <w:szCs w:val="17"/>
                <w:color w:val="auto"/>
              </w:rPr>
            </w:pPr>
          </w:p>
        </w:tc>
        <w:tc>
          <w:tcPr>
            <w:tcW w:w="34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700" w:type="dxa"/>
            <w:vAlign w:val="bottom"/>
            <w:tcBorders>
              <w:bottom w:val="single" w:sz="8" w:color="auto"/>
            </w:tcBorders>
            <w:gridSpan w:val="2"/>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Arial" w:cs="Arial" w:eastAsia="Arial" w:hAnsi="Arial"/>
                <w:sz w:val="16"/>
                <w:szCs w:val="16"/>
                <w:color w:val="auto"/>
              </w:rPr>
              <w:t>Total reclassifications</w:t>
            </w:r>
          </w:p>
        </w:tc>
        <w:tc>
          <w:tcPr>
            <w:tcW w:w="34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700" w:type="dxa"/>
            <w:vAlign w:val="bottom"/>
            <w:tcBorders>
              <w:bottom w:val="single" w:sz="8" w:color="auto"/>
            </w:tcBorders>
            <w:gridSpan w:val="2"/>
          </w:tcPr>
          <w:p>
            <w:pPr>
              <w:jc w:val="right"/>
              <w:ind w:right="1059"/>
              <w:spacing w:after="0"/>
              <w:rPr>
                <w:sz w:val="20"/>
                <w:szCs w:val="20"/>
                <w:color w:val="auto"/>
              </w:rPr>
            </w:pPr>
            <w:r>
              <w:rPr>
                <w:rFonts w:ascii="Arial" w:cs="Arial" w:eastAsia="Arial" w:hAnsi="Arial"/>
                <w:sz w:val="16"/>
                <w:szCs w:val="16"/>
                <w:color w:val="auto"/>
              </w:rPr>
              <w:t>(4.7 ) $</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Balances by classification included within AOCI, net of tax on the accompanying Consolidated Balance Sheets were as follows (in millions):</w:t>
      </w:r>
    </w:p>
    <w:p>
      <w:pPr>
        <w:spacing w:after="0" w:line="208"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Derivatives Designated as</w:t>
      </w:r>
    </w:p>
    <w:p>
      <w:pPr>
        <w:spacing w:after="0" w:line="21"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Cash Flow Hedges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12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6"/>
                <w:szCs w:val="16"/>
                <w:b w:val="1"/>
                <w:bCs w:val="1"/>
                <w:color w:val="auto"/>
                <w:w w:val="99"/>
              </w:rPr>
              <w:t>Commodity</w:t>
            </w:r>
          </w:p>
        </w:tc>
        <w:tc>
          <w:tcPr>
            <w:tcW w:w="4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tcPr>
          <w:p>
            <w:pPr>
              <w:jc w:val="right"/>
              <w:ind w:right="559"/>
              <w:spacing w:after="0" w:line="182" w:lineRule="exact"/>
              <w:rPr>
                <w:sz w:val="20"/>
                <w:szCs w:val="20"/>
                <w:color w:val="auto"/>
              </w:rPr>
            </w:pPr>
            <w:r>
              <w:rPr>
                <w:rFonts w:ascii="Arial" w:cs="Arial" w:eastAsia="Arial" w:hAnsi="Arial"/>
                <w:sz w:val="16"/>
                <w:szCs w:val="16"/>
                <w:b w:val="1"/>
                <w:bCs w:val="1"/>
                <w:color w:val="auto"/>
              </w:rPr>
              <w:t>Employee Benefit</w:t>
            </w:r>
          </w:p>
        </w:tc>
        <w:tc>
          <w:tcPr>
            <w:tcW w:w="1400" w:type="dxa"/>
            <w:vAlign w:val="bottom"/>
          </w:tcPr>
          <w:p>
            <w:pPr>
              <w:spacing w:after="0"/>
              <w:rPr>
                <w:sz w:val="15"/>
                <w:szCs w:val="15"/>
                <w:color w:val="auto"/>
              </w:rPr>
            </w:pPr>
          </w:p>
        </w:tc>
      </w:tr>
      <w:tr>
        <w:trPr>
          <w:trHeight w:val="217"/>
        </w:trPr>
        <w:tc>
          <w:tcPr>
            <w:tcW w:w="4120" w:type="dxa"/>
            <w:vAlign w:val="bottom"/>
          </w:tcPr>
          <w:p>
            <w:pPr>
              <w:spacing w:after="0"/>
              <w:rPr>
                <w:sz w:val="18"/>
                <w:szCs w:val="18"/>
                <w:color w:val="auto"/>
              </w:rPr>
            </w:pPr>
          </w:p>
        </w:tc>
        <w:tc>
          <w:tcPr>
            <w:tcW w:w="20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Interest Rate Swaps</w:t>
            </w:r>
          </w:p>
        </w:tc>
        <w:tc>
          <w:tcPr>
            <w:tcW w:w="10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Derivatives</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rPr>
              <w:t>Plans</w:t>
            </w:r>
          </w:p>
        </w:tc>
        <w:tc>
          <w:tcPr>
            <w:tcW w:w="14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Total</w:t>
            </w:r>
          </w:p>
        </w:tc>
      </w:tr>
      <w:tr>
        <w:trPr>
          <w:trHeight w:val="209"/>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2021</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(10.4 ) $</w:t>
            </w: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(11.2 )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(20.1 )</w:t>
            </w: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before reclassifications</w:t>
            </w: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99"/>
              <w:spacing w:after="0"/>
              <w:rPr>
                <w:sz w:val="20"/>
                <w:szCs w:val="20"/>
                <w:color w:val="auto"/>
              </w:rPr>
            </w:pPr>
            <w:r>
              <w:rPr>
                <w:rFonts w:ascii="Arial" w:cs="Arial" w:eastAsia="Arial" w:hAnsi="Arial"/>
                <w:sz w:val="16"/>
                <w:szCs w:val="16"/>
                <w:color w:val="auto"/>
              </w:rPr>
              <w:t>4.6</w:t>
            </w:r>
          </w:p>
        </w:tc>
        <w:tc>
          <w:tcPr>
            <w:tcW w:w="14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w:t>
            </w: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2.1</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0.5</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0.5</w:t>
            </w:r>
          </w:p>
        </w:tc>
      </w:tr>
      <w:tr>
        <w:trPr>
          <w:trHeight w:val="210"/>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 of December 31, 2022</w:t>
            </w:r>
          </w:p>
        </w:tc>
        <w:tc>
          <w:tcPr>
            <w:tcW w:w="700" w:type="dxa"/>
            <w:vAlign w:val="bottom"/>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(8.3 ) $</w:t>
            </w:r>
          </w:p>
        </w:tc>
        <w:tc>
          <w:tcPr>
            <w:tcW w:w="10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(1.2 ) $</w:t>
            </w:r>
          </w:p>
        </w:tc>
        <w:tc>
          <w:tcPr>
            <w:tcW w:w="202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(6.1 )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(15.6 )</w:t>
            </w: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7"/>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before reclassifications</w:t>
            </w:r>
          </w:p>
        </w:tc>
        <w:tc>
          <w:tcPr>
            <w:tcW w:w="70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120" w:type="dxa"/>
            <w:vAlign w:val="bottom"/>
            <w:shd w:val="clear" w:color="auto" w:fill="CFF0FC"/>
          </w:tcPr>
          <w:p>
            <w:pPr>
              <w:spacing w:after="0"/>
              <w:rPr>
                <w:sz w:val="18"/>
                <w:szCs w:val="18"/>
                <w:color w:val="auto"/>
              </w:rPr>
            </w:pPr>
          </w:p>
        </w:tc>
        <w:tc>
          <w:tcPr>
            <w:tcW w:w="202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(0.3 )</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(3.9 )</w:t>
            </w:r>
          </w:p>
        </w:tc>
      </w:tr>
      <w:tr>
        <w:trPr>
          <w:trHeight w:val="215"/>
        </w:trPr>
        <w:tc>
          <w:tcPr>
            <w:tcW w:w="4120" w:type="dxa"/>
            <w:vAlign w:val="bottom"/>
          </w:tcPr>
          <w:p>
            <w:pPr>
              <w:ind w:left="20"/>
              <w:spacing w:after="0"/>
              <w:rPr>
                <w:sz w:val="20"/>
                <w:szCs w:val="20"/>
                <w:color w:val="auto"/>
              </w:rPr>
            </w:pPr>
            <w:r>
              <w:rPr>
                <w:rFonts w:ascii="Arial" w:cs="Arial" w:eastAsia="Arial" w:hAnsi="Arial"/>
                <w:sz w:val="16"/>
                <w:szCs w:val="16"/>
                <w:color w:val="auto"/>
              </w:rPr>
              <w:t>Amounts reclassified from AOCI</w:t>
            </w:r>
          </w:p>
        </w:tc>
        <w:tc>
          <w:tcPr>
            <w:tcW w:w="7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2.2</w:t>
            </w:r>
          </w:p>
        </w:tc>
        <w:tc>
          <w:tcPr>
            <w:tcW w:w="10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0.2</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w:t>
            </w:r>
          </w:p>
        </w:tc>
      </w:tr>
      <w:tr>
        <w:trPr>
          <w:trHeight w:val="249"/>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As of December 31, 2023</w:t>
            </w:r>
          </w:p>
        </w:tc>
        <w:tc>
          <w:tcPr>
            <w:tcW w:w="700" w:type="dxa"/>
            <w:vAlign w:val="bottom"/>
            <w:tcBorders>
              <w:bottom w:val="single" w:sz="8" w:color="auto"/>
            </w:tcBorders>
            <w:shd w:val="clear" w:color="auto" w:fill="CFF0FC"/>
          </w:tcPr>
          <w:p>
            <w:pPr>
              <w:jc w:val="right"/>
              <w:ind w:right="5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(6.1 ) $</w:t>
            </w:r>
          </w:p>
        </w:tc>
        <w:tc>
          <w:tcPr>
            <w:tcW w:w="10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(2.5 ) $</w:t>
            </w:r>
          </w:p>
        </w:tc>
        <w:tc>
          <w:tcPr>
            <w:tcW w:w="202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rPr>
              <w:t>(6.2 ) $</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(14.8 )</w:t>
            </w:r>
          </w:p>
        </w:tc>
      </w:tr>
    </w:tbl>
    <w:p>
      <w:pPr>
        <w:spacing w:after="0" w:line="200" w:lineRule="exact"/>
        <w:rPr>
          <w:sz w:val="20"/>
          <w:szCs w:val="20"/>
          <w:color w:val="auto"/>
        </w:rPr>
      </w:pPr>
    </w:p>
    <w:p>
      <w:pPr>
        <w:sectPr>
          <w:pgSz w:w="11900" w:h="16838" w:orient="portrait"/>
          <w:cols w:equalWidth="0" w:num="1">
            <w:col w:w="11240"/>
          </w:cols>
          <w:pgMar w:left="320" w:top="773"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VARIABLE INTEREST ENTITY</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Black Hills Colorado IPP owns and operates a 200 MW, combined-cycle natural gas generating facility located in Pueblo, Colorado. In 2016, Black Hills Electric Generation sold a 49.9%, non-controlling interest in Black Hills Colorado IPP to a third-party buyer. Black Hills Electric Generation is the operator of the facility, which is contracted to provide capacity and energy through 2031 to Colorado Electric.</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Net income available for common stock for the years ended December 31, 2023, 2022 and 2021 was reduced by $13.8 million, $12.4 million, and $14.5 million, respectively, attributable to this non-controlling interest. The net income allocable to the non-controlling interest holder is based on ownership interest with the exception of certain agreed upon adjustments. Distributions of net income attributable to this non-controlling interest are due within 30 days following the end of a quarter but may be withheld as necessary by Black Hills Electric Generation.</w:t>
      </w:r>
    </w:p>
    <w:p>
      <w:pPr>
        <w:spacing w:after="0" w:line="15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55"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We have recorded the following assets and liabilities on our Consolidated Balance Sheets related to the VIE described above as of December 31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r>
      <w:tr>
        <w:trPr>
          <w:trHeight w:val="209"/>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Current assets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15.1</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12.8</w:t>
            </w:r>
          </w:p>
        </w:tc>
      </w:tr>
      <w:tr>
        <w:trPr>
          <w:trHeight w:val="217"/>
        </w:trPr>
        <w:tc>
          <w:tcPr>
            <w:tcW w:w="78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plant and equipment</w:t>
            </w: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166.8</w:t>
            </w:r>
          </w:p>
        </w:tc>
        <w:tc>
          <w:tcPr>
            <w:tcW w:w="40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178.8</w:t>
            </w:r>
          </w:p>
        </w:tc>
      </w:tr>
      <w:tr>
        <w:trPr>
          <w:trHeight w:val="216"/>
        </w:trPr>
        <w:tc>
          <w:tcPr>
            <w:tcW w:w="7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7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Liabilities:</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5"/>
        </w:trPr>
        <w:tc>
          <w:tcPr>
            <w:tcW w:w="7800" w:type="dxa"/>
            <w:vAlign w:val="bottom"/>
          </w:tcPr>
          <w:p>
            <w:pPr>
              <w:ind w:left="20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5.4</w:t>
            </w:r>
          </w:p>
        </w:tc>
      </w:tr>
    </w:tbl>
    <w:p>
      <w:pPr>
        <w:spacing w:after="0" w:line="365" w:lineRule="exact"/>
        <w:rPr>
          <w:sz w:val="20"/>
          <w:szCs w:val="20"/>
          <w:color w:val="auto"/>
        </w:rPr>
      </w:pPr>
    </w:p>
    <w:p>
      <w:pPr>
        <w:ind w:right="8660" w:firstLine="8"/>
        <w:spacing w:after="0" w:line="493" w:lineRule="auto"/>
        <w:tabs>
          <w:tab w:leader="none" w:pos="333"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EMPLOYEE BENEFIT PLANS Defined Contribution Plans</w:t>
      </w:r>
    </w:p>
    <w:p>
      <w:pPr>
        <w:ind w:right="20"/>
        <w:spacing w:after="0" w:line="266" w:lineRule="auto"/>
        <w:rPr>
          <w:sz w:val="20"/>
          <w:szCs w:val="20"/>
          <w:color w:val="auto"/>
        </w:rPr>
      </w:pPr>
      <w:r>
        <w:rPr>
          <w:rFonts w:ascii="Arial" w:cs="Arial" w:eastAsia="Arial" w:hAnsi="Arial"/>
          <w:sz w:val="16"/>
          <w:szCs w:val="16"/>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14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Defined Benefit Pension Plan</w:t>
      </w:r>
    </w:p>
    <w:p>
      <w:pPr>
        <w:spacing w:after="0" w:line="194" w:lineRule="exact"/>
        <w:rPr>
          <w:sz w:val="20"/>
          <w:szCs w:val="20"/>
          <w:color w:val="auto"/>
        </w:rPr>
      </w:pPr>
    </w:p>
    <w:p>
      <w:pPr>
        <w:jc w:val="both"/>
        <w:ind w:right="540"/>
        <w:spacing w:after="0" w:line="266"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service-based criteria.</w:t>
      </w:r>
    </w:p>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5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2023, the expected rate of return on pension plan assets was based on the targeted asset allocation range of 20% to 28% return-seeking assets and 72% to 80% liability-hedging assets.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0" w:name="page91"/>
    <w:bookmarkEnd w:id="90"/>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Our Pension Plan is funded in compliance with the federal government’s funding requirements.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Assets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percentages of total plan asset by investment category for our Pension Plan at December 31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Return-seeking Assets</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209"/>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Equity</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14%</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14%</w:t>
            </w:r>
          </w:p>
        </w:tc>
      </w:tr>
      <w:tr>
        <w:trPr>
          <w:trHeight w:val="215"/>
        </w:trPr>
        <w:tc>
          <w:tcPr>
            <w:tcW w:w="4320" w:type="dxa"/>
            <w:vAlign w:val="bottom"/>
          </w:tcPr>
          <w:p>
            <w:pPr>
              <w:ind w:left="20"/>
              <w:spacing w:after="0"/>
              <w:rPr>
                <w:sz w:val="20"/>
                <w:szCs w:val="20"/>
                <w:color w:val="auto"/>
              </w:rPr>
            </w:pPr>
            <w:r>
              <w:rPr>
                <w:rFonts w:ascii="Arial" w:cs="Arial" w:eastAsia="Arial" w:hAnsi="Arial"/>
                <w:sz w:val="16"/>
                <w:szCs w:val="16"/>
                <w:color w:val="auto"/>
              </w:rPr>
              <w:t>Real estate</w:t>
            </w:r>
          </w:p>
        </w:tc>
        <w:tc>
          <w:tcPr>
            <w:tcW w:w="3460" w:type="dxa"/>
            <w:vAlign w:val="bottom"/>
          </w:tcPr>
          <w:p>
            <w:pPr>
              <w:jc w:val="center"/>
              <w:spacing w:after="0"/>
              <w:rPr>
                <w:sz w:val="20"/>
                <w:szCs w:val="20"/>
                <w:color w:val="auto"/>
              </w:rPr>
            </w:pPr>
            <w:r>
              <w:rPr>
                <w:rFonts w:ascii="Arial" w:cs="Arial" w:eastAsia="Arial" w:hAnsi="Arial"/>
                <w:sz w:val="16"/>
                <w:szCs w:val="16"/>
                <w:color w:val="auto"/>
                <w:w w:val="94"/>
              </w:rPr>
              <w:t>5%</w:t>
            </w:r>
          </w:p>
        </w:tc>
        <w:tc>
          <w:tcPr>
            <w:tcW w:w="346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217"/>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Hedge funds</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4"/>
              </w:rPr>
              <w:t>3%</w:t>
            </w:r>
          </w:p>
        </w:tc>
      </w:tr>
      <w:tr>
        <w:trPr>
          <w:trHeight w:val="215"/>
        </w:trPr>
        <w:tc>
          <w:tcPr>
            <w:tcW w:w="43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Fixed income</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r>
      <w:tr>
        <w:trPr>
          <w:trHeight w:val="209"/>
        </w:trPr>
        <w:tc>
          <w:tcPr>
            <w:tcW w:w="4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24%</w:t>
            </w:r>
          </w:p>
        </w:tc>
        <w:tc>
          <w:tcPr>
            <w:tcW w:w="3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9"/>
              </w:rPr>
              <w:t>26%</w:t>
            </w: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20" w:type="dxa"/>
            <w:vAlign w:val="bottom"/>
          </w:tcPr>
          <w:p>
            <w:pPr>
              <w:ind w:left="20"/>
              <w:spacing w:after="0"/>
              <w:rPr>
                <w:sz w:val="20"/>
                <w:szCs w:val="20"/>
                <w:color w:val="auto"/>
              </w:rPr>
            </w:pPr>
            <w:r>
              <w:rPr>
                <w:rFonts w:ascii="Arial" w:cs="Arial" w:eastAsia="Arial" w:hAnsi="Arial"/>
                <w:sz w:val="16"/>
                <w:szCs w:val="16"/>
                <w:b w:val="1"/>
                <w:bCs w:val="1"/>
                <w:color w:val="auto"/>
              </w:rPr>
              <w:t>Liability-hedging Assets</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209"/>
        </w:trPr>
        <w:tc>
          <w:tcPr>
            <w:tcW w:w="43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Fixed income</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74%</w:t>
            </w:r>
          </w:p>
        </w:tc>
        <w:tc>
          <w:tcPr>
            <w:tcW w:w="34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72%</w:t>
            </w:r>
          </w:p>
        </w:tc>
      </w:tr>
      <w:tr>
        <w:trPr>
          <w:trHeight w:val="215"/>
        </w:trPr>
        <w:tc>
          <w:tcPr>
            <w:tcW w:w="4320" w:type="dxa"/>
            <w:vAlign w:val="bottom"/>
            <w:tcBorders>
              <w:bottom w:val="single" w:sz="8" w:color="CFF0FC"/>
            </w:tcBorders>
          </w:tcPr>
          <w:p>
            <w:pPr>
              <w:ind w:left="20"/>
              <w:spacing w:after="0"/>
              <w:rPr>
                <w:sz w:val="20"/>
                <w:szCs w:val="20"/>
                <w:color w:val="auto"/>
              </w:rPr>
            </w:pPr>
            <w:r>
              <w:rPr>
                <w:rFonts w:ascii="Arial" w:cs="Arial" w:eastAsia="Arial" w:hAnsi="Arial"/>
                <w:sz w:val="16"/>
                <w:szCs w:val="16"/>
                <w:color w:val="auto"/>
              </w:rPr>
              <w:t>Cash</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r>
      <w:tr>
        <w:trPr>
          <w:trHeight w:val="209"/>
        </w:trPr>
        <w:tc>
          <w:tcPr>
            <w:tcW w:w="4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3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76%</w:t>
            </w:r>
          </w:p>
        </w:tc>
        <w:tc>
          <w:tcPr>
            <w:tcW w:w="3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9"/>
              </w:rPr>
              <w:t>74%</w:t>
            </w:r>
          </w:p>
        </w:tc>
      </w:tr>
      <w:tr>
        <w:trPr>
          <w:trHeight w:val="210"/>
        </w:trPr>
        <w:tc>
          <w:tcPr>
            <w:tcW w:w="4320" w:type="dxa"/>
            <w:vAlign w:val="bottom"/>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r>
      <w:tr>
        <w:trPr>
          <w:trHeight w:val="250"/>
        </w:trPr>
        <w:tc>
          <w:tcPr>
            <w:tcW w:w="4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3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100%</w:t>
            </w:r>
          </w:p>
        </w:tc>
        <w:tc>
          <w:tcPr>
            <w:tcW w:w="346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rPr>
              <w:t>100%</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Non-qualified Defined Benefit Plans</w:t>
      </w:r>
    </w:p>
    <w:p>
      <w:pPr>
        <w:spacing w:after="0" w:line="194"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Non-pension Defined Benefit Postretirement Healthcare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w:t>
      </w:r>
    </w:p>
    <w:p>
      <w:pPr>
        <w:spacing w:after="0" w:line="15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Healthcare coverage for post-65 Medicare-eligible retirees is provided through an individual market healthcare exchange. We fund the Healthcare Plan on a cash basis as benefits are paid. The Healthcare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Plan Contributions</w:t>
      </w:r>
    </w:p>
    <w:p>
      <w:pPr>
        <w:spacing w:after="0" w:line="194"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Contributions to the Pension Plan are cash contributions made directly to the Master Trust. Healthcare and Supplemental Plan contributions are made in the form of benefit payments. Healthcare benefits include company and participant paid premiums.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360" w:type="dxa"/>
            <w:vAlign w:val="bottom"/>
          </w:tcPr>
          <w:p>
            <w:pPr>
              <w:spacing w:after="0"/>
              <w:rPr>
                <w:sz w:val="20"/>
                <w:szCs w:val="20"/>
                <w:color w:val="auto"/>
              </w:rPr>
            </w:pPr>
            <w:r>
              <w:rPr>
                <w:rFonts w:ascii="Arial" w:cs="Arial" w:eastAsia="Arial" w:hAnsi="Arial"/>
                <w:sz w:val="16"/>
                <w:szCs w:val="16"/>
                <w:color w:val="auto"/>
              </w:rPr>
              <w:t>Contributions for the years ended December 31 were as follows (in millions):</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93"/>
        </w:trPr>
        <w:tc>
          <w:tcPr>
            <w:tcW w:w="73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2022</w:t>
            </w:r>
          </w:p>
        </w:tc>
      </w:tr>
      <w:tr>
        <w:trPr>
          <w:trHeight w:val="210"/>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Defined Contribution Plan</w:t>
            </w:r>
          </w:p>
        </w:tc>
        <w:tc>
          <w:tcPr>
            <w:tcW w:w="4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Company retirement contributions</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12.7</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11.9</w:t>
            </w: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Company matching contributions</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w:t>
            </w:r>
          </w:p>
        </w:tc>
        <w:tc>
          <w:tcPr>
            <w:tcW w:w="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16.2</w:t>
            </w:r>
          </w:p>
        </w:tc>
      </w:tr>
      <w:tr>
        <w:trPr>
          <w:trHeight w:val="216"/>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Defined Benefit Plans</w:t>
            </w: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Defined Benefit Pension Plan</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5"/>
        </w:trPr>
        <w:tc>
          <w:tcPr>
            <w:tcW w:w="7360" w:type="dxa"/>
            <w:vAlign w:val="bottom"/>
          </w:tcPr>
          <w:p>
            <w:pPr>
              <w:ind w:left="20"/>
              <w:spacing w:after="0"/>
              <w:rPr>
                <w:sz w:val="20"/>
                <w:szCs w:val="20"/>
                <w:color w:val="auto"/>
              </w:rPr>
            </w:pPr>
            <w:r>
              <w:rPr>
                <w:rFonts w:ascii="Arial" w:cs="Arial" w:eastAsia="Arial" w:hAnsi="Arial"/>
                <w:sz w:val="16"/>
                <w:szCs w:val="16"/>
                <w:color w:val="auto"/>
              </w:rPr>
              <w:t>Non-Pension Defined Benefit Postretirement Healthcare Plan</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5.4</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6.1</w:t>
            </w:r>
          </w:p>
        </w:tc>
      </w:tr>
      <w:tr>
        <w:trPr>
          <w:trHeight w:val="217"/>
        </w:trPr>
        <w:tc>
          <w:tcPr>
            <w:tcW w:w="7360" w:type="dxa"/>
            <w:vAlign w:val="bottom"/>
            <w:shd w:val="clear" w:color="auto" w:fill="CFF0FC"/>
          </w:tcPr>
          <w:p>
            <w:pPr>
              <w:ind w:left="20"/>
              <w:spacing w:after="0"/>
              <w:rPr>
                <w:sz w:val="20"/>
                <w:szCs w:val="20"/>
                <w:color w:val="auto"/>
              </w:rPr>
            </w:pPr>
            <w:r>
              <w:rPr>
                <w:rFonts w:ascii="Arial" w:cs="Arial" w:eastAsia="Arial" w:hAnsi="Arial"/>
                <w:sz w:val="16"/>
                <w:szCs w:val="16"/>
                <w:color w:val="auto"/>
              </w:rPr>
              <w:t>Supplemental Non-Qualified Defined Benefit Plans</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46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3.1</w:t>
            </w:r>
          </w:p>
        </w:tc>
      </w:tr>
    </w:tbl>
    <w:p>
      <w:pPr>
        <w:spacing w:after="0" w:line="175" w:lineRule="exact"/>
        <w:rPr>
          <w:sz w:val="20"/>
          <w:szCs w:val="20"/>
          <w:color w:val="auto"/>
        </w:rPr>
      </w:pPr>
    </w:p>
    <w:p>
      <w:pPr>
        <w:ind w:left="5540" w:right="1980" w:hanging="5525"/>
        <w:spacing w:after="0" w:line="568" w:lineRule="auto"/>
        <w:rPr>
          <w:sz w:val="20"/>
          <w:szCs w:val="20"/>
          <w:color w:val="auto"/>
        </w:rPr>
      </w:pPr>
      <w:r>
        <w:rPr>
          <w:rFonts w:ascii="Arial" w:cs="Arial" w:eastAsia="Arial" w:hAnsi="Arial"/>
          <w:sz w:val="16"/>
          <w:szCs w:val="16"/>
          <w:color w:val="auto"/>
        </w:rPr>
        <w:t>We do not have any required contributions to our Pension Plan in 2024; however, we expect to make $2.3 million in contributions.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1" w:name="page92"/>
    <w:bookmarkEnd w:id="9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by level within the fair value hierarchy, the assets that were accounted for at fair value on a recurring basis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59"/>
              <w:spacing w:after="0" w:line="182" w:lineRule="exact"/>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rPr>
              <w:t>Measured at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32"/>
                <w:szCs w:val="32"/>
                <w:b w:val="1"/>
                <w:bCs w:val="1"/>
                <w:color w:val="auto"/>
                <w:vertAlign w:val="subscript"/>
              </w:rPr>
              <w:t>NAV</w:t>
            </w:r>
            <w:r>
              <w:rPr>
                <w:rFonts w:ascii="Arial" w:cs="Arial" w:eastAsia="Arial" w:hAnsi="Arial"/>
                <w:sz w:val="11"/>
                <w:szCs w:val="11"/>
                <w:b w:val="1"/>
                <w:bCs w:val="1"/>
                <w:color w:val="auto"/>
              </w:rPr>
              <w:t xml:space="preserve"> (a)</w:t>
            </w:r>
          </w:p>
        </w:tc>
        <w:tc>
          <w:tcPr>
            <w:tcW w:w="16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2</w:t>
            </w: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c>
          <w:tcPr>
            <w:tcW w:w="7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10"/>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Pension Plan</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 Cash and Cash Equivalents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ind w:lef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6.7</w:t>
            </w:r>
          </w:p>
        </w:tc>
        <w:tc>
          <w:tcPr>
            <w:tcW w:w="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w:t>
            </w:r>
          </w:p>
        </w:tc>
        <w:tc>
          <w:tcPr>
            <w:tcW w:w="0" w:type="dxa"/>
            <w:vAlign w:val="bottom"/>
          </w:tcPr>
          <w:p>
            <w:pPr>
              <w:spacing w:after="0"/>
              <w:rPr>
                <w:sz w:val="1"/>
                <w:szCs w:val="1"/>
                <w:color w:val="auto"/>
              </w:rPr>
            </w:pPr>
          </w:p>
        </w:tc>
      </w:tr>
      <w:tr>
        <w:trPr>
          <w:trHeight w:val="217"/>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Collective Trust - Equity</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 Fixed Income</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234.5</w:t>
            </w:r>
          </w:p>
        </w:tc>
        <w:tc>
          <w:tcPr>
            <w:tcW w:w="3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234.5</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17"/>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Collective Trust - Real Estate</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Hedge Funds</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49"/>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283.9</w:t>
            </w: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283.9</w:t>
            </w:r>
          </w:p>
        </w:tc>
        <w:tc>
          <w:tcPr>
            <w:tcW w:w="2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308.4</w:t>
            </w:r>
          </w:p>
        </w:tc>
        <w:tc>
          <w:tcPr>
            <w:tcW w:w="0" w:type="dxa"/>
            <w:vAlign w:val="bottom"/>
          </w:tcPr>
          <w:p>
            <w:pPr>
              <w:spacing w:after="0"/>
              <w:rPr>
                <w:sz w:val="1"/>
                <w:szCs w:val="1"/>
                <w:color w:val="auto"/>
              </w:rPr>
            </w:pPr>
          </w:p>
        </w:tc>
      </w:tr>
      <w:tr>
        <w:trPr>
          <w:trHeight w:val="197"/>
        </w:trPr>
        <w:tc>
          <w:tcPr>
            <w:tcW w:w="5280" w:type="dxa"/>
            <w:vAlign w:val="bottom"/>
            <w:gridSpan w:val="2"/>
          </w:tcPr>
          <w:p>
            <w:pPr>
              <w:ind w:left="20"/>
              <w:spacing w:after="0"/>
              <w:rPr>
                <w:sz w:val="20"/>
                <w:szCs w:val="20"/>
                <w:color w:val="auto"/>
              </w:rPr>
            </w:pPr>
            <w:r>
              <w:rPr>
                <w:rFonts w:ascii="Arial" w:cs="Arial" w:eastAsia="Arial" w:hAnsi="Arial"/>
                <w:sz w:val="16"/>
                <w:szCs w:val="16"/>
                <w:b w:val="1"/>
                <w:bCs w:val="1"/>
                <w:color w:val="auto"/>
              </w:rPr>
              <w:t>Non-pension Defined Benefit Postretirement Healthcare Plan</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2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9"/>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December 31, 2022</w:t>
            </w:r>
          </w:p>
        </w:tc>
        <w:tc>
          <w:tcPr>
            <w:tcW w:w="2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3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center"/>
              <w:ind w:right="159"/>
              <w:spacing w:after="0" w:line="182" w:lineRule="exact"/>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rPr>
              <w:t>Investments</w:t>
            </w: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59"/>
              <w:spacing w:after="0"/>
              <w:rPr>
                <w:sz w:val="20"/>
                <w:szCs w:val="20"/>
                <w:color w:val="auto"/>
              </w:rPr>
            </w:pPr>
            <w:r>
              <w:rPr>
                <w:rFonts w:ascii="Arial" w:cs="Arial" w:eastAsia="Arial" w:hAnsi="Arial"/>
                <w:sz w:val="16"/>
                <w:szCs w:val="16"/>
                <w:b w:val="1"/>
                <w:bCs w:val="1"/>
                <w:color w:val="auto"/>
              </w:rPr>
              <w:t>Measured at</w:t>
            </w:r>
          </w:p>
        </w:tc>
        <w:tc>
          <w:tcPr>
            <w:tcW w:w="760" w:type="dxa"/>
            <w:vAlign w:val="bottom"/>
            <w:gridSpan w:val="2"/>
            <w:vMerge w:val="restart"/>
          </w:tcPr>
          <w:p>
            <w:pPr>
              <w:jc w:val="right"/>
              <w:ind w:right="39"/>
              <w:spacing w:after="0"/>
              <w:rPr>
                <w:sz w:val="20"/>
                <w:szCs w:val="20"/>
                <w:color w:val="auto"/>
              </w:rPr>
            </w:pPr>
            <w:r>
              <w:rPr>
                <w:rFonts w:ascii="Arial" w:cs="Arial" w:eastAsia="Arial" w:hAnsi="Arial"/>
                <w:sz w:val="16"/>
                <w:szCs w:val="16"/>
                <w:b w:val="1"/>
                <w:bCs w:val="1"/>
                <w:color w:val="auto"/>
              </w:rPr>
              <w:t xml:space="preserve">NAV </w:t>
            </w:r>
            <w:r>
              <w:rPr>
                <w:rFonts w:ascii="Arial" w:cs="Arial" w:eastAsia="Arial" w:hAnsi="Arial"/>
                <w:sz w:val="21"/>
                <w:szCs w:val="21"/>
                <w:b w:val="1"/>
                <w:bCs w:val="1"/>
                <w:color w:val="auto"/>
                <w:vertAlign w:val="superscript"/>
              </w:rPr>
              <w:t>(a)</w:t>
            </w:r>
          </w:p>
        </w:tc>
        <w:tc>
          <w:tcPr>
            <w:tcW w:w="160" w:type="dxa"/>
            <w:vAlign w:val="bottom"/>
          </w:tcPr>
          <w:p>
            <w:pPr>
              <w:spacing w:after="0"/>
              <w:rPr>
                <w:sz w:val="16"/>
                <w:szCs w:val="16"/>
                <w:color w:val="auto"/>
              </w:rPr>
            </w:pPr>
          </w:p>
        </w:tc>
        <w:tc>
          <w:tcPr>
            <w:tcW w:w="118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6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Level 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Level 2</w:t>
            </w:r>
          </w:p>
        </w:tc>
        <w:tc>
          <w:tcPr>
            <w:tcW w:w="8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Level 3</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Fair Value</w:t>
            </w:r>
          </w:p>
        </w:tc>
        <w:tc>
          <w:tcPr>
            <w:tcW w:w="76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Investments</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b w:val="1"/>
                <w:bCs w:val="1"/>
                <w:color w:val="auto"/>
              </w:rPr>
              <w:t>Pension Plan</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 Cash and Cash Equivalents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6.4</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Pr>
          <w:p>
            <w:pPr>
              <w:ind w:lef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6.4</w:t>
            </w:r>
          </w:p>
        </w:tc>
        <w:tc>
          <w:tcPr>
            <w:tcW w:w="260" w:type="dxa"/>
            <w:vAlign w:val="bottom"/>
          </w:tcPr>
          <w:p>
            <w:pPr>
              <w:jc w:val="right"/>
              <w:ind w:right="23"/>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7"/>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Collective Trust - Equity</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45.1</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45.1</w:t>
            </w:r>
          </w:p>
        </w:tc>
        <w:tc>
          <w:tcPr>
            <w:tcW w:w="0" w:type="dxa"/>
            <w:vAlign w:val="bottom"/>
          </w:tcPr>
          <w:p>
            <w:pPr>
              <w:spacing w:after="0"/>
              <w:rPr>
                <w:sz w:val="1"/>
                <w:szCs w:val="1"/>
                <w:color w:val="auto"/>
              </w:rPr>
            </w:pPr>
          </w:p>
        </w:tc>
      </w:tr>
      <w:tr>
        <w:trPr>
          <w:trHeight w:val="21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Common Collective Trust - Fixed Income</w:t>
            </w:r>
          </w:p>
        </w:tc>
        <w:tc>
          <w:tcPr>
            <w:tcW w:w="3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242.0</w:t>
            </w:r>
          </w:p>
        </w:tc>
        <w:tc>
          <w:tcPr>
            <w:tcW w:w="340" w:type="dxa"/>
            <w:vAlign w:val="bottom"/>
          </w:tcPr>
          <w:p>
            <w:pPr>
              <w:spacing w:after="0"/>
              <w:rPr>
                <w:sz w:val="18"/>
                <w:szCs w:val="18"/>
                <w:color w:val="auto"/>
              </w:rPr>
            </w:pPr>
          </w:p>
        </w:tc>
        <w:tc>
          <w:tcPr>
            <w:tcW w:w="460" w:type="dxa"/>
            <w:vAlign w:val="bottom"/>
          </w:tcPr>
          <w:p>
            <w:pPr>
              <w:ind w:lef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242.0</w:t>
            </w:r>
          </w:p>
        </w:tc>
        <w:tc>
          <w:tcPr>
            <w:tcW w:w="2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242.0</w:t>
            </w:r>
          </w:p>
        </w:tc>
        <w:tc>
          <w:tcPr>
            <w:tcW w:w="0" w:type="dxa"/>
            <w:vAlign w:val="bottom"/>
          </w:tcPr>
          <w:p>
            <w:pPr>
              <w:spacing w:after="0"/>
              <w:rPr>
                <w:sz w:val="1"/>
                <w:szCs w:val="1"/>
                <w:color w:val="auto"/>
              </w:rPr>
            </w:pPr>
          </w:p>
        </w:tc>
      </w:tr>
      <w:tr>
        <w:trPr>
          <w:trHeight w:val="217"/>
        </w:trPr>
        <w:tc>
          <w:tcPr>
            <w:tcW w:w="52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Common Collective Trust - Real Estate</w:t>
            </w:r>
          </w:p>
        </w:tc>
        <w:tc>
          <w:tcPr>
            <w:tcW w:w="30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4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w:t>
            </w: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5"/>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Hedge Funds</w:t>
            </w:r>
          </w:p>
        </w:tc>
        <w:tc>
          <w:tcPr>
            <w:tcW w:w="3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30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293.5</w:t>
            </w:r>
          </w:p>
        </w:tc>
        <w:tc>
          <w:tcPr>
            <w:tcW w:w="340" w:type="dxa"/>
            <w:vAlign w:val="bottom"/>
            <w:tcBorders>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293.5</w:t>
            </w:r>
          </w:p>
        </w:tc>
        <w:tc>
          <w:tcPr>
            <w:tcW w:w="26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323.1</w:t>
            </w:r>
          </w:p>
        </w:tc>
        <w:tc>
          <w:tcPr>
            <w:tcW w:w="0" w:type="dxa"/>
            <w:vAlign w:val="bottom"/>
          </w:tcPr>
          <w:p>
            <w:pPr>
              <w:spacing w:after="0"/>
              <w:rPr>
                <w:sz w:val="1"/>
                <w:szCs w:val="1"/>
                <w:color w:val="auto"/>
              </w:rPr>
            </w:pPr>
          </w:p>
        </w:tc>
      </w:tr>
      <w:tr>
        <w:trPr>
          <w:trHeight w:val="197"/>
        </w:trPr>
        <w:tc>
          <w:tcPr>
            <w:tcW w:w="5280" w:type="dxa"/>
            <w:vAlign w:val="bottom"/>
            <w:gridSpan w:val="2"/>
          </w:tcPr>
          <w:p>
            <w:pPr>
              <w:ind w:left="20"/>
              <w:spacing w:after="0"/>
              <w:rPr>
                <w:sz w:val="20"/>
                <w:szCs w:val="20"/>
                <w:color w:val="auto"/>
              </w:rPr>
            </w:pPr>
            <w:r>
              <w:rPr>
                <w:rFonts w:ascii="Arial" w:cs="Arial" w:eastAsia="Arial" w:hAnsi="Arial"/>
                <w:sz w:val="16"/>
                <w:szCs w:val="16"/>
                <w:b w:val="1"/>
                <w:bCs w:val="1"/>
                <w:color w:val="auto"/>
              </w:rPr>
              <w:t>Non-pension Defined Benefit Postretirement Healthcare Plan</w:t>
            </w: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2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18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w:t>
            </w:r>
          </w:p>
        </w:tc>
        <w:tc>
          <w:tcPr>
            <w:tcW w:w="2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9"/>
        </w:trPr>
        <w:tc>
          <w:tcPr>
            <w:tcW w:w="5280" w:type="dxa"/>
            <w:vAlign w:val="bottom"/>
            <w:gridSpan w:val="2"/>
          </w:tcPr>
          <w:p>
            <w:pPr>
              <w:ind w:left="20"/>
              <w:spacing w:after="0"/>
              <w:rPr>
                <w:sz w:val="20"/>
                <w:szCs w:val="20"/>
                <w:color w:val="auto"/>
              </w:rPr>
            </w:pPr>
            <w:r>
              <w:rPr>
                <w:rFonts w:ascii="Arial" w:cs="Arial" w:eastAsia="Arial" w:hAnsi="Arial"/>
                <w:sz w:val="16"/>
                <w:szCs w:val="16"/>
                <w:color w:val="auto"/>
              </w:rPr>
              <w:t>Total investments measured at fair value</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2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380" w:type="dxa"/>
            <w:vAlign w:val="bottom"/>
            <w:tcBorders>
              <w:bottom w:val="single" w:sz="8" w:color="auto"/>
            </w:tcBorders>
          </w:tcPr>
          <w:p>
            <w:pPr>
              <w:spacing w:after="0"/>
              <w:rPr>
                <w:sz w:val="10"/>
                <w:szCs w:val="10"/>
                <w:color w:val="auto"/>
              </w:rPr>
            </w:pPr>
          </w:p>
        </w:tc>
        <w:tc>
          <w:tcPr>
            <w:tcW w:w="1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160" w:hanging="512"/>
        <w:spacing w:after="0" w:line="247" w:lineRule="auto"/>
        <w:tabs>
          <w:tab w:leader="none" w:pos="5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Pension Plan</w:t>
      </w:r>
    </w:p>
    <w:p>
      <w:pPr>
        <w:spacing w:after="0" w:line="194"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i w:val="1"/>
          <w:iCs w:val="1"/>
          <w:color w:val="auto"/>
        </w:rPr>
        <w:t xml:space="preserve">Common Collective Trust Funds: </w:t>
      </w:r>
      <w:r>
        <w:rPr>
          <w:rFonts w:ascii="Arial" w:cs="Arial" w:eastAsia="Arial" w:hAnsi="Arial"/>
          <w:sz w:val="16"/>
          <w:szCs w:val="16"/>
          <w:color w:val="auto"/>
        </w:rPr>
        <w:t>These funds are valued based upon the redemption price of units held by the Pension Plan, which is based on the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fair value of the common collective trust funds’ underlying assets. Unit values are determined by the financial institution sponsoring such funds by dividing the fund’s net assets at fair value by its units outstanding at the valuation dates. The Pension Plan’s investments in common collective trust funds, with the exception of shares of the common collective trust-real estate are categorized as Level 2.</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investments are measured at NAV and are not classified in the fair value hierarchy, in accordance with accounting guidance:</w:t>
      </w:r>
    </w:p>
    <w:p>
      <w:pPr>
        <w:spacing w:after="0" w:line="194" w:lineRule="exact"/>
        <w:rPr>
          <w:sz w:val="20"/>
          <w:szCs w:val="20"/>
          <w:color w:val="auto"/>
        </w:rPr>
      </w:pPr>
    </w:p>
    <w:p>
      <w:pPr>
        <w:ind w:left="380" w:right="100"/>
        <w:spacing w:after="0" w:line="254" w:lineRule="auto"/>
        <w:rPr>
          <w:sz w:val="20"/>
          <w:szCs w:val="20"/>
          <w:color w:val="auto"/>
        </w:rPr>
      </w:pPr>
      <w:r>
        <w:rPr>
          <w:rFonts w:ascii="Arial" w:cs="Arial" w:eastAsia="Arial" w:hAnsi="Arial"/>
          <w:sz w:val="16"/>
          <w:szCs w:val="16"/>
          <w:i w:val="1"/>
          <w:iCs w:val="1"/>
          <w:color w:val="auto"/>
        </w:rPr>
        <w:t>Common Collective Trust-Real Estate Funds</w:t>
      </w:r>
      <w:r>
        <w:rPr>
          <w:rFonts w:ascii="Arial" w:cs="Arial" w:eastAsia="Arial" w:hAnsi="Arial"/>
          <w:sz w:val="16"/>
          <w:szCs w:val="16"/>
          <w:color w:val="auto"/>
        </w:rPr>
        <w:t>: These funds are valued based on various factors of the underlying real estate properties,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market rent, 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w:t>
      </w:r>
    </w:p>
    <w:p>
      <w:pPr>
        <w:spacing w:after="0" w:line="155" w:lineRule="exact"/>
        <w:rPr>
          <w:sz w:val="20"/>
          <w:szCs w:val="20"/>
          <w:color w:val="auto"/>
        </w:rPr>
      </w:pPr>
    </w:p>
    <w:p>
      <w:pPr>
        <w:ind w:left="380" w:right="100"/>
        <w:spacing w:after="0" w:line="254"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10% of the shares may be redeemed at the end of each month with a 15-day notice and full redemptions are available at the end of each quarter with 60-day notice and is limited to a percentage of the total net assets value of the fund. The net asset values are based on the fair value of each fund’s underlying investments. There are no unfunded commitments related to these hedge funds.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Non-pension Defined Benefit Postretirement Healthcare Plan</w:t>
      </w:r>
    </w:p>
    <w:p>
      <w:pPr>
        <w:spacing w:after="0" w:line="194"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This represents an investment in Northern Institutional Government Assets Portfolio, which is a government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fund. As shares held reflect quoted prices in an active market, they are categorized as Level 1.</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Net Periodic Expense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components of the net periodic expense (in millions):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Supplemental</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3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Defined Benefit</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center"/>
              <w:ind w:right="148"/>
              <w:spacing w:after="0"/>
              <w:rPr>
                <w:sz w:val="20"/>
                <w:szCs w:val="20"/>
                <w:color w:val="auto"/>
              </w:rPr>
            </w:pPr>
            <w:r>
              <w:rPr>
                <w:rFonts w:ascii="Arial" w:cs="Arial" w:eastAsia="Arial" w:hAnsi="Arial"/>
                <w:sz w:val="14"/>
                <w:szCs w:val="14"/>
                <w:b w:val="1"/>
                <w:bCs w:val="1"/>
                <w:color w:val="auto"/>
              </w:rPr>
              <w:t>Non-qualified Defined Benefit</w:t>
            </w:r>
          </w:p>
        </w:tc>
        <w:tc>
          <w:tcPr>
            <w:tcW w:w="240" w:type="dxa"/>
            <w:vAlign w:val="bottom"/>
          </w:tcPr>
          <w:p>
            <w:pPr>
              <w:spacing w:after="0"/>
              <w:rPr>
                <w:sz w:val="14"/>
                <w:szCs w:val="14"/>
                <w:color w:val="auto"/>
              </w:rPr>
            </w:pPr>
          </w:p>
        </w:tc>
        <w:tc>
          <w:tcPr>
            <w:tcW w:w="2560" w:type="dxa"/>
            <w:vAlign w:val="bottom"/>
            <w:gridSpan w:val="5"/>
          </w:tcPr>
          <w:p>
            <w:pPr>
              <w:jc w:val="right"/>
              <w:ind w:right="388"/>
              <w:spacing w:after="0"/>
              <w:rPr>
                <w:sz w:val="20"/>
                <w:szCs w:val="20"/>
                <w:color w:val="auto"/>
              </w:rPr>
            </w:pPr>
            <w:r>
              <w:rPr>
                <w:rFonts w:ascii="Arial" w:cs="Arial" w:eastAsia="Arial" w:hAnsi="Arial"/>
                <w:sz w:val="14"/>
                <w:szCs w:val="14"/>
                <w:b w:val="1"/>
                <w:bCs w:val="1"/>
                <w:color w:val="auto"/>
              </w:rPr>
              <w:t>Non-pension Defined Benefit</w:t>
            </w:r>
          </w:p>
        </w:tc>
      </w:tr>
      <w:tr>
        <w:trPr>
          <w:trHeight w:val="185"/>
        </w:trPr>
        <w:tc>
          <w:tcPr>
            <w:tcW w:w="3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Pension Plan</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Plans</w:t>
            </w: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Postretirement Healthcare Plan</w:t>
            </w:r>
          </w:p>
        </w:tc>
      </w:tr>
      <w:tr>
        <w:trPr>
          <w:trHeight w:val="18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2023</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r>
      <w:tr>
        <w:trPr>
          <w:trHeight w:val="182"/>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Service cost</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2.5</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3.9</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w:t>
            </w: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(0.8 ) $</w:t>
            </w: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1.9</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2.2</w:t>
            </w:r>
          </w:p>
        </w:tc>
      </w:tr>
      <w:tr>
        <w:trPr>
          <w:trHeight w:val="189"/>
        </w:trPr>
        <w:tc>
          <w:tcPr>
            <w:tcW w:w="3380" w:type="dxa"/>
            <w:vAlign w:val="bottom"/>
          </w:tcPr>
          <w:p>
            <w:pPr>
              <w:ind w:left="20"/>
              <w:spacing w:after="0"/>
              <w:rPr>
                <w:sz w:val="20"/>
                <w:szCs w:val="20"/>
                <w:color w:val="auto"/>
              </w:rPr>
            </w:pPr>
            <w:r>
              <w:rPr>
                <w:rFonts w:ascii="Arial" w:cs="Arial" w:eastAsia="Arial" w:hAnsi="Arial"/>
                <w:sz w:val="14"/>
                <w:szCs w:val="14"/>
                <w:color w:val="auto"/>
              </w:rPr>
              <w:t>Interest cost</w:t>
            </w:r>
          </w:p>
        </w:tc>
        <w:tc>
          <w:tcPr>
            <w:tcW w:w="16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180" w:type="dxa"/>
            <w:vAlign w:val="bottom"/>
          </w:tcPr>
          <w:p>
            <w:pPr>
              <w:spacing w:after="0"/>
              <w:rPr>
                <w:sz w:val="16"/>
                <w:szCs w:val="16"/>
                <w:color w:val="auto"/>
              </w:rPr>
            </w:pP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9.3</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80" w:type="dxa"/>
            <w:vAlign w:val="bottom"/>
          </w:tcPr>
          <w:p>
            <w:pPr>
              <w:spacing w:after="0"/>
              <w:rPr>
                <w:sz w:val="16"/>
                <w:szCs w:val="16"/>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8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1.0</w:t>
            </w:r>
          </w:p>
        </w:tc>
      </w:tr>
      <w:tr>
        <w:trPr>
          <w:trHeight w:val="189"/>
        </w:trPr>
        <w:tc>
          <w:tcPr>
            <w:tcW w:w="3380" w:type="dxa"/>
            <w:vAlign w:val="bottom"/>
            <w:shd w:val="clear" w:color="auto" w:fill="CFF0FC"/>
          </w:tcPr>
          <w:p>
            <w:pPr>
              <w:ind w:left="20"/>
              <w:spacing w:after="0"/>
              <w:rPr>
                <w:sz w:val="20"/>
                <w:szCs w:val="20"/>
                <w:color w:val="auto"/>
              </w:rPr>
            </w:pPr>
            <w:r>
              <w:rPr>
                <w:rFonts w:ascii="Arial" w:cs="Arial" w:eastAsia="Arial" w:hAnsi="Arial"/>
                <w:sz w:val="14"/>
                <w:szCs w:val="14"/>
                <w:color w:val="auto"/>
              </w:rPr>
              <w:t>Expected return on assets</w:t>
            </w: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(18.7 )</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(18.5 )</w:t>
            </w: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(20.8 )</w:t>
            </w:r>
          </w:p>
        </w:tc>
        <w:tc>
          <w:tcPr>
            <w:tcW w:w="16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(0.2 )</w:t>
            </w:r>
          </w:p>
        </w:tc>
        <w:tc>
          <w:tcPr>
            <w:tcW w:w="18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(0.1 )</w:t>
            </w: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(0.1 )</w:t>
            </w:r>
          </w:p>
        </w:tc>
      </w:tr>
      <w:tr>
        <w:trPr>
          <w:trHeight w:val="189"/>
        </w:trPr>
        <w:tc>
          <w:tcPr>
            <w:tcW w:w="3380" w:type="dxa"/>
            <w:vAlign w:val="bottom"/>
          </w:tcPr>
          <w:p>
            <w:pPr>
              <w:ind w:left="20"/>
              <w:spacing w:after="0"/>
              <w:rPr>
                <w:sz w:val="20"/>
                <w:szCs w:val="20"/>
                <w:color w:val="auto"/>
              </w:rPr>
            </w:pPr>
            <w:r>
              <w:rPr>
                <w:rFonts w:ascii="Arial" w:cs="Arial" w:eastAsia="Arial" w:hAnsi="Arial"/>
                <w:sz w:val="14"/>
                <w:szCs w:val="14"/>
                <w:color w:val="auto"/>
              </w:rPr>
              <w:t>Net amortization of prior service cost</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(0.1 )</w:t>
            </w:r>
          </w:p>
        </w:tc>
        <w:tc>
          <w:tcPr>
            <w:tcW w:w="1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(0.1 )</w:t>
            </w:r>
          </w:p>
        </w:tc>
        <w:tc>
          <w:tcPr>
            <w:tcW w:w="14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(0.3 )</w:t>
            </w: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(0.4 )</w:t>
            </w:r>
          </w:p>
        </w:tc>
      </w:tr>
      <w:tr>
        <w:trPr>
          <w:trHeight w:val="189"/>
        </w:trPr>
        <w:tc>
          <w:tcPr>
            <w:tcW w:w="33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Recognized net actuarial loss (gain)</w:t>
            </w:r>
          </w:p>
        </w:tc>
        <w:tc>
          <w:tcPr>
            <w:tcW w:w="16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2.0</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6.1</w:t>
            </w:r>
          </w:p>
        </w:tc>
        <w:tc>
          <w:tcPr>
            <w:tcW w:w="14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7.3</w:t>
            </w:r>
          </w:p>
        </w:tc>
        <w:tc>
          <w:tcPr>
            <w:tcW w:w="160" w:type="dxa"/>
            <w:vAlign w:val="bottom"/>
            <w:tcBorders>
              <w:bottom w:val="single" w:sz="8" w:color="auto"/>
            </w:tcBorders>
            <w:shd w:val="clear" w:color="auto" w:fill="CFF0FC"/>
          </w:tcPr>
          <w:p>
            <w:pPr>
              <w:spacing w:after="0"/>
              <w:rPr>
                <w:sz w:val="16"/>
                <w:szCs w:val="16"/>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FF0FC"/>
          </w:tcPr>
          <w:p>
            <w:pPr>
              <w:spacing w:after="0"/>
              <w:rPr>
                <w:sz w:val="16"/>
                <w:szCs w:val="16"/>
                <w:color w:val="auto"/>
              </w:rPr>
            </w:pP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auto"/>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4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0.1</w:t>
            </w:r>
          </w:p>
        </w:tc>
        <w:tc>
          <w:tcPr>
            <w:tcW w:w="18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0.5</w:t>
            </w:r>
          </w:p>
        </w:tc>
      </w:tr>
      <w:tr>
        <w:trPr>
          <w:trHeight w:val="183"/>
        </w:trPr>
        <w:tc>
          <w:tcPr>
            <w:tcW w:w="3380" w:type="dxa"/>
            <w:vAlign w:val="bottom"/>
          </w:tcPr>
          <w:p>
            <w:pPr>
              <w:ind w:left="20"/>
              <w:spacing w:after="0"/>
              <w:rPr>
                <w:sz w:val="20"/>
                <w:szCs w:val="20"/>
                <w:color w:val="auto"/>
              </w:rPr>
            </w:pPr>
            <w:r>
              <w:rPr>
                <w:rFonts w:ascii="Arial" w:cs="Arial" w:eastAsia="Arial" w:hAnsi="Arial"/>
                <w:sz w:val="14"/>
                <w:szCs w:val="14"/>
                <w:color w:val="auto"/>
              </w:rPr>
              <w:t>Net periodic expense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w:t>
            </w: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w:t>
            </w:r>
          </w:p>
        </w:tc>
      </w:tr>
      <w:tr>
        <w:trPr>
          <w:trHeight w:val="20"/>
        </w:trPr>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6"/>
          <w:szCs w:val="16"/>
          <w:color w:val="auto"/>
        </w:rPr>
        <w:t>Service costs are recorded in Operations and maintenance expense while non-service costs are recorded in Other expense on the Consolidated Statements of Income.</w:t>
      </w:r>
    </w:p>
    <w:p>
      <w:pPr>
        <w:spacing w:after="0" w:line="129" w:lineRule="exact"/>
        <w:rPr>
          <w:sz w:val="20"/>
          <w:szCs w:val="20"/>
          <w:color w:val="auto"/>
        </w:rPr>
      </w:pPr>
    </w:p>
    <w:p>
      <w:pPr>
        <w:ind w:right="520"/>
        <w:spacing w:after="0" w:line="256" w:lineRule="auto"/>
        <w:rPr>
          <w:sz w:val="20"/>
          <w:szCs w:val="20"/>
          <w:color w:val="auto"/>
        </w:rPr>
      </w:pPr>
      <w:r>
        <w:rPr>
          <w:rFonts w:ascii="Arial" w:cs="Arial" w:eastAsia="Arial" w:hAnsi="Arial"/>
          <w:sz w:val="16"/>
          <w:szCs w:val="16"/>
          <w:color w:val="auto"/>
        </w:rPr>
        <w:t>Actuarial gains and losses are amortized using a straight-line method over the average remaining service period of active plan participants or over the average remaining lifetime of the remaining plan participants if the plan is viewed as “all or almost all” inactive participants.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3" w:name="page94"/>
    <w:bookmarkEnd w:id="9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Plan Information</w:t>
      </w:r>
    </w:p>
    <w:p>
      <w:pPr>
        <w:spacing w:after="0" w:line="208"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tables provide a reconciliation of the employee benefit plan obligations and fair value of employee benefit plan assets, amounts recognized on our Consolidated Balance Sheets, accumulated benefit obligation and elements of AOCI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rPr>
              <w:t>Supplemental Non-</w:t>
            </w:r>
          </w:p>
        </w:tc>
        <w:tc>
          <w:tcPr>
            <w:tcW w:w="140" w:type="dxa"/>
            <w:vAlign w:val="bottom"/>
          </w:tcPr>
          <w:p>
            <w:pPr>
              <w:spacing w:after="0"/>
              <w:rPr>
                <w:sz w:val="13"/>
                <w:szCs w:val="13"/>
                <w:color w:val="auto"/>
              </w:rPr>
            </w:pPr>
          </w:p>
        </w:tc>
        <w:tc>
          <w:tcPr>
            <w:tcW w:w="1300" w:type="dxa"/>
            <w:vAlign w:val="bottom"/>
          </w:tcPr>
          <w:p>
            <w:pPr>
              <w:jc w:val="center"/>
              <w:ind w:right="161"/>
              <w:spacing w:after="0"/>
              <w:rPr>
                <w:sz w:val="20"/>
                <w:szCs w:val="20"/>
                <w:color w:val="auto"/>
              </w:rPr>
            </w:pPr>
            <w:r>
              <w:rPr>
                <w:rFonts w:ascii="Arial" w:cs="Arial" w:eastAsia="Arial" w:hAnsi="Arial"/>
                <w:sz w:val="13"/>
                <w:szCs w:val="13"/>
                <w:b w:val="1"/>
                <w:bCs w:val="1"/>
                <w:color w:val="auto"/>
              </w:rPr>
              <w:t>Non-pension</w:t>
            </w:r>
          </w:p>
        </w:tc>
        <w:tc>
          <w:tcPr>
            <w:tcW w:w="180" w:type="dxa"/>
            <w:vAlign w:val="bottom"/>
          </w:tcPr>
          <w:p>
            <w:pPr>
              <w:spacing w:after="0"/>
              <w:rPr>
                <w:sz w:val="13"/>
                <w:szCs w:val="13"/>
                <w:color w:val="auto"/>
              </w:rPr>
            </w:pPr>
          </w:p>
        </w:tc>
        <w:tc>
          <w:tcPr>
            <w:tcW w:w="920" w:type="dxa"/>
            <w:vAlign w:val="bottom"/>
            <w:vMerge w:val="restart"/>
          </w:tcPr>
          <w:p>
            <w:pPr>
              <w:jc w:val="center"/>
              <w:ind w:right="220"/>
              <w:spacing w:after="0"/>
              <w:rPr>
                <w:sz w:val="20"/>
                <w:szCs w:val="20"/>
                <w:color w:val="auto"/>
              </w:rPr>
            </w:pPr>
            <w:r>
              <w:rPr>
                <w:rFonts w:ascii="Arial" w:cs="Arial" w:eastAsia="Arial" w:hAnsi="Arial"/>
                <w:sz w:val="13"/>
                <w:szCs w:val="13"/>
                <w:b w:val="1"/>
                <w:bCs w:val="1"/>
                <w:color w:val="auto"/>
              </w:rPr>
              <w:t>Defined</w:t>
            </w:r>
          </w:p>
        </w:tc>
        <w:tc>
          <w:tcPr>
            <w:tcW w:w="14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Supplemental Non-</w:t>
            </w:r>
          </w:p>
        </w:tc>
        <w:tc>
          <w:tcPr>
            <w:tcW w:w="140" w:type="dxa"/>
            <w:vAlign w:val="bottom"/>
          </w:tcPr>
          <w:p>
            <w:pPr>
              <w:spacing w:after="0"/>
              <w:rPr>
                <w:sz w:val="13"/>
                <w:szCs w:val="13"/>
                <w:color w:val="auto"/>
              </w:rPr>
            </w:pPr>
          </w:p>
        </w:tc>
        <w:tc>
          <w:tcPr>
            <w:tcW w:w="1280" w:type="dxa"/>
            <w:vAlign w:val="bottom"/>
          </w:tcPr>
          <w:p>
            <w:pPr>
              <w:jc w:val="center"/>
              <w:ind w:right="181"/>
              <w:spacing w:after="0"/>
              <w:rPr>
                <w:sz w:val="20"/>
                <w:szCs w:val="20"/>
                <w:color w:val="auto"/>
              </w:rPr>
            </w:pPr>
            <w:r>
              <w:rPr>
                <w:rFonts w:ascii="Arial" w:cs="Arial" w:eastAsia="Arial" w:hAnsi="Arial"/>
                <w:sz w:val="13"/>
                <w:szCs w:val="13"/>
                <w:b w:val="1"/>
                <w:bCs w:val="1"/>
                <w:color w:val="auto"/>
              </w:rPr>
              <w:t>Non-pension</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Defined Benefit</w:t>
            </w: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tcPr>
          <w:p>
            <w:pPr>
              <w:jc w:val="center"/>
              <w:ind w:right="181"/>
              <w:spacing w:after="0"/>
              <w:rPr>
                <w:sz w:val="20"/>
                <w:szCs w:val="20"/>
                <w:color w:val="auto"/>
              </w:rPr>
            </w:pPr>
            <w:r>
              <w:rPr>
                <w:rFonts w:ascii="Arial" w:cs="Arial" w:eastAsia="Arial" w:hAnsi="Arial"/>
                <w:sz w:val="13"/>
                <w:szCs w:val="13"/>
                <w:b w:val="1"/>
                <w:bCs w:val="1"/>
                <w:color w:val="auto"/>
              </w:rPr>
              <w:t>Defined Benefit</w:t>
            </w: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tcPr>
          <w:p>
            <w:pPr>
              <w:jc w:val="center"/>
              <w:ind w:right="181"/>
              <w:spacing w:after="0"/>
              <w:rPr>
                <w:sz w:val="20"/>
                <w:szCs w:val="20"/>
                <w:color w:val="auto"/>
              </w:rPr>
            </w:pPr>
            <w:r>
              <w:rPr>
                <w:rFonts w:ascii="Arial" w:cs="Arial" w:eastAsia="Arial" w:hAnsi="Arial"/>
                <w:sz w:val="13"/>
                <w:szCs w:val="13"/>
                <w:b w:val="1"/>
                <w:bCs w:val="1"/>
                <w:color w:val="auto"/>
              </w:rPr>
              <w:t>Defined Benefit</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qualified Defined</w:t>
            </w:r>
          </w:p>
        </w:tc>
        <w:tc>
          <w:tcPr>
            <w:tcW w:w="140" w:type="dxa"/>
            <w:vAlign w:val="bottom"/>
          </w:tcPr>
          <w:p>
            <w:pPr>
              <w:spacing w:after="0"/>
              <w:rPr>
                <w:sz w:val="12"/>
                <w:szCs w:val="12"/>
                <w:color w:val="auto"/>
              </w:rPr>
            </w:pPr>
          </w:p>
        </w:tc>
        <w:tc>
          <w:tcPr>
            <w:tcW w:w="1300" w:type="dxa"/>
            <w:vAlign w:val="bottom"/>
          </w:tcPr>
          <w:p>
            <w:pPr>
              <w:jc w:val="center"/>
              <w:ind w:right="181"/>
              <w:spacing w:after="0"/>
              <w:rPr>
                <w:sz w:val="20"/>
                <w:szCs w:val="20"/>
                <w:color w:val="auto"/>
              </w:rPr>
            </w:pPr>
            <w:r>
              <w:rPr>
                <w:rFonts w:ascii="Arial" w:cs="Arial" w:eastAsia="Arial" w:hAnsi="Arial"/>
                <w:sz w:val="13"/>
                <w:szCs w:val="13"/>
                <w:b w:val="1"/>
                <w:bCs w:val="1"/>
                <w:color w:val="auto"/>
              </w:rPr>
              <w:t>Postretirement</w:t>
            </w:r>
          </w:p>
        </w:tc>
        <w:tc>
          <w:tcPr>
            <w:tcW w:w="180" w:type="dxa"/>
            <w:vAlign w:val="bottom"/>
          </w:tcPr>
          <w:p>
            <w:pPr>
              <w:spacing w:after="0"/>
              <w:rPr>
                <w:sz w:val="12"/>
                <w:szCs w:val="12"/>
                <w:color w:val="auto"/>
              </w:rPr>
            </w:pPr>
          </w:p>
        </w:tc>
        <w:tc>
          <w:tcPr>
            <w:tcW w:w="920" w:type="dxa"/>
            <w:vAlign w:val="bottom"/>
          </w:tcPr>
          <w:p>
            <w:pPr>
              <w:jc w:val="center"/>
              <w:ind w:right="220"/>
              <w:spacing w:after="0"/>
              <w:rPr>
                <w:sz w:val="20"/>
                <w:szCs w:val="20"/>
                <w:color w:val="auto"/>
              </w:rPr>
            </w:pPr>
            <w:r>
              <w:rPr>
                <w:rFonts w:ascii="Arial" w:cs="Arial" w:eastAsia="Arial" w:hAnsi="Arial"/>
                <w:sz w:val="13"/>
                <w:szCs w:val="13"/>
                <w:b w:val="1"/>
                <w:bCs w:val="1"/>
                <w:color w:val="auto"/>
              </w:rPr>
              <w:t>Benefit</w:t>
            </w:r>
          </w:p>
        </w:tc>
        <w:tc>
          <w:tcPr>
            <w:tcW w:w="14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qualified Defined</w:t>
            </w:r>
          </w:p>
        </w:tc>
        <w:tc>
          <w:tcPr>
            <w:tcW w:w="140" w:type="dxa"/>
            <w:vAlign w:val="bottom"/>
          </w:tcPr>
          <w:p>
            <w:pPr>
              <w:spacing w:after="0"/>
              <w:rPr>
                <w:sz w:val="12"/>
                <w:szCs w:val="12"/>
                <w:color w:val="auto"/>
              </w:rPr>
            </w:pPr>
          </w:p>
        </w:tc>
        <w:tc>
          <w:tcPr>
            <w:tcW w:w="1280" w:type="dxa"/>
            <w:vAlign w:val="bottom"/>
          </w:tcPr>
          <w:p>
            <w:pPr>
              <w:jc w:val="center"/>
              <w:ind w:right="201"/>
              <w:spacing w:after="0"/>
              <w:rPr>
                <w:sz w:val="20"/>
                <w:szCs w:val="20"/>
                <w:color w:val="auto"/>
              </w:rPr>
            </w:pPr>
            <w:r>
              <w:rPr>
                <w:rFonts w:ascii="Arial" w:cs="Arial" w:eastAsia="Arial" w:hAnsi="Arial"/>
                <w:sz w:val="13"/>
                <w:szCs w:val="13"/>
                <w:b w:val="1"/>
                <w:bCs w:val="1"/>
                <w:color w:val="auto"/>
              </w:rPr>
              <w:t>Postretirement</w:t>
            </w:r>
          </w:p>
        </w:tc>
        <w:tc>
          <w:tcPr>
            <w:tcW w:w="0" w:type="dxa"/>
            <w:vAlign w:val="bottom"/>
          </w:tcPr>
          <w:p>
            <w:pPr>
              <w:spacing w:after="0"/>
              <w:rPr>
                <w:sz w:val="1"/>
                <w:szCs w:val="1"/>
                <w:color w:val="auto"/>
              </w:rPr>
            </w:pPr>
          </w:p>
        </w:tc>
      </w:tr>
      <w:tr>
        <w:trPr>
          <w:trHeight w:val="177"/>
        </w:trPr>
        <w:tc>
          <w:tcPr>
            <w:tcW w:w="332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3"/>
                <w:szCs w:val="13"/>
                <w:b w:val="1"/>
                <w:bCs w:val="1"/>
                <w:color w:val="auto"/>
              </w:rPr>
              <w:t>Pension Plan</w:t>
            </w: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80"/>
              <w:spacing w:after="0"/>
              <w:rPr>
                <w:sz w:val="20"/>
                <w:szCs w:val="20"/>
                <w:color w:val="auto"/>
              </w:rPr>
            </w:pPr>
            <w:r>
              <w:rPr>
                <w:rFonts w:ascii="Arial" w:cs="Arial" w:eastAsia="Arial" w:hAnsi="Arial"/>
                <w:sz w:val="13"/>
                <w:szCs w:val="13"/>
                <w:b w:val="1"/>
                <w:bCs w:val="1"/>
                <w:color w:val="auto"/>
              </w:rPr>
              <w:t>Benefit Plans</w:t>
            </w: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rPr>
              <w:t>Healthcare Plan</w:t>
            </w:r>
          </w:p>
        </w:tc>
        <w:tc>
          <w:tcPr>
            <w:tcW w:w="110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rPr>
              <w:t>Pension Plan</w:t>
            </w: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40"/>
              <w:spacing w:after="0"/>
              <w:rPr>
                <w:sz w:val="20"/>
                <w:szCs w:val="20"/>
                <w:color w:val="auto"/>
              </w:rPr>
            </w:pPr>
            <w:r>
              <w:rPr>
                <w:rFonts w:ascii="Arial" w:cs="Arial" w:eastAsia="Arial" w:hAnsi="Arial"/>
                <w:sz w:val="13"/>
                <w:szCs w:val="13"/>
                <w:b w:val="1"/>
                <w:bCs w:val="1"/>
                <w:color w:val="auto"/>
              </w:rPr>
              <w:t>Benefit Plans</w:t>
            </w:r>
          </w:p>
        </w:tc>
        <w:tc>
          <w:tcPr>
            <w:tcW w:w="1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41"/>
              <w:spacing w:after="0"/>
              <w:rPr>
                <w:sz w:val="20"/>
                <w:szCs w:val="20"/>
                <w:color w:val="auto"/>
              </w:rPr>
            </w:pPr>
            <w:r>
              <w:rPr>
                <w:rFonts w:ascii="Arial" w:cs="Arial" w:eastAsia="Arial" w:hAnsi="Arial"/>
                <w:sz w:val="13"/>
                <w:szCs w:val="13"/>
                <w:b w:val="1"/>
                <w:bCs w:val="1"/>
                <w:color w:val="auto"/>
              </w:rPr>
              <w:t>Healthcare Plan</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2022</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Accumulated benefit obligation at December 31</w:t>
            </w: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341.8</w:t>
            </w: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46.7</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51.1</w:t>
            </w: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350.2</w:t>
            </w:r>
          </w:p>
        </w:tc>
        <w:tc>
          <w:tcPr>
            <w:tcW w:w="1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45.2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Change in benefit obligation:</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Projected benefit obligation at beginning of year</w:t>
            </w: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358.4</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45.2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49.7</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478.3</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55.3</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63.5</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4"/>
                <w:szCs w:val="14"/>
                <w:color w:val="auto"/>
              </w:rPr>
              <w:t>Service cost</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3.9</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(0.8 )</w:t>
            </w:r>
          </w:p>
        </w:tc>
        <w:tc>
          <w:tcPr>
            <w:tcW w:w="1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Interest cost</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17.5</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10.8</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0.8</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4"/>
                <w:szCs w:val="14"/>
                <w:color w:val="auto"/>
              </w:rPr>
              <w:t>Actuarial (gain) loss</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11.6</w:t>
            </w: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0.3</w:t>
            </w:r>
          </w:p>
        </w:tc>
        <w:tc>
          <w:tcPr>
            <w:tcW w:w="1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1.7</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(97.9 )</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(7.0 )</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(12.3 )</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Benefits paid</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(41.9 )</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(3.4 )</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(5.3 )</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(36.7 )</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Plan participants’ contributions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Projected benefit obligation at end of year</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348.1</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46.7</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51.1</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358.4</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45.2</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Change in fair value of plan assets:</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of plan assets at beginning of year</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323.1</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458.4</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4"/>
                <w:szCs w:val="14"/>
                <w:color w:val="auto"/>
              </w:rPr>
              <w:t>Investment income (loss)</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27.4</w:t>
            </w: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0.2</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(98.6 )</w:t>
            </w:r>
          </w:p>
        </w:tc>
        <w:tc>
          <w:tcPr>
            <w:tcW w:w="1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Employer contributions</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4"/>
                <w:szCs w:val="14"/>
                <w:color w:val="auto"/>
              </w:rPr>
              <w:t>Retiree contributions</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Benefits paid</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(41.9 )</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(3.5 )</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(5.4 )</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(36.7 )</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(3.1 )</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(6.1 )</w:t>
            </w:r>
          </w:p>
        </w:tc>
        <w:tc>
          <w:tcPr>
            <w:tcW w:w="0" w:type="dxa"/>
            <w:vAlign w:val="bottom"/>
          </w:tcPr>
          <w:p>
            <w:pPr>
              <w:spacing w:after="0"/>
              <w:rPr>
                <w:sz w:val="1"/>
                <w:szCs w:val="1"/>
                <w:color w:val="auto"/>
              </w:rPr>
            </w:pPr>
          </w:p>
        </w:tc>
      </w:tr>
      <w:tr>
        <w:trPr>
          <w:trHeight w:val="209"/>
        </w:trPr>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Fair value of plan assets at end of year</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308.6</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323.1</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ind w:left="20"/>
              <w:spacing w:after="0"/>
              <w:rPr>
                <w:sz w:val="20"/>
                <w:szCs w:val="20"/>
                <w:color w:val="auto"/>
              </w:rPr>
            </w:pPr>
            <w:r>
              <w:rPr>
                <w:rFonts w:ascii="Arial" w:cs="Arial" w:eastAsia="Arial" w:hAnsi="Arial"/>
                <w:sz w:val="14"/>
                <w:szCs w:val="14"/>
                <w:color w:val="auto"/>
              </w:rPr>
              <w:t>Funded status - deficiency</w:t>
            </w: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39.5</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46.7</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43.1</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35.3</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45.2</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166"/>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Amounts recognized on our Consolidated</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Balance Sheets as of December 31: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Regulatory assets</w:t>
            </w: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79.9</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4.8</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78.7</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4"/>
                <w:szCs w:val="14"/>
                <w:color w:val="auto"/>
              </w:rPr>
              <w:t>Current liabilities</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Non-current assets</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3320" w:type="dxa"/>
            <w:vAlign w:val="bottom"/>
          </w:tcPr>
          <w:p>
            <w:pPr>
              <w:ind w:left="120"/>
              <w:spacing w:after="0"/>
              <w:rPr>
                <w:sz w:val="20"/>
                <w:szCs w:val="20"/>
                <w:color w:val="auto"/>
              </w:rPr>
            </w:pPr>
            <w:r>
              <w:rPr>
                <w:rFonts w:ascii="Arial" w:cs="Arial" w:eastAsia="Arial" w:hAnsi="Arial"/>
                <w:sz w:val="14"/>
                <w:szCs w:val="14"/>
                <w:color w:val="auto"/>
              </w:rPr>
              <w:t>Non-current liabilities</w:t>
            </w:r>
          </w:p>
        </w:tc>
        <w:tc>
          <w:tcPr>
            <w:tcW w:w="360" w:type="dxa"/>
            <w:vAlign w:val="bottom"/>
          </w:tcPr>
          <w:p>
            <w:pPr>
              <w:spacing w:after="0"/>
              <w:rPr>
                <w:sz w:val="18"/>
                <w:szCs w:val="18"/>
                <w:color w:val="auto"/>
              </w:rPr>
            </w:pPr>
          </w:p>
        </w:tc>
        <w:tc>
          <w:tcPr>
            <w:tcW w:w="76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20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44.3</w:t>
            </w:r>
          </w:p>
        </w:tc>
        <w:tc>
          <w:tcPr>
            <w:tcW w:w="140" w:type="dxa"/>
            <w:vAlign w:val="bottom"/>
          </w:tcPr>
          <w:p>
            <w:pPr>
              <w:spacing w:after="0"/>
              <w:rPr>
                <w:sz w:val="18"/>
                <w:szCs w:val="18"/>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40.2</w:t>
            </w:r>
          </w:p>
        </w:tc>
        <w:tc>
          <w:tcPr>
            <w:tcW w:w="180" w:type="dxa"/>
            <w:vAlign w:val="bottom"/>
          </w:tcPr>
          <w:p>
            <w:pPr>
              <w:spacing w:after="0"/>
              <w:rPr>
                <w:sz w:val="18"/>
                <w:szCs w:val="18"/>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35.2</w:t>
            </w:r>
          </w:p>
        </w:tc>
        <w:tc>
          <w:tcPr>
            <w:tcW w:w="180" w:type="dxa"/>
            <w:vAlign w:val="bottom"/>
          </w:tcPr>
          <w:p>
            <w:pPr>
              <w:spacing w:after="0"/>
              <w:rPr>
                <w:sz w:val="18"/>
                <w:szCs w:val="18"/>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43.0</w:t>
            </w:r>
          </w:p>
        </w:tc>
        <w:tc>
          <w:tcPr>
            <w:tcW w:w="1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shd w:val="clear" w:color="auto" w:fill="CFF0FC"/>
          </w:tcPr>
          <w:p>
            <w:pPr>
              <w:ind w:left="120"/>
              <w:spacing w:after="0"/>
              <w:rPr>
                <w:sz w:val="20"/>
                <w:szCs w:val="20"/>
                <w:color w:val="auto"/>
              </w:rPr>
            </w:pPr>
            <w:r>
              <w:rPr>
                <w:rFonts w:ascii="Arial" w:cs="Arial" w:eastAsia="Arial" w:hAnsi="Arial"/>
                <w:sz w:val="14"/>
                <w:szCs w:val="14"/>
                <w:color w:val="auto"/>
              </w:rPr>
              <w:t>Regulatory liabilities</w:t>
            </w: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5.5</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c>
          <w:tcPr>
            <w:tcW w:w="1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60"/>
        </w:trPr>
        <w:tc>
          <w:tcPr>
            <w:tcW w:w="33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Amounts recognized in AOCI, net of tax as of</w:t>
            </w: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(gain) loss</w:t>
            </w:r>
          </w:p>
        </w:tc>
        <w:tc>
          <w:tcPr>
            <w:tcW w:w="3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c>
          <w:tcPr>
            <w:tcW w:w="20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FF0FC"/>
          </w:tcPr>
          <w:p>
            <w:pPr>
              <w:jc w:val="right"/>
              <w:ind w:right="2"/>
              <w:spacing w:after="0"/>
              <w:rPr>
                <w:sz w:val="20"/>
                <w:szCs w:val="20"/>
                <w:color w:val="auto"/>
              </w:rPr>
            </w:pPr>
            <w:r>
              <w:rPr>
                <w:rFonts w:ascii="Arial" w:cs="Arial" w:eastAsia="Arial" w:hAnsi="Arial"/>
                <w:sz w:val="16"/>
                <w:szCs w:val="16"/>
                <w:color w:val="auto"/>
              </w:rPr>
              <w:t>(0.7 ) $</w:t>
            </w:r>
          </w:p>
        </w:tc>
        <w:tc>
          <w:tcPr>
            <w:tcW w:w="9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5.2</w:t>
            </w:r>
          </w:p>
        </w:tc>
        <w:tc>
          <w:tcPr>
            <w:tcW w:w="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c>
          <w:tcPr>
            <w:tcW w:w="0" w:type="dxa"/>
            <w:vAlign w:val="bottom"/>
          </w:tcPr>
          <w:p>
            <w:pPr>
              <w:spacing w:after="0"/>
              <w:rPr>
                <w:sz w:val="1"/>
                <w:szCs w:val="1"/>
                <w:color w:val="auto"/>
              </w:rPr>
            </w:pPr>
          </w:p>
        </w:tc>
      </w:tr>
      <w:tr>
        <w:trPr>
          <w:trHeight w:val="216"/>
        </w:trPr>
        <w:tc>
          <w:tcPr>
            <w:tcW w:w="33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Prior service cost (gain)</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42"/>
        </w:trPr>
        <w:tc>
          <w:tcPr>
            <w:tcW w:w="3320" w:type="dxa"/>
            <w:vAlign w:val="bottom"/>
            <w:shd w:val="clear" w:color="auto" w:fill="CFF0FC"/>
          </w:tcPr>
          <w:p>
            <w:pPr>
              <w:ind w:left="20"/>
              <w:spacing w:after="0" w:line="142" w:lineRule="exact"/>
              <w:rPr>
                <w:sz w:val="20"/>
                <w:szCs w:val="20"/>
                <w:color w:val="auto"/>
              </w:rPr>
            </w:pPr>
            <w:r>
              <w:rPr>
                <w:rFonts w:ascii="Arial" w:cs="Arial" w:eastAsia="Arial" w:hAnsi="Arial"/>
                <w:sz w:val="14"/>
                <w:szCs w:val="14"/>
                <w:color w:val="auto"/>
              </w:rPr>
              <w:t>Total amounts included in AOCI, net of tax not yet</w:t>
            </w:r>
          </w:p>
        </w:tc>
        <w:tc>
          <w:tcPr>
            <w:tcW w:w="36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ind w:right="39"/>
              <w:spacing w:after="0"/>
              <w:rPr>
                <w:sz w:val="20"/>
                <w:szCs w:val="20"/>
                <w:color w:val="auto"/>
              </w:rPr>
            </w:pPr>
            <w:r>
              <w:rPr>
                <w:rFonts w:ascii="Arial" w:cs="Arial" w:eastAsia="Arial" w:hAnsi="Arial"/>
                <w:sz w:val="16"/>
                <w:szCs w:val="16"/>
                <w:color w:val="auto"/>
              </w:rPr>
              <w:t>5.0</w:t>
            </w:r>
          </w:p>
        </w:tc>
        <w:tc>
          <w:tcPr>
            <w:tcW w:w="20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1.8</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vMerge w:val="restart"/>
            <w:shd w:val="clear" w:color="auto" w:fill="CFF0FC"/>
          </w:tcPr>
          <w:p>
            <w:pPr>
              <w:jc w:val="right"/>
              <w:ind w:right="2"/>
              <w:spacing w:after="0"/>
              <w:rPr>
                <w:sz w:val="20"/>
                <w:szCs w:val="20"/>
                <w:color w:val="auto"/>
              </w:rPr>
            </w:pPr>
            <w:r>
              <w:rPr>
                <w:rFonts w:ascii="Arial" w:cs="Arial" w:eastAsia="Arial" w:hAnsi="Arial"/>
                <w:sz w:val="16"/>
                <w:szCs w:val="16"/>
                <w:color w:val="auto"/>
              </w:rPr>
              <w:t>(0.6 ) $</w:t>
            </w:r>
          </w:p>
        </w:tc>
        <w:tc>
          <w:tcPr>
            <w:tcW w:w="920" w:type="dxa"/>
            <w:vAlign w:val="bottom"/>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5.1</w:t>
            </w:r>
          </w:p>
        </w:tc>
        <w:tc>
          <w:tcPr>
            <w:tcW w:w="180" w:type="dxa"/>
            <w:vAlign w:val="bottom"/>
            <w:vMerge w:val="restart"/>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1.6</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(0.6 )</w:t>
            </w:r>
          </w:p>
        </w:tc>
        <w:tc>
          <w:tcPr>
            <w:tcW w:w="0" w:type="dxa"/>
            <w:vAlign w:val="bottom"/>
          </w:tcPr>
          <w:p>
            <w:pPr>
              <w:spacing w:after="0"/>
              <w:rPr>
                <w:sz w:val="1"/>
                <w:szCs w:val="1"/>
                <w:color w:val="auto"/>
              </w:rPr>
            </w:pPr>
          </w:p>
        </w:tc>
      </w:tr>
      <w:tr>
        <w:trPr>
          <w:trHeight w:val="203"/>
        </w:trPr>
        <w:tc>
          <w:tcPr>
            <w:tcW w:w="3680" w:type="dxa"/>
            <w:vAlign w:val="bottom"/>
            <w:tcBorders>
              <w:bottom w:val="single" w:sz="8" w:color="auto"/>
            </w:tcBorders>
            <w:gridSpan w:val="2"/>
            <w:shd w:val="clear" w:color="auto" w:fill="CFF0FC"/>
          </w:tcPr>
          <w:p>
            <w:pPr>
              <w:ind w:left="20"/>
              <w:spacing w:after="0"/>
              <w:rPr>
                <w:sz w:val="20"/>
                <w:szCs w:val="20"/>
                <w:color w:val="auto"/>
              </w:rPr>
            </w:pPr>
            <w:r>
              <w:rPr>
                <w:rFonts w:ascii="Arial" w:cs="Arial" w:eastAsia="Arial" w:hAnsi="Arial"/>
                <w:sz w:val="14"/>
                <w:szCs w:val="14"/>
                <w:color w:val="auto"/>
              </w:rPr>
              <w:t xml:space="preserve">recognized as components of net periodic expense </w:t>
            </w:r>
            <w:r>
              <w:rPr>
                <w:rFonts w:ascii="Arial" w:cs="Arial" w:eastAsia="Arial" w:hAnsi="Arial"/>
                <w:sz w:val="16"/>
                <w:szCs w:val="16"/>
                <w:color w:val="auto"/>
              </w:rPr>
              <w:t>$</w:t>
            </w:r>
          </w:p>
        </w:tc>
        <w:tc>
          <w:tcPr>
            <w:tcW w:w="760" w:type="dxa"/>
            <w:vAlign w:val="bottom"/>
            <w:tcBorders>
              <w:bottom w:val="single" w:sz="8" w:color="auto"/>
            </w:tcBorders>
            <w:vMerge w:val="continue"/>
            <w:shd w:val="clear" w:color="auto" w:fill="CFF0FC"/>
          </w:tcPr>
          <w:p>
            <w:pPr>
              <w:spacing w:after="0"/>
              <w:rPr>
                <w:sz w:val="17"/>
                <w:szCs w:val="17"/>
                <w:color w:val="auto"/>
              </w:rPr>
            </w:pPr>
          </w:p>
        </w:tc>
        <w:tc>
          <w:tcPr>
            <w:tcW w:w="200" w:type="dxa"/>
            <w:vAlign w:val="bottom"/>
            <w:tcBorders>
              <w:bottom w:val="single" w:sz="8" w:color="auto"/>
            </w:tcBorders>
            <w:vMerge w:val="continue"/>
            <w:shd w:val="clear" w:color="auto" w:fill="CFF0FC"/>
          </w:tcPr>
          <w:p>
            <w:pPr>
              <w:spacing w:after="0"/>
              <w:rPr>
                <w:sz w:val="17"/>
                <w:szCs w:val="17"/>
                <w:color w:val="auto"/>
              </w:rPr>
            </w:pPr>
          </w:p>
        </w:tc>
        <w:tc>
          <w:tcPr>
            <w:tcW w:w="124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1480" w:type="dxa"/>
            <w:vAlign w:val="bottom"/>
            <w:tcBorders>
              <w:bottom w:val="single" w:sz="8" w:color="auto"/>
            </w:tcBorders>
            <w:gridSpan w:val="2"/>
            <w:vMerge w:val="continue"/>
            <w:shd w:val="clear" w:color="auto" w:fill="CFF0FC"/>
          </w:tcPr>
          <w:p>
            <w:pPr>
              <w:spacing w:after="0"/>
              <w:rPr>
                <w:sz w:val="17"/>
                <w:szCs w:val="17"/>
                <w:color w:val="auto"/>
              </w:rPr>
            </w:pPr>
          </w:p>
        </w:tc>
        <w:tc>
          <w:tcPr>
            <w:tcW w:w="920" w:type="dxa"/>
            <w:vAlign w:val="bottom"/>
            <w:tcBorders>
              <w:bottom w:val="single" w:sz="8" w:color="auto"/>
            </w:tcBorders>
            <w:vMerge w:val="continue"/>
            <w:shd w:val="clear" w:color="auto" w:fill="CFF0FC"/>
          </w:tcPr>
          <w:p>
            <w:pPr>
              <w:spacing w:after="0"/>
              <w:rPr>
                <w:sz w:val="17"/>
                <w:szCs w:val="17"/>
                <w:color w:val="auto"/>
              </w:rPr>
            </w:pPr>
          </w:p>
        </w:tc>
        <w:tc>
          <w:tcPr>
            <w:tcW w:w="180" w:type="dxa"/>
            <w:vAlign w:val="bottom"/>
            <w:tcBorders>
              <w:bottom w:val="single" w:sz="8" w:color="auto"/>
            </w:tcBorders>
            <w:vMerge w:val="continue"/>
            <w:shd w:val="clear" w:color="auto" w:fill="CFF0FC"/>
          </w:tcPr>
          <w:p>
            <w:pPr>
              <w:spacing w:after="0"/>
              <w:rPr>
                <w:sz w:val="17"/>
                <w:szCs w:val="17"/>
                <w:color w:val="auto"/>
              </w:rPr>
            </w:pPr>
          </w:p>
        </w:tc>
        <w:tc>
          <w:tcPr>
            <w:tcW w:w="1220" w:type="dxa"/>
            <w:vAlign w:val="bottom"/>
            <w:tcBorders>
              <w:bottom w:val="single" w:sz="8" w:color="auto"/>
            </w:tcBorders>
            <w:vMerge w:val="continue"/>
            <w:shd w:val="clear" w:color="auto" w:fill="CFF0FC"/>
          </w:tcPr>
          <w:p>
            <w:pPr>
              <w:spacing w:after="0"/>
              <w:rPr>
                <w:sz w:val="17"/>
                <w:szCs w:val="17"/>
                <w:color w:val="auto"/>
              </w:rPr>
            </w:pPr>
          </w:p>
        </w:tc>
        <w:tc>
          <w:tcPr>
            <w:tcW w:w="140" w:type="dxa"/>
            <w:vAlign w:val="bottom"/>
            <w:tcBorders>
              <w:bottom w:val="single" w:sz="8" w:color="auto"/>
            </w:tcBorders>
            <w:vMerge w:val="continue"/>
            <w:shd w:val="clear" w:color="auto" w:fill="CFF0FC"/>
          </w:tcPr>
          <w:p>
            <w:pPr>
              <w:spacing w:after="0"/>
              <w:rPr>
                <w:sz w:val="17"/>
                <w:szCs w:val="17"/>
                <w:color w:val="auto"/>
              </w:rPr>
            </w:pPr>
          </w:p>
        </w:tc>
        <w:tc>
          <w:tcPr>
            <w:tcW w:w="1280" w:type="dxa"/>
            <w:vAlign w:val="bottom"/>
            <w:tcBorders>
              <w:bottom w:val="single" w:sz="8" w:color="auto"/>
            </w:tcBorders>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340"/>
        <w:spacing w:after="0" w:line="266" w:lineRule="auto"/>
        <w:rPr>
          <w:sz w:val="20"/>
          <w:szCs w:val="20"/>
          <w:color w:val="auto"/>
        </w:rPr>
      </w:pPr>
      <w:r>
        <w:rPr>
          <w:rFonts w:ascii="Arial" w:cs="Arial" w:eastAsia="Arial" w:hAnsi="Arial"/>
          <w:sz w:val="16"/>
          <w:szCs w:val="16"/>
          <w:color w:val="auto"/>
        </w:rPr>
        <w:t>In 2012, we froze our Pension Plan and closed it to new participants. Since then, we have implemented various de-risking strategies including lump sum buyouts, the purchase of annuities and the reduction of return-seeking assets over time to a more liability-hedged portfolio. As a result, capital markets volatility had a limited impact to our unfunded status.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Assumptions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2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rPr>
              <w:t>Supplemental</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120" w:type="dxa"/>
            <w:vAlign w:val="bottom"/>
          </w:tcPr>
          <w:p>
            <w:pPr>
              <w:spacing w:after="0"/>
              <w:rPr>
                <w:sz w:val="14"/>
                <w:szCs w:val="14"/>
                <w:color w:val="auto"/>
              </w:rPr>
            </w:pPr>
          </w:p>
        </w:tc>
        <w:tc>
          <w:tcPr>
            <w:tcW w:w="1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Defined Benefit</w:t>
            </w:r>
          </w:p>
        </w:tc>
        <w:tc>
          <w:tcPr>
            <w:tcW w:w="740" w:type="dxa"/>
            <w:vAlign w:val="bottom"/>
          </w:tcPr>
          <w:p>
            <w:pPr>
              <w:spacing w:after="0"/>
              <w:rPr>
                <w:sz w:val="14"/>
                <w:szCs w:val="14"/>
                <w:color w:val="auto"/>
              </w:rPr>
            </w:pPr>
          </w:p>
        </w:tc>
        <w:tc>
          <w:tcPr>
            <w:tcW w:w="2320" w:type="dxa"/>
            <w:vAlign w:val="bottom"/>
            <w:gridSpan w:val="3"/>
          </w:tcPr>
          <w:p>
            <w:pPr>
              <w:jc w:val="center"/>
              <w:ind w:right="168"/>
              <w:spacing w:after="0"/>
              <w:rPr>
                <w:sz w:val="20"/>
                <w:szCs w:val="20"/>
                <w:color w:val="auto"/>
              </w:rPr>
            </w:pPr>
            <w:r>
              <w:rPr>
                <w:rFonts w:ascii="Arial" w:cs="Arial" w:eastAsia="Arial" w:hAnsi="Arial"/>
                <w:sz w:val="14"/>
                <w:szCs w:val="14"/>
                <w:b w:val="1"/>
                <w:bCs w:val="1"/>
                <w:color w:val="auto"/>
              </w:rPr>
              <w:t>Non-qualified Defined Benefit</w:t>
            </w:r>
          </w:p>
        </w:tc>
        <w:tc>
          <w:tcPr>
            <w:tcW w:w="23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rPr>
              <w:t>Non-pension Defined Benefit</w:t>
            </w:r>
          </w:p>
        </w:tc>
      </w:tr>
      <w:tr>
        <w:trPr>
          <w:trHeight w:val="185"/>
        </w:trPr>
        <w:tc>
          <w:tcPr>
            <w:tcW w:w="4120" w:type="dxa"/>
            <w:vAlign w:val="bottom"/>
          </w:tcPr>
          <w:p>
            <w:pPr>
              <w:spacing w:after="0"/>
              <w:rPr>
                <w:sz w:val="16"/>
                <w:szCs w:val="16"/>
                <w:color w:val="auto"/>
              </w:rPr>
            </w:pPr>
          </w:p>
        </w:tc>
        <w:tc>
          <w:tcPr>
            <w:tcW w:w="1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Pension Plan</w:t>
            </w: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jc w:val="center"/>
              <w:ind w:right="228"/>
              <w:spacing w:after="0"/>
              <w:rPr>
                <w:sz w:val="20"/>
                <w:szCs w:val="20"/>
                <w:color w:val="auto"/>
              </w:rPr>
            </w:pPr>
            <w:r>
              <w:rPr>
                <w:rFonts w:ascii="Arial" w:cs="Arial" w:eastAsia="Arial" w:hAnsi="Arial"/>
                <w:sz w:val="14"/>
                <w:szCs w:val="14"/>
                <w:b w:val="1"/>
                <w:bCs w:val="1"/>
                <w:color w:val="auto"/>
              </w:rPr>
              <w:t>Plans</w:t>
            </w:r>
          </w:p>
        </w:tc>
        <w:tc>
          <w:tcPr>
            <w:tcW w:w="700" w:type="dxa"/>
            <w:vAlign w:val="bottom"/>
          </w:tcPr>
          <w:p>
            <w:pPr>
              <w:spacing w:after="0"/>
              <w:rPr>
                <w:sz w:val="16"/>
                <w:szCs w:val="16"/>
                <w:color w:val="auto"/>
              </w:rPr>
            </w:pPr>
          </w:p>
        </w:tc>
        <w:tc>
          <w:tcPr>
            <w:tcW w:w="2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Postretirement Healthcare Plan</w:t>
            </w:r>
          </w:p>
        </w:tc>
      </w:tr>
      <w:tr>
        <w:trPr>
          <w:trHeight w:val="183"/>
        </w:trPr>
        <w:tc>
          <w:tcPr>
            <w:tcW w:w="4120" w:type="dxa"/>
            <w:vAlign w:val="bottom"/>
            <w:tcBorders>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820" w:type="dxa"/>
            <w:vAlign w:val="bottom"/>
            <w:tcBorders>
              <w:top w:val="single" w:sz="8" w:color="auto"/>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rPr>
              <w:t>2022</w:t>
            </w:r>
          </w:p>
        </w:tc>
        <w:tc>
          <w:tcPr>
            <w:tcW w:w="74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top w:val="single" w:sz="8" w:color="auto"/>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2021</w:t>
            </w:r>
          </w:p>
        </w:tc>
        <w:tc>
          <w:tcPr>
            <w:tcW w:w="820" w:type="dxa"/>
            <w:vAlign w:val="bottom"/>
            <w:tcBorders>
              <w:top w:val="single" w:sz="8" w:color="auto"/>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2023</w:t>
            </w:r>
          </w:p>
        </w:tc>
        <w:tc>
          <w:tcPr>
            <w:tcW w:w="800" w:type="dxa"/>
            <w:vAlign w:val="bottom"/>
            <w:tcBorders>
              <w:top w:val="single" w:sz="8" w:color="auto"/>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5"/>
                <w:szCs w:val="15"/>
                <w:color w:val="auto"/>
              </w:rPr>
            </w:pPr>
          </w:p>
        </w:tc>
      </w:tr>
      <w:tr>
        <w:trPr>
          <w:trHeight w:val="160"/>
        </w:trPr>
        <w:tc>
          <w:tcPr>
            <w:tcW w:w="412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b w:val="1"/>
                <w:bCs w:val="1"/>
                <w:color w:val="auto"/>
              </w:rPr>
              <w:t>Weighted-average assumptions used to determine benefit</w:t>
            </w:r>
          </w:p>
        </w:tc>
        <w:tc>
          <w:tcPr>
            <w:tcW w:w="9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40" w:type="dxa"/>
            <w:vAlign w:val="bottom"/>
          </w:tcPr>
          <w:p>
            <w:pPr>
              <w:spacing w:after="0"/>
              <w:rPr>
                <w:sz w:val="13"/>
                <w:szCs w:val="13"/>
                <w:color w:val="auto"/>
              </w:rPr>
            </w:pPr>
          </w:p>
        </w:tc>
      </w:tr>
      <w:tr>
        <w:trPr>
          <w:trHeight w:val="185"/>
        </w:trPr>
        <w:tc>
          <w:tcPr>
            <w:tcW w:w="412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obligations:</w:t>
            </w:r>
          </w:p>
        </w:tc>
        <w:tc>
          <w:tcPr>
            <w:tcW w:w="9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40" w:type="dxa"/>
            <w:vAlign w:val="bottom"/>
          </w:tcPr>
          <w:p>
            <w:pPr>
              <w:spacing w:after="0"/>
              <w:rPr>
                <w:sz w:val="16"/>
                <w:szCs w:val="16"/>
                <w:color w:val="auto"/>
              </w:rPr>
            </w:pPr>
          </w:p>
        </w:tc>
      </w:tr>
      <w:tr>
        <w:trPr>
          <w:trHeight w:val="189"/>
        </w:trPr>
        <w:tc>
          <w:tcPr>
            <w:tcW w:w="4120" w:type="dxa"/>
            <w:vAlign w:val="bottom"/>
          </w:tcPr>
          <w:p>
            <w:pPr>
              <w:ind w:left="20"/>
              <w:spacing w:after="0"/>
              <w:rPr>
                <w:sz w:val="20"/>
                <w:szCs w:val="20"/>
                <w:color w:val="auto"/>
              </w:rPr>
            </w:pPr>
            <w:r>
              <w:rPr>
                <w:rFonts w:ascii="Arial" w:cs="Arial" w:eastAsia="Arial" w:hAnsi="Arial"/>
                <w:sz w:val="14"/>
                <w:szCs w:val="14"/>
                <w:color w:val="auto"/>
              </w:rPr>
              <w:t>Discount rate</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4.99 %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5.17 %</w:t>
            </w:r>
          </w:p>
        </w:tc>
        <w:tc>
          <w:tcPr>
            <w:tcW w:w="740" w:type="dxa"/>
            <w:vAlign w:val="bottom"/>
          </w:tcPr>
          <w:p>
            <w:pPr>
              <w:jc w:val="right"/>
              <w:spacing w:after="0"/>
              <w:rPr>
                <w:sz w:val="20"/>
                <w:szCs w:val="20"/>
                <w:color w:val="auto"/>
              </w:rPr>
            </w:pPr>
            <w:r>
              <w:rPr>
                <w:rFonts w:ascii="Arial" w:cs="Arial" w:eastAsia="Arial" w:hAnsi="Arial"/>
                <w:sz w:val="14"/>
                <w:szCs w:val="14"/>
                <w:color w:val="auto"/>
              </w:rPr>
              <w:t>2.88 %</w:t>
            </w:r>
          </w:p>
        </w:tc>
        <w:tc>
          <w:tcPr>
            <w:tcW w:w="820" w:type="dxa"/>
            <w:vAlign w:val="bottom"/>
          </w:tcPr>
          <w:p>
            <w:pPr>
              <w:jc w:val="right"/>
              <w:spacing w:after="0"/>
              <w:rPr>
                <w:sz w:val="20"/>
                <w:szCs w:val="20"/>
                <w:color w:val="auto"/>
              </w:rPr>
            </w:pPr>
            <w:r>
              <w:rPr>
                <w:rFonts w:ascii="Arial" w:cs="Arial" w:eastAsia="Arial" w:hAnsi="Arial"/>
                <w:sz w:val="14"/>
                <w:szCs w:val="14"/>
                <w:color w:val="auto"/>
              </w:rPr>
              <w:t>4.93 %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5.13 %</w:t>
            </w:r>
          </w:p>
        </w:tc>
        <w:tc>
          <w:tcPr>
            <w:tcW w:w="700" w:type="dxa"/>
            <w:vAlign w:val="bottom"/>
          </w:tcPr>
          <w:p>
            <w:pPr>
              <w:jc w:val="right"/>
              <w:spacing w:after="0"/>
              <w:rPr>
                <w:sz w:val="20"/>
                <w:szCs w:val="20"/>
                <w:color w:val="auto"/>
              </w:rPr>
            </w:pPr>
            <w:r>
              <w:rPr>
                <w:rFonts w:ascii="Arial" w:cs="Arial" w:eastAsia="Arial" w:hAnsi="Arial"/>
                <w:sz w:val="14"/>
                <w:szCs w:val="14"/>
                <w:color w:val="auto"/>
              </w:rPr>
              <w:t>2.77 %</w:t>
            </w:r>
          </w:p>
        </w:tc>
        <w:tc>
          <w:tcPr>
            <w:tcW w:w="820" w:type="dxa"/>
            <w:vAlign w:val="bottom"/>
          </w:tcPr>
          <w:p>
            <w:pPr>
              <w:jc w:val="right"/>
              <w:spacing w:after="0"/>
              <w:rPr>
                <w:sz w:val="20"/>
                <w:szCs w:val="20"/>
                <w:color w:val="auto"/>
              </w:rPr>
            </w:pPr>
            <w:r>
              <w:rPr>
                <w:rFonts w:ascii="Arial" w:cs="Arial" w:eastAsia="Arial" w:hAnsi="Arial"/>
                <w:sz w:val="14"/>
                <w:szCs w:val="14"/>
                <w:color w:val="auto"/>
              </w:rPr>
              <w:t>4.97 %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5.14 %</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2.79 %</w:t>
            </w:r>
          </w:p>
        </w:tc>
      </w:tr>
      <w:tr>
        <w:trPr>
          <w:trHeight w:val="189"/>
        </w:trPr>
        <w:tc>
          <w:tcPr>
            <w:tcW w:w="4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color w:val="auto"/>
              </w:rPr>
              <w:t>Rate of increase in compensation levels</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3.04 %</w:t>
            </w: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3.06 %</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3.08 %</w:t>
            </w:r>
          </w:p>
        </w:tc>
        <w:tc>
          <w:tcPr>
            <w:tcW w:w="82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5.00 %</w:t>
            </w:r>
          </w:p>
        </w:tc>
        <w:tc>
          <w:tcPr>
            <w:tcW w:w="820" w:type="dxa"/>
            <w:vAlign w:val="bottom"/>
            <w:tcBorders>
              <w:bottom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rPr>
              <w:t>N/A</w:t>
            </w:r>
          </w:p>
        </w:tc>
        <w:tc>
          <w:tcPr>
            <w:tcW w:w="800" w:type="dxa"/>
            <w:vAlign w:val="bottom"/>
            <w:tcBorders>
              <w:bottom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rPr>
              <w:t>N/A</w:t>
            </w:r>
          </w:p>
        </w:tc>
        <w:tc>
          <w:tcPr>
            <w:tcW w:w="700" w:type="dxa"/>
            <w:vAlign w:val="bottom"/>
            <w:tcBorders>
              <w:bottom w:val="single" w:sz="8" w:color="auto"/>
            </w:tcBorders>
            <w:shd w:val="clear" w:color="auto" w:fill="CFF0FC"/>
          </w:tcPr>
          <w:p>
            <w:pPr>
              <w:ind w:left="3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6"/>
                <w:szCs w:val="16"/>
                <w:color w:val="auto"/>
              </w:rPr>
            </w:pPr>
          </w:p>
        </w:tc>
      </w:tr>
      <w:tr>
        <w:trPr>
          <w:trHeight w:val="160"/>
        </w:trPr>
        <w:tc>
          <w:tcPr>
            <w:tcW w:w="4120" w:type="dxa"/>
            <w:vAlign w:val="bottom"/>
          </w:tcPr>
          <w:p>
            <w:pPr>
              <w:ind w:left="20"/>
              <w:spacing w:after="0" w:line="160" w:lineRule="exact"/>
              <w:rPr>
                <w:sz w:val="20"/>
                <w:szCs w:val="20"/>
                <w:color w:val="auto"/>
              </w:rPr>
            </w:pPr>
            <w:r>
              <w:rPr>
                <w:rFonts w:ascii="Arial" w:cs="Arial" w:eastAsia="Arial" w:hAnsi="Arial"/>
                <w:sz w:val="14"/>
                <w:szCs w:val="14"/>
                <w:b w:val="1"/>
                <w:bCs w:val="1"/>
                <w:color w:val="auto"/>
              </w:rPr>
              <w:t>Weighted-average assumptions used to determine net</w:t>
            </w:r>
          </w:p>
        </w:tc>
        <w:tc>
          <w:tcPr>
            <w:tcW w:w="9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1"/>
        </w:trPr>
        <w:tc>
          <w:tcPr>
            <w:tcW w:w="4120" w:type="dxa"/>
            <w:vAlign w:val="bottom"/>
          </w:tcPr>
          <w:p>
            <w:pPr>
              <w:ind w:left="20"/>
              <w:spacing w:after="0"/>
              <w:rPr>
                <w:sz w:val="20"/>
                <w:szCs w:val="20"/>
                <w:color w:val="auto"/>
              </w:rPr>
            </w:pPr>
            <w:r>
              <w:rPr>
                <w:rFonts w:ascii="Arial" w:cs="Arial" w:eastAsia="Arial" w:hAnsi="Arial"/>
                <w:sz w:val="14"/>
                <w:szCs w:val="14"/>
                <w:b w:val="1"/>
                <w:bCs w:val="1"/>
                <w:color w:val="auto"/>
              </w:rPr>
              <w:t>periodic benefit cost for plan year:</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9"/>
        </w:trPr>
        <w:tc>
          <w:tcPr>
            <w:tcW w:w="4120" w:type="dxa"/>
            <w:vAlign w:val="bottom"/>
          </w:tcPr>
          <w:p>
            <w:pPr>
              <w:ind w:left="20"/>
              <w:spacing w:after="0" w:line="189" w:lineRule="exact"/>
              <w:rPr>
                <w:sz w:val="20"/>
                <w:szCs w:val="20"/>
                <w:color w:val="auto"/>
              </w:rPr>
            </w:pPr>
            <w:r>
              <w:rPr>
                <w:rFonts w:ascii="Arial" w:cs="Arial" w:eastAsia="Arial" w:hAnsi="Arial"/>
                <w:sz w:val="14"/>
                <w:szCs w:val="14"/>
                <w:color w:val="auto"/>
              </w:rPr>
              <w:t xml:space="preserve">Discount rate </w:t>
            </w:r>
            <w:r>
              <w:rPr>
                <w:rFonts w:ascii="Arial" w:cs="Arial" w:eastAsia="Arial" w:hAnsi="Arial"/>
                <w:sz w:val="19"/>
                <w:szCs w:val="19"/>
                <w:color w:val="auto"/>
                <w:vertAlign w:val="superscript"/>
              </w:rPr>
              <w:t>(a)</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5.17 %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2.88 %</w:t>
            </w:r>
          </w:p>
        </w:tc>
        <w:tc>
          <w:tcPr>
            <w:tcW w:w="740" w:type="dxa"/>
            <w:vAlign w:val="bottom"/>
          </w:tcPr>
          <w:p>
            <w:pPr>
              <w:jc w:val="right"/>
              <w:spacing w:after="0"/>
              <w:rPr>
                <w:sz w:val="20"/>
                <w:szCs w:val="20"/>
                <w:color w:val="auto"/>
              </w:rPr>
            </w:pPr>
            <w:r>
              <w:rPr>
                <w:rFonts w:ascii="Arial" w:cs="Arial" w:eastAsia="Arial" w:hAnsi="Arial"/>
                <w:sz w:val="14"/>
                <w:szCs w:val="14"/>
                <w:color w:val="auto"/>
              </w:rPr>
              <w:t>2.56 %</w:t>
            </w:r>
          </w:p>
        </w:tc>
        <w:tc>
          <w:tcPr>
            <w:tcW w:w="820" w:type="dxa"/>
            <w:vAlign w:val="bottom"/>
          </w:tcPr>
          <w:p>
            <w:pPr>
              <w:jc w:val="right"/>
              <w:spacing w:after="0"/>
              <w:rPr>
                <w:sz w:val="20"/>
                <w:szCs w:val="20"/>
                <w:color w:val="auto"/>
              </w:rPr>
            </w:pPr>
            <w:r>
              <w:rPr>
                <w:rFonts w:ascii="Arial" w:cs="Arial" w:eastAsia="Arial" w:hAnsi="Arial"/>
                <w:sz w:val="14"/>
                <w:szCs w:val="14"/>
                <w:color w:val="auto"/>
              </w:rPr>
              <w:t>5.13 %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2.77 %</w:t>
            </w:r>
          </w:p>
        </w:tc>
        <w:tc>
          <w:tcPr>
            <w:tcW w:w="700" w:type="dxa"/>
            <w:vAlign w:val="bottom"/>
          </w:tcPr>
          <w:p>
            <w:pPr>
              <w:jc w:val="right"/>
              <w:spacing w:after="0"/>
              <w:rPr>
                <w:sz w:val="20"/>
                <w:szCs w:val="20"/>
                <w:color w:val="auto"/>
              </w:rPr>
            </w:pPr>
            <w:r>
              <w:rPr>
                <w:rFonts w:ascii="Arial" w:cs="Arial" w:eastAsia="Arial" w:hAnsi="Arial"/>
                <w:sz w:val="14"/>
                <w:szCs w:val="14"/>
                <w:color w:val="auto"/>
              </w:rPr>
              <w:t>2.41 %</w:t>
            </w:r>
          </w:p>
        </w:tc>
        <w:tc>
          <w:tcPr>
            <w:tcW w:w="820" w:type="dxa"/>
            <w:vAlign w:val="bottom"/>
          </w:tcPr>
          <w:p>
            <w:pPr>
              <w:jc w:val="right"/>
              <w:spacing w:after="0"/>
              <w:rPr>
                <w:sz w:val="20"/>
                <w:szCs w:val="20"/>
                <w:color w:val="auto"/>
              </w:rPr>
            </w:pPr>
            <w:r>
              <w:rPr>
                <w:rFonts w:ascii="Arial" w:cs="Arial" w:eastAsia="Arial" w:hAnsi="Arial"/>
                <w:sz w:val="14"/>
                <w:szCs w:val="14"/>
                <w:color w:val="auto"/>
              </w:rPr>
              <w:t>5.14 %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2.79 %</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2.41 %</w:t>
            </w:r>
          </w:p>
        </w:tc>
      </w:tr>
      <w:tr>
        <w:trPr>
          <w:trHeight w:val="203"/>
        </w:trPr>
        <w:tc>
          <w:tcPr>
            <w:tcW w:w="4120" w:type="dxa"/>
            <w:vAlign w:val="bottom"/>
          </w:tcPr>
          <w:p>
            <w:pPr>
              <w:ind w:left="20"/>
              <w:spacing w:after="0" w:line="204" w:lineRule="exact"/>
              <w:rPr>
                <w:sz w:val="20"/>
                <w:szCs w:val="20"/>
                <w:color w:val="auto"/>
              </w:rPr>
            </w:pPr>
            <w:r>
              <w:rPr>
                <w:rFonts w:ascii="Arial" w:cs="Arial" w:eastAsia="Arial" w:hAnsi="Arial"/>
                <w:sz w:val="14"/>
                <w:szCs w:val="14"/>
                <w:color w:val="auto"/>
              </w:rPr>
              <w:t xml:space="preserve">Expected long-term rate of return on assets </w:t>
            </w:r>
            <w:r>
              <w:rPr>
                <w:rFonts w:ascii="Arial" w:cs="Arial" w:eastAsia="Arial" w:hAnsi="Arial"/>
                <w:sz w:val="19"/>
                <w:szCs w:val="19"/>
                <w:color w:val="auto"/>
                <w:vertAlign w:val="superscript"/>
              </w:rPr>
              <w:t>(b)</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6.00 %</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4.25 %</w:t>
            </w:r>
          </w:p>
        </w:tc>
        <w:tc>
          <w:tcPr>
            <w:tcW w:w="740" w:type="dxa"/>
            <w:vAlign w:val="bottom"/>
          </w:tcPr>
          <w:p>
            <w:pPr>
              <w:jc w:val="right"/>
              <w:spacing w:after="0"/>
              <w:rPr>
                <w:sz w:val="20"/>
                <w:szCs w:val="20"/>
                <w:color w:val="auto"/>
              </w:rPr>
            </w:pPr>
            <w:r>
              <w:rPr>
                <w:rFonts w:ascii="Arial" w:cs="Arial" w:eastAsia="Arial" w:hAnsi="Arial"/>
                <w:sz w:val="14"/>
                <w:szCs w:val="14"/>
                <w:color w:val="auto"/>
              </w:rPr>
              <w:t>4.50 %</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N/A</w:t>
            </w:r>
          </w:p>
        </w:tc>
        <w:tc>
          <w:tcPr>
            <w:tcW w:w="800" w:type="dxa"/>
            <w:vAlign w:val="bottom"/>
          </w:tcPr>
          <w:p>
            <w:pPr>
              <w:jc w:val="right"/>
              <w:ind w:right="168"/>
              <w:spacing w:after="0"/>
              <w:rPr>
                <w:sz w:val="20"/>
                <w:szCs w:val="20"/>
                <w:color w:val="auto"/>
              </w:rPr>
            </w:pPr>
            <w:r>
              <w:rPr>
                <w:rFonts w:ascii="Arial" w:cs="Arial" w:eastAsia="Arial" w:hAnsi="Arial"/>
                <w:sz w:val="14"/>
                <w:szCs w:val="14"/>
                <w:color w:val="auto"/>
              </w:rPr>
              <w:t>N/A</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N/A</w:t>
            </w:r>
          </w:p>
        </w:tc>
        <w:tc>
          <w:tcPr>
            <w:tcW w:w="820" w:type="dxa"/>
            <w:vAlign w:val="bottom"/>
          </w:tcPr>
          <w:p>
            <w:pPr>
              <w:jc w:val="right"/>
              <w:spacing w:after="0"/>
              <w:rPr>
                <w:sz w:val="20"/>
                <w:szCs w:val="20"/>
                <w:color w:val="auto"/>
              </w:rPr>
            </w:pPr>
            <w:r>
              <w:rPr>
                <w:rFonts w:ascii="Arial" w:cs="Arial" w:eastAsia="Arial" w:hAnsi="Arial"/>
                <w:sz w:val="14"/>
                <w:szCs w:val="14"/>
                <w:color w:val="auto"/>
              </w:rPr>
              <w:t>3.10 %</w:t>
            </w: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1.70 %</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1.80 %</w:t>
            </w:r>
          </w:p>
        </w:tc>
      </w:tr>
      <w:tr>
        <w:trPr>
          <w:trHeight w:val="189"/>
        </w:trPr>
        <w:tc>
          <w:tcPr>
            <w:tcW w:w="4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Rate of increase in compensation levels</w:t>
            </w:r>
          </w:p>
        </w:tc>
        <w:tc>
          <w:tcPr>
            <w:tcW w:w="9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3.06 %</w:t>
            </w:r>
          </w:p>
        </w:tc>
        <w:tc>
          <w:tcPr>
            <w:tcW w:w="8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3.08 %</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3.34 %</w:t>
            </w:r>
          </w:p>
        </w:tc>
        <w:tc>
          <w:tcPr>
            <w:tcW w:w="82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5.00 %</w:t>
            </w:r>
          </w:p>
        </w:tc>
        <w:tc>
          <w:tcPr>
            <w:tcW w:w="8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N/A</w:t>
            </w:r>
          </w:p>
        </w:tc>
        <w:tc>
          <w:tcPr>
            <w:tcW w:w="80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N/A</w:t>
            </w:r>
          </w:p>
        </w:tc>
        <w:tc>
          <w:tcPr>
            <w:tcW w:w="700" w:type="dxa"/>
            <w:vAlign w:val="bottom"/>
            <w:shd w:val="clear" w:color="auto" w:fill="CFF0FC"/>
          </w:tcPr>
          <w:p>
            <w:pPr>
              <w:ind w:left="340"/>
              <w:spacing w:after="0"/>
              <w:rPr>
                <w:sz w:val="20"/>
                <w:szCs w:val="20"/>
                <w:color w:val="auto"/>
              </w:rPr>
            </w:pPr>
            <w:r>
              <w:rPr>
                <w:rFonts w:ascii="Arial" w:cs="Arial" w:eastAsia="Arial" w:hAnsi="Arial"/>
                <w:sz w:val="14"/>
                <w:szCs w:val="14"/>
                <w:color w:val="auto"/>
              </w:rPr>
              <w:t>N/A</w:t>
            </w:r>
          </w:p>
        </w:tc>
        <w:tc>
          <w:tcPr>
            <w:tcW w:w="4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200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0"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estimated discount rate for the Defined Benefit Pension Plan is 5.0% for the calculation of the 2024 net periodic pension costs.</w:t>
      </w:r>
    </w:p>
    <w:p>
      <w:pPr>
        <w:spacing w:after="0" w:line="15" w:lineRule="exact"/>
        <w:rPr>
          <w:rFonts w:ascii="Arial" w:cs="Arial" w:eastAsia="Arial" w:hAnsi="Arial"/>
          <w:sz w:val="14"/>
          <w:szCs w:val="14"/>
          <w:color w:val="auto"/>
        </w:rPr>
      </w:pPr>
    </w:p>
    <w:p>
      <w:pPr>
        <w:ind w:left="520" w:hanging="512"/>
        <w:spacing w:after="0"/>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expected rate of return on plan assets for the Defined Benefit Pension Plan is 6.0% for the calculation of the 2024 net periodic pension cost.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healthcare benefit obligation at December 31 was determined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019"/>
              <w:spacing w:after="0"/>
              <w:rPr>
                <w:sz w:val="20"/>
                <w:szCs w:val="20"/>
                <w:color w:val="auto"/>
              </w:rPr>
            </w:pPr>
            <w:r>
              <w:rPr>
                <w:rFonts w:ascii="Arial" w:cs="Arial" w:eastAsia="Arial" w:hAnsi="Arial"/>
                <w:sz w:val="16"/>
                <w:szCs w:val="16"/>
                <w:b w:val="1"/>
                <w:bCs w:val="1"/>
                <w:color w:val="auto"/>
                <w:w w:val="95"/>
              </w:rPr>
              <w:t>2023</w:t>
            </w:r>
          </w:p>
        </w:tc>
        <w:tc>
          <w:tcPr>
            <w:tcW w:w="14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2022</w:t>
            </w:r>
          </w:p>
        </w:tc>
        <w:tc>
          <w:tcPr>
            <w:tcW w:w="40" w:type="dxa"/>
            <w:vAlign w:val="bottom"/>
          </w:tcPr>
          <w:p>
            <w:pPr>
              <w:spacing w:after="0"/>
              <w:rPr>
                <w:sz w:val="18"/>
                <w:szCs w:val="18"/>
                <w:color w:val="auto"/>
              </w:rPr>
            </w:pPr>
          </w:p>
        </w:tc>
      </w:tr>
      <w:tr>
        <w:trPr>
          <w:trHeight w:val="210"/>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Trend Rate - Medical</w:t>
            </w:r>
          </w:p>
        </w:tc>
        <w:tc>
          <w:tcPr>
            <w:tcW w:w="13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Pre-65 for next year - All Plans</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6.69 %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7.00 %</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Pre-65 Ultimate trend rate - Black Hills Corp</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4.50 %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4.50 %</w:t>
            </w:r>
          </w:p>
        </w:tc>
      </w:tr>
      <w:tr>
        <w:trPr>
          <w:trHeight w:val="217"/>
        </w:trPr>
        <w:tc>
          <w:tcPr>
            <w:tcW w:w="2840" w:type="dxa"/>
            <w:vAlign w:val="bottom"/>
          </w:tcPr>
          <w:p>
            <w:pPr>
              <w:ind w:left="20"/>
              <w:spacing w:after="0"/>
              <w:rPr>
                <w:sz w:val="20"/>
                <w:szCs w:val="20"/>
                <w:color w:val="auto"/>
              </w:rPr>
            </w:pPr>
            <w:r>
              <w:rPr>
                <w:rFonts w:ascii="Arial" w:cs="Arial" w:eastAsia="Arial" w:hAnsi="Arial"/>
                <w:sz w:val="16"/>
                <w:szCs w:val="16"/>
                <w:color w:val="auto"/>
              </w:rPr>
              <w:t>Trend Year</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color w:val="auto"/>
              </w:rPr>
              <w:t>2034</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2031</w:t>
            </w:r>
          </w:p>
        </w:tc>
        <w:tc>
          <w:tcPr>
            <w:tcW w:w="40" w:type="dxa"/>
            <w:vAlign w:val="bottom"/>
          </w:tcPr>
          <w:p>
            <w:pPr>
              <w:spacing w:after="0"/>
              <w:rPr>
                <w:sz w:val="18"/>
                <w:szCs w:val="18"/>
                <w:color w:val="auto"/>
              </w:rPr>
            </w:pPr>
          </w:p>
        </w:tc>
      </w:tr>
      <w:tr>
        <w:trPr>
          <w:trHeight w:val="217"/>
        </w:trPr>
        <w:tc>
          <w:tcPr>
            <w:tcW w:w="28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Post-65 for next year - All Plans</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5.81 %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6.00 %</w:t>
            </w:r>
          </w:p>
        </w:tc>
      </w:tr>
      <w:tr>
        <w:trPr>
          <w:trHeight w:val="215"/>
        </w:trPr>
        <w:tc>
          <w:tcPr>
            <w:tcW w:w="4180" w:type="dxa"/>
            <w:vAlign w:val="bottom"/>
            <w:gridSpan w:val="2"/>
          </w:tcPr>
          <w:p>
            <w:pPr>
              <w:ind w:left="20"/>
              <w:spacing w:after="0"/>
              <w:rPr>
                <w:sz w:val="20"/>
                <w:szCs w:val="20"/>
                <w:color w:val="auto"/>
              </w:rPr>
            </w:pPr>
            <w:r>
              <w:rPr>
                <w:rFonts w:ascii="Arial" w:cs="Arial" w:eastAsia="Arial" w:hAnsi="Arial"/>
                <w:sz w:val="16"/>
                <w:szCs w:val="16"/>
                <w:color w:val="auto"/>
              </w:rPr>
              <w:t>Post-65 Ultimate trend rate - Black Hills Corp</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color w:val="auto"/>
              </w:rPr>
              <w:t>4.50 %</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4.50 %</w:t>
            </w:r>
          </w:p>
        </w:tc>
      </w:tr>
      <w:tr>
        <w:trPr>
          <w:trHeight w:val="216"/>
        </w:trPr>
        <w:tc>
          <w:tcPr>
            <w:tcW w:w="2840" w:type="dxa"/>
            <w:vAlign w:val="bottom"/>
          </w:tcPr>
          <w:p>
            <w:pPr>
              <w:ind w:left="20"/>
              <w:spacing w:after="0"/>
              <w:rPr>
                <w:sz w:val="20"/>
                <w:szCs w:val="20"/>
                <w:color w:val="auto"/>
              </w:rPr>
            </w:pPr>
            <w:r>
              <w:rPr>
                <w:rFonts w:ascii="Arial" w:cs="Arial" w:eastAsia="Arial" w:hAnsi="Arial"/>
                <w:sz w:val="16"/>
                <w:szCs w:val="16"/>
                <w:color w:val="auto"/>
              </w:rPr>
              <w:t>Trend Year</w:t>
            </w: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60" w:type="dxa"/>
            <w:vAlign w:val="bottom"/>
          </w:tcPr>
          <w:p>
            <w:pPr>
              <w:jc w:val="right"/>
              <w:ind w:right="379"/>
              <w:spacing w:after="0"/>
              <w:rPr>
                <w:sz w:val="20"/>
                <w:szCs w:val="20"/>
                <w:color w:val="auto"/>
              </w:rPr>
            </w:pPr>
            <w:r>
              <w:rPr>
                <w:rFonts w:ascii="Arial" w:cs="Arial" w:eastAsia="Arial" w:hAnsi="Arial"/>
                <w:sz w:val="16"/>
                <w:szCs w:val="16"/>
                <w:color w:val="auto"/>
              </w:rPr>
              <w:t>2034</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2031</w:t>
            </w:r>
          </w:p>
        </w:tc>
        <w:tc>
          <w:tcPr>
            <w:tcW w:w="40" w:type="dxa"/>
            <w:vAlign w:val="bottom"/>
          </w:tcPr>
          <w:p>
            <w:pPr>
              <w:spacing w:after="0"/>
              <w:rPr>
                <w:sz w:val="18"/>
                <w:szCs w:val="18"/>
                <w:color w:val="auto"/>
              </w:rPr>
            </w:pPr>
          </w:p>
        </w:tc>
      </w:tr>
      <w:tr>
        <w:trPr>
          <w:trHeight w:val="392"/>
        </w:trPr>
        <w:tc>
          <w:tcPr>
            <w:tcW w:w="8360" w:type="dxa"/>
            <w:vAlign w:val="bottom"/>
            <w:gridSpan w:val="6"/>
          </w:tcPr>
          <w:p>
            <w:pPr>
              <w:spacing w:after="0"/>
              <w:rPr>
                <w:sz w:val="20"/>
                <w:szCs w:val="20"/>
                <w:color w:val="auto"/>
              </w:rPr>
            </w:pPr>
            <w:r>
              <w:rPr>
                <w:rFonts w:ascii="Arial" w:cs="Arial" w:eastAsia="Arial" w:hAnsi="Arial"/>
                <w:sz w:val="16"/>
                <w:szCs w:val="16"/>
                <w:color w:val="auto"/>
              </w:rPr>
              <w:t>The following benefit payments to employees, which reflect future service, are expected to be paid (in millions):</w:t>
            </w:r>
          </w:p>
        </w:tc>
        <w:tc>
          <w:tcPr>
            <w:tcW w:w="14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6"/>
        </w:trPr>
        <w:tc>
          <w:tcPr>
            <w:tcW w:w="2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2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Supplemental Non-qualified</w:t>
            </w:r>
          </w:p>
        </w:tc>
        <w:tc>
          <w:tcPr>
            <w:tcW w:w="292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Non-pension Defined Benefit</w:t>
            </w:r>
          </w:p>
        </w:tc>
      </w:tr>
      <w:tr>
        <w:trPr>
          <w:trHeight w:val="217"/>
        </w:trPr>
        <w:tc>
          <w:tcPr>
            <w:tcW w:w="2840" w:type="dxa"/>
            <w:vAlign w:val="bottom"/>
          </w:tcPr>
          <w:p>
            <w:pPr>
              <w:spacing w:after="0"/>
              <w:rPr>
                <w:sz w:val="18"/>
                <w:szCs w:val="18"/>
                <w:color w:val="auto"/>
              </w:rPr>
            </w:pPr>
          </w:p>
        </w:tc>
        <w:tc>
          <w:tcPr>
            <w:tcW w:w="276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Defined Benefit Pension Plan</w:t>
            </w:r>
          </w:p>
        </w:tc>
        <w:tc>
          <w:tcPr>
            <w:tcW w:w="240" w:type="dxa"/>
            <w:vAlign w:val="bottom"/>
          </w:tcPr>
          <w:p>
            <w:pPr>
              <w:spacing w:after="0"/>
              <w:rPr>
                <w:sz w:val="18"/>
                <w:szCs w:val="18"/>
                <w:color w:val="auto"/>
              </w:rPr>
            </w:pPr>
          </w:p>
        </w:tc>
        <w:tc>
          <w:tcPr>
            <w:tcW w:w="252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Defined Benefit Plans</w:t>
            </w:r>
          </w:p>
        </w:tc>
        <w:tc>
          <w:tcPr>
            <w:tcW w:w="292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Postretirement Healthcare Plan</w:t>
            </w:r>
          </w:p>
        </w:tc>
      </w:tr>
      <w:tr>
        <w:trPr>
          <w:trHeight w:val="209"/>
        </w:trPr>
        <w:tc>
          <w:tcPr>
            <w:tcW w:w="284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2024</w:t>
            </w:r>
          </w:p>
        </w:tc>
        <w:tc>
          <w:tcPr>
            <w:tcW w:w="1340" w:type="dxa"/>
            <w:vAlign w:val="bottom"/>
            <w:tcBorders>
              <w:top w:val="single" w:sz="8" w:color="auto"/>
            </w:tcBorders>
            <w:shd w:val="clear" w:color="auto" w:fill="CFF0FC"/>
          </w:tcPr>
          <w:p>
            <w:pPr>
              <w:jc w:val="right"/>
              <w:ind w:right="115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5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2.4</w:t>
            </w:r>
          </w:p>
        </w:tc>
        <w:tc>
          <w:tcPr>
            <w:tcW w:w="1460" w:type="dxa"/>
            <w:vAlign w:val="bottom"/>
            <w:tcBorders>
              <w:top w:val="single" w:sz="8" w:color="auto"/>
            </w:tcBorders>
            <w:shd w:val="clear" w:color="auto" w:fill="CFF0FC"/>
          </w:tcPr>
          <w:p>
            <w:pPr>
              <w:jc w:val="right"/>
              <w:ind w:right="1179"/>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8"/>
                <w:szCs w:val="18"/>
                <w:color w:val="auto"/>
              </w:rPr>
            </w:pPr>
          </w:p>
        </w:tc>
      </w:tr>
      <w:tr>
        <w:trPr>
          <w:trHeight w:val="215"/>
        </w:trPr>
        <w:tc>
          <w:tcPr>
            <w:tcW w:w="2840" w:type="dxa"/>
            <w:vAlign w:val="bottom"/>
          </w:tcPr>
          <w:p>
            <w:pPr>
              <w:ind w:left="60"/>
              <w:spacing w:after="0"/>
              <w:rPr>
                <w:sz w:val="20"/>
                <w:szCs w:val="20"/>
                <w:color w:val="auto"/>
              </w:rPr>
            </w:pPr>
            <w:r>
              <w:rPr>
                <w:rFonts w:ascii="Arial" w:cs="Arial" w:eastAsia="Arial" w:hAnsi="Arial"/>
                <w:sz w:val="16"/>
                <w:szCs w:val="16"/>
                <w:color w:val="auto"/>
              </w:rPr>
              <w:t>2025</w:t>
            </w:r>
          </w:p>
        </w:tc>
        <w:tc>
          <w:tcPr>
            <w:tcW w:w="1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6"/>
                <w:szCs w:val="16"/>
                <w:color w:val="auto"/>
              </w:rPr>
              <w:t>2.8</w:t>
            </w:r>
          </w:p>
        </w:tc>
        <w:tc>
          <w:tcPr>
            <w:tcW w:w="14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8"/>
                <w:szCs w:val="18"/>
                <w:color w:val="auto"/>
              </w:rPr>
            </w:pPr>
          </w:p>
        </w:tc>
      </w:tr>
      <w:tr>
        <w:trPr>
          <w:trHeight w:val="217"/>
        </w:trPr>
        <w:tc>
          <w:tcPr>
            <w:tcW w:w="284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2026</w:t>
            </w:r>
          </w:p>
        </w:tc>
        <w:tc>
          <w:tcPr>
            <w:tcW w:w="13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w:t>
            </w:r>
          </w:p>
        </w:tc>
        <w:tc>
          <w:tcPr>
            <w:tcW w:w="24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c>
          <w:tcPr>
            <w:tcW w:w="1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8"/>
                <w:szCs w:val="18"/>
                <w:color w:val="auto"/>
              </w:rPr>
            </w:pPr>
          </w:p>
        </w:tc>
      </w:tr>
      <w:tr>
        <w:trPr>
          <w:trHeight w:val="215"/>
        </w:trPr>
        <w:tc>
          <w:tcPr>
            <w:tcW w:w="2840" w:type="dxa"/>
            <w:vAlign w:val="bottom"/>
          </w:tcPr>
          <w:p>
            <w:pPr>
              <w:ind w:left="60"/>
              <w:spacing w:after="0"/>
              <w:rPr>
                <w:sz w:val="20"/>
                <w:szCs w:val="20"/>
                <w:color w:val="auto"/>
              </w:rPr>
            </w:pPr>
            <w:r>
              <w:rPr>
                <w:rFonts w:ascii="Arial" w:cs="Arial" w:eastAsia="Arial" w:hAnsi="Arial"/>
                <w:sz w:val="16"/>
                <w:szCs w:val="16"/>
                <w:color w:val="auto"/>
              </w:rPr>
              <w:t>2027</w:t>
            </w:r>
          </w:p>
        </w:tc>
        <w:tc>
          <w:tcPr>
            <w:tcW w:w="13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25.9</w:t>
            </w:r>
          </w:p>
        </w:tc>
        <w:tc>
          <w:tcPr>
            <w:tcW w:w="240" w:type="dxa"/>
            <w:vAlign w:val="bottom"/>
          </w:tcPr>
          <w:p>
            <w:pPr>
              <w:spacing w:after="0"/>
              <w:rPr>
                <w:sz w:val="18"/>
                <w:szCs w:val="18"/>
                <w:color w:val="auto"/>
              </w:rPr>
            </w:pPr>
          </w:p>
        </w:tc>
        <w:tc>
          <w:tcPr>
            <w:tcW w:w="2520" w:type="dxa"/>
            <w:vAlign w:val="bottom"/>
            <w:gridSpan w:val="2"/>
          </w:tcPr>
          <w:p>
            <w:pPr>
              <w:jc w:val="right"/>
              <w:ind w:right="20"/>
              <w:spacing w:after="0"/>
              <w:rPr>
                <w:sz w:val="20"/>
                <w:szCs w:val="20"/>
                <w:color w:val="auto"/>
              </w:rPr>
            </w:pPr>
            <w:r>
              <w:rPr>
                <w:rFonts w:ascii="Arial" w:cs="Arial" w:eastAsia="Arial" w:hAnsi="Arial"/>
                <w:sz w:val="16"/>
                <w:szCs w:val="16"/>
                <w:color w:val="auto"/>
              </w:rPr>
              <w:t>2.7</w:t>
            </w:r>
          </w:p>
        </w:tc>
        <w:tc>
          <w:tcPr>
            <w:tcW w:w="146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4.8</w:t>
            </w:r>
          </w:p>
        </w:tc>
        <w:tc>
          <w:tcPr>
            <w:tcW w:w="40" w:type="dxa"/>
            <w:vAlign w:val="bottom"/>
          </w:tcPr>
          <w:p>
            <w:pPr>
              <w:spacing w:after="0"/>
              <w:rPr>
                <w:sz w:val="18"/>
                <w:szCs w:val="18"/>
                <w:color w:val="auto"/>
              </w:rPr>
            </w:pPr>
          </w:p>
        </w:tc>
      </w:tr>
      <w:tr>
        <w:trPr>
          <w:trHeight w:val="217"/>
        </w:trPr>
        <w:tc>
          <w:tcPr>
            <w:tcW w:w="2840" w:type="dxa"/>
            <w:vAlign w:val="bottom"/>
            <w:shd w:val="clear" w:color="auto" w:fill="CFF0FC"/>
          </w:tcPr>
          <w:p>
            <w:pPr>
              <w:ind w:left="60"/>
              <w:spacing w:after="0"/>
              <w:rPr>
                <w:sz w:val="20"/>
                <w:szCs w:val="20"/>
                <w:color w:val="auto"/>
              </w:rPr>
            </w:pPr>
            <w:r>
              <w:rPr>
                <w:rFonts w:ascii="Arial" w:cs="Arial" w:eastAsia="Arial" w:hAnsi="Arial"/>
                <w:sz w:val="16"/>
                <w:szCs w:val="16"/>
                <w:color w:val="auto"/>
              </w:rPr>
              <w:t>2028</w:t>
            </w:r>
          </w:p>
        </w:tc>
        <w:tc>
          <w:tcPr>
            <w:tcW w:w="13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26.2</w:t>
            </w:r>
          </w:p>
        </w:tc>
        <w:tc>
          <w:tcPr>
            <w:tcW w:w="240" w:type="dxa"/>
            <w:vAlign w:val="bottom"/>
            <w:shd w:val="clear" w:color="auto" w:fill="CFF0FC"/>
          </w:tcPr>
          <w:p>
            <w:pPr>
              <w:spacing w:after="0"/>
              <w:rPr>
                <w:sz w:val="18"/>
                <w:szCs w:val="18"/>
                <w:color w:val="auto"/>
              </w:rPr>
            </w:pPr>
          </w:p>
        </w:tc>
        <w:tc>
          <w:tcPr>
            <w:tcW w:w="25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2.6</w:t>
            </w:r>
          </w:p>
        </w:tc>
        <w:tc>
          <w:tcPr>
            <w:tcW w:w="146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4.6</w:t>
            </w:r>
          </w:p>
        </w:tc>
        <w:tc>
          <w:tcPr>
            <w:tcW w:w="40" w:type="dxa"/>
            <w:vAlign w:val="bottom"/>
          </w:tcPr>
          <w:p>
            <w:pPr>
              <w:spacing w:after="0"/>
              <w:rPr>
                <w:sz w:val="18"/>
                <w:szCs w:val="18"/>
                <w:color w:val="auto"/>
              </w:rPr>
            </w:pPr>
          </w:p>
        </w:tc>
      </w:tr>
      <w:tr>
        <w:trPr>
          <w:trHeight w:val="215"/>
        </w:trPr>
        <w:tc>
          <w:tcPr>
            <w:tcW w:w="2840" w:type="dxa"/>
            <w:vAlign w:val="bottom"/>
          </w:tcPr>
          <w:p>
            <w:pPr>
              <w:ind w:left="60"/>
              <w:spacing w:after="0"/>
              <w:rPr>
                <w:sz w:val="20"/>
                <w:szCs w:val="20"/>
                <w:color w:val="auto"/>
              </w:rPr>
            </w:pPr>
            <w:r>
              <w:rPr>
                <w:rFonts w:ascii="Arial" w:cs="Arial" w:eastAsia="Arial" w:hAnsi="Arial"/>
                <w:sz w:val="16"/>
                <w:szCs w:val="16"/>
                <w:color w:val="auto"/>
              </w:rPr>
              <w:t>2029 - 2033</w:t>
            </w:r>
          </w:p>
        </w:tc>
        <w:tc>
          <w:tcPr>
            <w:tcW w:w="1340" w:type="dxa"/>
            <w:vAlign w:val="bottom"/>
          </w:tcPr>
          <w:p>
            <w:pPr>
              <w:jc w:val="right"/>
              <w:ind w:right="1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129.7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520" w:type="dxa"/>
            <w:vAlign w:val="bottom"/>
            <w:gridSpan w:val="2"/>
          </w:tcPr>
          <w:p>
            <w:pPr>
              <w:jc w:val="right"/>
              <w:ind w:right="20"/>
              <w:spacing w:after="0"/>
              <w:rPr>
                <w:sz w:val="20"/>
                <w:szCs w:val="20"/>
                <w:color w:val="auto"/>
              </w:rPr>
            </w:pPr>
            <w:r>
              <w:rPr>
                <w:rFonts w:ascii="Arial" w:cs="Arial" w:eastAsia="Arial" w:hAnsi="Arial"/>
                <w:sz w:val="16"/>
                <w:szCs w:val="16"/>
                <w:color w:val="auto"/>
              </w:rPr>
              <w:t>11.7</w:t>
            </w:r>
          </w:p>
        </w:tc>
        <w:tc>
          <w:tcPr>
            <w:tcW w:w="1460" w:type="dxa"/>
            <w:vAlign w:val="bottom"/>
          </w:tcPr>
          <w:p>
            <w:pPr>
              <w:jc w:val="right"/>
              <w:ind w:right="117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39"/>
              <w:spacing w:after="0"/>
              <w:rPr>
                <w:sz w:val="20"/>
                <w:szCs w:val="20"/>
                <w:color w:val="auto"/>
              </w:rPr>
            </w:pPr>
            <w:r>
              <w:rPr>
                <w:rFonts w:ascii="Arial" w:cs="Arial" w:eastAsia="Arial" w:hAnsi="Arial"/>
                <w:sz w:val="16"/>
                <w:szCs w:val="16"/>
                <w:color w:val="auto"/>
              </w:rPr>
              <w:t>21.4</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-2270125</wp:posOffset>
            </wp:positionV>
            <wp:extent cx="713232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-1721485</wp:posOffset>
            </wp:positionV>
            <wp:extent cx="7132320" cy="13716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SHARE-BASED COMPENSATION PLANS</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Amended and Restated 2015 Omnibus Incentive Plan allows for the granting of stock, restricted stock, restricted stock units, stock options, performance shares and performance share units. We had 2,132,275 shares available to grant at December 31, 2023.</w:t>
      </w:r>
    </w:p>
    <w:p>
      <w:pPr>
        <w:spacing w:after="0" w:line="129"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Compensation expense is determined using the grant date fair value estimated in accordance with the provisions of accounting standards for stock compensation and is recognized over the vesting periods of the individual awards. As of December 31, 2023, total unrecognized compensation expense related to non-vested stock awards was $ 10.6 million and is expected to be recognized over a weighted-average period of 1.7 years. Stock-based compensation expense, which is included in Operations and maintenance on the accompanying Consolidated Statements of Income, was as follows for the years ended December 31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20" w:type="dxa"/>
            <w:vAlign w:val="bottom"/>
          </w:tcPr>
          <w:p>
            <w:pPr>
              <w:spacing w:after="0"/>
              <w:rPr>
                <w:sz w:val="18"/>
                <w:szCs w:val="18"/>
                <w:color w:val="auto"/>
              </w:rPr>
            </w:pPr>
          </w:p>
        </w:tc>
        <w:tc>
          <w:tcPr>
            <w:tcW w:w="1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b w:val="1"/>
                <w:bCs w:val="1"/>
                <w:color w:val="auto"/>
              </w:rPr>
              <w:t>2021</w:t>
            </w:r>
          </w:p>
        </w:tc>
      </w:tr>
      <w:tr>
        <w:trPr>
          <w:trHeight w:val="209"/>
        </w:trPr>
        <w:tc>
          <w:tcPr>
            <w:tcW w:w="44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Stock-based compensation expense</w:t>
            </w:r>
          </w:p>
        </w:tc>
        <w:tc>
          <w:tcPr>
            <w:tcW w:w="1600" w:type="dxa"/>
            <w:vAlign w:val="bottom"/>
            <w:shd w:val="clear" w:color="auto" w:fill="CFF0FC"/>
          </w:tcPr>
          <w:p>
            <w:pPr>
              <w:jc w:val="right"/>
              <w:ind w:right="1419"/>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640" w:type="dxa"/>
            <w:vAlign w:val="bottom"/>
            <w:shd w:val="clear" w:color="auto" w:fill="CFF0FC"/>
          </w:tcPr>
          <w:p>
            <w:pPr>
              <w:jc w:val="right"/>
              <w:ind w:right="139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540" w:type="dxa"/>
            <w:vAlign w:val="bottom"/>
            <w:shd w:val="clear" w:color="auto" w:fill="CFF0FC"/>
          </w:tcPr>
          <w:p>
            <w:pPr>
              <w:jc w:val="right"/>
              <w:ind w:right="31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Restricted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restricted stock and restricted stock unit awards equals the market price of our stock on the date of grant.</w:t>
      </w:r>
    </w:p>
    <w:p>
      <w:pPr>
        <w:spacing w:after="0" w:line="19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The shares carry a restriction on the ability to sell the shares until the shares vest. The shares substantially vest over three years, contingent on continued employment. Compensation expense related to the awards is recognized over the vesting period.</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95" w:name="page96"/>
    <w:bookmarkEnd w:id="95"/>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restricted stock and restricted stock units at December 31, 2023,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54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Restricted Stock</w:t>
            </w:r>
          </w:p>
        </w:tc>
        <w:tc>
          <w:tcPr>
            <w:tcW w:w="9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Weighted-Average Grant Date Fair Value</w:t>
            </w:r>
          </w:p>
        </w:tc>
      </w:tr>
      <w:tr>
        <w:trPr>
          <w:trHeight w:val="209"/>
        </w:trPr>
        <w:tc>
          <w:tcPr>
            <w:tcW w:w="69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Balance at January 1, 2023</w:t>
            </w:r>
          </w:p>
        </w:tc>
        <w:tc>
          <w:tcPr>
            <w:tcW w:w="92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178,129</w:t>
            </w:r>
          </w:p>
        </w:tc>
        <w:tc>
          <w:tcPr>
            <w:tcW w:w="1500" w:type="dxa"/>
            <w:vAlign w:val="bottom"/>
            <w:shd w:val="clear" w:color="auto" w:fill="CFF0FC"/>
          </w:tcPr>
          <w:p>
            <w:pPr>
              <w:jc w:val="right"/>
              <w:ind w:right="129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67.23</w:t>
            </w:r>
          </w:p>
        </w:tc>
      </w:tr>
      <w:tr>
        <w:trPr>
          <w:trHeight w:val="215"/>
        </w:trPr>
        <w:tc>
          <w:tcPr>
            <w:tcW w:w="690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110,198</w:t>
            </w:r>
          </w:p>
        </w:tc>
        <w:tc>
          <w:tcPr>
            <w:tcW w:w="1500" w:type="dxa"/>
            <w:vAlign w:val="bottom"/>
          </w:tcPr>
          <w:p>
            <w:pPr>
              <w:spacing w:after="0"/>
              <w:rPr>
                <w:sz w:val="18"/>
                <w:szCs w:val="18"/>
                <w:color w:val="auto"/>
              </w:rPr>
            </w:pPr>
          </w:p>
        </w:tc>
        <w:tc>
          <w:tcPr>
            <w:tcW w:w="1920" w:type="dxa"/>
            <w:vAlign w:val="bottom"/>
          </w:tcPr>
          <w:p>
            <w:pPr>
              <w:jc w:val="right"/>
              <w:ind w:right="39"/>
              <w:spacing w:after="0"/>
              <w:rPr>
                <w:sz w:val="20"/>
                <w:szCs w:val="20"/>
                <w:color w:val="auto"/>
              </w:rPr>
            </w:pPr>
            <w:r>
              <w:rPr>
                <w:rFonts w:ascii="Arial" w:cs="Arial" w:eastAsia="Arial" w:hAnsi="Arial"/>
                <w:sz w:val="16"/>
                <w:szCs w:val="16"/>
                <w:color w:val="auto"/>
              </w:rPr>
              <w:t>63.33</w:t>
            </w:r>
          </w:p>
        </w:tc>
      </w:tr>
      <w:tr>
        <w:trPr>
          <w:trHeight w:val="217"/>
        </w:trPr>
        <w:tc>
          <w:tcPr>
            <w:tcW w:w="690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(97,084 )</w:t>
            </w:r>
          </w:p>
        </w:tc>
        <w:tc>
          <w:tcPr>
            <w:tcW w:w="1500" w:type="dxa"/>
            <w:vAlign w:val="bottom"/>
            <w:shd w:val="clear" w:color="auto" w:fill="CFF0FC"/>
          </w:tcPr>
          <w:p>
            <w:pPr>
              <w:spacing w:after="0"/>
              <w:rPr>
                <w:sz w:val="18"/>
                <w:szCs w:val="18"/>
                <w:color w:val="auto"/>
              </w:rPr>
            </w:pPr>
          </w:p>
        </w:tc>
        <w:tc>
          <w:tcPr>
            <w:tcW w:w="1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67.56</w:t>
            </w:r>
          </w:p>
        </w:tc>
      </w:tr>
      <w:tr>
        <w:trPr>
          <w:trHeight w:val="215"/>
        </w:trPr>
        <w:tc>
          <w:tcPr>
            <w:tcW w:w="436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2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(26,556 )</w:t>
            </w:r>
          </w:p>
        </w:tc>
        <w:tc>
          <w:tcPr>
            <w:tcW w:w="15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65.10</w:t>
            </w:r>
          </w:p>
        </w:tc>
      </w:tr>
      <w:tr>
        <w:trPr>
          <w:trHeight w:val="249"/>
        </w:trPr>
        <w:tc>
          <w:tcPr>
            <w:tcW w:w="4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Balance at December 31, 2023</w:t>
            </w:r>
          </w:p>
        </w:tc>
        <w:tc>
          <w:tcPr>
            <w:tcW w:w="25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164,687</w:t>
            </w:r>
          </w:p>
        </w:tc>
        <w:tc>
          <w:tcPr>
            <w:tcW w:w="1500" w:type="dxa"/>
            <w:vAlign w:val="bottom"/>
            <w:tcBorders>
              <w:bottom w:val="single" w:sz="8" w:color="auto"/>
            </w:tcBorders>
            <w:shd w:val="clear" w:color="auto" w:fill="CFF0FC"/>
          </w:tcPr>
          <w:p>
            <w:pPr>
              <w:jc w:val="right"/>
              <w:ind w:right="129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64.81</w:t>
            </w:r>
          </w:p>
        </w:tc>
      </w:tr>
    </w:tbl>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weighted-average grant-date fair value of restricted stock granted, and the total fair value of shares vested during the years ended December 31, were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320" w:type="dxa"/>
            <w:vAlign w:val="bottom"/>
          </w:tcPr>
          <w:p>
            <w:pPr>
              <w:spacing w:after="0"/>
              <w:rPr>
                <w:sz w:val="18"/>
                <w:szCs w:val="18"/>
                <w:color w:val="auto"/>
              </w:rPr>
            </w:pPr>
          </w:p>
        </w:tc>
        <w:tc>
          <w:tcPr>
            <w:tcW w:w="41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Weighted-Average Grant Date Fair Value</w:t>
            </w:r>
          </w:p>
        </w:tc>
        <w:tc>
          <w:tcPr>
            <w:tcW w:w="7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rPr>
              <w:t>Total Fair Value of Shares Vested</w:t>
            </w:r>
          </w:p>
        </w:tc>
      </w:tr>
      <w:tr>
        <w:trPr>
          <w:trHeight w:val="210"/>
        </w:trPr>
        <w:tc>
          <w:tcPr>
            <w:tcW w:w="23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0" w:type="dxa"/>
            <w:vAlign w:val="bottom"/>
          </w:tcPr>
          <w:p>
            <w:pPr>
              <w:jc w:val="right"/>
              <w:ind w:right="1519"/>
              <w:spacing w:after="0"/>
              <w:rPr>
                <w:sz w:val="20"/>
                <w:szCs w:val="20"/>
                <w:color w:val="auto"/>
              </w:rPr>
            </w:pPr>
            <w:r>
              <w:rPr>
                <w:rFonts w:ascii="Arial" w:cs="Arial" w:eastAsia="Arial" w:hAnsi="Arial"/>
                <w:sz w:val="16"/>
                <w:szCs w:val="16"/>
                <w:b w:val="1"/>
                <w:bCs w:val="1"/>
                <w:color w:val="auto"/>
              </w:rPr>
              <w:t>(in millions)</w:t>
            </w:r>
          </w:p>
        </w:tc>
      </w:tr>
      <w:tr>
        <w:trPr>
          <w:trHeight w:val="216"/>
        </w:trPr>
        <w:tc>
          <w:tcPr>
            <w:tcW w:w="2320" w:type="dxa"/>
            <w:vAlign w:val="bottom"/>
            <w:shd w:val="clear" w:color="auto" w:fill="CFF0FC"/>
          </w:tcPr>
          <w:p>
            <w:pPr>
              <w:jc w:val="right"/>
              <w:ind w:right="1859"/>
              <w:spacing w:after="0"/>
              <w:rPr>
                <w:sz w:val="20"/>
                <w:szCs w:val="20"/>
                <w:color w:val="auto"/>
              </w:rPr>
            </w:pPr>
            <w:r>
              <w:rPr>
                <w:rFonts w:ascii="Arial" w:cs="Arial" w:eastAsia="Arial" w:hAnsi="Arial"/>
                <w:sz w:val="16"/>
                <w:szCs w:val="16"/>
                <w:color w:val="auto"/>
              </w:rPr>
              <w:t>2023</w:t>
            </w:r>
          </w:p>
        </w:tc>
        <w:tc>
          <w:tcPr>
            <w:tcW w:w="4180" w:type="dxa"/>
            <w:vAlign w:val="bottom"/>
            <w:shd w:val="clear" w:color="auto" w:fill="CFF0FC"/>
          </w:tcPr>
          <w:p>
            <w:pPr>
              <w:jc w:val="right"/>
              <w:ind w:right="3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63.33</w:t>
            </w:r>
          </w:p>
        </w:tc>
        <w:tc>
          <w:tcPr>
            <w:tcW w:w="4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3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w:t>
            </w:r>
          </w:p>
        </w:tc>
      </w:tr>
      <w:tr>
        <w:trPr>
          <w:trHeight w:val="215"/>
        </w:trPr>
        <w:tc>
          <w:tcPr>
            <w:tcW w:w="2320" w:type="dxa"/>
            <w:vAlign w:val="bottom"/>
          </w:tcPr>
          <w:p>
            <w:pPr>
              <w:jc w:val="right"/>
              <w:ind w:right="1859"/>
              <w:spacing w:after="0"/>
              <w:rPr>
                <w:sz w:val="20"/>
                <w:szCs w:val="20"/>
                <w:color w:val="auto"/>
              </w:rPr>
            </w:pPr>
            <w:r>
              <w:rPr>
                <w:rFonts w:ascii="Arial" w:cs="Arial" w:eastAsia="Arial" w:hAnsi="Arial"/>
                <w:sz w:val="16"/>
                <w:szCs w:val="16"/>
                <w:color w:val="auto"/>
              </w:rPr>
              <w:t>2022</w:t>
            </w:r>
          </w:p>
        </w:tc>
        <w:tc>
          <w:tcPr>
            <w:tcW w:w="4180" w:type="dxa"/>
            <w:vAlign w:val="bottom"/>
          </w:tcPr>
          <w:p>
            <w:pPr>
              <w:jc w:val="right"/>
              <w:ind w:right="3979"/>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69.03</w:t>
            </w:r>
          </w:p>
        </w:tc>
        <w:tc>
          <w:tcPr>
            <w:tcW w:w="44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3600" w:type="dxa"/>
            <w:vAlign w:val="bottom"/>
          </w:tcPr>
          <w:p>
            <w:pPr>
              <w:jc w:val="right"/>
              <w:ind w:right="39"/>
              <w:spacing w:after="0"/>
              <w:rPr>
                <w:sz w:val="20"/>
                <w:szCs w:val="20"/>
                <w:color w:val="auto"/>
              </w:rPr>
            </w:pPr>
            <w:r>
              <w:rPr>
                <w:rFonts w:ascii="Arial" w:cs="Arial" w:eastAsia="Arial" w:hAnsi="Arial"/>
                <w:sz w:val="16"/>
                <w:szCs w:val="16"/>
                <w:color w:val="auto"/>
              </w:rPr>
              <w:t>6.4</w:t>
            </w:r>
          </w:p>
        </w:tc>
      </w:tr>
      <w:tr>
        <w:trPr>
          <w:trHeight w:val="217"/>
        </w:trPr>
        <w:tc>
          <w:tcPr>
            <w:tcW w:w="2320" w:type="dxa"/>
            <w:vAlign w:val="bottom"/>
            <w:shd w:val="clear" w:color="auto" w:fill="CFF0FC"/>
          </w:tcPr>
          <w:p>
            <w:pPr>
              <w:jc w:val="right"/>
              <w:ind w:right="1859"/>
              <w:spacing w:after="0"/>
              <w:rPr>
                <w:sz w:val="20"/>
                <w:szCs w:val="20"/>
                <w:color w:val="auto"/>
              </w:rPr>
            </w:pPr>
            <w:r>
              <w:rPr>
                <w:rFonts w:ascii="Arial" w:cs="Arial" w:eastAsia="Arial" w:hAnsi="Arial"/>
                <w:sz w:val="16"/>
                <w:szCs w:val="16"/>
                <w:color w:val="auto"/>
              </w:rPr>
              <w:t>2021</w:t>
            </w:r>
          </w:p>
        </w:tc>
        <w:tc>
          <w:tcPr>
            <w:tcW w:w="4180" w:type="dxa"/>
            <w:vAlign w:val="bottom"/>
            <w:shd w:val="clear" w:color="auto" w:fill="CFF0FC"/>
          </w:tcPr>
          <w:p>
            <w:pPr>
              <w:jc w:val="right"/>
              <w:ind w:right="3979"/>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65.64</w:t>
            </w:r>
          </w:p>
        </w:tc>
        <w:tc>
          <w:tcPr>
            <w:tcW w:w="440" w:type="dxa"/>
            <w:vAlign w:val="bottom"/>
            <w:shd w:val="clear" w:color="auto" w:fill="CFF0FC"/>
          </w:tcPr>
          <w:p>
            <w:pPr>
              <w:jc w:val="right"/>
              <w:ind w:right="219"/>
              <w:spacing w:after="0"/>
              <w:rPr>
                <w:sz w:val="20"/>
                <w:szCs w:val="20"/>
                <w:color w:val="auto"/>
              </w:rPr>
            </w:pPr>
            <w:r>
              <w:rPr>
                <w:rFonts w:ascii="Arial" w:cs="Arial" w:eastAsia="Arial" w:hAnsi="Arial"/>
                <w:sz w:val="16"/>
                <w:szCs w:val="16"/>
                <w:color w:val="auto"/>
              </w:rPr>
              <w:t>$</w:t>
            </w:r>
          </w:p>
        </w:tc>
        <w:tc>
          <w:tcPr>
            <w:tcW w:w="36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w:t>
            </w:r>
          </w:p>
        </w:tc>
      </w:tr>
    </w:tbl>
    <w:p>
      <w:pPr>
        <w:spacing w:after="0" w:line="188"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As of December 31, 2023, there was $6.3 million of unrecognized compensation expense related to non-vested restricted stock that is expected to be recognized over a weighted-average period of 1.6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Units</w:t>
      </w:r>
    </w:p>
    <w:p>
      <w:pPr>
        <w:spacing w:after="0" w:line="194"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Beginning in 2021, certain officers of the Company, and its subsidiaries, were granted performance share units which have a three-year vesting period, do not have voting rights until vested, and are subject to three specified conditions. A market condition of relative total shareholder return and two equally weighted performance metrics of average earnings per share and the average cost to serve. Beginning in 2023, the metric of natural gas emissions reduction by 2035 was added, resulting in three equally weighted performance metrics. The units are paid 100% in common stock should conditions be met and can range from 0% to 200% of the target award. Dividend equivalents are accrued during the vesting period and paid out based on the final number of shares awarded. In the event of participant’s death or retirement at age 55 or older, shares awarded vest on a pro-rata basis commensurate with the months of service performed over the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Market Condition</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fair value of each share unit is based on the Company’s closing price at December 31 of the year prior to the award and a Monte Carlo simulation. The Monte Carlo simulation is used to estimate expected share payout based on the Company’s TSR for a three-year performance period relative to the designated peer group beginning January 1 of the award year. The significant assumptions included in the company's Monte Carlo simulations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8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2023</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2022</w:t>
            </w:r>
          </w:p>
        </w:tc>
      </w:tr>
      <w:tr>
        <w:trPr>
          <w:trHeight w:val="210"/>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Fair value of share units award</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$77.95</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$74.48</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Risk-free rate</w:t>
            </w:r>
          </w:p>
        </w:tc>
        <w:tc>
          <w:tcPr>
            <w:tcW w:w="1920" w:type="dxa"/>
            <w:vAlign w:val="bottom"/>
          </w:tcPr>
          <w:p>
            <w:pPr>
              <w:jc w:val="center"/>
              <w:spacing w:after="0"/>
              <w:rPr>
                <w:sz w:val="20"/>
                <w:szCs w:val="20"/>
                <w:color w:val="auto"/>
              </w:rPr>
            </w:pPr>
            <w:r>
              <w:rPr>
                <w:rFonts w:ascii="Arial" w:cs="Arial" w:eastAsia="Arial" w:hAnsi="Arial"/>
                <w:sz w:val="16"/>
                <w:szCs w:val="16"/>
                <w:color w:val="auto"/>
              </w:rPr>
              <w:t>3.84%</w:t>
            </w:r>
          </w:p>
        </w:tc>
        <w:tc>
          <w:tcPr>
            <w:tcW w:w="1940" w:type="dxa"/>
            <w:vAlign w:val="bottom"/>
          </w:tcPr>
          <w:p>
            <w:pPr>
              <w:jc w:val="center"/>
              <w:spacing w:after="0"/>
              <w:rPr>
                <w:sz w:val="20"/>
                <w:szCs w:val="20"/>
                <w:color w:val="auto"/>
              </w:rPr>
            </w:pPr>
            <w:r>
              <w:rPr>
                <w:rFonts w:ascii="Arial" w:cs="Arial" w:eastAsia="Arial" w:hAnsi="Arial"/>
                <w:sz w:val="16"/>
                <w:szCs w:val="16"/>
                <w:color w:val="auto"/>
              </w:rPr>
              <w:t>0.97%</w:t>
            </w:r>
          </w:p>
        </w:tc>
      </w:tr>
      <w:tr>
        <w:trPr>
          <w:trHeight w:val="217"/>
        </w:trPr>
        <w:tc>
          <w:tcPr>
            <w:tcW w:w="7380" w:type="dxa"/>
            <w:vAlign w:val="bottom"/>
            <w:shd w:val="clear" w:color="auto" w:fill="CFF0FC"/>
          </w:tcPr>
          <w:p>
            <w:pPr>
              <w:ind w:left="20"/>
              <w:spacing w:after="0"/>
              <w:rPr>
                <w:sz w:val="20"/>
                <w:szCs w:val="20"/>
                <w:color w:val="auto"/>
              </w:rPr>
            </w:pPr>
            <w:r>
              <w:rPr>
                <w:rFonts w:ascii="Arial" w:cs="Arial" w:eastAsia="Arial" w:hAnsi="Arial"/>
                <w:sz w:val="16"/>
                <w:szCs w:val="16"/>
                <w:color w:val="auto"/>
              </w:rPr>
              <w:t>Black Hills Corporation’s common stock volatility</w:t>
            </w:r>
          </w:p>
        </w:tc>
        <w:tc>
          <w:tcPr>
            <w:tcW w:w="192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31%</w:t>
            </w:r>
          </w:p>
        </w:tc>
        <w:tc>
          <w:tcPr>
            <w:tcW w:w="19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9"/>
              </w:rPr>
              <w:t>30%</w:t>
            </w:r>
          </w:p>
        </w:tc>
      </w:tr>
      <w:tr>
        <w:trPr>
          <w:trHeight w:val="215"/>
        </w:trPr>
        <w:tc>
          <w:tcPr>
            <w:tcW w:w="7380" w:type="dxa"/>
            <w:vAlign w:val="bottom"/>
          </w:tcPr>
          <w:p>
            <w:pPr>
              <w:ind w:left="20"/>
              <w:spacing w:after="0"/>
              <w:rPr>
                <w:sz w:val="20"/>
                <w:szCs w:val="20"/>
                <w:color w:val="auto"/>
              </w:rPr>
            </w:pPr>
            <w:r>
              <w:rPr>
                <w:rFonts w:ascii="Arial" w:cs="Arial" w:eastAsia="Arial" w:hAnsi="Arial"/>
                <w:sz w:val="16"/>
                <w:szCs w:val="16"/>
                <w:color w:val="auto"/>
              </w:rPr>
              <w:t>Volatility range for the peer group</w:t>
            </w:r>
          </w:p>
        </w:tc>
        <w:tc>
          <w:tcPr>
            <w:tcW w:w="1920" w:type="dxa"/>
            <w:vAlign w:val="bottom"/>
          </w:tcPr>
          <w:p>
            <w:pPr>
              <w:jc w:val="center"/>
              <w:spacing w:after="0"/>
              <w:rPr>
                <w:sz w:val="20"/>
                <w:szCs w:val="20"/>
                <w:color w:val="auto"/>
              </w:rPr>
            </w:pPr>
            <w:r>
              <w:rPr>
                <w:rFonts w:ascii="Arial" w:cs="Arial" w:eastAsia="Arial" w:hAnsi="Arial"/>
                <w:sz w:val="16"/>
                <w:szCs w:val="16"/>
                <w:color w:val="auto"/>
              </w:rPr>
              <w:t>24-39%</w:t>
            </w:r>
          </w:p>
        </w:tc>
        <w:tc>
          <w:tcPr>
            <w:tcW w:w="1940" w:type="dxa"/>
            <w:vAlign w:val="bottom"/>
          </w:tcPr>
          <w:p>
            <w:pPr>
              <w:jc w:val="center"/>
              <w:spacing w:after="0"/>
              <w:rPr>
                <w:sz w:val="20"/>
                <w:szCs w:val="20"/>
                <w:color w:val="auto"/>
              </w:rPr>
            </w:pPr>
            <w:r>
              <w:rPr>
                <w:rFonts w:ascii="Arial" w:cs="Arial" w:eastAsia="Arial" w:hAnsi="Arial"/>
                <w:sz w:val="16"/>
                <w:szCs w:val="16"/>
                <w:color w:val="auto"/>
              </w:rPr>
              <w:t>22-67%</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 Share Units - Performance Condition</w:t>
      </w:r>
    </w:p>
    <w:p>
      <w:pPr>
        <w:spacing w:after="0" w:line="192" w:lineRule="exact"/>
        <w:rPr>
          <w:sz w:val="20"/>
          <w:szCs w:val="20"/>
          <w:color w:val="auto"/>
        </w:rPr>
      </w:pPr>
    </w:p>
    <w:p>
      <w:pPr>
        <w:ind w:right="280"/>
        <w:spacing w:after="0" w:line="259" w:lineRule="auto"/>
        <w:rPr>
          <w:sz w:val="20"/>
          <w:szCs w:val="20"/>
          <w:color w:val="auto"/>
        </w:rPr>
      </w:pPr>
      <w:r>
        <w:rPr>
          <w:rFonts w:ascii="Arial" w:cs="Arial" w:eastAsia="Arial" w:hAnsi="Arial"/>
          <w:sz w:val="16"/>
          <w:szCs w:val="16"/>
          <w:color w:val="auto"/>
        </w:rPr>
        <w:t>A performance condition share unit vests at the end of the three-year performance period if the specified performance conditions are achieved. The conditions are based on the Company’s average earnings per share, the average cost to serve and natural gas emissions reductions by 2035. The grant-date fair value for an individual outcome of a performance condition is determined by the closing common share price on the grant date or, beginning in 2023, the average ten-day closing common share price preceding the grant date.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4"/>
        </w:trPr>
        <w:tc>
          <w:tcPr>
            <w:tcW w:w="358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1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0"/>
        </w:trPr>
        <w:tc>
          <w:tcPr>
            <w:tcW w:w="1360" w:type="dxa"/>
            <w:vAlign w:val="bottom"/>
            <w:shd w:val="clear" w:color="auto" w:fill="0000FF"/>
          </w:tcPr>
          <w:p>
            <w:pPr>
              <w:spacing w:after="0" w:line="20" w:lineRule="exact"/>
              <w:rPr>
                <w:sz w:val="1"/>
                <w:szCs w:val="1"/>
                <w:color w:val="auto"/>
              </w:rPr>
            </w:pPr>
          </w:p>
        </w:tc>
        <w:tc>
          <w:tcPr>
            <w:tcW w:w="6380" w:type="dxa"/>
            <w:vAlign w:val="bottom"/>
            <w:gridSpan w:val="4"/>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23"/>
        </w:trPr>
        <w:tc>
          <w:tcPr>
            <w:tcW w:w="7740" w:type="dxa"/>
            <w:vAlign w:val="bottom"/>
            <w:gridSpan w:val="5"/>
          </w:tcPr>
          <w:p>
            <w:pPr>
              <w:spacing w:after="0"/>
              <w:rPr>
                <w:sz w:val="20"/>
                <w:szCs w:val="20"/>
                <w:color w:val="auto"/>
              </w:rPr>
            </w:pPr>
            <w:r>
              <w:rPr>
                <w:rFonts w:ascii="Arial" w:cs="Arial" w:eastAsia="Arial" w:hAnsi="Arial"/>
                <w:sz w:val="16"/>
                <w:szCs w:val="16"/>
                <w:color w:val="auto"/>
              </w:rPr>
              <w:t>The following table summarizes the performance share unit activity for the year ended December 31, 2023:</w:t>
            </w:r>
          </w:p>
        </w:tc>
        <w:tc>
          <w:tcPr>
            <w:tcW w:w="1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66"/>
        </w:trPr>
        <w:tc>
          <w:tcPr>
            <w:tcW w:w="13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080" w:type="dxa"/>
            <w:vAlign w:val="bottom"/>
            <w:gridSpan w:val="2"/>
          </w:tcPr>
          <w:p>
            <w:pPr>
              <w:ind w:left="820"/>
              <w:spacing w:after="0"/>
              <w:rPr>
                <w:sz w:val="20"/>
                <w:szCs w:val="20"/>
                <w:color w:val="auto"/>
              </w:rPr>
            </w:pPr>
            <w:r>
              <w:rPr>
                <w:rFonts w:ascii="Arial" w:cs="Arial" w:eastAsia="Arial" w:hAnsi="Arial"/>
                <w:sz w:val="16"/>
                <w:szCs w:val="16"/>
                <w:b w:val="1"/>
                <w:bCs w:val="1"/>
                <w:color w:val="auto"/>
              </w:rPr>
              <w:t>Performance Share Units -</w:t>
            </w:r>
          </w:p>
        </w:tc>
        <w:tc>
          <w:tcPr>
            <w:tcW w:w="1080" w:type="dxa"/>
            <w:vAlign w:val="bottom"/>
          </w:tcPr>
          <w:p>
            <w:pPr>
              <w:spacing w:after="0"/>
              <w:rPr>
                <w:sz w:val="24"/>
                <w:szCs w:val="24"/>
                <w:color w:val="auto"/>
              </w:rPr>
            </w:pPr>
          </w:p>
        </w:tc>
        <w:tc>
          <w:tcPr>
            <w:tcW w:w="2760" w:type="dxa"/>
            <w:vAlign w:val="bottom"/>
            <w:gridSpan w:val="2"/>
          </w:tcPr>
          <w:p>
            <w:pPr>
              <w:jc w:val="center"/>
              <w:ind w:left="199"/>
              <w:spacing w:after="0"/>
              <w:rPr>
                <w:sz w:val="20"/>
                <w:szCs w:val="20"/>
                <w:color w:val="auto"/>
              </w:rPr>
            </w:pPr>
            <w:r>
              <w:rPr>
                <w:rFonts w:ascii="Arial" w:cs="Arial" w:eastAsia="Arial" w:hAnsi="Arial"/>
                <w:sz w:val="16"/>
                <w:szCs w:val="16"/>
                <w:b w:val="1"/>
                <w:bCs w:val="1"/>
                <w:color w:val="auto"/>
              </w:rPr>
              <w:t>Performance Share Units -</w:t>
            </w:r>
          </w:p>
        </w:tc>
        <w:tc>
          <w:tcPr>
            <w:tcW w:w="740" w:type="dxa"/>
            <w:vAlign w:val="bottom"/>
          </w:tcPr>
          <w:p>
            <w:pPr>
              <w:spacing w:after="0"/>
              <w:rPr>
                <w:sz w:val="24"/>
                <w:szCs w:val="24"/>
                <w:color w:val="auto"/>
              </w:rPr>
            </w:pPr>
          </w:p>
        </w:tc>
      </w:tr>
      <w:tr>
        <w:trPr>
          <w:trHeight w:val="217"/>
        </w:trPr>
        <w:tc>
          <w:tcPr>
            <w:tcW w:w="13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080" w:type="dxa"/>
            <w:vAlign w:val="bottom"/>
            <w:tcBorders>
              <w:bottom w:val="single" w:sz="8" w:color="auto"/>
            </w:tcBorders>
            <w:gridSpan w:val="2"/>
          </w:tcPr>
          <w:p>
            <w:pPr>
              <w:jc w:val="center"/>
              <w:ind w:left="579"/>
              <w:spacing w:after="0"/>
              <w:rPr>
                <w:sz w:val="20"/>
                <w:szCs w:val="20"/>
                <w:color w:val="auto"/>
              </w:rPr>
            </w:pPr>
            <w:r>
              <w:rPr>
                <w:rFonts w:ascii="Arial" w:cs="Arial" w:eastAsia="Arial" w:hAnsi="Arial"/>
                <w:sz w:val="16"/>
                <w:szCs w:val="16"/>
                <w:b w:val="1"/>
                <w:bCs w:val="1"/>
                <w:color w:val="auto"/>
              </w:rPr>
              <w:t>Market Condition</w:t>
            </w:r>
          </w:p>
        </w:tc>
        <w:tc>
          <w:tcPr>
            <w:tcW w:w="10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2"/>
          </w:tcPr>
          <w:p>
            <w:pPr>
              <w:ind w:left="640"/>
              <w:spacing w:after="0"/>
              <w:rPr>
                <w:sz w:val="20"/>
                <w:szCs w:val="20"/>
                <w:color w:val="auto"/>
              </w:rPr>
            </w:pPr>
            <w:r>
              <w:rPr>
                <w:rFonts w:ascii="Arial" w:cs="Arial" w:eastAsia="Arial" w:hAnsi="Arial"/>
                <w:sz w:val="16"/>
                <w:szCs w:val="16"/>
                <w:b w:val="1"/>
                <w:bCs w:val="1"/>
                <w:color w:val="auto"/>
              </w:rPr>
              <w:t>Performance Condition</w:t>
            </w:r>
          </w:p>
        </w:tc>
        <w:tc>
          <w:tcPr>
            <w:tcW w:w="740" w:type="dxa"/>
            <w:vAlign w:val="bottom"/>
            <w:tcBorders>
              <w:bottom w:val="single" w:sz="8" w:color="auto"/>
            </w:tcBorders>
          </w:tcPr>
          <w:p>
            <w:pPr>
              <w:spacing w:after="0"/>
              <w:rPr>
                <w:sz w:val="18"/>
                <w:szCs w:val="18"/>
                <w:color w:val="auto"/>
              </w:rPr>
            </w:pPr>
          </w:p>
        </w:tc>
      </w:tr>
      <w:tr>
        <w:trPr>
          <w:trHeight w:val="182"/>
        </w:trPr>
        <w:tc>
          <w:tcPr>
            <w:tcW w:w="13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360" w:type="dxa"/>
            <w:vAlign w:val="bottom"/>
            <w:gridSpan w:val="2"/>
          </w:tcPr>
          <w:p>
            <w:pPr>
              <w:jc w:val="right"/>
              <w:ind w:right="439"/>
              <w:spacing w:after="0" w:line="182" w:lineRule="exact"/>
              <w:rPr>
                <w:sz w:val="20"/>
                <w:szCs w:val="20"/>
                <w:color w:val="auto"/>
              </w:rPr>
            </w:pPr>
            <w:r>
              <w:rPr>
                <w:rFonts w:ascii="Arial" w:cs="Arial" w:eastAsia="Arial" w:hAnsi="Arial"/>
                <w:sz w:val="16"/>
                <w:szCs w:val="16"/>
                <w:b w:val="1"/>
                <w:bCs w:val="1"/>
                <w:color w:val="auto"/>
              </w:rPr>
              <w:t>Weighted-Average Fair</w:t>
            </w:r>
          </w:p>
        </w:tc>
        <w:tc>
          <w:tcPr>
            <w:tcW w:w="1440" w:type="dxa"/>
            <w:vAlign w:val="bottom"/>
          </w:tcPr>
          <w:p>
            <w:pPr>
              <w:spacing w:after="0"/>
              <w:rPr>
                <w:sz w:val="15"/>
                <w:szCs w:val="15"/>
                <w:color w:val="auto"/>
              </w:rPr>
            </w:pPr>
          </w:p>
        </w:tc>
        <w:tc>
          <w:tcPr>
            <w:tcW w:w="2060" w:type="dxa"/>
            <w:vAlign w:val="bottom"/>
            <w:gridSpan w:val="2"/>
          </w:tcPr>
          <w:p>
            <w:pPr>
              <w:jc w:val="right"/>
              <w:ind w:right="139"/>
              <w:spacing w:after="0" w:line="182" w:lineRule="exact"/>
              <w:rPr>
                <w:sz w:val="20"/>
                <w:szCs w:val="20"/>
                <w:color w:val="auto"/>
              </w:rPr>
            </w:pPr>
            <w:r>
              <w:rPr>
                <w:rFonts w:ascii="Arial" w:cs="Arial" w:eastAsia="Arial" w:hAnsi="Arial"/>
                <w:sz w:val="16"/>
                <w:szCs w:val="16"/>
                <w:b w:val="1"/>
                <w:bCs w:val="1"/>
                <w:color w:val="auto"/>
              </w:rPr>
              <w:t>Weighted-Average Fair</w:t>
            </w:r>
          </w:p>
        </w:tc>
      </w:tr>
      <w:tr>
        <w:trPr>
          <w:trHeight w:val="217"/>
        </w:trPr>
        <w:tc>
          <w:tcPr>
            <w:tcW w:w="136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Share Units</w:t>
            </w:r>
          </w:p>
        </w:tc>
        <w:tc>
          <w:tcPr>
            <w:tcW w:w="236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Value per Share Unit</w:t>
            </w:r>
          </w:p>
        </w:tc>
        <w:tc>
          <w:tcPr>
            <w:tcW w:w="14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 Units</w:t>
            </w:r>
          </w:p>
        </w:tc>
        <w:tc>
          <w:tcPr>
            <w:tcW w:w="206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b w:val="1"/>
                <w:bCs w:val="1"/>
                <w:color w:val="auto"/>
              </w:rPr>
              <w:t>Value per Share Unit</w:t>
            </w:r>
          </w:p>
        </w:tc>
      </w:tr>
      <w:tr>
        <w:trPr>
          <w:trHeight w:val="210"/>
        </w:trPr>
        <w:tc>
          <w:tcPr>
            <w:tcW w:w="358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Nonvested at January 1, 2023</w:t>
            </w:r>
          </w:p>
        </w:tc>
        <w:tc>
          <w:tcPr>
            <w:tcW w:w="18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68,474</w:t>
            </w:r>
          </w:p>
        </w:tc>
        <w:tc>
          <w:tcPr>
            <w:tcW w:w="1280" w:type="dxa"/>
            <w:vAlign w:val="bottom"/>
            <w:shd w:val="clear" w:color="auto" w:fill="CFF0FC"/>
          </w:tcPr>
          <w:p>
            <w:pPr>
              <w:jc w:val="center"/>
              <w:ind w:right="1019"/>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69.91</w:t>
            </w:r>
          </w:p>
        </w:tc>
        <w:tc>
          <w:tcPr>
            <w:tcW w:w="14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45,666</w:t>
            </w:r>
          </w:p>
        </w:tc>
        <w:tc>
          <w:tcPr>
            <w:tcW w:w="1320" w:type="dxa"/>
            <w:vAlign w:val="bottom"/>
            <w:shd w:val="clear" w:color="auto" w:fill="CFF0FC"/>
          </w:tcPr>
          <w:p>
            <w:pPr>
              <w:jc w:val="center"/>
              <w:ind w:right="10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66.19</w:t>
            </w:r>
          </w:p>
        </w:tc>
      </w:tr>
      <w:tr>
        <w:trPr>
          <w:trHeight w:val="215"/>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50,440</w:t>
            </w:r>
          </w:p>
        </w:tc>
        <w:tc>
          <w:tcPr>
            <w:tcW w:w="1280" w:type="dxa"/>
            <w:vAlign w:val="bottom"/>
          </w:tcPr>
          <w:p>
            <w:pPr>
              <w:spacing w:after="0"/>
              <w:rPr>
                <w:sz w:val="18"/>
                <w:szCs w:val="18"/>
                <w:color w:val="auto"/>
              </w:rPr>
            </w:pPr>
          </w:p>
        </w:tc>
        <w:tc>
          <w:tcPr>
            <w:tcW w:w="1080" w:type="dxa"/>
            <w:vAlign w:val="bottom"/>
          </w:tcPr>
          <w:p>
            <w:pPr>
              <w:jc w:val="right"/>
              <w:ind w:right="359"/>
              <w:spacing w:after="0"/>
              <w:rPr>
                <w:sz w:val="20"/>
                <w:szCs w:val="20"/>
                <w:color w:val="auto"/>
              </w:rPr>
            </w:pPr>
            <w:r>
              <w:rPr>
                <w:rFonts w:ascii="Arial" w:cs="Arial" w:eastAsia="Arial" w:hAnsi="Arial"/>
                <w:sz w:val="16"/>
                <w:szCs w:val="16"/>
                <w:color w:val="auto"/>
              </w:rPr>
              <w:t>77.95</w:t>
            </w:r>
          </w:p>
        </w:tc>
        <w:tc>
          <w:tcPr>
            <w:tcW w:w="1440" w:type="dxa"/>
            <w:vAlign w:val="bottom"/>
          </w:tcPr>
          <w:p>
            <w:pPr>
              <w:jc w:val="right"/>
              <w:ind w:right="19"/>
              <w:spacing w:after="0"/>
              <w:rPr>
                <w:sz w:val="20"/>
                <w:szCs w:val="20"/>
                <w:color w:val="auto"/>
              </w:rPr>
            </w:pPr>
            <w:r>
              <w:rPr>
                <w:rFonts w:ascii="Arial" w:cs="Arial" w:eastAsia="Arial" w:hAnsi="Arial"/>
                <w:sz w:val="16"/>
                <w:szCs w:val="16"/>
                <w:color w:val="auto"/>
              </w:rPr>
              <w:t>21,615</w:t>
            </w:r>
          </w:p>
        </w:tc>
        <w:tc>
          <w:tcPr>
            <w:tcW w:w="13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71.50</w:t>
            </w:r>
          </w:p>
        </w:tc>
      </w:tr>
      <w:tr>
        <w:trPr>
          <w:trHeight w:val="216"/>
        </w:trPr>
        <w:tc>
          <w:tcPr>
            <w:tcW w:w="35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(8,167 )</w:t>
            </w:r>
          </w:p>
        </w:tc>
        <w:tc>
          <w:tcPr>
            <w:tcW w:w="1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59"/>
              <w:spacing w:after="0"/>
              <w:rPr>
                <w:sz w:val="20"/>
                <w:szCs w:val="20"/>
                <w:color w:val="auto"/>
              </w:rPr>
            </w:pPr>
            <w:r>
              <w:rPr>
                <w:rFonts w:ascii="Arial" w:cs="Arial" w:eastAsia="Arial" w:hAnsi="Arial"/>
                <w:sz w:val="16"/>
                <w:szCs w:val="16"/>
                <w:color w:val="auto"/>
              </w:rPr>
              <w:t>73.43</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(4,627 )</w:t>
            </w:r>
          </w:p>
        </w:tc>
        <w:tc>
          <w:tcPr>
            <w:tcW w:w="13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68.03</w:t>
            </w:r>
          </w:p>
        </w:tc>
      </w:tr>
      <w:tr>
        <w:trPr>
          <w:trHeight w:val="209"/>
        </w:trPr>
        <w:tc>
          <w:tcPr>
            <w:tcW w:w="3580" w:type="dxa"/>
            <w:vAlign w:val="bottom"/>
            <w:gridSpan w:val="2"/>
          </w:tcPr>
          <w:p>
            <w:pPr>
              <w:ind w:left="20"/>
              <w:spacing w:after="0"/>
              <w:rPr>
                <w:sz w:val="20"/>
                <w:szCs w:val="20"/>
                <w:color w:val="auto"/>
              </w:rPr>
            </w:pPr>
            <w:r>
              <w:rPr>
                <w:rFonts w:ascii="Arial" w:cs="Arial" w:eastAsia="Arial" w:hAnsi="Arial"/>
                <w:sz w:val="16"/>
                <w:szCs w:val="16"/>
                <w:color w:val="auto"/>
              </w:rPr>
              <w:t>Nonvested at December 31, 2023</w:t>
            </w:r>
          </w:p>
        </w:tc>
        <w:tc>
          <w:tcPr>
            <w:tcW w:w="1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110,747</w:t>
            </w:r>
          </w:p>
        </w:tc>
        <w:tc>
          <w:tcPr>
            <w:tcW w:w="1280" w:type="dxa"/>
            <w:vAlign w:val="bottom"/>
            <w:tcBorders>
              <w:bottom w:val="single" w:sz="8" w:color="auto"/>
            </w:tcBorders>
          </w:tcPr>
          <w:p>
            <w:pPr>
              <w:jc w:val="center"/>
              <w:ind w:right="10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73.31</w:t>
            </w:r>
          </w:p>
        </w:tc>
        <w:tc>
          <w:tcPr>
            <w:tcW w:w="14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62,654</w:t>
            </w:r>
          </w:p>
        </w:tc>
        <w:tc>
          <w:tcPr>
            <w:tcW w:w="1320" w:type="dxa"/>
            <w:vAlign w:val="bottom"/>
            <w:tcBorders>
              <w:bottom w:val="single" w:sz="8" w:color="auto"/>
            </w:tcBorders>
          </w:tcPr>
          <w:p>
            <w:pPr>
              <w:jc w:val="center"/>
              <w:ind w:right="10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67.88</w:t>
            </w:r>
          </w:p>
        </w:tc>
      </w:tr>
      <w:tr>
        <w:trPr>
          <w:trHeight w:val="20"/>
        </w:trPr>
        <w:tc>
          <w:tcPr>
            <w:tcW w:w="13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of December 31, 2023, there was $4.0 million of unrecognized compensation expense related to outstanding performance share/units that is expected to be recognized over a weighted-average period of 1.8 years.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On January 25, 2024, the Compensation Committee of our Board of Directors confirmed a payout equal to 16.21% of target shares valued at $0.5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payout was fully accrued at December 31, 2023.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Performance Share Plan</w:t>
      </w:r>
    </w:p>
    <w:p>
      <w:pPr>
        <w:spacing w:after="0" w:line="194" w:lineRule="exact"/>
        <w:rPr>
          <w:sz w:val="20"/>
          <w:szCs w:val="20"/>
          <w:color w:val="auto"/>
        </w:rPr>
      </w:pPr>
    </w:p>
    <w:p>
      <w:pPr>
        <w:ind w:right="320"/>
        <w:spacing w:after="0" w:line="259" w:lineRule="auto"/>
        <w:rPr>
          <w:sz w:val="20"/>
          <w:szCs w:val="20"/>
          <w:color w:val="auto"/>
        </w:rPr>
      </w:pPr>
      <w:r>
        <w:rPr>
          <w:rFonts w:ascii="Arial" w:cs="Arial" w:eastAsia="Arial" w:hAnsi="Arial"/>
          <w:sz w:val="16"/>
          <w:szCs w:val="16"/>
          <w:color w:val="auto"/>
        </w:rPr>
        <w:t>Prior to 2021, certain officers of the Company and its subsidiaries became participants in a market-based performance share award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These performance share awards were paid 50% in cash and 50% in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outstanding performance periods at December 31, 2023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2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Possible Payout Range of Target</w:t>
            </w:r>
          </w:p>
        </w:tc>
      </w:tr>
      <w:tr>
        <w:trPr>
          <w:trHeight w:val="209"/>
        </w:trPr>
        <w:tc>
          <w:tcPr>
            <w:tcW w:w="224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Grant Date</w:t>
            </w:r>
          </w:p>
        </w:tc>
        <w:tc>
          <w:tcPr>
            <w:tcW w:w="39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rPr>
              <w:t>Performance Period</w:t>
            </w:r>
          </w:p>
        </w:tc>
        <w:tc>
          <w:tcPr>
            <w:tcW w:w="244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Target Grant of Shares</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Minimum</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Maximum</w:t>
            </w:r>
          </w:p>
        </w:tc>
      </w:tr>
      <w:tr>
        <w:trPr>
          <w:trHeight w:val="210"/>
        </w:trPr>
        <w:tc>
          <w:tcPr>
            <w:tcW w:w="2240" w:type="dxa"/>
            <w:vAlign w:val="bottom"/>
            <w:shd w:val="clear" w:color="auto" w:fill="CFF0FC"/>
          </w:tcPr>
          <w:p>
            <w:pPr>
              <w:jc w:val="center"/>
              <w:ind w:right="159"/>
              <w:spacing w:after="0"/>
              <w:rPr>
                <w:sz w:val="20"/>
                <w:szCs w:val="20"/>
                <w:color w:val="auto"/>
              </w:rPr>
            </w:pPr>
            <w:r>
              <w:rPr>
                <w:rFonts w:ascii="Arial" w:cs="Arial" w:eastAsia="Arial" w:hAnsi="Arial"/>
                <w:sz w:val="16"/>
                <w:szCs w:val="16"/>
                <w:color w:val="auto"/>
              </w:rPr>
              <w:t>January 1, 2020</w:t>
            </w:r>
          </w:p>
        </w:tc>
        <w:tc>
          <w:tcPr>
            <w:tcW w:w="3920" w:type="dxa"/>
            <w:vAlign w:val="bottom"/>
            <w:shd w:val="clear" w:color="auto" w:fill="CFF0FC"/>
          </w:tcPr>
          <w:p>
            <w:pPr>
              <w:jc w:val="center"/>
              <w:ind w:left="39"/>
              <w:spacing w:after="0"/>
              <w:rPr>
                <w:sz w:val="20"/>
                <w:szCs w:val="20"/>
                <w:color w:val="auto"/>
              </w:rPr>
            </w:pPr>
            <w:r>
              <w:rPr>
                <w:rFonts w:ascii="Arial" w:cs="Arial" w:eastAsia="Arial" w:hAnsi="Arial"/>
                <w:sz w:val="16"/>
                <w:szCs w:val="16"/>
                <w:color w:val="auto"/>
              </w:rPr>
              <w:t>January 1, 2020 - December 31, 2022</w:t>
            </w:r>
          </w:p>
        </w:tc>
        <w:tc>
          <w:tcPr>
            <w:tcW w:w="24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35,571</w:t>
            </w:r>
          </w:p>
        </w:tc>
        <w:tc>
          <w:tcPr>
            <w:tcW w:w="1300" w:type="dxa"/>
            <w:vAlign w:val="bottom"/>
            <w:shd w:val="clear" w:color="auto" w:fill="CFF0FC"/>
          </w:tcPr>
          <w:p>
            <w:pPr>
              <w:jc w:val="right"/>
              <w:ind w:right="439"/>
              <w:spacing w:after="0"/>
              <w:rPr>
                <w:sz w:val="20"/>
                <w:szCs w:val="20"/>
                <w:color w:val="auto"/>
              </w:rPr>
            </w:pPr>
            <w:r>
              <w:rPr>
                <w:rFonts w:ascii="Arial" w:cs="Arial" w:eastAsia="Arial" w:hAnsi="Arial"/>
                <w:sz w:val="16"/>
                <w:szCs w:val="16"/>
                <w:color w:val="auto"/>
              </w:rPr>
              <w:t>0%</w:t>
            </w:r>
          </w:p>
        </w:tc>
        <w:tc>
          <w:tcPr>
            <w:tcW w:w="1340" w:type="dxa"/>
            <w:vAlign w:val="bottom"/>
            <w:shd w:val="clear" w:color="auto" w:fill="CFF0FC"/>
          </w:tcPr>
          <w:p>
            <w:pPr>
              <w:jc w:val="right"/>
              <w:ind w:right="379"/>
              <w:spacing w:after="0"/>
              <w:rPr>
                <w:sz w:val="20"/>
                <w:szCs w:val="20"/>
                <w:color w:val="auto"/>
              </w:rPr>
            </w:pPr>
            <w:r>
              <w:rPr>
                <w:rFonts w:ascii="Arial" w:cs="Arial" w:eastAsia="Arial" w:hAnsi="Arial"/>
                <w:sz w:val="16"/>
                <w:szCs w:val="16"/>
                <w:color w:val="auto"/>
              </w:rPr>
              <w:t>200%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Performance Share Plan at December 31, 2023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340" w:type="dxa"/>
            <w:vAlign w:val="bottom"/>
            <w:tcBorders>
              <w:bottom w:val="single" w:sz="8" w:color="auto"/>
            </w:tcBorders>
            <w:gridSpan w:val="3"/>
          </w:tcPr>
          <w:p>
            <w:pPr>
              <w:jc w:val="right"/>
              <w:ind w:right="1199"/>
              <w:spacing w:after="0"/>
              <w:rPr>
                <w:sz w:val="20"/>
                <w:szCs w:val="20"/>
                <w:color w:val="auto"/>
              </w:rPr>
            </w:pPr>
            <w:r>
              <w:rPr>
                <w:rFonts w:ascii="Arial" w:cs="Arial" w:eastAsia="Arial" w:hAnsi="Arial"/>
                <w:sz w:val="16"/>
                <w:szCs w:val="16"/>
                <w:b w:val="1"/>
                <w:bCs w:val="1"/>
                <w:color w:val="auto"/>
              </w:rPr>
              <w:t>Equity Portion</w:t>
            </w:r>
          </w:p>
        </w:tc>
        <w:tc>
          <w:tcPr>
            <w:tcW w:w="2880" w:type="dxa"/>
            <w:vAlign w:val="bottom"/>
            <w:tcBorders>
              <w:bottom w:val="single" w:sz="8" w:color="auto"/>
            </w:tcBorders>
            <w:gridSpan w:val="2"/>
          </w:tcPr>
          <w:p>
            <w:pPr>
              <w:ind w:left="680"/>
              <w:spacing w:after="0"/>
              <w:rPr>
                <w:sz w:val="20"/>
                <w:szCs w:val="20"/>
                <w:color w:val="auto"/>
              </w:rPr>
            </w:pPr>
            <w:r>
              <w:rPr>
                <w:rFonts w:ascii="Arial" w:cs="Arial" w:eastAsia="Arial" w:hAnsi="Arial"/>
                <w:sz w:val="16"/>
                <w:szCs w:val="16"/>
                <w:b w:val="1"/>
                <w:bCs w:val="1"/>
                <w:color w:val="auto"/>
              </w:rPr>
              <w:t>Liability Portion</w:t>
            </w:r>
          </w:p>
        </w:tc>
        <w:tc>
          <w:tcPr>
            <w:tcW w:w="0" w:type="dxa"/>
            <w:vAlign w:val="bottom"/>
          </w:tcPr>
          <w:p>
            <w:pPr>
              <w:spacing w:after="0"/>
              <w:rPr>
                <w:sz w:val="1"/>
                <w:szCs w:val="1"/>
                <w:color w:val="auto"/>
              </w:rPr>
            </w:pPr>
          </w:p>
        </w:tc>
      </w:tr>
      <w:tr>
        <w:trPr>
          <w:trHeight w:val="182"/>
        </w:trPr>
        <w:tc>
          <w:tcPr>
            <w:tcW w:w="3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jc w:val="center"/>
              <w:ind w:right="399"/>
              <w:spacing w:after="0" w:line="182" w:lineRule="exact"/>
              <w:rPr>
                <w:sz w:val="20"/>
                <w:szCs w:val="20"/>
                <w:color w:val="auto"/>
              </w:rPr>
            </w:pPr>
            <w:r>
              <w:rPr>
                <w:rFonts w:ascii="Arial" w:cs="Arial" w:eastAsia="Arial" w:hAnsi="Arial"/>
                <w:sz w:val="16"/>
                <w:szCs w:val="16"/>
                <w:b w:val="1"/>
                <w:bCs w:val="1"/>
                <w:color w:val="auto"/>
              </w:rPr>
              <w:t>Weighted-</w:t>
            </w:r>
          </w:p>
        </w:tc>
        <w:tc>
          <w:tcPr>
            <w:tcW w:w="1560" w:type="dxa"/>
            <w:vAlign w:val="bottom"/>
          </w:tcPr>
          <w:p>
            <w:pPr>
              <w:spacing w:after="0"/>
              <w:rPr>
                <w:sz w:val="15"/>
                <w:szCs w:val="15"/>
                <w:color w:val="auto"/>
              </w:rPr>
            </w:pPr>
          </w:p>
        </w:tc>
        <w:tc>
          <w:tcPr>
            <w:tcW w:w="1320" w:type="dxa"/>
            <w:vAlign w:val="bottom"/>
          </w:tcPr>
          <w:p>
            <w:pPr>
              <w:jc w:val="center"/>
              <w:ind w:right="139"/>
              <w:spacing w:after="0" w:line="182" w:lineRule="exact"/>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680" w:type="dxa"/>
            <w:vAlign w:val="bottom"/>
            <w:gridSpan w:val="2"/>
          </w:tcPr>
          <w:p>
            <w:pPr>
              <w:jc w:val="center"/>
              <w:ind w:right="239"/>
              <w:spacing w:after="0"/>
              <w:rPr>
                <w:sz w:val="20"/>
                <w:szCs w:val="20"/>
                <w:color w:val="auto"/>
              </w:rPr>
            </w:pPr>
            <w:r>
              <w:rPr>
                <w:rFonts w:ascii="Arial" w:cs="Arial" w:eastAsia="Arial" w:hAnsi="Arial"/>
                <w:sz w:val="16"/>
                <w:szCs w:val="16"/>
                <w:b w:val="1"/>
                <w:bCs w:val="1"/>
                <w:color w:val="auto"/>
              </w:rPr>
              <w:t>Average Grant</w:t>
            </w:r>
          </w:p>
        </w:tc>
        <w:tc>
          <w:tcPr>
            <w:tcW w:w="1560" w:type="dxa"/>
            <w:vAlign w:val="bottom"/>
          </w:tcPr>
          <w:p>
            <w:pPr>
              <w:spacing w:after="0"/>
              <w:rPr>
                <w:sz w:val="16"/>
                <w:szCs w:val="16"/>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Average Fair</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center"/>
              <w:ind w:right="379"/>
              <w:spacing w:after="0"/>
              <w:rPr>
                <w:sz w:val="20"/>
                <w:szCs w:val="20"/>
                <w:color w:val="auto"/>
              </w:rPr>
            </w:pPr>
            <w:r>
              <w:rPr>
                <w:rFonts w:ascii="Arial" w:cs="Arial" w:eastAsia="Arial" w:hAnsi="Arial"/>
                <w:sz w:val="16"/>
                <w:szCs w:val="16"/>
                <w:b w:val="1"/>
                <w:bCs w:val="1"/>
                <w:color w:val="auto"/>
              </w:rPr>
              <w:t>Date</w:t>
            </w:r>
          </w:p>
        </w:tc>
        <w:tc>
          <w:tcPr>
            <w:tcW w:w="1560" w:type="dxa"/>
            <w:vAlign w:val="bottom"/>
          </w:tcPr>
          <w:p>
            <w:pPr>
              <w:spacing w:after="0"/>
              <w:rPr>
                <w:sz w:val="18"/>
                <w:szCs w:val="18"/>
                <w:color w:val="auto"/>
              </w:rPr>
            </w:pPr>
          </w:p>
        </w:tc>
        <w:tc>
          <w:tcPr>
            <w:tcW w:w="1320" w:type="dxa"/>
            <w:vAlign w:val="bottom"/>
          </w:tcPr>
          <w:p>
            <w:pPr>
              <w:jc w:val="center"/>
              <w:ind w:right="139"/>
              <w:spacing w:after="0"/>
              <w:rPr>
                <w:sz w:val="20"/>
                <w:szCs w:val="20"/>
                <w:color w:val="auto"/>
              </w:rPr>
            </w:pPr>
            <w:r>
              <w:rPr>
                <w:rFonts w:ascii="Arial" w:cs="Arial" w:eastAsia="Arial" w:hAnsi="Arial"/>
                <w:sz w:val="16"/>
                <w:szCs w:val="16"/>
                <w:b w:val="1"/>
                <w:bCs w:val="1"/>
                <w:color w:val="auto"/>
              </w:rPr>
              <w:t>Value at</w:t>
            </w: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vMerge w:val="restart"/>
          </w:tcPr>
          <w:p>
            <w:pPr>
              <w:jc w:val="center"/>
              <w:ind w:right="379"/>
              <w:spacing w:after="0"/>
              <w:rPr>
                <w:sz w:val="20"/>
                <w:szCs w:val="20"/>
                <w:color w:val="auto"/>
              </w:rPr>
            </w:pPr>
            <w:r>
              <w:rPr>
                <w:rFonts w:ascii="Arial" w:cs="Arial" w:eastAsia="Arial" w:hAnsi="Arial"/>
                <w:sz w:val="16"/>
                <w:szCs w:val="16"/>
                <w:b w:val="1"/>
                <w:bCs w:val="1"/>
                <w:color w:val="auto"/>
                <w:w w:val="97"/>
              </w:rPr>
              <w:t xml:space="preserve">Fair Value </w:t>
            </w:r>
            <w:r>
              <w:rPr>
                <w:rFonts w:ascii="Arial" w:cs="Arial" w:eastAsia="Arial" w:hAnsi="Arial"/>
                <w:sz w:val="21"/>
                <w:szCs w:val="21"/>
                <w:b w:val="1"/>
                <w:bCs w:val="1"/>
                <w:color w:val="auto"/>
                <w:w w:val="97"/>
                <w:vertAlign w:val="superscript"/>
              </w:rPr>
              <w:t>(a)</w:t>
            </w:r>
          </w:p>
        </w:tc>
        <w:tc>
          <w:tcPr>
            <w:tcW w:w="1560" w:type="dxa"/>
            <w:vAlign w:val="bottom"/>
          </w:tcPr>
          <w:p>
            <w:pPr>
              <w:spacing w:after="0"/>
              <w:rPr>
                <w:sz w:val="16"/>
                <w:szCs w:val="16"/>
                <w:color w:val="auto"/>
              </w:rPr>
            </w:pPr>
          </w:p>
        </w:tc>
        <w:tc>
          <w:tcPr>
            <w:tcW w:w="1320" w:type="dxa"/>
            <w:vAlign w:val="bottom"/>
          </w:tcPr>
          <w:p>
            <w:pPr>
              <w:jc w:val="center"/>
              <w:ind w:right="1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7"/>
        </w:trPr>
        <w:tc>
          <w:tcPr>
            <w:tcW w:w="37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Shares</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vMerge w:val="continue"/>
          </w:tcPr>
          <w:p>
            <w:pPr>
              <w:spacing w:after="0"/>
              <w:rPr>
                <w:sz w:val="18"/>
                <w:szCs w:val="18"/>
                <w:color w:val="auto"/>
              </w:rPr>
            </w:pPr>
          </w:p>
        </w:tc>
        <w:tc>
          <w:tcPr>
            <w:tcW w:w="15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Shares</w:t>
            </w:r>
          </w:p>
        </w:tc>
        <w:tc>
          <w:tcPr>
            <w:tcW w:w="13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Performance Shares balance at beginning of period</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18,105</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81.42</w:t>
            </w: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18,105</w:t>
            </w: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Granted</w:t>
            </w: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Forfeited</w:t>
            </w:r>
          </w:p>
        </w:tc>
        <w:tc>
          <w:tcPr>
            <w:tcW w:w="1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020" w:type="dxa"/>
            <w:vAlign w:val="bottom"/>
            <w:gridSpan w:val="2"/>
          </w:tcPr>
          <w:p>
            <w:pPr>
              <w:ind w:left="20"/>
              <w:spacing w:after="0"/>
              <w:rPr>
                <w:sz w:val="20"/>
                <w:szCs w:val="20"/>
                <w:color w:val="auto"/>
              </w:rPr>
            </w:pPr>
            <w:r>
              <w:rPr>
                <w:rFonts w:ascii="Arial" w:cs="Arial" w:eastAsia="Arial" w:hAnsi="Arial"/>
                <w:sz w:val="16"/>
                <w:szCs w:val="16"/>
                <w:color w:val="auto"/>
              </w:rPr>
              <w:t>Vested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(18,105 )</w:t>
            </w: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81.42</w:t>
            </w: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(18,105 )</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Performance Shares balance at end of period</w:t>
            </w:r>
          </w:p>
        </w:tc>
        <w:tc>
          <w:tcPr>
            <w:tcW w:w="16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FF0FC"/>
          </w:tcPr>
          <w:p>
            <w:pPr>
              <w:jc w:val="right"/>
              <w:ind w:right="2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  $</w:t>
            </w:r>
          </w:p>
        </w:tc>
        <w:tc>
          <w:tcPr>
            <w:tcW w:w="1320" w:type="dxa"/>
            <w:vAlign w:val="bottom"/>
            <w:tcBorders>
              <w:bottom w:val="single" w:sz="8" w:color="auto"/>
            </w:tcBorders>
            <w:shd w:val="clear" w:color="auto" w:fill="CFF0FC"/>
          </w:tcPr>
          <w:p>
            <w:pPr>
              <w:ind w:left="10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16"/>
        </w:trPr>
        <w:tc>
          <w:tcPr>
            <w:tcW w:w="374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520" w:right="140" w:hanging="512"/>
        <w:spacing w:after="0" w:line="285" w:lineRule="auto"/>
        <w:tabs>
          <w:tab w:leader="none" w:pos="5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grant date fair values for the performance shares granted in 2020 were determined by Monte Carlo simulation using a blended volatility of 18%, comprised of 50% historical volatility and 50% implied volatility and the average risk-free interest rate of the three-year United States Treasury security rate in effect as of the grant date.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Performance plan payouts have been as follows (in millions, except stock issued):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Performance Period</w:t>
            </w:r>
          </w:p>
        </w:tc>
        <w:tc>
          <w:tcPr>
            <w:tcW w:w="2200" w:type="dxa"/>
            <w:vAlign w:val="bottom"/>
            <w:tcBorders>
              <w:bottom w:val="single" w:sz="8" w:color="auto"/>
            </w:tcBorders>
          </w:tcPr>
          <w:p>
            <w:pPr>
              <w:jc w:val="center"/>
              <w:ind w:left="879"/>
              <w:spacing w:after="0"/>
              <w:rPr>
                <w:sz w:val="20"/>
                <w:szCs w:val="20"/>
                <w:color w:val="auto"/>
              </w:rPr>
            </w:pPr>
            <w:r>
              <w:rPr>
                <w:rFonts w:ascii="Arial" w:cs="Arial" w:eastAsia="Arial" w:hAnsi="Arial"/>
                <w:sz w:val="16"/>
                <w:szCs w:val="16"/>
                <w:b w:val="1"/>
                <w:bCs w:val="1"/>
                <w:color w:val="auto"/>
                <w:w w:val="98"/>
              </w:rPr>
              <w:t>Year Paid</w:t>
            </w:r>
          </w:p>
        </w:tc>
        <w:tc>
          <w:tcPr>
            <w:tcW w:w="14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Stock Issued</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Cash Paid</w:t>
            </w:r>
          </w:p>
        </w:tc>
        <w:tc>
          <w:tcPr>
            <w:tcW w:w="2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 Intrinsic Value</w:t>
            </w:r>
          </w:p>
        </w:tc>
      </w:tr>
      <w:tr>
        <w:trPr>
          <w:trHeight w:val="210"/>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1, 2020 to December 31, 2022</w:t>
            </w:r>
          </w:p>
        </w:tc>
        <w:tc>
          <w:tcPr>
            <w:tcW w:w="2200" w:type="dxa"/>
            <w:vAlign w:val="bottom"/>
            <w:shd w:val="clear" w:color="auto" w:fill="CFF0FC"/>
          </w:tcPr>
          <w:p>
            <w:pPr>
              <w:jc w:val="center"/>
              <w:ind w:left="879"/>
              <w:spacing w:after="0"/>
              <w:rPr>
                <w:sz w:val="20"/>
                <w:szCs w:val="20"/>
                <w:color w:val="auto"/>
              </w:rPr>
            </w:pPr>
            <w:r>
              <w:rPr>
                <w:rFonts w:ascii="Arial" w:cs="Arial" w:eastAsia="Arial" w:hAnsi="Arial"/>
                <w:sz w:val="16"/>
                <w:szCs w:val="16"/>
                <w:color w:val="auto"/>
              </w:rPr>
              <w:t>2023</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4,958</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0.7</w:t>
            </w:r>
          </w:p>
        </w:tc>
      </w:tr>
      <w:tr>
        <w:trPr>
          <w:trHeight w:val="215"/>
        </w:trPr>
        <w:tc>
          <w:tcPr>
            <w:tcW w:w="4040" w:type="dxa"/>
            <w:vAlign w:val="bottom"/>
          </w:tcPr>
          <w:p>
            <w:pPr>
              <w:ind w:left="20"/>
              <w:spacing w:after="0"/>
              <w:rPr>
                <w:sz w:val="20"/>
                <w:szCs w:val="20"/>
                <w:color w:val="auto"/>
              </w:rPr>
            </w:pPr>
            <w:r>
              <w:rPr>
                <w:rFonts w:ascii="Arial" w:cs="Arial" w:eastAsia="Arial" w:hAnsi="Arial"/>
                <w:sz w:val="16"/>
                <w:szCs w:val="16"/>
                <w:color w:val="auto"/>
              </w:rPr>
              <w:t>January 1, 2019 to December 31, 2021</w:t>
            </w:r>
          </w:p>
        </w:tc>
        <w:tc>
          <w:tcPr>
            <w:tcW w:w="2200" w:type="dxa"/>
            <w:vAlign w:val="bottom"/>
          </w:tcPr>
          <w:p>
            <w:pPr>
              <w:jc w:val="center"/>
              <w:ind w:left="879"/>
              <w:spacing w:after="0"/>
              <w:rPr>
                <w:sz w:val="20"/>
                <w:szCs w:val="20"/>
                <w:color w:val="auto"/>
              </w:rPr>
            </w:pPr>
            <w:r>
              <w:rPr>
                <w:rFonts w:ascii="Arial" w:cs="Arial" w:eastAsia="Arial" w:hAnsi="Arial"/>
                <w:sz w:val="16"/>
                <w:szCs w:val="16"/>
                <w:color w:val="auto"/>
              </w:rPr>
              <w:t>2022</w:t>
            </w:r>
          </w:p>
        </w:tc>
        <w:tc>
          <w:tcPr>
            <w:tcW w:w="1480" w:type="dxa"/>
            <w:vAlign w:val="bottom"/>
          </w:tcPr>
          <w:p>
            <w:pPr>
              <w:jc w:val="right"/>
              <w:spacing w:after="0"/>
              <w:rPr>
                <w:sz w:val="20"/>
                <w:szCs w:val="20"/>
                <w:color w:val="auto"/>
              </w:rPr>
            </w:pPr>
            <w:r>
              <w:rPr>
                <w:rFonts w:ascii="Arial" w:cs="Arial" w:eastAsia="Arial" w:hAnsi="Arial"/>
                <w:sz w:val="16"/>
                <w:szCs w:val="16"/>
                <w:color w:val="auto"/>
              </w:rPr>
              <w:t>7,582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39"/>
              <w:spacing w:after="0"/>
              <w:rPr>
                <w:sz w:val="20"/>
                <w:szCs w:val="20"/>
                <w:color w:val="auto"/>
              </w:rPr>
            </w:pPr>
            <w:r>
              <w:rPr>
                <w:rFonts w:ascii="Arial" w:cs="Arial" w:eastAsia="Arial" w:hAnsi="Arial"/>
                <w:sz w:val="16"/>
                <w:szCs w:val="16"/>
                <w:color w:val="auto"/>
              </w:rPr>
              <w:t>1.0</w:t>
            </w:r>
          </w:p>
        </w:tc>
      </w:tr>
      <w:tr>
        <w:trPr>
          <w:trHeight w:val="217"/>
        </w:trPr>
        <w:tc>
          <w:tcPr>
            <w:tcW w:w="404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1, 2018 to December 31, 2020</w:t>
            </w:r>
          </w:p>
        </w:tc>
        <w:tc>
          <w:tcPr>
            <w:tcW w:w="2200" w:type="dxa"/>
            <w:vAlign w:val="bottom"/>
            <w:shd w:val="clear" w:color="auto" w:fill="CFF0FC"/>
          </w:tcPr>
          <w:p>
            <w:pPr>
              <w:jc w:val="center"/>
              <w:ind w:left="879"/>
              <w:spacing w:after="0"/>
              <w:rPr>
                <w:sz w:val="20"/>
                <w:szCs w:val="20"/>
                <w:color w:val="auto"/>
              </w:rPr>
            </w:pPr>
            <w:r>
              <w:rPr>
                <w:rFonts w:ascii="Arial" w:cs="Arial" w:eastAsia="Arial" w:hAnsi="Arial"/>
                <w:sz w:val="16"/>
                <w:szCs w:val="16"/>
                <w:color w:val="auto"/>
              </w:rPr>
              <w:t>2021</w:t>
            </w:r>
          </w:p>
        </w:tc>
        <w:tc>
          <w:tcPr>
            <w:tcW w:w="1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27,515</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w:t>
            </w:r>
          </w:p>
        </w:tc>
      </w:tr>
      <w:tr>
        <w:trPr>
          <w:trHeight w:val="619"/>
        </w:trPr>
        <w:tc>
          <w:tcPr>
            <w:tcW w:w="4040" w:type="dxa"/>
            <w:vAlign w:val="bottom"/>
          </w:tcPr>
          <w:p>
            <w:pPr>
              <w:spacing w:after="0"/>
              <w:rPr>
                <w:sz w:val="24"/>
                <w:szCs w:val="24"/>
                <w:color w:val="auto"/>
              </w:rPr>
            </w:pPr>
          </w:p>
        </w:tc>
        <w:tc>
          <w:tcPr>
            <w:tcW w:w="2200" w:type="dxa"/>
            <w:vAlign w:val="bottom"/>
          </w:tcPr>
          <w:p>
            <w:pPr>
              <w:jc w:val="center"/>
              <w:ind w:left="899"/>
              <w:spacing w:after="0"/>
              <w:rPr>
                <w:sz w:val="20"/>
                <w:szCs w:val="20"/>
                <w:color w:val="auto"/>
              </w:rPr>
            </w:pPr>
            <w:r>
              <w:rPr>
                <w:rFonts w:ascii="Arial" w:cs="Arial" w:eastAsia="Arial" w:hAnsi="Arial"/>
                <w:sz w:val="16"/>
                <w:szCs w:val="16"/>
                <w:color w:val="auto"/>
              </w:rPr>
              <w:t>97</w:t>
            </w:r>
          </w:p>
        </w:tc>
        <w:tc>
          <w:tcPr>
            <w:tcW w:w="1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751"/>
        </w:trPr>
        <w:tc>
          <w:tcPr>
            <w:tcW w:w="40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7" w:name="page98"/>
    <w:bookmarkEnd w:id="9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(15) INCOME TAXES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IRS Revenue Procedure 2023-15</w:t>
      </w:r>
    </w:p>
    <w:p>
      <w:pPr>
        <w:spacing w:after="0" w:line="194" w:lineRule="exact"/>
        <w:rPr>
          <w:sz w:val="20"/>
          <w:szCs w:val="20"/>
          <w:color w:val="auto"/>
        </w:rPr>
      </w:pPr>
    </w:p>
    <w:p>
      <w:pPr>
        <w:ind w:right="400"/>
        <w:spacing w:after="0" w:line="259" w:lineRule="auto"/>
        <w:rPr>
          <w:sz w:val="20"/>
          <w:szCs w:val="20"/>
          <w:color w:val="auto"/>
        </w:rPr>
      </w:pPr>
      <w:r>
        <w:rPr>
          <w:rFonts w:ascii="Arial" w:cs="Arial" w:eastAsia="Arial" w:hAnsi="Arial"/>
          <w:sz w:val="16"/>
          <w:szCs w:val="16"/>
          <w:color w:val="auto"/>
        </w:rPr>
        <w:t>On April 14, 2023, the IRS released Revenue Procedure 2023-15 “Amounts paid to improve tangible property.” The Revenue Procedure provides a safe harbor method of accounting that taxpayers may use to determine whether costs to repair, maintain, replace, or improve natural gas transmission and distribution property must be capitalized. The revenue procedure may be adopted in tax years ending after May 1, 2023. We are currently assessing the Revenue Procedure to determine its impact on our tax repairs deduction.</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 Expense (Benefit)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(benefit) from continuing operations for the years ended December 31 was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18"/>
                <w:szCs w:val="18"/>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2021</w:t>
            </w:r>
          </w:p>
        </w:tc>
      </w:tr>
      <w:tr>
        <w:trPr>
          <w:trHeight w:val="209"/>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Current:</w:t>
            </w: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5"/>
        </w:trPr>
        <w:tc>
          <w:tcPr>
            <w:tcW w:w="5000" w:type="dxa"/>
            <w:vAlign w:val="bottom"/>
          </w:tcPr>
          <w:p>
            <w:pPr>
              <w:ind w:left="200"/>
              <w:spacing w:after="0"/>
              <w:rPr>
                <w:sz w:val="20"/>
                <w:szCs w:val="20"/>
                <w:color w:val="auto"/>
              </w:rPr>
            </w:pPr>
            <w:r>
              <w:rPr>
                <w:rFonts w:ascii="Arial" w:cs="Arial" w:eastAsia="Arial" w:hAnsi="Arial"/>
                <w:sz w:val="16"/>
                <w:szCs w:val="16"/>
                <w:color w:val="auto"/>
              </w:rPr>
              <w:t>Federal</w:t>
            </w:r>
          </w:p>
        </w:tc>
        <w:tc>
          <w:tcPr>
            <w:tcW w:w="1420" w:type="dxa"/>
            <w:vAlign w:val="bottom"/>
          </w:tcPr>
          <w:p>
            <w:pPr>
              <w:jc w:val="right"/>
              <w:ind w:right="12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59"/>
              <w:spacing w:after="0"/>
              <w:rPr>
                <w:sz w:val="20"/>
                <w:szCs w:val="20"/>
                <w:color w:val="auto"/>
              </w:rPr>
            </w:pPr>
            <w:r>
              <w:rPr>
                <w:rFonts w:ascii="Arial" w:cs="Arial" w:eastAsia="Arial" w:hAnsi="Arial"/>
                <w:sz w:val="16"/>
                <w:szCs w:val="16"/>
                <w:color w:val="auto"/>
              </w:rPr>
              <w:t>(0.8 ) $</w:t>
            </w:r>
          </w:p>
        </w:tc>
        <w:tc>
          <w:tcPr>
            <w:tcW w:w="2060" w:type="dxa"/>
            <w:vAlign w:val="bottom"/>
            <w:gridSpan w:val="2"/>
          </w:tcPr>
          <w:p>
            <w:pPr>
              <w:jc w:val="right"/>
              <w:ind w:right="259"/>
              <w:spacing w:after="0"/>
              <w:rPr>
                <w:sz w:val="20"/>
                <w:szCs w:val="20"/>
                <w:color w:val="auto"/>
              </w:rPr>
            </w:pPr>
            <w:r>
              <w:rPr>
                <w:rFonts w:ascii="Arial" w:cs="Arial" w:eastAsia="Arial" w:hAnsi="Arial"/>
                <w:sz w:val="16"/>
                <w:szCs w:val="16"/>
                <w:color w:val="auto"/>
              </w:rPr>
              <w:t>(0.5 ) $</w:t>
            </w: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0.6</w:t>
            </w:r>
          </w:p>
        </w:tc>
      </w:tr>
      <w:tr>
        <w:trPr>
          <w:trHeight w:val="216"/>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1.0</w:t>
            </w:r>
          </w:p>
        </w:tc>
        <w:tc>
          <w:tcPr>
            <w:tcW w:w="4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0.1</w:t>
            </w:r>
          </w:p>
        </w:tc>
        <w:tc>
          <w:tcPr>
            <w:tcW w:w="4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(0.7 )</w:t>
            </w:r>
          </w:p>
        </w:tc>
      </w:tr>
      <w:tr>
        <w:trPr>
          <w:trHeight w:val="209"/>
        </w:trPr>
        <w:tc>
          <w:tcPr>
            <w:tcW w:w="5000" w:type="dxa"/>
            <w:vAlign w:val="bottom"/>
          </w:tcPr>
          <w:p>
            <w:pPr>
              <w:ind w:left="380"/>
              <w:spacing w:after="0"/>
              <w:rPr>
                <w:sz w:val="20"/>
                <w:szCs w:val="20"/>
                <w:color w:val="auto"/>
              </w:rPr>
            </w:pPr>
            <w:r>
              <w:rPr>
                <w:rFonts w:ascii="Arial" w:cs="Arial" w:eastAsia="Arial" w:hAnsi="Arial"/>
                <w:sz w:val="16"/>
                <w:szCs w:val="16"/>
                <w:color w:val="auto"/>
              </w:rPr>
              <w:t>Current income tax (benefit)</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0.2</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(0.1 )</w:t>
            </w:r>
          </w:p>
        </w:tc>
      </w:tr>
      <w:tr>
        <w:trPr>
          <w:trHeight w:val="210"/>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w:t>
            </w:r>
          </w:p>
        </w:tc>
        <w:tc>
          <w:tcPr>
            <w:tcW w:w="14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r>
      <w:tr>
        <w:trPr>
          <w:trHeight w:val="215"/>
        </w:trPr>
        <w:tc>
          <w:tcPr>
            <w:tcW w:w="5000" w:type="dxa"/>
            <w:vAlign w:val="bottom"/>
          </w:tcPr>
          <w:p>
            <w:pPr>
              <w:ind w:left="200"/>
              <w:spacing w:after="0"/>
              <w:rPr>
                <w:sz w:val="20"/>
                <w:szCs w:val="20"/>
                <w:color w:val="auto"/>
              </w:rPr>
            </w:pPr>
            <w:r>
              <w:rPr>
                <w:rFonts w:ascii="Arial" w:cs="Arial" w:eastAsia="Arial" w:hAnsi="Arial"/>
                <w:sz w:val="16"/>
                <w:szCs w:val="16"/>
                <w:color w:val="auto"/>
              </w:rPr>
              <w:t>Federal</w:t>
            </w:r>
          </w:p>
        </w:tc>
        <w:tc>
          <w:tcPr>
            <w:tcW w:w="142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480" w:type="dxa"/>
            <w:vAlign w:val="bottom"/>
          </w:tcPr>
          <w:p>
            <w:pPr>
              <w:spacing w:after="0"/>
              <w:rPr>
                <w:sz w:val="18"/>
                <w:szCs w:val="18"/>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460" w:type="dxa"/>
            <w:vAlign w:val="bottom"/>
          </w:tcPr>
          <w:p>
            <w:pPr>
              <w:spacing w:after="0"/>
              <w:rPr>
                <w:sz w:val="18"/>
                <w:szCs w:val="18"/>
                <w:color w:val="auto"/>
              </w:rPr>
            </w:pPr>
          </w:p>
        </w:tc>
        <w:tc>
          <w:tcPr>
            <w:tcW w:w="1620" w:type="dxa"/>
            <w:vAlign w:val="bottom"/>
          </w:tcPr>
          <w:p>
            <w:pPr>
              <w:jc w:val="right"/>
              <w:ind w:right="39"/>
              <w:spacing w:after="0"/>
              <w:rPr>
                <w:sz w:val="20"/>
                <w:szCs w:val="20"/>
                <w:color w:val="auto"/>
              </w:rPr>
            </w:pPr>
            <w:r>
              <w:rPr>
                <w:rFonts w:ascii="Arial" w:cs="Arial" w:eastAsia="Arial" w:hAnsi="Arial"/>
                <w:sz w:val="16"/>
                <w:szCs w:val="16"/>
                <w:color w:val="auto"/>
              </w:rPr>
              <w:t>2.2</w:t>
            </w:r>
          </w:p>
        </w:tc>
      </w:tr>
      <w:tr>
        <w:trPr>
          <w:trHeight w:val="216"/>
        </w:trPr>
        <w:tc>
          <w:tcPr>
            <w:tcW w:w="50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State</w:t>
            </w:r>
          </w:p>
        </w:tc>
        <w:tc>
          <w:tcPr>
            <w:tcW w:w="14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(5.5 )</w:t>
            </w:r>
          </w:p>
        </w:tc>
        <w:tc>
          <w:tcPr>
            <w:tcW w:w="48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2.4</w:t>
            </w:r>
          </w:p>
        </w:tc>
        <w:tc>
          <w:tcPr>
            <w:tcW w:w="46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5.1</w:t>
            </w:r>
          </w:p>
        </w:tc>
      </w:tr>
      <w:tr>
        <w:trPr>
          <w:trHeight w:val="209"/>
        </w:trPr>
        <w:tc>
          <w:tcPr>
            <w:tcW w:w="5000" w:type="dxa"/>
            <w:vAlign w:val="bottom"/>
          </w:tcPr>
          <w:p>
            <w:pPr>
              <w:ind w:left="380"/>
              <w:spacing w:after="0"/>
              <w:rPr>
                <w:sz w:val="20"/>
                <w:szCs w:val="20"/>
                <w:color w:val="auto"/>
              </w:rPr>
            </w:pPr>
            <w:r>
              <w:rPr>
                <w:rFonts w:ascii="Arial" w:cs="Arial" w:eastAsia="Arial" w:hAnsi="Arial"/>
                <w:sz w:val="16"/>
                <w:szCs w:val="16"/>
                <w:color w:val="auto"/>
              </w:rPr>
              <w:t>Deferred income tax expense</w:t>
            </w: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25.4</w:t>
            </w: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25.6</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w:t>
            </w:r>
          </w:p>
        </w:tc>
      </w:tr>
      <w:tr>
        <w:trPr>
          <w:trHeight w:val="210"/>
        </w:trPr>
        <w:tc>
          <w:tcPr>
            <w:tcW w:w="50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49"/>
        </w:trPr>
        <w:tc>
          <w:tcPr>
            <w:tcW w:w="5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Income tax expense</w:t>
            </w:r>
          </w:p>
        </w:tc>
        <w:tc>
          <w:tcPr>
            <w:tcW w:w="1420" w:type="dxa"/>
            <w:vAlign w:val="bottom"/>
            <w:tcBorders>
              <w:bottom w:val="single" w:sz="8" w:color="auto"/>
            </w:tcBorders>
            <w:shd w:val="clear" w:color="auto" w:fill="CFF0FC"/>
          </w:tcPr>
          <w:p>
            <w:pPr>
              <w:jc w:val="right"/>
              <w:ind w:right="123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25.6</w:t>
            </w:r>
          </w:p>
        </w:tc>
        <w:tc>
          <w:tcPr>
            <w:tcW w:w="48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25.2</w:t>
            </w:r>
          </w:p>
        </w:tc>
        <w:tc>
          <w:tcPr>
            <w:tcW w:w="4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7.2</w:t>
            </w:r>
          </w:p>
        </w:tc>
      </w:tr>
      <w:tr>
        <w:trPr>
          <w:trHeight w:val="379"/>
        </w:trPr>
        <w:tc>
          <w:tcPr>
            <w:tcW w:w="5000" w:type="dxa"/>
            <w:vAlign w:val="bottom"/>
          </w:tcPr>
          <w:p>
            <w:pPr>
              <w:spacing w:after="0"/>
              <w:rPr>
                <w:sz w:val="20"/>
                <w:szCs w:val="20"/>
                <w:color w:val="auto"/>
              </w:rPr>
            </w:pPr>
            <w:r>
              <w:rPr>
                <w:rFonts w:ascii="Arial" w:cs="Arial" w:eastAsia="Arial" w:hAnsi="Arial"/>
                <w:sz w:val="16"/>
                <w:szCs w:val="16"/>
                <w:b w:val="1"/>
                <w:bCs w:val="1"/>
                <w:color w:val="auto"/>
              </w:rPr>
              <w:t>Effective Tax Rates</w:t>
            </w:r>
          </w:p>
        </w:tc>
        <w:tc>
          <w:tcPr>
            <w:tcW w:w="1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tax rate differs from the federal statutory rate for the years ended December 31,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60" w:type="dxa"/>
            <w:vAlign w:val="bottom"/>
            <w:gridSpan w:val="2"/>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0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2022</w:t>
            </w:r>
          </w:p>
        </w:tc>
        <w:tc>
          <w:tcPr>
            <w:tcW w:w="152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r>
      <w:tr>
        <w:trPr>
          <w:trHeight w:val="182"/>
        </w:trPr>
        <w:tc>
          <w:tcPr>
            <w:tcW w:w="682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Federal statutory rate</w:t>
            </w:r>
          </w:p>
        </w:tc>
        <w:tc>
          <w:tcPr>
            <w:tcW w:w="1000" w:type="dxa"/>
            <w:vAlign w:val="bottom"/>
          </w:tcPr>
          <w:p>
            <w:pPr>
              <w:jc w:val="right"/>
              <w:ind w:right="239"/>
              <w:spacing w:after="0" w:line="182" w:lineRule="exact"/>
              <w:rPr>
                <w:sz w:val="20"/>
                <w:szCs w:val="20"/>
                <w:color w:val="auto"/>
              </w:rPr>
            </w:pPr>
            <w:r>
              <w:rPr>
                <w:rFonts w:ascii="Arial" w:cs="Arial" w:eastAsia="Arial" w:hAnsi="Arial"/>
                <w:sz w:val="16"/>
                <w:szCs w:val="16"/>
                <w:color w:val="auto"/>
              </w:rPr>
              <w:t>21.0 %</w:t>
            </w:r>
          </w:p>
        </w:tc>
        <w:tc>
          <w:tcPr>
            <w:tcW w:w="1900" w:type="dxa"/>
            <w:vAlign w:val="bottom"/>
          </w:tcPr>
          <w:p>
            <w:pPr>
              <w:jc w:val="right"/>
              <w:ind w:right="259"/>
              <w:spacing w:after="0" w:line="182" w:lineRule="exact"/>
              <w:rPr>
                <w:sz w:val="20"/>
                <w:szCs w:val="20"/>
                <w:color w:val="auto"/>
              </w:rPr>
            </w:pPr>
            <w:r>
              <w:rPr>
                <w:rFonts w:ascii="Arial" w:cs="Arial" w:eastAsia="Arial" w:hAnsi="Arial"/>
                <w:sz w:val="16"/>
                <w:szCs w:val="16"/>
                <w:color w:val="auto"/>
              </w:rPr>
              <w:t>21.0 %</w:t>
            </w:r>
          </w:p>
        </w:tc>
        <w:tc>
          <w:tcPr>
            <w:tcW w:w="156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21.0 %</w:t>
            </w:r>
          </w:p>
        </w:tc>
      </w:tr>
      <w:tr>
        <w:trPr>
          <w:trHeight w:val="243"/>
        </w:trPr>
        <w:tc>
          <w:tcPr>
            <w:tcW w:w="6820" w:type="dxa"/>
            <w:vAlign w:val="bottom"/>
            <w:gridSpan w:val="3"/>
          </w:tcPr>
          <w:p>
            <w:pPr>
              <w:ind w:left="200"/>
              <w:spacing w:after="0"/>
              <w:rPr>
                <w:sz w:val="20"/>
                <w:szCs w:val="20"/>
                <w:color w:val="auto"/>
              </w:rPr>
            </w:pPr>
            <w:r>
              <w:rPr>
                <w:rFonts w:ascii="Arial" w:cs="Arial" w:eastAsia="Arial" w:hAnsi="Arial"/>
                <w:sz w:val="16"/>
                <w:szCs w:val="16"/>
                <w:color w:val="auto"/>
              </w:rPr>
              <w:t xml:space="preserve">State income tax (net of federal tax effect) </w:t>
            </w:r>
            <w:r>
              <w:rPr>
                <w:rFonts w:ascii="Arial" w:cs="Arial" w:eastAsia="Arial" w:hAnsi="Arial"/>
                <w:sz w:val="21"/>
                <w:szCs w:val="21"/>
                <w:color w:val="auto"/>
                <w:vertAlign w:val="superscript"/>
              </w:rPr>
              <w:t>(a)</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(0.8 )</w:t>
            </w:r>
          </w:p>
        </w:tc>
        <w:tc>
          <w:tcPr>
            <w:tcW w:w="1900" w:type="dxa"/>
            <w:vAlign w:val="bottom"/>
          </w:tcPr>
          <w:p>
            <w:pPr>
              <w:jc w:val="right"/>
              <w:ind w:right="439"/>
              <w:spacing w:after="0"/>
              <w:rPr>
                <w:sz w:val="20"/>
                <w:szCs w:val="20"/>
                <w:color w:val="auto"/>
              </w:rPr>
            </w:pPr>
            <w:r>
              <w:rPr>
                <w:rFonts w:ascii="Arial" w:cs="Arial" w:eastAsia="Arial" w:hAnsi="Arial"/>
                <w:sz w:val="16"/>
                <w:szCs w:val="16"/>
                <w:color w:val="auto"/>
              </w:rPr>
              <w:t>0.5</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1.2</w:t>
            </w:r>
          </w:p>
        </w:tc>
        <w:tc>
          <w:tcPr>
            <w:tcW w:w="40" w:type="dxa"/>
            <w:vAlign w:val="bottom"/>
          </w:tcPr>
          <w:p>
            <w:pPr>
              <w:spacing w:after="0"/>
              <w:rPr>
                <w:sz w:val="21"/>
                <w:szCs w:val="21"/>
                <w:color w:val="auto"/>
              </w:rPr>
            </w:pPr>
          </w:p>
        </w:tc>
      </w:tr>
      <w:tr>
        <w:trPr>
          <w:trHeight w:val="216"/>
        </w:trPr>
        <w:tc>
          <w:tcPr>
            <w:tcW w:w="682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(b)</w:t>
            </w:r>
          </w:p>
        </w:tc>
        <w:tc>
          <w:tcPr>
            <w:tcW w:w="10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(1.0 )</w:t>
            </w:r>
          </w:p>
        </w:tc>
        <w:tc>
          <w:tcPr>
            <w:tcW w:w="19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(0.9 )</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(1.2 )</w:t>
            </w:r>
          </w:p>
        </w:tc>
        <w:tc>
          <w:tcPr>
            <w:tcW w:w="40" w:type="dxa"/>
            <w:vAlign w:val="bottom"/>
          </w:tcPr>
          <w:p>
            <w:pPr>
              <w:spacing w:after="0"/>
              <w:rPr>
                <w:sz w:val="18"/>
                <w:szCs w:val="18"/>
                <w:color w:val="auto"/>
              </w:rPr>
            </w:pPr>
          </w:p>
        </w:tc>
      </w:tr>
      <w:tr>
        <w:trPr>
          <w:trHeight w:val="215"/>
        </w:trPr>
        <w:tc>
          <w:tcPr>
            <w:tcW w:w="6820" w:type="dxa"/>
            <w:vAlign w:val="bottom"/>
            <w:gridSpan w:val="3"/>
          </w:tcPr>
          <w:p>
            <w:pPr>
              <w:ind w:left="200"/>
              <w:spacing w:after="0"/>
              <w:rPr>
                <w:sz w:val="20"/>
                <w:szCs w:val="20"/>
                <w:color w:val="auto"/>
              </w:rPr>
            </w:pPr>
            <w:r>
              <w:rPr>
                <w:rFonts w:ascii="Arial" w:cs="Arial" w:eastAsia="Arial" w:hAnsi="Arial"/>
                <w:sz w:val="16"/>
                <w:szCs w:val="16"/>
                <w:color w:val="auto"/>
              </w:rPr>
              <w:t>Tax credits</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(6.2 )</w:t>
            </w:r>
          </w:p>
        </w:tc>
        <w:tc>
          <w:tcPr>
            <w:tcW w:w="1900" w:type="dxa"/>
            <w:vAlign w:val="bottom"/>
          </w:tcPr>
          <w:p>
            <w:pPr>
              <w:jc w:val="right"/>
              <w:ind w:right="359"/>
              <w:spacing w:after="0"/>
              <w:rPr>
                <w:sz w:val="20"/>
                <w:szCs w:val="20"/>
                <w:color w:val="auto"/>
              </w:rPr>
            </w:pPr>
            <w:r>
              <w:rPr>
                <w:rFonts w:ascii="Arial" w:cs="Arial" w:eastAsia="Arial" w:hAnsi="Arial"/>
                <w:sz w:val="16"/>
                <w:szCs w:val="16"/>
                <w:color w:val="auto"/>
              </w:rPr>
              <w:t>(7.7 )</w:t>
            </w:r>
          </w:p>
        </w:tc>
        <w:tc>
          <w:tcPr>
            <w:tcW w:w="1520" w:type="dxa"/>
            <w:vAlign w:val="bottom"/>
          </w:tcPr>
          <w:p>
            <w:pPr>
              <w:jc w:val="right"/>
              <w:spacing w:after="0"/>
              <w:rPr>
                <w:sz w:val="20"/>
                <w:szCs w:val="20"/>
                <w:color w:val="auto"/>
              </w:rPr>
            </w:pPr>
            <w:r>
              <w:rPr>
                <w:rFonts w:ascii="Arial" w:cs="Arial" w:eastAsia="Arial" w:hAnsi="Arial"/>
                <w:sz w:val="16"/>
                <w:szCs w:val="16"/>
                <w:color w:val="auto"/>
              </w:rPr>
              <w:t>(8.4 )</w:t>
            </w:r>
          </w:p>
        </w:tc>
        <w:tc>
          <w:tcPr>
            <w:tcW w:w="40" w:type="dxa"/>
            <w:vAlign w:val="bottom"/>
          </w:tcPr>
          <w:p>
            <w:pPr>
              <w:spacing w:after="0"/>
              <w:rPr>
                <w:sz w:val="18"/>
                <w:szCs w:val="18"/>
                <w:color w:val="auto"/>
              </w:rPr>
            </w:pPr>
          </w:p>
        </w:tc>
      </w:tr>
      <w:tr>
        <w:trPr>
          <w:trHeight w:val="217"/>
        </w:trPr>
        <w:tc>
          <w:tcPr>
            <w:tcW w:w="6820" w:type="dxa"/>
            <w:vAlign w:val="bottom"/>
            <w:gridSpan w:val="3"/>
            <w:shd w:val="clear" w:color="auto" w:fill="CFF0FC"/>
          </w:tcPr>
          <w:p>
            <w:pPr>
              <w:ind w:left="200"/>
              <w:spacing w:after="0" w:line="217" w:lineRule="exact"/>
              <w:rPr>
                <w:sz w:val="20"/>
                <w:szCs w:val="20"/>
                <w:color w:val="auto"/>
              </w:rPr>
            </w:pPr>
            <w:r>
              <w:rPr>
                <w:rFonts w:ascii="Arial" w:cs="Arial" w:eastAsia="Arial" w:hAnsi="Arial"/>
                <w:sz w:val="16"/>
                <w:szCs w:val="16"/>
                <w:color w:val="auto"/>
              </w:rPr>
              <w:t xml:space="preserve">Flow-through adjustments </w:t>
            </w:r>
            <w:r>
              <w:rPr>
                <w:rFonts w:ascii="Arial" w:cs="Arial" w:eastAsia="Arial" w:hAnsi="Arial"/>
                <w:sz w:val="21"/>
                <w:szCs w:val="21"/>
                <w:color w:val="auto"/>
                <w:vertAlign w:val="superscript"/>
              </w:rPr>
              <w:t>(c)</w:t>
            </w:r>
          </w:p>
        </w:tc>
        <w:tc>
          <w:tcPr>
            <w:tcW w:w="1000" w:type="dxa"/>
            <w:vAlign w:val="bottom"/>
            <w:shd w:val="clear" w:color="auto" w:fill="CFF0FC"/>
          </w:tcPr>
          <w:p>
            <w:pPr>
              <w:jc w:val="right"/>
              <w:ind w:right="339"/>
              <w:spacing w:after="0"/>
              <w:rPr>
                <w:sz w:val="20"/>
                <w:szCs w:val="20"/>
                <w:color w:val="auto"/>
              </w:rPr>
            </w:pPr>
            <w:r>
              <w:rPr>
                <w:rFonts w:ascii="Arial" w:cs="Arial" w:eastAsia="Arial" w:hAnsi="Arial"/>
                <w:sz w:val="16"/>
                <w:szCs w:val="16"/>
                <w:color w:val="auto"/>
              </w:rPr>
              <w:t>(1.7 )</w:t>
            </w:r>
          </w:p>
        </w:tc>
        <w:tc>
          <w:tcPr>
            <w:tcW w:w="19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(1.4 )</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(3.2 )</w:t>
            </w:r>
          </w:p>
        </w:tc>
        <w:tc>
          <w:tcPr>
            <w:tcW w:w="40" w:type="dxa"/>
            <w:vAlign w:val="bottom"/>
          </w:tcPr>
          <w:p>
            <w:pPr>
              <w:spacing w:after="0"/>
              <w:rPr>
                <w:sz w:val="18"/>
                <w:szCs w:val="18"/>
                <w:color w:val="auto"/>
              </w:rPr>
            </w:pPr>
          </w:p>
        </w:tc>
      </w:tr>
      <w:tr>
        <w:trPr>
          <w:trHeight w:val="216"/>
        </w:trPr>
        <w:tc>
          <w:tcPr>
            <w:tcW w:w="6820" w:type="dxa"/>
            <w:vAlign w:val="bottom"/>
            <w:gridSpan w:val="3"/>
          </w:tcPr>
          <w:p>
            <w:pPr>
              <w:ind w:left="200"/>
              <w:spacing w:after="0" w:line="216" w:lineRule="exact"/>
              <w:rPr>
                <w:sz w:val="20"/>
                <w:szCs w:val="20"/>
                <w:color w:val="auto"/>
              </w:rPr>
            </w:pPr>
            <w:r>
              <w:rPr>
                <w:rFonts w:ascii="Arial" w:cs="Arial" w:eastAsia="Arial" w:hAnsi="Arial"/>
                <w:sz w:val="16"/>
                <w:szCs w:val="16"/>
                <w:color w:val="auto"/>
              </w:rPr>
              <w:t xml:space="preserve">Amortization of excess deferred income taxes </w:t>
            </w:r>
            <w:r>
              <w:rPr>
                <w:rFonts w:ascii="Arial" w:cs="Arial" w:eastAsia="Arial" w:hAnsi="Arial"/>
                <w:sz w:val="21"/>
                <w:szCs w:val="21"/>
                <w:color w:val="auto"/>
                <w:vertAlign w:val="superscript"/>
              </w:rPr>
              <w:t>(d)</w:t>
            </w:r>
          </w:p>
        </w:tc>
        <w:tc>
          <w:tcPr>
            <w:tcW w:w="1000" w:type="dxa"/>
            <w:vAlign w:val="bottom"/>
          </w:tcPr>
          <w:p>
            <w:pPr>
              <w:jc w:val="right"/>
              <w:ind w:right="339"/>
              <w:spacing w:after="0"/>
              <w:rPr>
                <w:sz w:val="20"/>
                <w:szCs w:val="20"/>
                <w:color w:val="auto"/>
              </w:rPr>
            </w:pPr>
            <w:r>
              <w:rPr>
                <w:rFonts w:ascii="Arial" w:cs="Arial" w:eastAsia="Arial" w:hAnsi="Arial"/>
                <w:sz w:val="16"/>
                <w:szCs w:val="16"/>
                <w:color w:val="auto"/>
              </w:rPr>
              <w:t>(3.0 )</w:t>
            </w:r>
          </w:p>
        </w:tc>
        <w:tc>
          <w:tcPr>
            <w:tcW w:w="1900" w:type="dxa"/>
            <w:vAlign w:val="bottom"/>
          </w:tcPr>
          <w:p>
            <w:pPr>
              <w:jc w:val="right"/>
              <w:ind w:right="359"/>
              <w:spacing w:after="0"/>
              <w:rPr>
                <w:sz w:val="20"/>
                <w:szCs w:val="20"/>
                <w:color w:val="auto"/>
              </w:rPr>
            </w:pPr>
            <w:r>
              <w:rPr>
                <w:rFonts w:ascii="Arial" w:cs="Arial" w:eastAsia="Arial" w:hAnsi="Arial"/>
                <w:sz w:val="16"/>
                <w:szCs w:val="16"/>
                <w:color w:val="auto"/>
              </w:rPr>
              <w:t>(2.5 )</w:t>
            </w:r>
          </w:p>
        </w:tc>
        <w:tc>
          <w:tcPr>
            <w:tcW w:w="1520" w:type="dxa"/>
            <w:vAlign w:val="bottom"/>
          </w:tcPr>
          <w:p>
            <w:pPr>
              <w:jc w:val="right"/>
              <w:spacing w:after="0"/>
              <w:rPr>
                <w:sz w:val="20"/>
                <w:szCs w:val="20"/>
                <w:color w:val="auto"/>
              </w:rPr>
            </w:pPr>
            <w:r>
              <w:rPr>
                <w:rFonts w:ascii="Arial" w:cs="Arial" w:eastAsia="Arial" w:hAnsi="Arial"/>
                <w:sz w:val="16"/>
                <w:szCs w:val="16"/>
                <w:color w:val="auto"/>
              </w:rPr>
              <w:t>(3.1 )</w:t>
            </w:r>
          </w:p>
        </w:tc>
        <w:tc>
          <w:tcPr>
            <w:tcW w:w="40" w:type="dxa"/>
            <w:vAlign w:val="bottom"/>
          </w:tcPr>
          <w:p>
            <w:pPr>
              <w:spacing w:after="0"/>
              <w:rPr>
                <w:sz w:val="18"/>
                <w:szCs w:val="18"/>
                <w:color w:val="auto"/>
              </w:rPr>
            </w:pPr>
          </w:p>
        </w:tc>
      </w:tr>
      <w:tr>
        <w:trPr>
          <w:trHeight w:val="216"/>
        </w:trPr>
        <w:tc>
          <w:tcPr>
            <w:tcW w:w="6820" w:type="dxa"/>
            <w:vAlign w:val="bottom"/>
            <w:gridSpan w:val="3"/>
            <w:shd w:val="clear" w:color="auto" w:fill="CFF0FC"/>
          </w:tcPr>
          <w:p>
            <w:pPr>
              <w:ind w:left="200"/>
              <w:spacing w:after="0" w:line="216" w:lineRule="exact"/>
              <w:rPr>
                <w:sz w:val="20"/>
                <w:szCs w:val="20"/>
                <w:color w:val="auto"/>
              </w:rPr>
            </w:pPr>
            <w:r>
              <w:rPr>
                <w:rFonts w:ascii="Arial" w:cs="Arial" w:eastAsia="Arial" w:hAnsi="Arial"/>
                <w:sz w:val="16"/>
                <w:szCs w:val="16"/>
                <w:color w:val="auto"/>
              </w:rPr>
              <w:t xml:space="preserve">TCJA bill credits </w:t>
            </w:r>
            <w:r>
              <w:rPr>
                <w:rFonts w:ascii="Arial" w:cs="Arial" w:eastAsia="Arial" w:hAnsi="Arial"/>
                <w:sz w:val="21"/>
                <w:szCs w:val="21"/>
                <w:color w:val="auto"/>
                <w:vertAlign w:val="superscript"/>
              </w:rPr>
              <w:t>(e)</w:t>
            </w:r>
          </w:p>
        </w:tc>
        <w:tc>
          <w:tcPr>
            <w:tcW w:w="1000" w:type="dxa"/>
            <w:vAlign w:val="bottom"/>
            <w:shd w:val="clear" w:color="auto" w:fill="CFF0FC"/>
          </w:tcPr>
          <w:p>
            <w:pPr>
              <w:jc w:val="right"/>
              <w:ind w:right="419"/>
              <w:spacing w:after="0"/>
              <w:rPr>
                <w:sz w:val="20"/>
                <w:szCs w:val="20"/>
                <w:color w:val="auto"/>
              </w:rPr>
            </w:pPr>
            <w:r>
              <w:rPr>
                <w:rFonts w:ascii="Arial" w:cs="Arial" w:eastAsia="Arial" w:hAnsi="Arial"/>
                <w:sz w:val="16"/>
                <w:szCs w:val="16"/>
                <w:color w:val="auto"/>
              </w:rPr>
              <w:t>—</w:t>
            </w:r>
          </w:p>
        </w:tc>
        <w:tc>
          <w:tcPr>
            <w:tcW w:w="1900" w:type="dxa"/>
            <w:vAlign w:val="bottom"/>
            <w:shd w:val="clear" w:color="auto" w:fill="CFF0FC"/>
          </w:tcPr>
          <w:p>
            <w:pPr>
              <w:jc w:val="right"/>
              <w:ind w:right="359"/>
              <w:spacing w:after="0"/>
              <w:rPr>
                <w:sz w:val="20"/>
                <w:szCs w:val="20"/>
                <w:color w:val="auto"/>
              </w:rPr>
            </w:pPr>
            <w:r>
              <w:rPr>
                <w:rFonts w:ascii="Arial" w:cs="Arial" w:eastAsia="Arial" w:hAnsi="Arial"/>
                <w:sz w:val="16"/>
                <w:szCs w:val="16"/>
                <w:color w:val="auto"/>
              </w:rPr>
              <w:t>(0.4 )</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(3.6 )</w:t>
            </w:r>
          </w:p>
        </w:tc>
        <w:tc>
          <w:tcPr>
            <w:tcW w:w="40" w:type="dxa"/>
            <w:vAlign w:val="bottom"/>
          </w:tcPr>
          <w:p>
            <w:pPr>
              <w:spacing w:after="0"/>
              <w:rPr>
                <w:sz w:val="18"/>
                <w:szCs w:val="18"/>
                <w:color w:val="auto"/>
              </w:rPr>
            </w:pPr>
          </w:p>
        </w:tc>
      </w:tr>
      <w:tr>
        <w:trPr>
          <w:trHeight w:val="215"/>
        </w:trPr>
        <w:tc>
          <w:tcPr>
            <w:tcW w:w="5560" w:type="dxa"/>
            <w:vAlign w:val="bottom"/>
            <w:gridSpan w:val="2"/>
          </w:tcPr>
          <w:p>
            <w:pPr>
              <w:ind w:left="20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0.2</w:t>
            </w:r>
          </w:p>
        </w:tc>
        <w:tc>
          <w:tcPr>
            <w:tcW w:w="1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(0.1 )</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0.1</w:t>
            </w:r>
          </w:p>
        </w:tc>
        <w:tc>
          <w:tcPr>
            <w:tcW w:w="40" w:type="dxa"/>
            <w:vAlign w:val="bottom"/>
          </w:tcPr>
          <w:p>
            <w:pPr>
              <w:spacing w:after="0"/>
              <w:rPr>
                <w:sz w:val="18"/>
                <w:szCs w:val="18"/>
                <w:color w:val="auto"/>
              </w:rPr>
            </w:pPr>
          </w:p>
        </w:tc>
      </w:tr>
      <w:tr>
        <w:trPr>
          <w:trHeight w:val="209"/>
        </w:trPr>
        <w:tc>
          <w:tcPr>
            <w:tcW w:w="6820" w:type="dxa"/>
            <w:vAlign w:val="bottom"/>
            <w:gridSpan w:val="3"/>
          </w:tcPr>
          <w:p>
            <w:pPr>
              <w:ind w:left="20"/>
              <w:spacing w:after="0"/>
              <w:rPr>
                <w:sz w:val="20"/>
                <w:szCs w:val="20"/>
                <w:color w:val="auto"/>
              </w:rPr>
            </w:pPr>
            <w:r>
              <w:rPr>
                <w:rFonts w:ascii="Arial" w:cs="Arial" w:eastAsia="Arial" w:hAnsi="Arial"/>
                <w:sz w:val="16"/>
                <w:szCs w:val="16"/>
                <w:color w:val="auto"/>
              </w:rPr>
              <w:t>Effective Tax Rate</w:t>
            </w:r>
          </w:p>
        </w:tc>
        <w:tc>
          <w:tcPr>
            <w:tcW w:w="1000" w:type="dxa"/>
            <w:vAlign w:val="bottom"/>
          </w:tcPr>
          <w:p>
            <w:pPr>
              <w:jc w:val="right"/>
              <w:ind w:right="239"/>
              <w:spacing w:after="0"/>
              <w:rPr>
                <w:sz w:val="20"/>
                <w:szCs w:val="20"/>
                <w:color w:val="auto"/>
              </w:rPr>
            </w:pPr>
            <w:r>
              <w:rPr>
                <w:rFonts w:ascii="Arial" w:cs="Arial" w:eastAsia="Arial" w:hAnsi="Arial"/>
                <w:sz w:val="16"/>
                <w:szCs w:val="16"/>
                <w:color w:val="auto"/>
              </w:rPr>
              <w:t>8.5 %</w:t>
            </w:r>
          </w:p>
        </w:tc>
        <w:tc>
          <w:tcPr>
            <w:tcW w:w="1900" w:type="dxa"/>
            <w:vAlign w:val="bottom"/>
          </w:tcPr>
          <w:p>
            <w:pPr>
              <w:jc w:val="right"/>
              <w:ind w:right="259"/>
              <w:spacing w:after="0"/>
              <w:rPr>
                <w:sz w:val="20"/>
                <w:szCs w:val="20"/>
                <w:color w:val="auto"/>
              </w:rPr>
            </w:pPr>
            <w:r>
              <w:rPr>
                <w:rFonts w:ascii="Arial" w:cs="Arial" w:eastAsia="Arial" w:hAnsi="Arial"/>
                <w:sz w:val="16"/>
                <w:szCs w:val="16"/>
                <w:color w:val="auto"/>
              </w:rPr>
              <w:t>8.5 %</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2.8 %</w:t>
            </w:r>
          </w:p>
        </w:tc>
      </w:tr>
      <w:tr>
        <w:trPr>
          <w:trHeight w:val="20"/>
        </w:trPr>
        <w:tc>
          <w:tcPr>
            <w:tcW w:w="33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16"/>
        </w:trPr>
        <w:tc>
          <w:tcPr>
            <w:tcW w:w="3380" w:type="dxa"/>
            <w:vAlign w:val="bottom"/>
            <w:tcBorders>
              <w:bottom w:val="single" w:sz="8" w:color="auto"/>
            </w:tcBorders>
          </w:tcPr>
          <w:p>
            <w:pPr>
              <w:spacing w:after="0"/>
              <w:rPr>
                <w:sz w:val="10"/>
                <w:szCs w:val="10"/>
                <w:color w:val="auto"/>
              </w:rPr>
            </w:pPr>
          </w:p>
        </w:tc>
        <w:tc>
          <w:tcPr>
            <w:tcW w:w="2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-1362710</wp:posOffset>
            </wp:positionV>
            <wp:extent cx="7132320" cy="1371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62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ind w:left="520" w:right="580" w:hanging="512"/>
        <w:spacing w:after="0" w:line="25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state effective tax rate contains the tax expense attributable to multiple statutory state rate changes in the Company's state jurisdictions. For the year ended December 31, 2023, we recognized an $8.2 million tax benefit from a Nebraska income tax rate decrease.</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effective tax rate reflects the income attributable to the non-controlling interest in Black Hills Colorado IPP for which a tax provision was not recorded.</w:t>
      </w:r>
    </w:p>
    <w:p>
      <w:pPr>
        <w:spacing w:after="0" w:line="1" w:lineRule="exact"/>
        <w:rPr>
          <w:rFonts w:ascii="Arial" w:cs="Arial" w:eastAsia="Arial" w:hAnsi="Arial"/>
          <w:sz w:val="14"/>
          <w:szCs w:val="14"/>
          <w:color w:val="auto"/>
        </w:rPr>
      </w:pPr>
    </w:p>
    <w:p>
      <w:pPr>
        <w:ind w:left="520" w:right="180" w:hanging="512"/>
        <w:spacing w:after="0" w:line="241"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4"/>
          <w:szCs w:val="14"/>
          <w:color w:val="auto"/>
        </w:rPr>
      </w:pPr>
    </w:p>
    <w:p>
      <w:pPr>
        <w:ind w:left="520" w:hanging="512"/>
        <w:spacing w:after="0"/>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Primarily TCJA - see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for additional information.</w:t>
      </w:r>
    </w:p>
    <w:p>
      <w:pPr>
        <w:spacing w:after="0" w:line="1" w:lineRule="exact"/>
        <w:rPr>
          <w:rFonts w:ascii="Arial" w:cs="Arial" w:eastAsia="Arial" w:hAnsi="Arial"/>
          <w:sz w:val="14"/>
          <w:szCs w:val="14"/>
          <w:color w:val="auto"/>
        </w:rPr>
      </w:pPr>
    </w:p>
    <w:p>
      <w:pPr>
        <w:ind w:left="520" w:right="380" w:hanging="512"/>
        <w:spacing w:after="0" w:line="264" w:lineRule="auto"/>
        <w:tabs>
          <w:tab w:leader="none" w:pos="5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Primarily related to one-time bill credits of TCJA benefits delivered to Colorado Electric and Nebraska Gas customers in 2021. These bill credits, which resulted in a reduction in revenue, were offset by a reduction in income tax expense and resulted in a minimal impact to Net income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1191260</wp:posOffset>
            </wp:positionH>
            <wp:positionV relativeFrom="paragraph">
              <wp:posOffset>-235585</wp:posOffset>
            </wp:positionV>
            <wp:extent cx="26924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69240" cy="8890"/>
                    </a:xfrm>
                    <a:prstGeom prst="rect">
                      <a:avLst/>
                    </a:prstGeom>
                    <a:noFill/>
                  </pic:spPr>
                </pic:pic>
              </a:graphicData>
            </a:graphic>
          </wp:anchor>
        </w:drawing>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773" w:right="299" w:bottom="1440" w:gutter="0" w:footer="0" w:header="0"/>
        </w:sectPr>
      </w:pPr>
    </w:p>
    <w:bookmarkStart w:id="98" w:name="page99"/>
    <w:bookmarkEnd w:id="98"/>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Tax Assets and Liabilities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temporary differences, which gave rise to the net deferred tax liability, for the years ended December 31 were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78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77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tax assets: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Regulatory liabilities</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74.0</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74.7</w:t>
            </w:r>
          </w:p>
        </w:tc>
        <w:tc>
          <w:tcPr>
            <w:tcW w:w="0" w:type="dxa"/>
            <w:vAlign w:val="bottom"/>
          </w:tcPr>
          <w:p>
            <w:pPr>
              <w:spacing w:after="0"/>
              <w:rPr>
                <w:sz w:val="1"/>
                <w:szCs w:val="1"/>
                <w:color w:val="auto"/>
              </w:rPr>
            </w:pPr>
          </w:p>
        </w:tc>
      </w:tr>
      <w:tr>
        <w:trPr>
          <w:trHeight w:val="217"/>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tax credits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22.8</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Federal NOL</w:t>
            </w:r>
          </w:p>
        </w:tc>
        <w:tc>
          <w:tcPr>
            <w:tcW w:w="10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146.6</w:t>
            </w:r>
          </w:p>
        </w:tc>
        <w:tc>
          <w:tcPr>
            <w:tcW w:w="3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217"/>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State NOL</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16.5</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Partnership</w:t>
            </w:r>
          </w:p>
        </w:tc>
        <w:tc>
          <w:tcPr>
            <w:tcW w:w="10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3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7"/>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Credit Carryovers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110.1</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90.9</w:t>
            </w: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Other deferred tax assets</w:t>
            </w:r>
          </w:p>
        </w:tc>
        <w:tc>
          <w:tcPr>
            <w:tcW w:w="1060" w:type="dxa"/>
            <w:vAlign w:val="bottom"/>
          </w:tcPr>
          <w:p>
            <w:pPr>
              <w:spacing w:after="0"/>
              <w:rPr>
                <w:sz w:val="18"/>
                <w:szCs w:val="18"/>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33.7</w:t>
            </w:r>
          </w:p>
        </w:tc>
        <w:tc>
          <w:tcPr>
            <w:tcW w:w="38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Less: Valuation allowance</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(15.4 )</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(15.5 )</w:t>
            </w:r>
          </w:p>
        </w:tc>
        <w:tc>
          <w:tcPr>
            <w:tcW w:w="0" w:type="dxa"/>
            <w:vAlign w:val="bottom"/>
          </w:tcPr>
          <w:p>
            <w:pPr>
              <w:spacing w:after="0"/>
              <w:rPr>
                <w:sz w:val="1"/>
                <w:szCs w:val="1"/>
                <w:color w:val="auto"/>
              </w:rPr>
            </w:pPr>
          </w:p>
        </w:tc>
      </w:tr>
      <w:tr>
        <w:trPr>
          <w:trHeight w:val="209"/>
        </w:trPr>
        <w:tc>
          <w:tcPr>
            <w:tcW w:w="7780" w:type="dxa"/>
            <w:vAlign w:val="bottom"/>
          </w:tcPr>
          <w:p>
            <w:pPr>
              <w:ind w:left="380"/>
              <w:spacing w:after="0"/>
              <w:rPr>
                <w:sz w:val="20"/>
                <w:szCs w:val="20"/>
                <w:color w:val="auto"/>
              </w:rPr>
            </w:pPr>
            <w:r>
              <w:rPr>
                <w:rFonts w:ascii="Arial" w:cs="Arial" w:eastAsia="Arial" w:hAnsi="Arial"/>
                <w:sz w:val="16"/>
                <w:szCs w:val="16"/>
                <w:color w:val="auto"/>
              </w:rPr>
              <w:t>Total deferred tax assets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400.5</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446.1</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
              <w:spacing w:after="0"/>
              <w:rPr>
                <w:sz w:val="20"/>
                <w:szCs w:val="20"/>
                <w:color w:val="auto"/>
              </w:rPr>
            </w:pPr>
            <w:r>
              <w:rPr>
                <w:rFonts w:ascii="Arial" w:cs="Arial" w:eastAsia="Arial" w:hAnsi="Arial"/>
                <w:sz w:val="16"/>
                <w:szCs w:val="16"/>
                <w:color w:val="auto"/>
              </w:rPr>
              <w:t>Deferred tax liabilities:</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Accelerated depreciation, amortization and other property-related differences</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(686.2 )</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(645.7 )</w:t>
            </w: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Regulatory assets</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(65.6 )</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(94.4 )</w:t>
            </w:r>
          </w:p>
        </w:tc>
        <w:tc>
          <w:tcPr>
            <w:tcW w:w="0" w:type="dxa"/>
            <w:vAlign w:val="bottom"/>
          </w:tcPr>
          <w:p>
            <w:pPr>
              <w:spacing w:after="0"/>
              <w:rPr>
                <w:sz w:val="1"/>
                <w:szCs w:val="1"/>
                <w:color w:val="auto"/>
              </w:rPr>
            </w:pPr>
          </w:p>
        </w:tc>
      </w:tr>
      <w:tr>
        <w:trPr>
          <w:trHeight w:val="217"/>
        </w:trPr>
        <w:tc>
          <w:tcPr>
            <w:tcW w:w="77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w:t>
            </w:r>
          </w:p>
        </w:tc>
        <w:tc>
          <w:tcPr>
            <w:tcW w:w="106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(67.8 )</w:t>
            </w:r>
          </w:p>
        </w:tc>
        <w:tc>
          <w:tcPr>
            <w:tcW w:w="3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(57.9 )</w:t>
            </w: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State deferred tax liability</w:t>
            </w:r>
          </w:p>
        </w:tc>
        <w:tc>
          <w:tcPr>
            <w:tcW w:w="10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(84.5 )</w:t>
            </w:r>
          </w:p>
        </w:tc>
        <w:tc>
          <w:tcPr>
            <w:tcW w:w="3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(98.2 )</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Other deferred tax liabilities</w:t>
            </w:r>
          </w:p>
        </w:tc>
        <w:tc>
          <w:tcPr>
            <w:tcW w:w="106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(44.4 )</w:t>
            </w:r>
          </w:p>
        </w:tc>
        <w:tc>
          <w:tcPr>
            <w:tcW w:w="3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(58.8 )</w:t>
            </w:r>
          </w:p>
        </w:tc>
        <w:tc>
          <w:tcPr>
            <w:tcW w:w="0" w:type="dxa"/>
            <w:vAlign w:val="bottom"/>
          </w:tcPr>
          <w:p>
            <w:pPr>
              <w:spacing w:after="0"/>
              <w:rPr>
                <w:sz w:val="1"/>
                <w:szCs w:val="1"/>
                <w:color w:val="auto"/>
              </w:rPr>
            </w:pPr>
          </w:p>
        </w:tc>
      </w:tr>
      <w:tr>
        <w:trPr>
          <w:trHeight w:val="209"/>
        </w:trPr>
        <w:tc>
          <w:tcPr>
            <w:tcW w:w="7780" w:type="dxa"/>
            <w:vAlign w:val="bottom"/>
          </w:tcPr>
          <w:p>
            <w:pPr>
              <w:ind w:left="380"/>
              <w:spacing w:after="0"/>
              <w:rPr>
                <w:sz w:val="20"/>
                <w:szCs w:val="20"/>
                <w:color w:val="auto"/>
              </w:rPr>
            </w:pPr>
            <w:r>
              <w:rPr>
                <w:rFonts w:ascii="Arial" w:cs="Arial" w:eastAsia="Arial" w:hAnsi="Arial"/>
                <w:sz w:val="16"/>
                <w:szCs w:val="16"/>
                <w:color w:val="auto"/>
              </w:rPr>
              <w:t>Total deferred tax liabilities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(948.5 )</w:t>
            </w:r>
          </w:p>
        </w:tc>
        <w:tc>
          <w:tcPr>
            <w:tcW w:w="3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(955.0 )</w:t>
            </w:r>
          </w:p>
        </w:tc>
        <w:tc>
          <w:tcPr>
            <w:tcW w:w="0" w:type="dxa"/>
            <w:vAlign w:val="bottom"/>
          </w:tcPr>
          <w:p>
            <w:pPr>
              <w:spacing w:after="0"/>
              <w:rPr>
                <w:sz w:val="1"/>
                <w:szCs w:val="1"/>
                <w:color w:val="auto"/>
              </w:rPr>
            </w:pPr>
          </w:p>
        </w:tc>
      </w:tr>
      <w:tr>
        <w:trPr>
          <w:trHeight w:val="210"/>
        </w:trPr>
        <w:tc>
          <w:tcPr>
            <w:tcW w:w="77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780" w:type="dxa"/>
            <w:vAlign w:val="bottom"/>
          </w:tcPr>
          <w:p>
            <w:pPr>
              <w:ind w:left="200"/>
              <w:spacing w:after="0"/>
              <w:rPr>
                <w:sz w:val="20"/>
                <w:szCs w:val="20"/>
                <w:color w:val="auto"/>
              </w:rPr>
            </w:pPr>
            <w:r>
              <w:rPr>
                <w:rFonts w:ascii="Arial" w:cs="Arial" w:eastAsia="Arial" w:hAnsi="Arial"/>
                <w:sz w:val="16"/>
                <w:szCs w:val="16"/>
                <w:color w:val="auto"/>
              </w:rPr>
              <w:t>Net deferred tax liability</w:t>
            </w: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6"/>
                <w:szCs w:val="16"/>
                <w:color w:val="auto"/>
              </w:rPr>
              <w:t>(548.0 )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(508.9 )</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6"/>
                <w:szCs w:val="16"/>
                <w:b w:val="1"/>
                <w:bCs w:val="1"/>
                <w:color w:val="auto"/>
              </w:rPr>
              <w:t>Net Operating Loss and Tax Credit Carryforwards</w:t>
            </w: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2023, we have federal NOL and state NOL and tax credit carryforwards that will expire at various dates as follows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Amounts</w:t>
            </w:r>
          </w:p>
        </w:tc>
        <w:tc>
          <w:tcPr>
            <w:tcW w:w="13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jc w:val="center"/>
              <w:ind w:right="339"/>
              <w:spacing w:after="0"/>
              <w:rPr>
                <w:sz w:val="20"/>
                <w:szCs w:val="20"/>
                <w:color w:val="auto"/>
              </w:rPr>
            </w:pPr>
            <w:r>
              <w:rPr>
                <w:rFonts w:ascii="Arial" w:cs="Arial" w:eastAsia="Arial" w:hAnsi="Arial"/>
                <w:sz w:val="16"/>
                <w:szCs w:val="16"/>
                <w:b w:val="1"/>
                <w:bCs w:val="1"/>
                <w:color w:val="auto"/>
              </w:rPr>
              <w:t>Expiration Dates</w:t>
            </w:r>
          </w:p>
        </w:tc>
      </w:tr>
      <w:tr>
        <w:trPr>
          <w:trHeight w:val="210"/>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Federal NOL Carryforward</w:t>
            </w:r>
          </w:p>
        </w:tc>
        <w:tc>
          <w:tcPr>
            <w:tcW w:w="3540" w:type="dxa"/>
            <w:vAlign w:val="bottom"/>
            <w:shd w:val="clear" w:color="auto" w:fill="CFF0FC"/>
          </w:tcPr>
          <w:p>
            <w:pPr>
              <w:jc w:val="right"/>
              <w:ind w:right="2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111.0</w:t>
            </w:r>
          </w:p>
        </w:tc>
        <w:tc>
          <w:tcPr>
            <w:tcW w:w="2820" w:type="dxa"/>
            <w:vAlign w:val="bottom"/>
            <w:shd w:val="clear" w:color="auto" w:fill="CFF0FC"/>
          </w:tcPr>
          <w:p>
            <w:pPr>
              <w:jc w:val="center"/>
              <w:ind w:right="339"/>
              <w:spacing w:after="0"/>
              <w:rPr>
                <w:sz w:val="20"/>
                <w:szCs w:val="20"/>
                <w:color w:val="auto"/>
              </w:rPr>
            </w:pPr>
            <w:r>
              <w:rPr>
                <w:rFonts w:ascii="Arial" w:cs="Arial" w:eastAsia="Arial" w:hAnsi="Arial"/>
                <w:sz w:val="16"/>
                <w:szCs w:val="16"/>
                <w:color w:val="auto"/>
                <w:w w:val="99"/>
              </w:rPr>
              <w:t>2036-2037</w:t>
            </w: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Federal NOL Carryforward</w:t>
            </w:r>
          </w:p>
        </w:tc>
        <w:tc>
          <w:tcPr>
            <w:tcW w:w="3540" w:type="dxa"/>
            <w:vAlign w:val="bottom"/>
          </w:tcPr>
          <w:p>
            <w:pPr>
              <w:jc w:val="right"/>
              <w:ind w:right="2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59"/>
              <w:spacing w:after="0"/>
              <w:rPr>
                <w:sz w:val="20"/>
                <w:szCs w:val="20"/>
                <w:color w:val="auto"/>
              </w:rPr>
            </w:pPr>
            <w:r>
              <w:rPr>
                <w:rFonts w:ascii="Arial" w:cs="Arial" w:eastAsia="Arial" w:hAnsi="Arial"/>
                <w:sz w:val="16"/>
                <w:szCs w:val="16"/>
                <w:color w:val="auto"/>
              </w:rPr>
              <w:t>587.3</w:t>
            </w:r>
          </w:p>
        </w:tc>
        <w:tc>
          <w:tcPr>
            <w:tcW w:w="2820" w:type="dxa"/>
            <w:vAlign w:val="bottom"/>
          </w:tcPr>
          <w:p>
            <w:pPr>
              <w:jc w:val="center"/>
              <w:ind w:right="339"/>
              <w:spacing w:after="0"/>
              <w:rPr>
                <w:sz w:val="20"/>
                <w:szCs w:val="20"/>
                <w:color w:val="auto"/>
              </w:rPr>
            </w:pPr>
            <w:r>
              <w:rPr>
                <w:rFonts w:ascii="Arial" w:cs="Arial" w:eastAsia="Arial" w:hAnsi="Arial"/>
                <w:sz w:val="16"/>
                <w:szCs w:val="16"/>
                <w:color w:val="auto"/>
              </w:rPr>
              <w:t>No expiration</w:t>
            </w:r>
          </w:p>
        </w:tc>
      </w:tr>
      <w:tr>
        <w:trPr>
          <w:trHeight w:val="217"/>
        </w:trPr>
        <w:tc>
          <w:tcPr>
            <w:tcW w:w="35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Federal Tax Credit Carryforward</w:t>
            </w:r>
          </w:p>
        </w:tc>
        <w:tc>
          <w:tcPr>
            <w:tcW w:w="3540" w:type="dxa"/>
            <w:vAlign w:val="bottom"/>
            <w:shd w:val="clear" w:color="auto" w:fill="CFF0FC"/>
          </w:tcPr>
          <w:p>
            <w:pPr>
              <w:jc w:val="right"/>
              <w:ind w:right="2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110.1</w:t>
            </w:r>
          </w:p>
        </w:tc>
        <w:tc>
          <w:tcPr>
            <w:tcW w:w="2820" w:type="dxa"/>
            <w:vAlign w:val="bottom"/>
            <w:shd w:val="clear" w:color="auto" w:fill="CFF0FC"/>
          </w:tcPr>
          <w:p>
            <w:pPr>
              <w:jc w:val="center"/>
              <w:ind w:right="339"/>
              <w:spacing w:after="0"/>
              <w:rPr>
                <w:sz w:val="20"/>
                <w:szCs w:val="20"/>
                <w:color w:val="auto"/>
              </w:rPr>
            </w:pPr>
            <w:r>
              <w:rPr>
                <w:rFonts w:ascii="Arial" w:cs="Arial" w:eastAsia="Arial" w:hAnsi="Arial"/>
                <w:sz w:val="16"/>
                <w:szCs w:val="16"/>
                <w:color w:val="auto"/>
                <w:w w:val="99"/>
              </w:rPr>
              <w:t>2028-2043</w:t>
            </w:r>
          </w:p>
        </w:tc>
      </w:tr>
      <w:tr>
        <w:trPr>
          <w:trHeight w:val="216"/>
        </w:trPr>
        <w:tc>
          <w:tcPr>
            <w:tcW w:w="35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6"/>
        </w:trPr>
        <w:tc>
          <w:tcPr>
            <w:tcW w:w="3540" w:type="dxa"/>
            <w:vAlign w:val="bottom"/>
            <w:shd w:val="clear" w:color="auto" w:fill="CFF0FC"/>
          </w:tcPr>
          <w:p>
            <w:pPr>
              <w:ind w:left="20"/>
              <w:spacing w:after="0" w:line="216" w:lineRule="exact"/>
              <w:rPr>
                <w:sz w:val="20"/>
                <w:szCs w:val="20"/>
                <w:color w:val="auto"/>
              </w:rPr>
            </w:pPr>
            <w:r>
              <w:rPr>
                <w:rFonts w:ascii="Arial" w:cs="Arial" w:eastAsia="Arial" w:hAnsi="Arial"/>
                <w:sz w:val="16"/>
                <w:szCs w:val="16"/>
                <w:color w:val="auto"/>
              </w:rPr>
              <w:t xml:space="preserve">State NOL Carryforward </w:t>
            </w:r>
            <w:r>
              <w:rPr>
                <w:rFonts w:ascii="Arial" w:cs="Arial" w:eastAsia="Arial" w:hAnsi="Arial"/>
                <w:sz w:val="21"/>
                <w:szCs w:val="21"/>
                <w:color w:val="auto"/>
                <w:vertAlign w:val="superscript"/>
              </w:rPr>
              <w:t>(a)</w:t>
            </w:r>
          </w:p>
        </w:tc>
        <w:tc>
          <w:tcPr>
            <w:tcW w:w="3540" w:type="dxa"/>
            <w:vAlign w:val="bottom"/>
            <w:shd w:val="clear" w:color="auto" w:fill="CFF0FC"/>
          </w:tcPr>
          <w:p>
            <w:pPr>
              <w:jc w:val="right"/>
              <w:ind w:right="21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ind w:right="459"/>
              <w:spacing w:after="0"/>
              <w:rPr>
                <w:sz w:val="20"/>
                <w:szCs w:val="20"/>
                <w:color w:val="auto"/>
              </w:rPr>
            </w:pPr>
            <w:r>
              <w:rPr>
                <w:rFonts w:ascii="Arial" w:cs="Arial" w:eastAsia="Arial" w:hAnsi="Arial"/>
                <w:sz w:val="16"/>
                <w:szCs w:val="16"/>
                <w:color w:val="auto"/>
              </w:rPr>
              <w:t>325.3</w:t>
            </w:r>
          </w:p>
        </w:tc>
        <w:tc>
          <w:tcPr>
            <w:tcW w:w="2820" w:type="dxa"/>
            <w:vAlign w:val="bottom"/>
            <w:shd w:val="clear" w:color="auto" w:fill="CFF0FC"/>
          </w:tcPr>
          <w:p>
            <w:pPr>
              <w:jc w:val="center"/>
              <w:ind w:right="339"/>
              <w:spacing w:after="0"/>
              <w:rPr>
                <w:sz w:val="20"/>
                <w:szCs w:val="20"/>
                <w:color w:val="auto"/>
              </w:rPr>
            </w:pPr>
            <w:r>
              <w:rPr>
                <w:rFonts w:ascii="Arial" w:cs="Arial" w:eastAsia="Arial" w:hAnsi="Arial"/>
                <w:sz w:val="16"/>
                <w:szCs w:val="16"/>
                <w:color w:val="auto"/>
                <w:w w:val="99"/>
              </w:rPr>
              <w:t>2024-2042</w:t>
            </w:r>
          </w:p>
        </w:tc>
      </w:tr>
      <w:tr>
        <w:trPr>
          <w:trHeight w:val="215"/>
        </w:trPr>
        <w:tc>
          <w:tcPr>
            <w:tcW w:w="3540" w:type="dxa"/>
            <w:vAlign w:val="bottom"/>
          </w:tcPr>
          <w:p>
            <w:pPr>
              <w:ind w:left="20"/>
              <w:spacing w:after="0"/>
              <w:rPr>
                <w:sz w:val="20"/>
                <w:szCs w:val="20"/>
                <w:color w:val="auto"/>
              </w:rPr>
            </w:pPr>
            <w:r>
              <w:rPr>
                <w:rFonts w:ascii="Arial" w:cs="Arial" w:eastAsia="Arial" w:hAnsi="Arial"/>
                <w:sz w:val="16"/>
                <w:szCs w:val="16"/>
                <w:color w:val="auto"/>
              </w:rPr>
              <w:t>State Tax Credit Carryforward</w:t>
            </w:r>
          </w:p>
        </w:tc>
        <w:tc>
          <w:tcPr>
            <w:tcW w:w="3540" w:type="dxa"/>
            <w:vAlign w:val="bottom"/>
          </w:tcPr>
          <w:p>
            <w:pPr>
              <w:jc w:val="right"/>
              <w:ind w:right="213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59"/>
              <w:spacing w:after="0"/>
              <w:rPr>
                <w:sz w:val="20"/>
                <w:szCs w:val="20"/>
                <w:color w:val="auto"/>
              </w:rPr>
            </w:pPr>
            <w:r>
              <w:rPr>
                <w:rFonts w:ascii="Arial" w:cs="Arial" w:eastAsia="Arial" w:hAnsi="Arial"/>
                <w:sz w:val="16"/>
                <w:szCs w:val="16"/>
                <w:color w:val="auto"/>
              </w:rPr>
              <w:t>22.8</w:t>
            </w:r>
          </w:p>
        </w:tc>
        <w:tc>
          <w:tcPr>
            <w:tcW w:w="2820" w:type="dxa"/>
            <w:vAlign w:val="bottom"/>
          </w:tcPr>
          <w:p>
            <w:pPr>
              <w:jc w:val="center"/>
              <w:ind w:right="339"/>
              <w:spacing w:after="0"/>
              <w:rPr>
                <w:sz w:val="20"/>
                <w:szCs w:val="20"/>
                <w:color w:val="auto"/>
              </w:rPr>
            </w:pPr>
            <w:r>
              <w:rPr>
                <w:rFonts w:ascii="Arial" w:cs="Arial" w:eastAsia="Arial" w:hAnsi="Arial"/>
                <w:sz w:val="16"/>
                <w:szCs w:val="16"/>
                <w:color w:val="auto"/>
                <w:w w:val="99"/>
              </w:rPr>
              <w:t>2024-2038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214312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61" w:lineRule="exact"/>
        <w:rPr>
          <w:sz w:val="20"/>
          <w:szCs w:val="20"/>
          <w:color w:val="auto"/>
        </w:rPr>
      </w:pPr>
    </w:p>
    <w:p>
      <w:pPr>
        <w:ind w:left="520" w:hanging="512"/>
        <w:spacing w:after="0"/>
        <w:tabs>
          <w:tab w:leader="none" w:pos="520" w:val="left"/>
        </w:tabs>
        <w:numPr>
          <w:ilvl w:val="0"/>
          <w:numId w:val="71"/>
        </w:numPr>
        <w:rPr>
          <w:rFonts w:ascii="Arial" w:cs="Arial" w:eastAsia="Arial" w:hAnsi="Arial"/>
          <w:sz w:val="14"/>
          <w:szCs w:val="14"/>
          <w:color w:val="auto"/>
        </w:rPr>
      </w:pPr>
      <w:r>
        <w:rPr>
          <w:rFonts w:ascii="Arial" w:cs="Arial" w:eastAsia="Arial" w:hAnsi="Arial"/>
          <w:sz w:val="14"/>
          <w:szCs w:val="14"/>
          <w:color w:val="auto"/>
        </w:rPr>
        <w:t>The carryforward balance is reflected on the basis of apportioned tax losses to jurisdictions imposing state income taxes.</w:t>
      </w:r>
    </w:p>
    <w:p>
      <w:pPr>
        <w:spacing w:after="0" w:line="18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As of December 31, 2023, we had a $1.0 million valuation allowance against the state NOL carryforwards. Our 2023 analysis of the ability to utilize such NOLs resulted in no increase in the valuation allowance. If the valuation allowance is adjusted due to higher or lower than anticipated utilization of the NOLs, the offsetting amount will affect tax expense.</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As of December 31, 2023, we had a $14.4 million valuation allowance against the state ITC carryforwards. Our 2023 analysis of the ability to utilize such ITC resulted in a slight decrease in the valuation allowance.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Unrecognized Tax Benefits</w:t>
      </w:r>
    </w:p>
    <w:p>
      <w:pPr>
        <w:spacing w:after="0" w:line="11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The following table reconciles the total amounts of unrecognized tax benefits, without interest, at the beginning and end of the period included in Other deferred credits and other liabilities on the accompanying Consolidated Balance Sheets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Changes in Uncertain Tax Positions:</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6"/>
                <w:szCs w:val="16"/>
                <w:b w:val="1"/>
                <w:bCs w:val="1"/>
                <w:color w:val="auto"/>
              </w:rPr>
              <w:t>2021</w:t>
            </w:r>
          </w:p>
        </w:tc>
      </w:tr>
      <w:tr>
        <w:trPr>
          <w:trHeight w:val="209"/>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Beginning balance</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11.9</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10.6</w:t>
            </w:r>
          </w:p>
        </w:tc>
        <w:tc>
          <w:tcPr>
            <w:tcW w:w="46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8.4</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Additions for prior year tax positions</w:t>
            </w:r>
          </w:p>
        </w:tc>
        <w:tc>
          <w:tcPr>
            <w:tcW w:w="44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0.5</w:t>
            </w:r>
          </w:p>
        </w:tc>
      </w:tr>
      <w:tr>
        <w:trPr>
          <w:trHeight w:val="217"/>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Reductions for prior year tax positions</w:t>
            </w:r>
          </w:p>
        </w:tc>
        <w:tc>
          <w:tcPr>
            <w:tcW w:w="44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(0.3 )</w:t>
            </w:r>
          </w:p>
        </w:tc>
        <w:tc>
          <w:tcPr>
            <w:tcW w:w="4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(0.8 )</w:t>
            </w:r>
          </w:p>
        </w:tc>
        <w:tc>
          <w:tcPr>
            <w:tcW w:w="46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(0.7 )</w:t>
            </w:r>
          </w:p>
        </w:tc>
      </w:tr>
      <w:tr>
        <w:trPr>
          <w:trHeight w:val="215"/>
        </w:trPr>
        <w:tc>
          <w:tcPr>
            <w:tcW w:w="5240" w:type="dxa"/>
            <w:vAlign w:val="bottom"/>
          </w:tcPr>
          <w:p>
            <w:pPr>
              <w:ind w:left="20"/>
              <w:spacing w:after="0"/>
              <w:rPr>
                <w:sz w:val="20"/>
                <w:szCs w:val="20"/>
                <w:color w:val="auto"/>
              </w:rPr>
            </w:pPr>
            <w:r>
              <w:rPr>
                <w:rFonts w:ascii="Arial" w:cs="Arial" w:eastAsia="Arial" w:hAnsi="Arial"/>
                <w:sz w:val="16"/>
                <w:szCs w:val="16"/>
                <w:color w:val="auto"/>
              </w:rPr>
              <w:t>Additions for current year tax positions</w:t>
            </w:r>
          </w:p>
        </w:tc>
        <w:tc>
          <w:tcPr>
            <w:tcW w:w="4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w:t>
            </w:r>
          </w:p>
        </w:tc>
        <w:tc>
          <w:tcPr>
            <w:tcW w:w="4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4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w:t>
            </w:r>
          </w:p>
        </w:tc>
      </w:tr>
      <w:tr>
        <w:trPr>
          <w:trHeight w:val="210"/>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Ending balance</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13.7</w:t>
            </w:r>
          </w:p>
        </w:tc>
        <w:tc>
          <w:tcPr>
            <w:tcW w:w="44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11.9</w:t>
            </w:r>
          </w:p>
        </w:tc>
        <w:tc>
          <w:tcPr>
            <w:tcW w:w="460" w:type="dxa"/>
            <w:vAlign w:val="bottom"/>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10.6</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total amount of unrecognized tax benefits that, if recognized, would impact the effective tax rate is approximately $6.5 million.</w:t>
      </w:r>
    </w:p>
    <w:p>
      <w:pPr>
        <w:sectPr>
          <w:pgSz w:w="11900" w:h="16838" w:orient="portrait"/>
          <w:cols w:equalWidth="0" w:num="1">
            <w:col w:w="11240"/>
          </w:cols>
          <w:pgMar w:left="320" w:top="773"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9" w:name="page100"/>
    <w:bookmarkEnd w:id="99"/>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We recognized no interest expense associated with income taxes for the years ended December 31, 2023, 2022 and 2021. We had no accrued interest (before tax effect) associated with income taxes at December 31, 2023 and 2022.</w:t>
      </w:r>
    </w:p>
    <w:p>
      <w:pPr>
        <w:spacing w:after="0" w:line="12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As of December 31, 2023, we do not have any tax positions for which it is reasonably possible that the total amount of unrecognized tax benefits will significantly increase or decrease on or before December 31, 2024.</w:t>
      </w:r>
    </w:p>
    <w:p>
      <w:pPr>
        <w:spacing w:after="0" w:line="129"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We are subject to federal income tax as well as income tax in various state and local jurisdictions. As of December 31, 2023, tax years for 2020, 2021, and 2022 are subject to examination by the tax authorities. With few exceptions, we are no longer subject to U.S. or state exam for years before 2020. Tax years 2017 and 2018 was open as of December 31, 2023.</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BUSINESS SEGMENT INFORMATION</w:t>
      </w:r>
    </w:p>
    <w:p>
      <w:pPr>
        <w:spacing w:after="0" w:line="20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Our Chief Executive Officer, who is considered to be our CODM, reviews financial information presented on an operating segment basis for purposes of making decisions, allocating resources and assessing financial performance. Our operating segments are based on our method of internal reporting, which is generally segregated by differences in products and services. All of our operations and assets are located within the United States.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We also own and operate non-regulated power generation and mining businesses that are vertically integrated with our Electric Utilities.</w:t>
      </w:r>
    </w:p>
    <w:p>
      <w:pPr>
        <w:spacing w:after="0" w:line="144"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Our Gas Utilities segment consists of the operating results of our regulated natural gas utility subsidiaries in Arkansas, Colorado, Iowa, Kansas, Nebraska and Wyoming.</w:t>
      </w:r>
    </w:p>
    <w:p>
      <w:pPr>
        <w:spacing w:after="0" w:line="129"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Corporate and Other represents certain unallocated expenses for administrative activities that support our operating segments. Corporate and Other also includes business development activities that are not part of our operating segments and inter-segment eliminations.</w:t>
      </w:r>
    </w:p>
    <w:p>
      <w:pPr>
        <w:spacing w:after="0" w:line="129" w:lineRule="exact"/>
        <w:rPr>
          <w:sz w:val="20"/>
          <w:szCs w:val="20"/>
          <w:color w:val="auto"/>
        </w:rPr>
      </w:pPr>
    </w:p>
    <w:p>
      <w:pPr>
        <w:ind w:right="640"/>
        <w:spacing w:after="0" w:line="286" w:lineRule="auto"/>
        <w:rPr>
          <w:sz w:val="20"/>
          <w:szCs w:val="20"/>
          <w:color w:val="auto"/>
        </w:rPr>
      </w:pPr>
      <w:r>
        <w:rPr>
          <w:rFonts w:ascii="Arial" w:cs="Arial" w:eastAsia="Arial" w:hAnsi="Arial"/>
          <w:sz w:val="16"/>
          <w:szCs w:val="16"/>
          <w:color w:val="auto"/>
        </w:rPr>
        <w:t>Our CODM assesses the performance of our operating segments based on operating income. Our CODM reviews capital expenditures by operating segment rather than any individual or total asset amount. Our operating segments are equivalent to our reportable segments.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20"/>
                <w:szCs w:val="20"/>
                <w:color w:val="auto"/>
              </w:rPr>
            </w:pPr>
            <w:r>
              <w:rPr>
                <w:rFonts w:ascii="Arial" w:cs="Arial" w:eastAsia="Arial" w:hAnsi="Arial"/>
                <w:sz w:val="16"/>
                <w:szCs w:val="16"/>
                <w:color w:val="auto"/>
              </w:rPr>
              <w:t>Segment information was as follows (in millions):</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07"/>
        </w:trPr>
        <w:tc>
          <w:tcPr>
            <w:tcW w:w="4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720"/>
              <w:spacing w:after="0"/>
              <w:rPr>
                <w:sz w:val="20"/>
                <w:szCs w:val="20"/>
                <w:color w:val="auto"/>
              </w:rPr>
            </w:pPr>
            <w:r>
              <w:rPr>
                <w:rFonts w:ascii="Arial" w:cs="Arial" w:eastAsia="Arial" w:hAnsi="Arial"/>
                <w:sz w:val="16"/>
                <w:szCs w:val="16"/>
                <w:b w:val="1"/>
                <w:bCs w:val="1"/>
                <w:color w:val="auto"/>
              </w:rPr>
              <w:t>Consolidating Income Statement</w:t>
            </w:r>
          </w:p>
        </w:tc>
        <w:tc>
          <w:tcPr>
            <w:tcW w:w="1240" w:type="dxa"/>
            <w:vAlign w:val="bottom"/>
            <w:tcBorders>
              <w:bottom w:val="single" w:sz="8" w:color="auto"/>
            </w:tcBorders>
          </w:tcPr>
          <w:p>
            <w:pPr>
              <w:spacing w:after="0"/>
              <w:rPr>
                <w:sz w:val="24"/>
                <w:szCs w:val="24"/>
                <w:color w:val="auto"/>
              </w:rPr>
            </w:pPr>
          </w:p>
        </w:tc>
      </w:tr>
      <w:tr>
        <w:trPr>
          <w:trHeight w:val="182"/>
        </w:trPr>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gridSpan w:val="2"/>
          </w:tcPr>
          <w:p>
            <w:pPr>
              <w:jc w:val="right"/>
              <w:ind w:right="800"/>
              <w:spacing w:after="0" w:line="182" w:lineRule="exact"/>
              <w:rPr>
                <w:sz w:val="20"/>
                <w:szCs w:val="20"/>
                <w:color w:val="auto"/>
              </w:rPr>
            </w:pPr>
            <w:r>
              <w:rPr>
                <w:rFonts w:ascii="Arial" w:cs="Arial" w:eastAsia="Arial" w:hAnsi="Arial"/>
                <w:sz w:val="16"/>
                <w:szCs w:val="16"/>
                <w:b w:val="1"/>
                <w:bCs w:val="1"/>
                <w:color w:val="auto"/>
              </w:rPr>
              <w:t>Corporate</w:t>
            </w:r>
          </w:p>
        </w:tc>
        <w:tc>
          <w:tcPr>
            <w:tcW w:w="1240" w:type="dxa"/>
            <w:vAlign w:val="bottom"/>
          </w:tcPr>
          <w:p>
            <w:pPr>
              <w:spacing w:after="0"/>
              <w:rPr>
                <w:sz w:val="15"/>
                <w:szCs w:val="15"/>
                <w:color w:val="auto"/>
              </w:rPr>
            </w:pPr>
          </w:p>
        </w:tc>
      </w:tr>
      <w:tr>
        <w:trPr>
          <w:trHeight w:val="217"/>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 ended December 31, 2023</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Electric Utilities</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Gas Utilities</w:t>
            </w:r>
          </w:p>
        </w:tc>
        <w:tc>
          <w:tcPr>
            <w:tcW w:w="2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jc w:val="right"/>
              <w:ind w:right="780"/>
              <w:spacing w:after="0"/>
              <w:rPr>
                <w:sz w:val="20"/>
                <w:szCs w:val="20"/>
                <w:color w:val="auto"/>
              </w:rPr>
            </w:pPr>
            <w:r>
              <w:rPr>
                <w:rFonts w:ascii="Arial" w:cs="Arial" w:eastAsia="Arial" w:hAnsi="Arial"/>
                <w:sz w:val="16"/>
                <w:szCs w:val="16"/>
                <w:b w:val="1"/>
                <w:bCs w:val="1"/>
                <w:color w:val="auto"/>
              </w:rPr>
              <w:t>and Other</w:t>
            </w:r>
          </w:p>
        </w:tc>
        <w:tc>
          <w:tcPr>
            <w:tcW w:w="12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10"/>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 -</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4900" w:type="dxa"/>
            <w:vAlign w:val="bottom"/>
          </w:tcPr>
          <w:p>
            <w:pPr>
              <w:ind w:left="200"/>
              <w:spacing w:after="0"/>
              <w:rPr>
                <w:sz w:val="20"/>
                <w:szCs w:val="20"/>
                <w:color w:val="auto"/>
              </w:rPr>
            </w:pPr>
            <w:r>
              <w:rPr>
                <w:rFonts w:ascii="Arial" w:cs="Arial" w:eastAsia="Arial" w:hAnsi="Arial"/>
                <w:sz w:val="16"/>
                <w:szCs w:val="16"/>
                <w:color w:val="auto"/>
              </w:rPr>
              <w:t>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853.6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1,477.7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  $</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2,331.3</w:t>
            </w:r>
          </w:p>
        </w:tc>
      </w:tr>
      <w:tr>
        <w:trPr>
          <w:trHeight w:val="216"/>
        </w:trPr>
        <w:tc>
          <w:tcPr>
            <w:tcW w:w="49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(17.9 )</w:t>
            </w:r>
          </w:p>
        </w:tc>
        <w:tc>
          <w:tcPr>
            <w:tcW w:w="3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90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865.0</w:t>
            </w: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1,484.2</w:t>
            </w: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(17.9 )</w:t>
            </w: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2,331.3</w:t>
            </w:r>
          </w:p>
        </w:tc>
      </w:tr>
      <w:tr>
        <w:trPr>
          <w:trHeight w:val="209"/>
        </w:trPr>
        <w:tc>
          <w:tcPr>
            <w:tcW w:w="4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200.1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783.2</w:t>
            </w: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(0.4 )</w:t>
            </w:r>
          </w:p>
        </w:tc>
        <w:tc>
          <w:tcPr>
            <w:tcW w:w="3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982.9</w:t>
            </w:r>
          </w:p>
        </w:tc>
      </w:tr>
      <w:tr>
        <w:trPr>
          <w:trHeight w:val="217"/>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236.2</w:t>
            </w: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328.7</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(12.9 )</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552.0</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142.6</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113.9</w:t>
            </w:r>
          </w:p>
        </w:tc>
        <w:tc>
          <w:tcPr>
            <w:tcW w:w="260" w:type="dxa"/>
            <w:vAlign w:val="bottom"/>
          </w:tcPr>
          <w:p>
            <w:pPr>
              <w:spacing w:after="0"/>
              <w:rPr>
                <w:sz w:val="18"/>
                <w:szCs w:val="18"/>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0.3</w:t>
            </w:r>
          </w:p>
        </w:tc>
        <w:tc>
          <w:tcPr>
            <w:tcW w:w="32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256.8</w:t>
            </w:r>
          </w:p>
        </w:tc>
      </w:tr>
      <w:tr>
        <w:trPr>
          <w:trHeight w:val="216"/>
        </w:trPr>
        <w:tc>
          <w:tcPr>
            <w:tcW w:w="4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29.6</w:t>
            </w:r>
          </w:p>
        </w:tc>
        <w:tc>
          <w:tcPr>
            <w:tcW w:w="26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ind w:right="4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66.9</w:t>
            </w:r>
          </w:p>
        </w:tc>
      </w:tr>
      <w:tr>
        <w:trPr>
          <w:trHeight w:val="210"/>
        </w:trPr>
        <w:tc>
          <w:tcPr>
            <w:tcW w:w="4900" w:type="dxa"/>
            <w:vAlign w:val="bottom"/>
          </w:tcPr>
          <w:p>
            <w:pPr>
              <w:ind w:left="20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228.8</w:t>
            </w:r>
          </w:p>
        </w:tc>
        <w:tc>
          <w:tcPr>
            <w:tcW w:w="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(4.9 ) $</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472.7</w:t>
            </w:r>
          </w:p>
        </w:tc>
      </w:tr>
      <w:tr>
        <w:trPr>
          <w:trHeight w:val="210"/>
        </w:trPr>
        <w:tc>
          <w:tcPr>
            <w:tcW w:w="4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(167.9 )</w:t>
            </w:r>
          </w:p>
        </w:tc>
      </w:tr>
      <w:tr>
        <w:trPr>
          <w:trHeight w:val="217"/>
        </w:trPr>
        <w:tc>
          <w:tcPr>
            <w:tcW w:w="4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(3.2 )</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(25.6 )</w:t>
            </w:r>
          </w:p>
        </w:tc>
      </w:tr>
      <w:tr>
        <w:trPr>
          <w:trHeight w:val="210"/>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276.0</w:t>
            </w:r>
          </w:p>
        </w:tc>
      </w:tr>
      <w:tr>
        <w:trPr>
          <w:trHeight w:val="215"/>
        </w:trPr>
        <w:tc>
          <w:tcPr>
            <w:tcW w:w="490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(13.8 )</w:t>
            </w:r>
          </w:p>
        </w:tc>
      </w:tr>
      <w:tr>
        <w:trPr>
          <w:trHeight w:val="210"/>
        </w:trPr>
        <w:tc>
          <w:tcPr>
            <w:tcW w:w="49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262.2</w:t>
            </w:r>
          </w:p>
        </w:tc>
      </w:tr>
      <w:tr>
        <w:trPr>
          <w:trHeight w:val="411"/>
        </w:trPr>
        <w:tc>
          <w:tcPr>
            <w:tcW w:w="49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jc w:val="right"/>
              <w:ind w:right="619"/>
              <w:spacing w:after="0"/>
              <w:rPr>
                <w:sz w:val="20"/>
                <w:szCs w:val="20"/>
                <w:color w:val="auto"/>
              </w:rPr>
            </w:pPr>
            <w:r>
              <w:rPr>
                <w:rFonts w:ascii="Arial" w:cs="Arial" w:eastAsia="Arial" w:hAnsi="Arial"/>
                <w:sz w:val="16"/>
                <w:szCs w:val="16"/>
                <w:color w:val="auto"/>
              </w:rPr>
              <w:t>100</w:t>
            </w: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738"/>
        </w:trPr>
        <w:tc>
          <w:tcPr>
            <w:tcW w:w="4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4900" w:type="dxa"/>
            <w:vAlign w:val="bottom"/>
            <w:gridSpan w:val="3"/>
          </w:tcPr>
          <w:p>
            <w:pPr>
              <w:spacing w:after="0"/>
              <w:rPr>
                <w:sz w:val="20"/>
                <w:szCs w:val="20"/>
                <w:color w:val="auto"/>
              </w:rPr>
            </w:pPr>
            <w:r>
              <w:rPr>
                <w:rFonts w:ascii="Arial" w:cs="Arial" w:eastAsia="Arial" w:hAnsi="Arial"/>
                <w:sz w:val="16"/>
                <w:szCs w:val="16"/>
                <w:b w:val="1"/>
                <w:bCs w:val="1"/>
                <w:color w:val="0000FF"/>
              </w:rPr>
              <w:t>Table of Contents</w:t>
            </w: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439"/>
        </w:trPr>
        <w:tc>
          <w:tcPr>
            <w:tcW w:w="1360" w:type="dxa"/>
            <w:vAlign w:val="bottom"/>
            <w:tcBorders>
              <w:top w:val="single" w:sz="8" w:color="0000FF"/>
            </w:tcBorders>
          </w:tcPr>
          <w:p>
            <w:pPr>
              <w:spacing w:after="0"/>
              <w:rPr>
                <w:sz w:val="24"/>
                <w:szCs w:val="24"/>
                <w:color w:val="auto"/>
              </w:rPr>
            </w:pPr>
          </w:p>
        </w:tc>
        <w:tc>
          <w:tcPr>
            <w:tcW w:w="2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Consolidating Income Statement</w:t>
            </w: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7"/>
        </w:trPr>
        <w:tc>
          <w:tcPr>
            <w:tcW w:w="4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2022</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Electric Utilities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Gas Utilities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09"/>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 -</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4900" w:type="dxa"/>
            <w:vAlign w:val="bottom"/>
            <w:gridSpan w:val="3"/>
          </w:tcPr>
          <w:p>
            <w:pPr>
              <w:ind w:left="200"/>
              <w:spacing w:after="0"/>
              <w:rPr>
                <w:sz w:val="20"/>
                <w:szCs w:val="20"/>
                <w:color w:val="auto"/>
              </w:rPr>
            </w:pPr>
            <w:r>
              <w:rPr>
                <w:rFonts w:ascii="Arial" w:cs="Arial" w:eastAsia="Arial" w:hAnsi="Arial"/>
                <w:sz w:val="16"/>
                <w:szCs w:val="16"/>
                <w:color w:val="auto"/>
              </w:rPr>
              <w:t>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888.4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1,663.4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2,551.8</w:t>
            </w:r>
          </w:p>
        </w:tc>
      </w:tr>
      <w:tr>
        <w:trPr>
          <w:trHeight w:val="216"/>
        </w:trPr>
        <w:tc>
          <w:tcPr>
            <w:tcW w:w="490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11.8</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(17.5 )</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900.2</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1,669.1</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(17.5 )</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2,551.8</w:t>
            </w:r>
          </w:p>
        </w:tc>
      </w:tr>
      <w:tr>
        <w:trPr>
          <w:trHeight w:val="210"/>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266.3</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965.1</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1,230.6</w:t>
            </w:r>
          </w:p>
        </w:tc>
      </w:tr>
      <w:tr>
        <w:trPr>
          <w:trHeight w:val="217"/>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244.8</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317.3</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(13.7 )</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548.4</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135.9</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114.7</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250.9</w:t>
            </w:r>
          </w:p>
        </w:tc>
      </w:tr>
      <w:tr>
        <w:trPr>
          <w:trHeight w:val="216"/>
        </w:trPr>
        <w:tc>
          <w:tcPr>
            <w:tcW w:w="49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38.9</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66.7</w:t>
            </w:r>
          </w:p>
        </w:tc>
      </w:tr>
      <w:tr>
        <w:trPr>
          <w:trHeight w:val="210"/>
        </w:trPr>
        <w:tc>
          <w:tcPr>
            <w:tcW w:w="4900" w:type="dxa"/>
            <w:vAlign w:val="bottom"/>
            <w:gridSpan w:val="3"/>
          </w:tcPr>
          <w:p>
            <w:pPr>
              <w:ind w:left="20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214.3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(3.3 ) $</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455.2</w:t>
            </w:r>
          </w:p>
        </w:tc>
      </w:tr>
      <w:tr>
        <w:trPr>
          <w:trHeight w:val="210"/>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(161.0 )</w:t>
            </w:r>
          </w:p>
        </w:tc>
      </w:tr>
      <w:tr>
        <w:trPr>
          <w:trHeight w:val="217"/>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(25.2 )</w:t>
            </w:r>
          </w:p>
        </w:tc>
      </w:tr>
      <w:tr>
        <w:trPr>
          <w:trHeight w:val="210"/>
        </w:trPr>
        <w:tc>
          <w:tcPr>
            <w:tcW w:w="490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270.8</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r>
      <w:tr>
        <w:trPr>
          <w:trHeight w:val="210"/>
        </w:trPr>
        <w:tc>
          <w:tcPr>
            <w:tcW w:w="490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258.4</w:t>
            </w:r>
          </w:p>
        </w:tc>
      </w:tr>
      <w:tr>
        <w:trPr>
          <w:trHeight w:val="426"/>
        </w:trPr>
        <w:tc>
          <w:tcPr>
            <w:tcW w:w="1360" w:type="dxa"/>
            <w:vAlign w:val="bottom"/>
            <w:tcBorders>
              <w:top w:val="single" w:sz="8" w:color="CFF0FC"/>
            </w:tcBorders>
          </w:tcPr>
          <w:p>
            <w:pPr>
              <w:spacing w:after="0"/>
              <w:rPr>
                <w:sz w:val="24"/>
                <w:szCs w:val="24"/>
                <w:color w:val="auto"/>
              </w:rPr>
            </w:pPr>
          </w:p>
        </w:tc>
        <w:tc>
          <w:tcPr>
            <w:tcW w:w="2100" w:type="dxa"/>
            <w:vAlign w:val="bottom"/>
            <w:tcBorders>
              <w:top w:val="single" w:sz="8" w:color="CFF0FC"/>
            </w:tcBorders>
          </w:tcPr>
          <w:p>
            <w:pPr>
              <w:spacing w:after="0"/>
              <w:rPr>
                <w:sz w:val="24"/>
                <w:szCs w:val="24"/>
                <w:color w:val="auto"/>
              </w:rPr>
            </w:pPr>
          </w:p>
        </w:tc>
        <w:tc>
          <w:tcPr>
            <w:tcW w:w="1440" w:type="dxa"/>
            <w:vAlign w:val="bottom"/>
            <w:tcBorders>
              <w:top w:val="single" w:sz="8" w:color="CFF0FC"/>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3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2900" w:type="dxa"/>
            <w:vAlign w:val="bottom"/>
            <w:tcBorders>
              <w:top w:val="single" w:sz="8" w:color="CFF0FC"/>
              <w:bottom w:val="single" w:sz="8" w:color="auto"/>
            </w:tcBorders>
            <w:gridSpan w:val="3"/>
          </w:tcPr>
          <w:p>
            <w:pPr>
              <w:jc w:val="center"/>
              <w:ind w:right="139"/>
              <w:spacing w:after="0"/>
              <w:rPr>
                <w:sz w:val="20"/>
                <w:szCs w:val="20"/>
                <w:color w:val="auto"/>
              </w:rPr>
            </w:pPr>
            <w:r>
              <w:rPr>
                <w:rFonts w:ascii="Arial" w:cs="Arial" w:eastAsia="Arial" w:hAnsi="Arial"/>
                <w:sz w:val="16"/>
                <w:szCs w:val="16"/>
                <w:b w:val="1"/>
                <w:bCs w:val="1"/>
                <w:color w:val="auto"/>
              </w:rPr>
              <w:t>Consolidating Income Statement</w:t>
            </w:r>
          </w:p>
        </w:tc>
        <w:tc>
          <w:tcPr>
            <w:tcW w:w="100" w:type="dxa"/>
            <w:vAlign w:val="bottom"/>
            <w:tcBorders>
              <w:top w:val="single" w:sz="8" w:color="CFF0FC"/>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jc w:val="right"/>
              <w:ind w:right="279"/>
              <w:spacing w:after="0" w:line="182" w:lineRule="exact"/>
              <w:rPr>
                <w:sz w:val="20"/>
                <w:szCs w:val="20"/>
                <w:color w:val="auto"/>
              </w:rPr>
            </w:pPr>
            <w:r>
              <w:rPr>
                <w:rFonts w:ascii="Arial" w:cs="Arial" w:eastAsia="Arial" w:hAnsi="Arial"/>
                <w:sz w:val="16"/>
                <w:szCs w:val="16"/>
                <w:b w:val="1"/>
                <w:bCs w:val="1"/>
                <w:color w:val="auto"/>
              </w:rPr>
              <w:t>Corporate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17"/>
        </w:trPr>
        <w:tc>
          <w:tcPr>
            <w:tcW w:w="490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Year ended December 31, 2021</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Electric Utilities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Gas Utilities</w:t>
            </w: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and Other</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Total</w:t>
            </w:r>
          </w:p>
        </w:tc>
      </w:tr>
      <w:tr>
        <w:trPr>
          <w:trHeight w:val="210"/>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Revenue -</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4900" w:type="dxa"/>
            <w:vAlign w:val="bottom"/>
            <w:gridSpan w:val="3"/>
          </w:tcPr>
          <w:p>
            <w:pPr>
              <w:ind w:left="200"/>
              <w:spacing w:after="0"/>
              <w:rPr>
                <w:sz w:val="20"/>
                <w:szCs w:val="20"/>
                <w:color w:val="auto"/>
              </w:rPr>
            </w:pPr>
            <w:r>
              <w:rPr>
                <w:rFonts w:ascii="Arial" w:cs="Arial" w:eastAsia="Arial" w:hAnsi="Arial"/>
                <w:sz w:val="16"/>
                <w:szCs w:val="16"/>
                <w:color w:val="auto"/>
              </w:rPr>
              <w:t>External Customers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830.7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1,118.4</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1,949.1</w:t>
            </w:r>
          </w:p>
        </w:tc>
      </w:tr>
      <w:tr>
        <w:trPr>
          <w:trHeight w:val="216"/>
        </w:trPr>
        <w:tc>
          <w:tcPr>
            <w:tcW w:w="490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Inter-segment</w:t>
            </w: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11.5</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3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(18.0 )</w:t>
            </w: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10"/>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842.2</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1,124.9</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(18.0 )</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1,949.1</w:t>
            </w:r>
          </w:p>
        </w:tc>
      </w:tr>
      <w:tr>
        <w:trPr>
          <w:trHeight w:val="209"/>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248.0</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494.7</w:t>
            </w:r>
          </w:p>
        </w:tc>
        <w:tc>
          <w:tcPr>
            <w:tcW w:w="36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(0.8 )</w:t>
            </w: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741.9</w:t>
            </w:r>
          </w:p>
        </w:tc>
      </w:tr>
      <w:tr>
        <w:trPr>
          <w:trHeight w:val="217"/>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Operations and maintenance</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224.5</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290.2</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(13.0 )</w:t>
            </w: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501.7</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6"/>
                <w:szCs w:val="16"/>
                <w:color w:val="auto"/>
              </w:rPr>
              <w:t>131.5</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104.2</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236.0</w:t>
            </w:r>
          </w:p>
        </w:tc>
      </w:tr>
      <w:tr>
        <w:trPr>
          <w:trHeight w:val="216"/>
        </w:trPr>
        <w:tc>
          <w:tcPr>
            <w:tcW w:w="49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6"/>
                <w:szCs w:val="16"/>
                <w:color w:val="auto"/>
              </w:rPr>
              <w:t>Taxes - property and production</w:t>
            </w: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35.5</w:t>
            </w: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60.1</w:t>
            </w:r>
          </w:p>
        </w:tc>
      </w:tr>
      <w:tr>
        <w:trPr>
          <w:trHeight w:val="210"/>
        </w:trPr>
        <w:tc>
          <w:tcPr>
            <w:tcW w:w="4900" w:type="dxa"/>
            <w:vAlign w:val="bottom"/>
            <w:gridSpan w:val="3"/>
          </w:tcPr>
          <w:p>
            <w:pPr>
              <w:ind w:left="200"/>
              <w:spacing w:after="0"/>
              <w:rPr>
                <w:sz w:val="20"/>
                <w:szCs w:val="20"/>
                <w:color w:val="auto"/>
              </w:rPr>
            </w:pPr>
            <w:r>
              <w:rPr>
                <w:rFonts w:ascii="Arial" w:cs="Arial" w:eastAsia="Arial" w:hAnsi="Arial"/>
                <w:sz w:val="16"/>
                <w:szCs w:val="16"/>
                <w:color w:val="auto"/>
              </w:rPr>
              <w:t>Operating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202.7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211.2</w:t>
            </w:r>
          </w:p>
        </w:tc>
        <w:tc>
          <w:tcPr>
            <w:tcW w:w="3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color w:val="auto"/>
              </w:rPr>
              <w:t>(4.5 ) $</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409.4</w:t>
            </w:r>
          </w:p>
        </w:tc>
      </w:tr>
      <w:tr>
        <w:trPr>
          <w:trHeight w:val="210"/>
        </w:trPr>
        <w:tc>
          <w:tcPr>
            <w:tcW w:w="1360" w:type="dxa"/>
            <w:vAlign w:val="bottom"/>
            <w:shd w:val="clear" w:color="auto" w:fill="CFF0FC"/>
          </w:tcPr>
          <w:p>
            <w:pPr>
              <w:spacing w:after="0"/>
              <w:rPr>
                <w:sz w:val="18"/>
                <w:szCs w:val="18"/>
                <w:color w:val="auto"/>
              </w:rPr>
            </w:pPr>
          </w:p>
        </w:tc>
        <w:tc>
          <w:tcPr>
            <w:tcW w:w="21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(152.4 )</w:t>
            </w:r>
          </w:p>
        </w:tc>
      </w:tr>
      <w:tr>
        <w:trPr>
          <w:trHeight w:val="217"/>
        </w:trPr>
        <w:tc>
          <w:tcPr>
            <w:tcW w:w="4900" w:type="dxa"/>
            <w:vAlign w:val="bottom"/>
            <w:gridSpan w:val="3"/>
            <w:shd w:val="clear" w:color="auto" w:fill="CFF0FC"/>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Income tax (expense)</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(7.2 )</w:t>
            </w:r>
          </w:p>
        </w:tc>
      </w:tr>
      <w:tr>
        <w:trPr>
          <w:trHeight w:val="210"/>
        </w:trPr>
        <w:tc>
          <w:tcPr>
            <w:tcW w:w="490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251.2</w:t>
            </w:r>
          </w:p>
        </w:tc>
      </w:tr>
      <w:tr>
        <w:trPr>
          <w:trHeight w:val="215"/>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(14.5 )</w:t>
            </w:r>
          </w:p>
        </w:tc>
      </w:tr>
      <w:tr>
        <w:trPr>
          <w:trHeight w:val="209"/>
        </w:trPr>
        <w:tc>
          <w:tcPr>
            <w:tcW w:w="490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236.7</w:t>
            </w:r>
          </w:p>
        </w:tc>
      </w:tr>
      <w:tr>
        <w:trPr>
          <w:trHeight w:val="426"/>
        </w:trPr>
        <w:tc>
          <w:tcPr>
            <w:tcW w:w="4900" w:type="dxa"/>
            <w:vAlign w:val="bottom"/>
            <w:tcBorders>
              <w:top w:val="single" w:sz="8" w:color="CFF0FC"/>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21"/>
                <w:szCs w:val="21"/>
                <w:b w:val="1"/>
                <w:bCs w:val="1"/>
                <w:color w:val="auto"/>
                <w:vertAlign w:val="superscript"/>
              </w:rPr>
              <w:t>(a)</w:t>
            </w:r>
            <w:r>
              <w:rPr>
                <w:rFonts w:ascii="Arial" w:cs="Arial" w:eastAsia="Arial" w:hAnsi="Arial"/>
                <w:sz w:val="16"/>
                <w:szCs w:val="16"/>
                <w:b w:val="1"/>
                <w:bCs w:val="1"/>
                <w:color w:val="auto"/>
              </w:rPr>
              <w:t xml:space="preserve"> for the years ended December 31,</w:t>
            </w:r>
          </w:p>
        </w:tc>
        <w:tc>
          <w:tcPr>
            <w:tcW w:w="120" w:type="dxa"/>
            <w:vAlign w:val="bottom"/>
            <w:tcBorders>
              <w:top w:val="single" w:sz="8" w:color="CFF0FC"/>
              <w:bottom w:val="single" w:sz="8" w:color="auto"/>
            </w:tcBorders>
          </w:tcPr>
          <w:p>
            <w:pPr>
              <w:spacing w:after="0"/>
              <w:rPr>
                <w:sz w:val="24"/>
                <w:szCs w:val="24"/>
                <w:color w:val="auto"/>
              </w:rPr>
            </w:pPr>
          </w:p>
        </w:tc>
        <w:tc>
          <w:tcPr>
            <w:tcW w:w="1300" w:type="dxa"/>
            <w:vAlign w:val="bottom"/>
            <w:tcBorders>
              <w:top w:val="single" w:sz="8" w:color="CFF0FC"/>
              <w:bottom w:val="single" w:sz="8" w:color="auto"/>
            </w:tcBorders>
          </w:tcPr>
          <w:p>
            <w:pPr>
              <w:spacing w:after="0"/>
              <w:rPr>
                <w:sz w:val="24"/>
                <w:szCs w:val="24"/>
                <w:color w:val="auto"/>
              </w:rPr>
            </w:pPr>
          </w:p>
        </w:tc>
        <w:tc>
          <w:tcPr>
            <w:tcW w:w="160" w:type="dxa"/>
            <w:vAlign w:val="bottom"/>
            <w:tcBorders>
              <w:top w:val="single" w:sz="8" w:color="CFF0FC"/>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300" w:type="dxa"/>
            <w:vAlign w:val="bottom"/>
            <w:tcBorders>
              <w:top w:val="single" w:sz="8" w:color="CFF0FC"/>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c>
          <w:tcPr>
            <w:tcW w:w="360" w:type="dxa"/>
            <w:vAlign w:val="bottom"/>
            <w:tcBorders>
              <w:top w:val="single" w:sz="8" w:color="CFF0FC"/>
              <w:bottom w:val="single" w:sz="8" w:color="auto"/>
            </w:tcBorders>
          </w:tcPr>
          <w:p>
            <w:pPr>
              <w:spacing w:after="0"/>
              <w:rPr>
                <w:sz w:val="24"/>
                <w:szCs w:val="24"/>
                <w:color w:val="auto"/>
              </w:rPr>
            </w:pPr>
          </w:p>
        </w:tc>
        <w:tc>
          <w:tcPr>
            <w:tcW w:w="1240" w:type="dxa"/>
            <w:vAlign w:val="bottom"/>
            <w:tcBorders>
              <w:top w:val="single" w:sz="8" w:color="CFF0FC"/>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CFF0FC"/>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2021</w:t>
            </w:r>
          </w:p>
        </w:tc>
      </w:tr>
      <w:tr>
        <w:trPr>
          <w:trHeight w:val="210"/>
        </w:trPr>
        <w:tc>
          <w:tcPr>
            <w:tcW w:w="4900" w:type="dxa"/>
            <w:vAlign w:val="bottom"/>
            <w:gridSpan w:val="3"/>
            <w:shd w:val="clear" w:color="auto" w:fill="CFF0FC"/>
          </w:tcPr>
          <w:p>
            <w:pPr>
              <w:ind w:left="200"/>
              <w:spacing w:after="0"/>
              <w:rPr>
                <w:sz w:val="20"/>
                <w:szCs w:val="20"/>
                <w:color w:val="auto"/>
              </w:rPr>
            </w:pPr>
            <w:r>
              <w:rPr>
                <w:rFonts w:ascii="Arial" w:cs="Arial" w:eastAsia="Arial" w:hAnsi="Arial"/>
                <w:sz w:val="16"/>
                <w:szCs w:val="16"/>
                <w:color w:val="auto"/>
              </w:rPr>
              <w:t>Electric Utilities</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210.7</w:t>
            </w:r>
          </w:p>
        </w:tc>
        <w:tc>
          <w:tcPr>
            <w:tcW w:w="360" w:type="dxa"/>
            <w:vAlign w:val="bottom"/>
            <w:shd w:val="clear" w:color="auto" w:fill="CFF0FC"/>
          </w:tcPr>
          <w:p>
            <w:pPr>
              <w:jc w:val="center"/>
              <w:ind w:right="1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243.1</w:t>
            </w:r>
          </w:p>
        </w:tc>
        <w:tc>
          <w:tcPr>
            <w:tcW w:w="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285.8</w:t>
            </w:r>
          </w:p>
        </w:tc>
      </w:tr>
      <w:tr>
        <w:trPr>
          <w:trHeight w:val="215"/>
        </w:trPr>
        <w:tc>
          <w:tcPr>
            <w:tcW w:w="4900" w:type="dxa"/>
            <w:vAlign w:val="bottom"/>
            <w:gridSpan w:val="3"/>
          </w:tcPr>
          <w:p>
            <w:pPr>
              <w:ind w:left="200"/>
              <w:spacing w:after="0"/>
              <w:rPr>
                <w:sz w:val="20"/>
                <w:szCs w:val="20"/>
                <w:color w:val="auto"/>
              </w:rPr>
            </w:pPr>
            <w:r>
              <w:rPr>
                <w:rFonts w:ascii="Arial" w:cs="Arial" w:eastAsia="Arial" w:hAnsi="Arial"/>
                <w:sz w:val="16"/>
                <w:szCs w:val="16"/>
                <w:color w:val="auto"/>
              </w:rPr>
              <w:t>Gas Utilities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371.9</w:t>
            </w:r>
          </w:p>
        </w:tc>
        <w:tc>
          <w:tcPr>
            <w:tcW w:w="360" w:type="dxa"/>
            <w:vAlign w:val="bottom"/>
          </w:tcPr>
          <w:p>
            <w:pPr>
              <w:spacing w:after="0"/>
              <w:rPr>
                <w:sz w:val="18"/>
                <w:szCs w:val="18"/>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349.5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383.3</w:t>
            </w:r>
          </w:p>
        </w:tc>
      </w:tr>
      <w:tr>
        <w:trPr>
          <w:trHeight w:val="216"/>
        </w:trPr>
        <w:tc>
          <w:tcPr>
            <w:tcW w:w="4900" w:type="dxa"/>
            <w:vAlign w:val="bottom"/>
            <w:tcBorders>
              <w:bottom w:val="single" w:sz="8" w:color="CFF0FC"/>
            </w:tcBorders>
            <w:gridSpan w:val="3"/>
            <w:shd w:val="clear" w:color="auto" w:fill="CFF0FC"/>
          </w:tcPr>
          <w:p>
            <w:pPr>
              <w:ind w:left="200"/>
              <w:spacing w:after="0"/>
              <w:rPr>
                <w:sz w:val="20"/>
                <w:szCs w:val="20"/>
                <w:color w:val="auto"/>
              </w:rPr>
            </w:pPr>
            <w:r>
              <w:rPr>
                <w:rFonts w:ascii="Arial" w:cs="Arial" w:eastAsia="Arial" w:hAnsi="Arial"/>
                <w:sz w:val="16"/>
                <w:szCs w:val="16"/>
                <w:color w:val="auto"/>
              </w:rPr>
              <w:t>Corporate and Other</w:t>
            </w:r>
          </w:p>
        </w:tc>
        <w:tc>
          <w:tcPr>
            <w:tcW w:w="12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7.3</w:t>
            </w: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10.5</w:t>
            </w:r>
          </w:p>
        </w:tc>
      </w:tr>
      <w:tr>
        <w:trPr>
          <w:trHeight w:val="210"/>
        </w:trPr>
        <w:tc>
          <w:tcPr>
            <w:tcW w:w="4900" w:type="dxa"/>
            <w:vAlign w:val="bottom"/>
            <w:gridSpan w:val="3"/>
          </w:tcPr>
          <w:p>
            <w:pPr>
              <w:ind w:left="20"/>
              <w:spacing w:after="0"/>
              <w:rPr>
                <w:sz w:val="20"/>
                <w:szCs w:val="20"/>
                <w:color w:val="auto"/>
              </w:rPr>
            </w:pPr>
            <w:r>
              <w:rPr>
                <w:rFonts w:ascii="Arial" w:cs="Arial" w:eastAsia="Arial" w:hAnsi="Arial"/>
                <w:sz w:val="16"/>
                <w:szCs w:val="16"/>
                <w:color w:val="auto"/>
              </w:rPr>
              <w:t>Total capital expenditures</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589.9</w:t>
            </w:r>
          </w:p>
        </w:tc>
        <w:tc>
          <w:tcPr>
            <w:tcW w:w="360" w:type="dxa"/>
            <w:vAlign w:val="bottom"/>
          </w:tcPr>
          <w:p>
            <w:pPr>
              <w:jc w:val="center"/>
              <w:ind w:right="1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597.7</w:t>
            </w:r>
          </w:p>
        </w:tc>
        <w:tc>
          <w:tcPr>
            <w:tcW w:w="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679.6</w:t>
            </w:r>
          </w:p>
        </w:tc>
      </w:tr>
      <w:tr>
        <w:trPr>
          <w:trHeight w:val="20"/>
        </w:trPr>
        <w:tc>
          <w:tcPr>
            <w:tcW w:w="13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1360" w:type="dxa"/>
            <w:vAlign w:val="bottom"/>
            <w:tcBorders>
              <w:bottom w:val="single" w:sz="8" w:color="auto"/>
            </w:tcBorders>
          </w:tcPr>
          <w:p>
            <w:pPr>
              <w:spacing w:after="0"/>
              <w:rPr>
                <w:sz w:val="10"/>
                <w:szCs w:val="10"/>
                <w:color w:val="auto"/>
              </w:rPr>
            </w:pPr>
          </w:p>
        </w:tc>
        <w:tc>
          <w:tcPr>
            <w:tcW w:w="2100" w:type="dxa"/>
            <w:vAlign w:val="bottom"/>
            <w:tcBorders>
              <w:bottom w:val="single" w:sz="8" w:color="auto"/>
            </w:tcBorders>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r>
    </w:tbl>
    <w:p>
      <w:pPr>
        <w:spacing w:after="0" w:line="31"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 xml:space="preserve">Includes accruals for property, plant and equipment as disclosed in the Supplemental Cash Flow Information to the </w:t>
      </w:r>
      <w:r>
        <w:rPr>
          <w:rFonts w:ascii="Arial" w:cs="Arial" w:eastAsia="Arial" w:hAnsi="Arial"/>
          <w:sz w:val="14"/>
          <w:szCs w:val="14"/>
          <w:u w:val="single" w:color="auto"/>
          <w:color w:val="0000FF"/>
        </w:rPr>
        <w:t>Consolidated Statement of Cash Flows</w:t>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4977765</wp:posOffset>
            </wp:positionH>
            <wp:positionV relativeFrom="paragraph">
              <wp:posOffset>-1270</wp:posOffset>
            </wp:positionV>
            <wp:extent cx="157924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79245"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(17) SUBSEQUENT EVENTS</w:t>
      </w:r>
    </w:p>
    <w:p>
      <w:pPr>
        <w:spacing w:after="0" w:line="194"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0000FF"/>
        </w:rPr>
        <w:t>Note 2</w:t>
      </w:r>
      <w:r>
        <w:rPr>
          <w:rFonts w:ascii="Arial" w:cs="Arial" w:eastAsia="Arial" w:hAnsi="Arial"/>
          <w:sz w:val="16"/>
          <w:szCs w:val="16"/>
          <w:color w:val="auto"/>
        </w:rPr>
        <w:t>, there have been no events subsequent to December 31, 2023 which would require recognition in the Consolidated Financial Statements or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-165735</wp:posOffset>
            </wp:positionV>
            <wp:extent cx="30289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02895" cy="889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Disclosure Controls and Procedures</w:t>
      </w:r>
    </w:p>
    <w:p>
      <w:pPr>
        <w:spacing w:after="0" w:line="194"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Rules 13a-15(e) and 15d-15(e) of the Securities Exchange Act of 1934 (Exchange Act)) as of December 31, 2023. Based on their evaluation, they have concluded that our disclosure controls and procedures are effective.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disclosure controls and procedures are designed to ensure that information required to be disclosed by us in the reports that we file or submit under the Exchange Act, as amended,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the quarter ended December 31, 2023, there were no changes in the Company’s internal control over financial reporting (as defined in Rule 13a-15(f) under the Exchange Act) that have materially affected, or are reasonably likely to materially affect,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Management’s Report on Internal Control over Financial Reporting is presented on Page </w:t>
      </w:r>
      <w:r>
        <w:rPr>
          <w:rFonts w:ascii="Arial" w:cs="Arial" w:eastAsia="Arial" w:hAnsi="Arial"/>
          <w:sz w:val="16"/>
          <w:szCs w:val="16"/>
          <w:u w:val="single" w:color="auto"/>
          <w:color w:val="0000FF"/>
        </w:rPr>
        <w:t>56</w:t>
      </w:r>
      <w:r>
        <w:rPr>
          <w:rFonts w:ascii="Arial" w:cs="Arial" w:eastAsia="Arial" w:hAnsi="Arial"/>
          <w:sz w:val="16"/>
          <w:szCs w:val="16"/>
          <w:color w:val="auto"/>
        </w:rPr>
        <w:t xml:space="preserve"> of this Annual Report on Form 10-K.</w:t>
      </w:r>
    </w:p>
    <w:p>
      <w:pPr>
        <w:spacing w:after="0" w:line="194"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None of our directors or officers adopted, modified, or terminated a Rule 10b5-1 trading arrangement or a non-Rule 10b5-1 trading arrangement during the three months ended December 31, 2023.</w:t>
      </w:r>
    </w:p>
    <w:p>
      <w:pPr>
        <w:spacing w:after="0" w:line="129"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III</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9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 xml:space="preserve">Information required under this item with respect to directors and information required by Items 401, 405, 406, 407(c)(3), 407(d)(4), 407(d)(5) and 408(b) of Regulation S-K, is set forth in the Proxy Statement for our 2024 Annual Meeting of Shareholders, which is incorporated herein by reference. Information about our Executive Officers is reported in </w:t>
      </w:r>
      <w:r>
        <w:rPr>
          <w:rFonts w:ascii="Arial" w:cs="Arial" w:eastAsia="Arial" w:hAnsi="Arial"/>
          <w:sz w:val="16"/>
          <w:szCs w:val="16"/>
          <w:u w:val="single" w:color="auto"/>
          <w:color w:val="0000FF"/>
        </w:rPr>
        <w:t>Part 1</w:t>
      </w:r>
      <w:r>
        <w:rPr>
          <w:rFonts w:ascii="Arial" w:cs="Arial" w:eastAsia="Arial" w:hAnsi="Arial"/>
          <w:sz w:val="16"/>
          <w:szCs w:val="16"/>
          <w:color w:val="auto"/>
        </w:rPr>
        <w:t xml:space="preserv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1946910</wp:posOffset>
            </wp:positionH>
            <wp:positionV relativeFrom="paragraph">
              <wp:posOffset>-36195</wp:posOffset>
            </wp:positionV>
            <wp:extent cx="274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313"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194" w:lineRule="exact"/>
        <w:rPr>
          <w:sz w:val="20"/>
          <w:szCs w:val="20"/>
          <w:color w:val="auto"/>
        </w:rPr>
      </w:pPr>
    </w:p>
    <w:p>
      <w:pPr>
        <w:ind w:right="560"/>
        <w:spacing w:after="0" w:line="286" w:lineRule="auto"/>
        <w:rPr>
          <w:sz w:val="20"/>
          <w:szCs w:val="20"/>
          <w:color w:val="auto"/>
        </w:rPr>
      </w:pPr>
      <w:r>
        <w:rPr>
          <w:rFonts w:ascii="Arial" w:cs="Arial" w:eastAsia="Arial" w:hAnsi="Arial"/>
          <w:sz w:val="16"/>
          <w:szCs w:val="16"/>
          <w:color w:val="auto"/>
        </w:rPr>
        <w:t>Information required under this item is set forth in the Proxy Statement for our 2024 Annual Meeting of Shareholders, which is incorporated herein by reference.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01"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ITEM 12.</w:t>
        <w:tab/>
        <w:t>SECURITY OWNERSHIP OF CERTAIN BENEFICIAL OWNERS AND MANAGEMENT AND RELATED STOCKHOLDER MATTERS</w:t>
      </w:r>
    </w:p>
    <w:p>
      <w:pPr>
        <w:spacing w:after="0" w:line="194"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Information regarding the security ownership of certain beneficial owners and management is set forth in the Proxy Statement for our 2024 Annual Meeting of Shareholders, which is incorporated herein by reference.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9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following table includes information as of December 31, 2023 with respect to our equity compensation plans which includes the Amended and Restated 2015 Omnibus Incentive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2"/>
            <w:vMerge w:val="restart"/>
          </w:tcPr>
          <w:p>
            <w:pPr>
              <w:jc w:val="center"/>
              <w:ind w:right="119"/>
              <w:spacing w:after="0"/>
              <w:rPr>
                <w:sz w:val="20"/>
                <w:szCs w:val="20"/>
                <w:color w:val="auto"/>
              </w:rPr>
            </w:pPr>
            <w:r>
              <w:rPr>
                <w:rFonts w:ascii="Arial" w:cs="Arial" w:eastAsia="Arial" w:hAnsi="Arial"/>
                <w:sz w:val="16"/>
                <w:szCs w:val="16"/>
                <w:color w:val="auto"/>
              </w:rPr>
              <w:t>Number of securities to be</w:t>
            </w: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60" w:type="dxa"/>
            <w:vAlign w:val="bottom"/>
            <w:gridSpan w:val="2"/>
          </w:tcPr>
          <w:p>
            <w:pPr>
              <w:jc w:val="center"/>
              <w:ind w:right="279"/>
              <w:spacing w:after="0"/>
              <w:rPr>
                <w:sz w:val="20"/>
                <w:szCs w:val="20"/>
                <w:color w:val="auto"/>
              </w:rPr>
            </w:pPr>
            <w:r>
              <w:rPr>
                <w:rFonts w:ascii="Arial" w:cs="Arial" w:eastAsia="Arial" w:hAnsi="Arial"/>
                <w:sz w:val="16"/>
                <w:szCs w:val="16"/>
                <w:color w:val="auto"/>
              </w:rPr>
              <w:t>Number of securities remaining</w:t>
            </w:r>
          </w:p>
        </w:tc>
        <w:tc>
          <w:tcPr>
            <w:tcW w:w="0" w:type="dxa"/>
            <w:vAlign w:val="bottom"/>
          </w:tcPr>
          <w:p>
            <w:pPr>
              <w:spacing w:after="0"/>
              <w:rPr>
                <w:sz w:val="1"/>
                <w:szCs w:val="1"/>
                <w:color w:val="auto"/>
              </w:rPr>
            </w:pPr>
          </w:p>
        </w:tc>
      </w:tr>
      <w:tr>
        <w:trPr>
          <w:trHeight w:val="94"/>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vMerge w:val="restart"/>
          </w:tcPr>
          <w:p>
            <w:pPr>
              <w:jc w:val="right"/>
              <w:spacing w:after="0"/>
              <w:rPr>
                <w:sz w:val="20"/>
                <w:szCs w:val="20"/>
                <w:color w:val="auto"/>
              </w:rPr>
            </w:pPr>
            <w:r>
              <w:rPr>
                <w:rFonts w:ascii="Arial" w:cs="Arial" w:eastAsia="Arial" w:hAnsi="Arial"/>
                <w:sz w:val="16"/>
                <w:szCs w:val="16"/>
                <w:color w:val="auto"/>
              </w:rPr>
              <w:t>Weighted-average exercise</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restart"/>
          </w:tcPr>
          <w:p>
            <w:pPr>
              <w:jc w:val="center"/>
              <w:ind w:right="439"/>
              <w:spacing w:after="0"/>
              <w:rPr>
                <w:sz w:val="20"/>
                <w:szCs w:val="20"/>
                <w:color w:val="auto"/>
              </w:rPr>
            </w:pPr>
            <w:r>
              <w:rPr>
                <w:rFonts w:ascii="Arial" w:cs="Arial" w:eastAsia="Arial" w:hAnsi="Arial"/>
                <w:sz w:val="16"/>
                <w:szCs w:val="16"/>
                <w:color w:val="auto"/>
              </w:rPr>
              <w:t>available for future issuance</w:t>
            </w: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2"/>
            <w:vMerge w:val="restart"/>
          </w:tcPr>
          <w:p>
            <w:pPr>
              <w:jc w:val="center"/>
              <w:ind w:right="119"/>
              <w:spacing w:after="0"/>
              <w:rPr>
                <w:sz w:val="20"/>
                <w:szCs w:val="20"/>
                <w:color w:val="auto"/>
              </w:rPr>
            </w:pPr>
            <w:r>
              <w:rPr>
                <w:rFonts w:ascii="Arial" w:cs="Arial" w:eastAsia="Arial" w:hAnsi="Arial"/>
                <w:sz w:val="16"/>
                <w:szCs w:val="16"/>
                <w:color w:val="auto"/>
              </w:rPr>
              <w:t>issued upon exercise of</w:t>
            </w:r>
          </w:p>
        </w:tc>
        <w:tc>
          <w:tcPr>
            <w:tcW w:w="28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3020" w:type="dxa"/>
            <w:vAlign w:val="bottom"/>
            <w:vMerge w:val="restart"/>
          </w:tcPr>
          <w:p>
            <w:pPr>
              <w:ind w:left="1020"/>
              <w:spacing w:after="0"/>
              <w:rPr>
                <w:sz w:val="20"/>
                <w:szCs w:val="20"/>
                <w:color w:val="auto"/>
              </w:rPr>
            </w:pPr>
            <w:r>
              <w:rPr>
                <w:rFonts w:ascii="Arial" w:cs="Arial" w:eastAsia="Arial" w:hAnsi="Arial"/>
                <w:sz w:val="16"/>
                <w:szCs w:val="16"/>
                <w:color w:val="auto"/>
              </w:rPr>
              <w:t>Plan category</w:t>
            </w:r>
          </w:p>
        </w:tc>
        <w:tc>
          <w:tcPr>
            <w:tcW w:w="10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vMerge w:val="restart"/>
          </w:tcPr>
          <w:p>
            <w:pPr>
              <w:jc w:val="right"/>
              <w:spacing w:after="0"/>
              <w:rPr>
                <w:sz w:val="20"/>
                <w:szCs w:val="20"/>
                <w:color w:val="auto"/>
              </w:rPr>
            </w:pPr>
            <w:r>
              <w:rPr>
                <w:rFonts w:ascii="Arial" w:cs="Arial" w:eastAsia="Arial" w:hAnsi="Arial"/>
                <w:sz w:val="16"/>
                <w:szCs w:val="16"/>
                <w:color w:val="auto"/>
              </w:rPr>
              <w:t>price of outstanding options,</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restart"/>
          </w:tcPr>
          <w:p>
            <w:pPr>
              <w:jc w:val="center"/>
              <w:ind w:right="439"/>
              <w:spacing w:after="0"/>
              <w:rPr>
                <w:sz w:val="20"/>
                <w:szCs w:val="20"/>
                <w:color w:val="auto"/>
              </w:rPr>
            </w:pPr>
            <w:r>
              <w:rPr>
                <w:rFonts w:ascii="Arial" w:cs="Arial" w:eastAsia="Arial" w:hAnsi="Arial"/>
                <w:sz w:val="16"/>
                <w:szCs w:val="16"/>
                <w:color w:val="auto"/>
              </w:rPr>
              <w:t>under equity compensation</w:t>
            </w:r>
          </w:p>
        </w:tc>
        <w:tc>
          <w:tcPr>
            <w:tcW w:w="0" w:type="dxa"/>
            <w:vAlign w:val="bottom"/>
          </w:tcPr>
          <w:p>
            <w:pPr>
              <w:spacing w:after="0"/>
              <w:rPr>
                <w:sz w:val="1"/>
                <w:szCs w:val="1"/>
                <w:color w:val="auto"/>
              </w:rPr>
            </w:pPr>
          </w:p>
        </w:tc>
      </w:tr>
      <w:tr>
        <w:trPr>
          <w:trHeight w:val="94"/>
        </w:trPr>
        <w:tc>
          <w:tcPr>
            <w:tcW w:w="30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2"/>
            <w:vMerge w:val="restart"/>
          </w:tcPr>
          <w:p>
            <w:pPr>
              <w:jc w:val="center"/>
              <w:ind w:right="119"/>
              <w:spacing w:after="0"/>
              <w:rPr>
                <w:sz w:val="20"/>
                <w:szCs w:val="20"/>
                <w:color w:val="auto"/>
              </w:rPr>
            </w:pPr>
            <w:r>
              <w:rPr>
                <w:rFonts w:ascii="Arial" w:cs="Arial" w:eastAsia="Arial" w:hAnsi="Arial"/>
                <w:sz w:val="16"/>
                <w:szCs w:val="16"/>
                <w:color w:val="auto"/>
              </w:rPr>
              <w:t>outstanding options, warrants</w:t>
            </w:r>
          </w:p>
        </w:tc>
        <w:tc>
          <w:tcPr>
            <w:tcW w:w="28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vMerge w:val="restart"/>
          </w:tcPr>
          <w:p>
            <w:pPr>
              <w:jc w:val="right"/>
              <w:ind w:right="239"/>
              <w:spacing w:after="0"/>
              <w:rPr>
                <w:sz w:val="20"/>
                <w:szCs w:val="20"/>
                <w:color w:val="auto"/>
              </w:rPr>
            </w:pPr>
            <w:r>
              <w:rPr>
                <w:rFonts w:ascii="Arial" w:cs="Arial" w:eastAsia="Arial" w:hAnsi="Arial"/>
                <w:sz w:val="16"/>
                <w:szCs w:val="16"/>
                <w:color w:val="auto"/>
              </w:rPr>
              <w:t>warrants and rights</w:t>
            </w: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restart"/>
          </w:tcPr>
          <w:p>
            <w:pPr>
              <w:jc w:val="center"/>
              <w:ind w:right="439"/>
              <w:spacing w:after="0"/>
              <w:rPr>
                <w:sz w:val="20"/>
                <w:szCs w:val="20"/>
                <w:color w:val="auto"/>
              </w:rPr>
            </w:pPr>
            <w:r>
              <w:rPr>
                <w:rFonts w:ascii="Arial" w:cs="Arial" w:eastAsia="Arial" w:hAnsi="Arial"/>
                <w:sz w:val="16"/>
                <w:szCs w:val="16"/>
                <w:color w:val="auto"/>
              </w:rPr>
              <w:t>plans (excluding securities</w:t>
            </w:r>
          </w:p>
        </w:tc>
        <w:tc>
          <w:tcPr>
            <w:tcW w:w="0" w:type="dxa"/>
            <w:vAlign w:val="bottom"/>
          </w:tcPr>
          <w:p>
            <w:pPr>
              <w:spacing w:after="0"/>
              <w:rPr>
                <w:sz w:val="1"/>
                <w:szCs w:val="1"/>
                <w:color w:val="auto"/>
              </w:rPr>
            </w:pPr>
          </w:p>
        </w:tc>
      </w:tr>
      <w:tr>
        <w:trPr>
          <w:trHeight w:val="94"/>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vMerge w:val="restart"/>
          </w:tcPr>
          <w:p>
            <w:pPr>
              <w:jc w:val="right"/>
              <w:ind w:right="819"/>
              <w:spacing w:after="0"/>
              <w:rPr>
                <w:sz w:val="20"/>
                <w:szCs w:val="20"/>
                <w:color w:val="auto"/>
              </w:rPr>
            </w:pPr>
            <w:r>
              <w:rPr>
                <w:rFonts w:ascii="Arial" w:cs="Arial" w:eastAsia="Arial" w:hAnsi="Arial"/>
                <w:sz w:val="16"/>
                <w:szCs w:val="16"/>
                <w:color w:val="auto"/>
              </w:rPr>
              <w:t>and rights</w:t>
            </w:r>
          </w:p>
        </w:tc>
        <w:tc>
          <w:tcPr>
            <w:tcW w:w="28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vMerge w:val="restart"/>
          </w:tcPr>
          <w:p>
            <w:pPr>
              <w:jc w:val="right"/>
              <w:ind w:right="619"/>
              <w:spacing w:after="0"/>
              <w:rPr>
                <w:sz w:val="20"/>
                <w:szCs w:val="20"/>
                <w:color w:val="auto"/>
              </w:rPr>
            </w:pPr>
            <w:r>
              <w:rPr>
                <w:rFonts w:ascii="Arial" w:cs="Arial" w:eastAsia="Arial" w:hAnsi="Arial"/>
                <w:sz w:val="16"/>
                <w:szCs w:val="16"/>
                <w:color w:val="auto"/>
              </w:rPr>
              <w:t>reflected in column (a))</w:t>
            </w:r>
          </w:p>
        </w:tc>
        <w:tc>
          <w:tcPr>
            <w:tcW w:w="0" w:type="dxa"/>
            <w:vAlign w:val="bottom"/>
          </w:tcPr>
          <w:p>
            <w:pPr>
              <w:spacing w:after="0"/>
              <w:rPr>
                <w:sz w:val="1"/>
                <w:szCs w:val="1"/>
                <w:color w:val="auto"/>
              </w:rPr>
            </w:pPr>
          </w:p>
        </w:tc>
      </w:tr>
      <w:tr>
        <w:trPr>
          <w:trHeight w:val="94"/>
        </w:trPr>
        <w:tc>
          <w:tcPr>
            <w:tcW w:w="3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3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1059"/>
              <w:spacing w:after="0"/>
              <w:rPr>
                <w:sz w:val="20"/>
                <w:szCs w:val="20"/>
                <w:color w:val="auto"/>
              </w:rPr>
            </w:pPr>
            <w:r>
              <w:rPr>
                <w:rFonts w:ascii="Arial" w:cs="Arial" w:eastAsia="Arial" w:hAnsi="Arial"/>
                <w:sz w:val="16"/>
                <w:szCs w:val="16"/>
                <w:color w:val="auto"/>
              </w:rPr>
              <w:t>(a)</w:t>
            </w:r>
          </w:p>
        </w:tc>
        <w:tc>
          <w:tcPr>
            <w:tcW w:w="2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19"/>
              <w:spacing w:after="0"/>
              <w:rPr>
                <w:sz w:val="20"/>
                <w:szCs w:val="20"/>
                <w:color w:val="auto"/>
              </w:rPr>
            </w:pPr>
            <w:r>
              <w:rPr>
                <w:rFonts w:ascii="Arial" w:cs="Arial" w:eastAsia="Arial" w:hAnsi="Arial"/>
                <w:sz w:val="16"/>
                <w:szCs w:val="16"/>
                <w:color w:val="auto"/>
              </w:rPr>
              <w:t>(b)</w:t>
            </w: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right"/>
              <w:ind w:right="1359"/>
              <w:spacing w:after="0"/>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83"/>
        </w:trPr>
        <w:tc>
          <w:tcPr>
            <w:tcW w:w="3020" w:type="dxa"/>
            <w:vAlign w:val="bottom"/>
            <w:shd w:val="clear" w:color="auto" w:fill="CFF0FC"/>
          </w:tcPr>
          <w:p>
            <w:pPr>
              <w:ind w:left="20"/>
              <w:spacing w:after="0" w:line="183" w:lineRule="exact"/>
              <w:rPr>
                <w:sz w:val="20"/>
                <w:szCs w:val="20"/>
                <w:color w:val="auto"/>
              </w:rPr>
            </w:pPr>
            <w:r>
              <w:rPr>
                <w:rFonts w:ascii="Arial" w:cs="Arial" w:eastAsia="Arial" w:hAnsi="Arial"/>
                <w:sz w:val="16"/>
                <w:szCs w:val="16"/>
                <w:color w:val="auto"/>
              </w:rPr>
              <w:t>Equity compensation plans approved by</w:t>
            </w:r>
          </w:p>
        </w:tc>
        <w:tc>
          <w:tcPr>
            <w:tcW w:w="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28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2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(1)</w:t>
            </w:r>
          </w:p>
        </w:tc>
        <w:tc>
          <w:tcPr>
            <w:tcW w:w="180" w:type="dxa"/>
            <w:vAlign w:val="bottom"/>
            <w:shd w:val="clear" w:color="auto" w:fill="CFF0FC"/>
          </w:tcPr>
          <w:p>
            <w:pPr>
              <w:spacing w:after="0"/>
              <w:rPr>
                <w:sz w:val="15"/>
                <w:szCs w:val="15"/>
                <w:color w:val="auto"/>
              </w:rPr>
            </w:pPr>
          </w:p>
        </w:tc>
        <w:tc>
          <w:tcPr>
            <w:tcW w:w="2580" w:type="dxa"/>
            <w:vAlign w:val="bottom"/>
            <w:vMerge w:val="restart"/>
            <w:shd w:val="clear" w:color="auto" w:fill="CFF0FC"/>
          </w:tcPr>
          <w:p>
            <w:pPr>
              <w:jc w:val="right"/>
              <w:ind w:right="19"/>
              <w:spacing w:after="0"/>
              <w:rPr>
                <w:sz w:val="20"/>
                <w:szCs w:val="20"/>
                <w:color w:val="auto"/>
              </w:rPr>
            </w:pPr>
            <w:r>
              <w:rPr>
                <w:rFonts w:ascii="Arial" w:cs="Arial" w:eastAsia="Arial" w:hAnsi="Arial"/>
                <w:sz w:val="16"/>
                <w:szCs w:val="16"/>
                <w:color w:val="auto"/>
              </w:rPr>
              <w:t xml:space="preserve">2,132,275  </w:t>
            </w:r>
            <w:r>
              <w:rPr>
                <w:rFonts w:ascii="Arial" w:cs="Arial" w:eastAsia="Arial" w:hAnsi="Arial"/>
                <w:sz w:val="21"/>
                <w:szCs w:val="21"/>
                <w:color w:val="auto"/>
                <w:vertAlign w:val="superscript"/>
              </w:rPr>
              <w:t>(2)</w:t>
            </w:r>
          </w:p>
        </w:tc>
        <w:tc>
          <w:tcPr>
            <w:tcW w:w="0" w:type="dxa"/>
            <w:vAlign w:val="bottom"/>
          </w:tcPr>
          <w:p>
            <w:pPr>
              <w:spacing w:after="0"/>
              <w:rPr>
                <w:sz w:val="1"/>
                <w:szCs w:val="1"/>
                <w:color w:val="auto"/>
              </w:rPr>
            </w:pPr>
          </w:p>
        </w:tc>
      </w:tr>
      <w:tr>
        <w:trPr>
          <w:trHeight w:val="217"/>
        </w:trPr>
        <w:tc>
          <w:tcPr>
            <w:tcW w:w="30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security holders</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290,266</w:t>
            </w:r>
          </w:p>
        </w:tc>
        <w:tc>
          <w:tcPr>
            <w:tcW w:w="280" w:type="dxa"/>
            <w:vAlign w:val="bottom"/>
            <w:vMerge w:val="continue"/>
            <w:shd w:val="clear" w:color="auto" w:fill="CFF0FC"/>
          </w:tcPr>
          <w:p>
            <w:pPr>
              <w:spacing w:after="0"/>
              <w:rPr>
                <w:sz w:val="18"/>
                <w:szCs w:val="18"/>
                <w:color w:val="auto"/>
              </w:rPr>
            </w:pPr>
          </w:p>
        </w:tc>
        <w:tc>
          <w:tcPr>
            <w:tcW w:w="2240" w:type="dxa"/>
            <w:vAlign w:val="bottom"/>
            <w:shd w:val="clear" w:color="auto" w:fill="CFF0FC"/>
          </w:tcPr>
          <w:p>
            <w:pPr>
              <w:jc w:val="right"/>
              <w:ind w:right="2019"/>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26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580" w:type="dxa"/>
            <w:vAlign w:val="bottom"/>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020" w:type="dxa"/>
            <w:vAlign w:val="bottom"/>
          </w:tcPr>
          <w:p>
            <w:pPr>
              <w:ind w:left="20"/>
              <w:spacing w:after="0"/>
              <w:rPr>
                <w:sz w:val="20"/>
                <w:szCs w:val="20"/>
                <w:color w:val="auto"/>
              </w:rPr>
            </w:pPr>
            <w:r>
              <w:rPr>
                <w:rFonts w:ascii="Arial" w:cs="Arial" w:eastAsia="Arial" w:hAnsi="Arial"/>
                <w:sz w:val="16"/>
                <w:szCs w:val="16"/>
                <w:color w:val="auto"/>
              </w:rPr>
              <w:t>Equity compensation plans not approved</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vMerge w:val="restart"/>
          </w:tcPr>
          <w:p>
            <w:pPr>
              <w:jc w:val="right"/>
              <w:ind w:right="2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07"/>
        </w:trPr>
        <w:tc>
          <w:tcPr>
            <w:tcW w:w="3020" w:type="dxa"/>
            <w:vAlign w:val="bottom"/>
            <w:vMerge w:val="restart"/>
          </w:tcPr>
          <w:p>
            <w:pPr>
              <w:ind w:left="20"/>
              <w:spacing w:after="0"/>
              <w:rPr>
                <w:sz w:val="20"/>
                <w:szCs w:val="20"/>
                <w:color w:val="auto"/>
              </w:rPr>
            </w:pPr>
            <w:r>
              <w:rPr>
                <w:rFonts w:ascii="Arial" w:cs="Arial" w:eastAsia="Arial" w:hAnsi="Arial"/>
                <w:sz w:val="16"/>
                <w:szCs w:val="16"/>
                <w:color w:val="auto"/>
              </w:rPr>
              <w:t>by security holders</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3020" w:type="dxa"/>
            <w:vAlign w:val="bottom"/>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30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290,266</w:t>
            </w:r>
          </w:p>
        </w:tc>
        <w:tc>
          <w:tcPr>
            <w:tcW w:w="280" w:type="dxa"/>
            <w:vAlign w:val="bottom"/>
            <w:tcBorders>
              <w:bottom w:val="single" w:sz="8" w:color="auto"/>
            </w:tcBorders>
            <w:shd w:val="clear" w:color="auto" w:fill="CFF0FC"/>
          </w:tcPr>
          <w:p>
            <w:pPr>
              <w:spacing w:after="0"/>
              <w:rPr>
                <w:sz w:val="21"/>
                <w:szCs w:val="21"/>
                <w:color w:val="auto"/>
              </w:rPr>
            </w:pPr>
          </w:p>
        </w:tc>
        <w:tc>
          <w:tcPr>
            <w:tcW w:w="2240" w:type="dxa"/>
            <w:vAlign w:val="bottom"/>
            <w:tcBorders>
              <w:bottom w:val="single" w:sz="8" w:color="auto"/>
            </w:tcBorders>
            <w:shd w:val="clear" w:color="auto" w:fill="CFF0FC"/>
          </w:tcPr>
          <w:p>
            <w:pPr>
              <w:jc w:val="right"/>
              <w:ind w:right="201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580" w:type="dxa"/>
            <w:vAlign w:val="bottom"/>
            <w:tcBorders>
              <w:bottom w:val="single" w:sz="8" w:color="auto"/>
            </w:tcBorders>
            <w:shd w:val="clear" w:color="auto" w:fill="CFF0FC"/>
          </w:tcPr>
          <w:p>
            <w:pPr>
              <w:jc w:val="right"/>
              <w:ind w:right="279"/>
              <w:spacing w:after="0"/>
              <w:rPr>
                <w:sz w:val="20"/>
                <w:szCs w:val="20"/>
                <w:color w:val="auto"/>
              </w:rPr>
            </w:pPr>
            <w:r>
              <w:rPr>
                <w:rFonts w:ascii="Arial" w:cs="Arial" w:eastAsia="Arial" w:hAnsi="Arial"/>
                <w:sz w:val="16"/>
                <w:szCs w:val="16"/>
                <w:color w:val="auto"/>
              </w:rPr>
              <w:t>2,132,275</w:t>
            </w:r>
          </w:p>
        </w:tc>
        <w:tc>
          <w:tcPr>
            <w:tcW w:w="0" w:type="dxa"/>
            <w:vAlign w:val="bottom"/>
          </w:tcPr>
          <w:p>
            <w:pPr>
              <w:spacing w:after="0"/>
              <w:rPr>
                <w:sz w:val="1"/>
                <w:szCs w:val="1"/>
                <w:color w:val="auto"/>
              </w:rPr>
            </w:pPr>
          </w:p>
        </w:tc>
      </w:tr>
      <w:tr>
        <w:trPr>
          <w:trHeight w:val="116"/>
        </w:trPr>
        <w:tc>
          <w:tcPr>
            <w:tcW w:w="3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ind w:left="520" w:right="260" w:hanging="512"/>
        <w:spacing w:after="0" w:line="248"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290,266 full value awards outstanding as of December 31, 2023, comprised of restricted stock units, performance shares, short-term incentive plan (STIP) units and Director common stock units. In addition, 148,163 shares of unvested restricted stock were outstanding as of December 31, 2023, which are not included in the table above because they have already been issued. We do not have any outstanding options, warrants or rights.</w:t>
      </w:r>
    </w:p>
    <w:p>
      <w:pPr>
        <w:jc w:val="both"/>
        <w:ind w:left="520" w:right="240" w:hanging="512"/>
        <w:spacing w:after="0" w:line="252" w:lineRule="auto"/>
        <w:tabs>
          <w:tab w:leader="none" w:pos="5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Shares available for issuance are from the 2015 Amended and Restated Omnibus Incentive Plan. The 2015 Amended and Restated Omnibus Incentive Plan permits grant of stock options, stock appreciation rights, restricted stock, restricted stock units, performance shares, performance units, cash-based awards and other stock-based awards.</w:t>
      </w:r>
    </w:p>
    <w:p>
      <w:pPr>
        <w:spacing w:after="0" w:line="162"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94"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Information regarding certain relationships and related transactions and director independence is set forth in the Proxy Statement for our 2024 Annual Meeting of Shareholders, which is incorporated herein by reference.</w:t>
      </w:r>
    </w:p>
    <w:p>
      <w:pPr>
        <w:spacing w:after="0" w:line="129"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Information regarding principal accounting fees and services billed to us by our principal accountant, Deloitte &amp; Touche LLP (PCAOB ID No. 34) is set forth in the Proxy Statement for our 2024 Annual Meeting to Shareholders, which is incorporated herein by reference.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3" w:name="page104"/>
    <w:bookmarkEnd w:id="103"/>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IV</w:t>
      </w:r>
    </w:p>
    <w:p>
      <w:pPr>
        <w:spacing w:after="0" w:line="194"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194" w:lineRule="exact"/>
        <w:rPr>
          <w:sz w:val="20"/>
          <w:szCs w:val="20"/>
          <w:color w:val="auto"/>
        </w:rPr>
      </w:pPr>
    </w:p>
    <w:p>
      <w:pPr>
        <w:ind w:left="520" w:hanging="512"/>
        <w:spacing w:after="0"/>
        <w:tabs>
          <w:tab w:leader="none" w:pos="52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w:t>
      </w:r>
    </w:p>
    <w:p>
      <w:pPr>
        <w:spacing w:after="0" w:line="194"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Financial statements required under this item are included in </w:t>
      </w:r>
      <w:r>
        <w:rPr>
          <w:rFonts w:ascii="Arial" w:cs="Arial" w:eastAsia="Arial" w:hAnsi="Arial"/>
          <w:sz w:val="16"/>
          <w:szCs w:val="16"/>
          <w:u w:val="single" w:color="auto"/>
          <w:color w:val="0000FF"/>
        </w:rPr>
        <w:t>Item 8</w:t>
      </w:r>
      <w:r>
        <w:rPr>
          <w:rFonts w:ascii="Arial" w:cs="Arial" w:eastAsia="Arial" w:hAnsi="Arial"/>
          <w:sz w:val="16"/>
          <w:szCs w:val="16"/>
          <w:color w:val="auto"/>
        </w:rPr>
        <w:t xml:space="preserve"> of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2783840</wp:posOffset>
            </wp:positionH>
            <wp:positionV relativeFrom="paragraph">
              <wp:posOffset>-4445</wp:posOffset>
            </wp:positionV>
            <wp:extent cx="28575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85750" cy="8255"/>
                    </a:xfrm>
                    <a:prstGeom prst="rect">
                      <a:avLst/>
                    </a:prstGeom>
                    <a:noFill/>
                  </pic:spPr>
                </pic:pic>
              </a:graphicData>
            </a:graphic>
          </wp:anchor>
        </w:drawing>
      </w:r>
    </w:p>
    <w:p>
      <w:pPr>
        <w:spacing w:after="0" w:line="174" w:lineRule="exact"/>
        <w:rPr>
          <w:sz w:val="20"/>
          <w:szCs w:val="20"/>
          <w:color w:val="auto"/>
        </w:rPr>
      </w:pPr>
    </w:p>
    <w:p>
      <w:pPr>
        <w:ind w:left="520" w:hanging="512"/>
        <w:spacing w:after="0"/>
        <w:tabs>
          <w:tab w:leader="none" w:pos="520"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Schedules</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All other schedules have been omitted because of the absence of the conditions under which they are required or because the required information is included in our consolidated financial statements and notes thereto. Consolidated valuation and qualifying accounts are detailed within </w:t>
      </w:r>
      <w:r>
        <w:rPr>
          <w:rFonts w:ascii="Arial" w:cs="Arial" w:eastAsia="Arial" w:hAnsi="Arial"/>
          <w:sz w:val="16"/>
          <w:szCs w:val="16"/>
          <w:u w:val="single" w:color="auto"/>
          <w:color w:val="0000FF"/>
        </w:rPr>
        <w:t>Note 1</w:t>
      </w:r>
      <w:r>
        <w:rPr>
          <w:rFonts w:ascii="Arial" w:cs="Arial" w:eastAsia="Arial" w:hAnsi="Arial"/>
          <w:sz w:val="16"/>
          <w:szCs w:val="16"/>
          <w:color w:val="auto"/>
        </w:rPr>
        <w:t xml:space="preserve"> of the Notes to the Consolidated Financial Statements in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6135370</wp:posOffset>
            </wp:positionH>
            <wp:positionV relativeFrom="paragraph">
              <wp:posOffset>-156210</wp:posOffset>
            </wp:positionV>
            <wp:extent cx="30289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302895" cy="8255"/>
                    </a:xfrm>
                    <a:prstGeom prst="rect">
                      <a:avLst/>
                    </a:prstGeom>
                    <a:noFill/>
                  </pic:spPr>
                </pic:pic>
              </a:graphicData>
            </a:graphic>
          </wp:anchor>
        </w:drawing>
      </w:r>
    </w:p>
    <w:p>
      <w:pPr>
        <w:spacing w:after="0" w:line="124" w:lineRule="exact"/>
        <w:rPr>
          <w:sz w:val="20"/>
          <w:szCs w:val="20"/>
          <w:color w:val="auto"/>
        </w:rPr>
      </w:pPr>
    </w:p>
    <w:p>
      <w:pPr>
        <w:ind w:left="520" w:hanging="512"/>
        <w:spacing w:after="0"/>
        <w:tabs>
          <w:tab w:leader="none" w:pos="520" w:val="left"/>
        </w:tabs>
        <w:numPr>
          <w:ilvl w:val="0"/>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4"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Exhibits filed herewithin are designated by an asterisk (*). All exhibits not so designated are incorporated by reference to a prior filing, as indicated. Items constituting a board of director or management compensatory plan are designated by a cross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460" w:type="dxa"/>
            <w:vAlign w:val="bottom"/>
          </w:tcPr>
          <w:p>
            <w:pPr>
              <w:jc w:val="right"/>
              <w:ind w:right="459"/>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80" w:type="dxa"/>
            <w:vAlign w:val="bottom"/>
            <w:gridSpan w:val="16"/>
          </w:tcPr>
          <w:p>
            <w:pPr>
              <w:ind w:left="1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23"/>
        </w:trPr>
        <w:tc>
          <w:tcPr>
            <w:tcW w:w="1460" w:type="dxa"/>
            <w:vAlign w:val="bottom"/>
          </w:tcPr>
          <w:p>
            <w:pPr>
              <w:jc w:val="right"/>
              <w:ind w:right="399"/>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1039"/>
              <w:spacing w:after="0"/>
              <w:rPr>
                <w:sz w:val="20"/>
                <w:szCs w:val="20"/>
                <w:color w:val="auto"/>
              </w:rPr>
            </w:pPr>
            <w:r>
              <w:rPr>
                <w:rFonts w:ascii="Arial" w:cs="Arial" w:eastAsia="Arial" w:hAnsi="Arial"/>
                <w:sz w:val="16"/>
                <w:szCs w:val="16"/>
                <w:color w:val="auto"/>
              </w:rPr>
              <w:t>2.1</w:t>
            </w:r>
          </w:p>
        </w:tc>
        <w:tc>
          <w:tcPr>
            <w:tcW w:w="9780" w:type="dxa"/>
            <w:vAlign w:val="bottom"/>
            <w:gridSpan w:val="23"/>
            <w:shd w:val="clear" w:color="auto" w:fill="CFF0FC"/>
          </w:tcPr>
          <w:p>
            <w:pPr>
              <w:spacing w:after="0"/>
              <w:rPr>
                <w:rFonts w:ascii="Arial" w:cs="Arial" w:eastAsia="Arial" w:hAnsi="Arial"/>
                <w:sz w:val="16"/>
                <w:szCs w:val="16"/>
                <w:color w:val="0000FF"/>
              </w:rPr>
            </w:pPr>
            <w:hyperlink r:id="rId425">
              <w:r>
                <w:rPr>
                  <w:rFonts w:ascii="Arial" w:cs="Arial" w:eastAsia="Arial" w:hAnsi="Arial"/>
                  <w:sz w:val="16"/>
                  <w:szCs w:val="16"/>
                  <w:color w:val="0000FF"/>
                </w:rPr>
                <w:t>Purchase and Sale Agreement by and among Alinda Gas Delaware LLC, Alinda Infrastructure Fund I, L.P. and Aircraft Services</w:t>
              </w:r>
            </w:hyperlink>
          </w:p>
        </w:tc>
        <w:tc>
          <w:tcPr>
            <w:tcW w:w="0" w:type="dxa"/>
            <w:vAlign w:val="bottom"/>
          </w:tcPr>
          <w:p>
            <w:pPr>
              <w:spacing w:after="0"/>
              <w:rPr>
                <w:sz w:val="1"/>
                <w:szCs w:val="1"/>
                <w:color w:val="auto"/>
              </w:rPr>
            </w:pPr>
          </w:p>
        </w:tc>
      </w:tr>
      <w:tr>
        <w:trPr>
          <w:trHeight w:val="20"/>
        </w:trPr>
        <w:tc>
          <w:tcPr>
            <w:tcW w:w="14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2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Borders>
              <w:right w:val="single" w:sz="8" w:color="CFF0FC"/>
            </w:tcBorders>
            <w:shd w:val="clear" w:color="auto" w:fill="CFF0FC"/>
          </w:tcPr>
          <w:p>
            <w:pPr>
              <w:spacing w:after="0"/>
              <w:rPr>
                <w:sz w:val="14"/>
                <w:szCs w:val="14"/>
                <w:color w:val="auto"/>
              </w:rPr>
            </w:pPr>
          </w:p>
        </w:tc>
        <w:tc>
          <w:tcPr>
            <w:tcW w:w="9780" w:type="dxa"/>
            <w:vAlign w:val="bottom"/>
            <w:gridSpan w:val="23"/>
            <w:shd w:val="clear" w:color="auto" w:fill="CFF0FC"/>
          </w:tcPr>
          <w:p>
            <w:pPr>
              <w:spacing w:after="0" w:line="169" w:lineRule="exact"/>
              <w:rPr>
                <w:rFonts w:ascii="Arial" w:cs="Arial" w:eastAsia="Arial" w:hAnsi="Arial"/>
                <w:sz w:val="16"/>
                <w:szCs w:val="16"/>
                <w:color w:val="0000FF"/>
              </w:rPr>
            </w:pPr>
            <w:hyperlink r:id="rId425">
              <w:r>
                <w:rPr>
                  <w:rFonts w:ascii="Arial" w:cs="Arial" w:eastAsia="Arial" w:hAnsi="Arial"/>
                  <w:sz w:val="16"/>
                  <w:szCs w:val="16"/>
                  <w:color w:val="0000FF"/>
                </w:rPr>
                <w:t>Corporation, as Sellers, and Black Hills Utility Holdings, Inc., as Buyer, dated as of July 12, 2015 (filed as Exhibit 2.1 to the Registrant’s</w:t>
              </w:r>
            </w:hyperlink>
          </w:p>
        </w:tc>
        <w:tc>
          <w:tcPr>
            <w:tcW w:w="0" w:type="dxa"/>
            <w:vAlign w:val="bottom"/>
          </w:tcPr>
          <w:p>
            <w:pPr>
              <w:spacing w:after="0"/>
              <w:rPr>
                <w:sz w:val="1"/>
                <w:szCs w:val="1"/>
                <w:color w:val="auto"/>
              </w:rPr>
            </w:pPr>
          </w:p>
        </w:tc>
      </w:tr>
      <w:tr>
        <w:trPr>
          <w:trHeight w:val="216"/>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2340" w:type="dxa"/>
            <w:vAlign w:val="bottom"/>
            <w:tcBorders>
              <w:top w:val="single" w:sz="8" w:color="0000FF"/>
              <w:bottom w:val="single" w:sz="8" w:color="0000FF"/>
            </w:tcBorders>
            <w:gridSpan w:val="6"/>
            <w:shd w:val="clear" w:color="auto" w:fill="CFF0FC"/>
          </w:tcPr>
          <w:p>
            <w:pPr>
              <w:spacing w:after="0" w:line="169" w:lineRule="exact"/>
              <w:rPr>
                <w:rFonts w:ascii="Arial" w:cs="Arial" w:eastAsia="Arial" w:hAnsi="Arial"/>
                <w:sz w:val="16"/>
                <w:szCs w:val="16"/>
                <w:color w:val="0000FF"/>
                <w:w w:val="99"/>
              </w:rPr>
            </w:pPr>
            <w:hyperlink r:id="rId425">
              <w:r>
                <w:rPr>
                  <w:rFonts w:ascii="Arial" w:cs="Arial" w:eastAsia="Arial" w:hAnsi="Arial"/>
                  <w:sz w:val="16"/>
                  <w:szCs w:val="16"/>
                  <w:color w:val="0000FF"/>
                  <w:w w:val="99"/>
                </w:rPr>
                <w:t>Form 8-K filed on July 14, 2015).</w:t>
              </w:r>
            </w:hyperlink>
          </w:p>
        </w:tc>
        <w:tc>
          <w:tcPr>
            <w:tcW w:w="7340" w:type="dxa"/>
            <w:vAlign w:val="bottom"/>
            <w:tcBorders>
              <w:top w:val="single" w:sz="8" w:color="0000FF"/>
              <w:bottom w:val="single" w:sz="8" w:color="CFF0FC"/>
              <w:right w:val="single" w:sz="8" w:color="CFF0FC"/>
            </w:tcBorders>
            <w:gridSpan w:val="16"/>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tcPr>
          <w:p>
            <w:pPr>
              <w:jc w:val="right"/>
              <w:ind w:right="1039"/>
              <w:spacing w:after="0"/>
              <w:rPr>
                <w:sz w:val="20"/>
                <w:szCs w:val="20"/>
                <w:color w:val="auto"/>
              </w:rPr>
            </w:pPr>
            <w:r>
              <w:rPr>
                <w:rFonts w:ascii="Arial" w:cs="Arial" w:eastAsia="Arial" w:hAnsi="Arial"/>
                <w:sz w:val="16"/>
                <w:szCs w:val="16"/>
                <w:color w:val="auto"/>
              </w:rPr>
              <w:t>2.2</w:t>
            </w:r>
          </w:p>
        </w:tc>
        <w:tc>
          <w:tcPr>
            <w:tcW w:w="9780" w:type="dxa"/>
            <w:vAlign w:val="bottom"/>
            <w:gridSpan w:val="23"/>
          </w:tcPr>
          <w:p>
            <w:pPr>
              <w:spacing w:after="0"/>
              <w:rPr>
                <w:rFonts w:ascii="Arial" w:cs="Arial" w:eastAsia="Arial" w:hAnsi="Arial"/>
                <w:sz w:val="16"/>
                <w:szCs w:val="16"/>
                <w:color w:val="0000FF"/>
              </w:rPr>
            </w:pPr>
            <w:hyperlink r:id="rId426">
              <w:r>
                <w:rPr>
                  <w:rFonts w:ascii="Arial" w:cs="Arial" w:eastAsia="Arial" w:hAnsi="Arial"/>
                  <w:sz w:val="16"/>
                  <w:szCs w:val="16"/>
                  <w:color w:val="0000FF"/>
                </w:rPr>
                <w:t>First Amendment to Purchase and Sale Agreement effective December 10, 2015, by and among, Alinda Gas Delaware LLC, Alinda</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420" w:type="dxa"/>
            <w:vAlign w:val="bottom"/>
            <w:tcBorders>
              <w:top w:val="single" w:sz="8" w:color="0000FF"/>
              <w:bottom w:val="single" w:sz="8" w:color="0000FF"/>
            </w:tcBorders>
            <w:gridSpan w:val="17"/>
          </w:tcPr>
          <w:p>
            <w:pPr>
              <w:spacing w:after="0" w:line="169" w:lineRule="exact"/>
              <w:rPr>
                <w:rFonts w:ascii="Arial" w:cs="Arial" w:eastAsia="Arial" w:hAnsi="Arial"/>
                <w:sz w:val="16"/>
                <w:szCs w:val="16"/>
                <w:color w:val="0000FF"/>
                <w:w w:val="99"/>
              </w:rPr>
            </w:pPr>
            <w:hyperlink r:id="rId426">
              <w:r>
                <w:rPr>
                  <w:rFonts w:ascii="Arial" w:cs="Arial" w:eastAsia="Arial" w:hAnsi="Arial"/>
                  <w:sz w:val="16"/>
                  <w:szCs w:val="16"/>
                  <w:color w:val="0000FF"/>
                  <w:w w:val="99"/>
                </w:rPr>
                <w:t>Infrastructure Fund I, L.P. and Aircraft Services Corporation, as Sellers, and Black Hills Utility Holdings, Inc., as Buyer (filed as Exhibit</w:t>
              </w:r>
            </w:hyperlink>
          </w:p>
        </w:tc>
        <w:tc>
          <w:tcPr>
            <w:tcW w:w="20" w:type="dxa"/>
            <w:vAlign w:val="bottom"/>
            <w:tcBorders>
              <w:bottom w:val="single" w:sz="8" w:color="0000FF"/>
            </w:tcBorders>
          </w:tcPr>
          <w:p>
            <w:pPr>
              <w:spacing w:after="0"/>
              <w:rPr>
                <w:sz w:val="14"/>
                <w:szCs w:val="14"/>
                <w:color w:val="auto"/>
              </w:rPr>
            </w:pPr>
          </w:p>
        </w:tc>
        <w:tc>
          <w:tcPr>
            <w:tcW w:w="1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9580" w:type="dxa"/>
            <w:vAlign w:val="bottom"/>
            <w:gridSpan w:val="20"/>
          </w:tcPr>
          <w:p>
            <w:pPr>
              <w:spacing w:after="0" w:line="169" w:lineRule="exact"/>
              <w:rPr>
                <w:rFonts w:ascii="Arial" w:cs="Arial" w:eastAsia="Arial" w:hAnsi="Arial"/>
                <w:sz w:val="16"/>
                <w:szCs w:val="16"/>
                <w:color w:val="0000FF"/>
              </w:rPr>
            </w:pPr>
            <w:hyperlink r:id="rId426">
              <w:r>
                <w:rPr>
                  <w:rFonts w:ascii="Arial" w:cs="Arial" w:eastAsia="Arial" w:hAnsi="Arial"/>
                  <w:sz w:val="16"/>
                  <w:szCs w:val="16"/>
                  <w:color w:val="0000FF"/>
                </w:rPr>
                <w:t>2.</w:t>
              </w:r>
              <w:r>
                <w:rPr>
                  <w:rFonts w:ascii="Arial" w:cs="Arial" w:eastAsia="Arial" w:hAnsi="Arial"/>
                  <w:sz w:val="16"/>
                  <w:szCs w:val="16"/>
                  <w:u w:val="single" w:color="auto"/>
                  <w:color w:val="0000FF"/>
                </w:rPr>
                <w:t>2</w:t>
              </w:r>
              <w:r>
                <w:rPr>
                  <w:rFonts w:ascii="Arial" w:cs="Arial" w:eastAsia="Arial" w:hAnsi="Arial"/>
                  <w:sz w:val="16"/>
                  <w:szCs w:val="16"/>
                  <w:color w:val="0000FF"/>
                </w:rPr>
                <w:t xml:space="preserve"> to the Registrant’s Form 10-K for 2015).</w:t>
              </w:r>
            </w:hyperlink>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1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1039"/>
              <w:spacing w:after="0"/>
              <w:rPr>
                <w:sz w:val="20"/>
                <w:szCs w:val="20"/>
                <w:color w:val="auto"/>
              </w:rPr>
            </w:pPr>
            <w:r>
              <w:rPr>
                <w:rFonts w:ascii="Arial" w:cs="Arial" w:eastAsia="Arial" w:hAnsi="Arial"/>
                <w:sz w:val="16"/>
                <w:szCs w:val="16"/>
                <w:color w:val="auto"/>
              </w:rPr>
              <w:t>2.3</w:t>
            </w:r>
          </w:p>
        </w:tc>
        <w:tc>
          <w:tcPr>
            <w:tcW w:w="9780" w:type="dxa"/>
            <w:vAlign w:val="bottom"/>
            <w:gridSpan w:val="23"/>
            <w:shd w:val="clear" w:color="auto" w:fill="CFF0FC"/>
          </w:tcPr>
          <w:p>
            <w:pPr>
              <w:spacing w:after="0"/>
              <w:rPr>
                <w:rFonts w:ascii="Arial" w:cs="Arial" w:eastAsia="Arial" w:hAnsi="Arial"/>
                <w:sz w:val="16"/>
                <w:szCs w:val="16"/>
                <w:color w:val="0000FF"/>
              </w:rPr>
            </w:pPr>
            <w:hyperlink r:id="rId427">
              <w:r>
                <w:rPr>
                  <w:rFonts w:ascii="Arial" w:cs="Arial" w:eastAsia="Arial" w:hAnsi="Arial"/>
                  <w:sz w:val="16"/>
                  <w:szCs w:val="16"/>
                  <w:color w:val="0000FF"/>
                </w:rPr>
                <w:t>Option Agreement, by and among, Aircraft Services Corporation, as ASC, SourceGas Holdings LLC, as the Company and Black Hills</w:t>
              </w:r>
            </w:hyperlink>
          </w:p>
        </w:tc>
        <w:tc>
          <w:tcPr>
            <w:tcW w:w="0" w:type="dxa"/>
            <w:vAlign w:val="bottom"/>
          </w:tcPr>
          <w:p>
            <w:pPr>
              <w:spacing w:after="0"/>
              <w:rPr>
                <w:sz w:val="1"/>
                <w:szCs w:val="1"/>
                <w:color w:val="auto"/>
              </w:rPr>
            </w:pPr>
          </w:p>
        </w:tc>
      </w:tr>
      <w:tr>
        <w:trPr>
          <w:trHeight w:val="217"/>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7300" w:type="dxa"/>
            <w:vAlign w:val="bottom"/>
            <w:tcBorders>
              <w:top w:val="single" w:sz="8" w:color="0000FF"/>
              <w:bottom w:val="single" w:sz="8" w:color="0000FF"/>
            </w:tcBorders>
            <w:gridSpan w:val="8"/>
            <w:shd w:val="clear" w:color="auto" w:fill="CFF0FC"/>
          </w:tcPr>
          <w:p>
            <w:pPr>
              <w:spacing w:after="0" w:line="169" w:lineRule="exact"/>
              <w:rPr>
                <w:rFonts w:ascii="Arial" w:cs="Arial" w:eastAsia="Arial" w:hAnsi="Arial"/>
                <w:sz w:val="16"/>
                <w:szCs w:val="16"/>
                <w:color w:val="0000FF"/>
              </w:rPr>
            </w:pPr>
            <w:hyperlink r:id="rId427">
              <w:r>
                <w:rPr>
                  <w:rFonts w:ascii="Arial" w:cs="Arial" w:eastAsia="Arial" w:hAnsi="Arial"/>
                  <w:sz w:val="16"/>
                  <w:szCs w:val="16"/>
                  <w:color w:val="0000FF"/>
                </w:rPr>
                <w:t>Utility Holdings, Inc., as Buyer (filed as Exhibit 2.2 to the Registrant’s Form 8-K filed on July 14, 2015).</w:t>
              </w:r>
            </w:hyperlink>
          </w:p>
        </w:tc>
        <w:tc>
          <w:tcPr>
            <w:tcW w:w="2260" w:type="dxa"/>
            <w:vAlign w:val="bottom"/>
            <w:tcBorders>
              <w:top w:val="single" w:sz="8" w:color="0000FF"/>
              <w:bottom w:val="single" w:sz="8" w:color="CFF0FC"/>
            </w:tcBorders>
            <w:gridSpan w:val="11"/>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039"/>
              <w:spacing w:after="0"/>
              <w:rPr>
                <w:sz w:val="20"/>
                <w:szCs w:val="20"/>
                <w:color w:val="auto"/>
              </w:rPr>
            </w:pPr>
            <w:r>
              <w:rPr>
                <w:rFonts w:ascii="Arial" w:cs="Arial" w:eastAsia="Arial" w:hAnsi="Arial"/>
                <w:sz w:val="16"/>
                <w:szCs w:val="16"/>
                <w:color w:val="auto"/>
              </w:rPr>
              <w:t>3.1</w:t>
            </w:r>
          </w:p>
        </w:tc>
        <w:tc>
          <w:tcPr>
            <w:tcW w:w="9780" w:type="dxa"/>
            <w:vAlign w:val="bottom"/>
            <w:gridSpan w:val="23"/>
          </w:tcPr>
          <w:p>
            <w:pPr>
              <w:spacing w:after="0"/>
              <w:rPr>
                <w:rFonts w:ascii="Arial" w:cs="Arial" w:eastAsia="Arial" w:hAnsi="Arial"/>
                <w:sz w:val="16"/>
                <w:szCs w:val="16"/>
                <w:color w:val="0000FF"/>
              </w:rPr>
            </w:pPr>
            <w:hyperlink r:id="rId428">
              <w:r>
                <w:rPr>
                  <w:rFonts w:ascii="Arial" w:cs="Arial" w:eastAsia="Arial" w:hAnsi="Arial"/>
                  <w:sz w:val="16"/>
                  <w:szCs w:val="16"/>
                  <w:color w:val="0000FF"/>
                </w:rPr>
                <w:t>Restated Articles of Incorporation of the Registrant (filed as Exhibit 3 to the Registrant’s Form 8-K filed on February 5, 2018).</w:t>
              </w:r>
            </w:hyperlink>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460" w:type="dxa"/>
            <w:vAlign w:val="bottom"/>
            <w:tcBorders>
              <w:right w:val="single" w:sz="8" w:color="CFF0FC"/>
            </w:tcBorders>
            <w:shd w:val="clear" w:color="auto" w:fill="CFF0FC"/>
          </w:tcPr>
          <w:p>
            <w:pPr>
              <w:jc w:val="right"/>
              <w:ind w:right="1039"/>
              <w:spacing w:after="0"/>
              <w:rPr>
                <w:sz w:val="20"/>
                <w:szCs w:val="20"/>
                <w:color w:val="auto"/>
              </w:rPr>
            </w:pPr>
            <w:r>
              <w:rPr>
                <w:rFonts w:ascii="Arial" w:cs="Arial" w:eastAsia="Arial" w:hAnsi="Arial"/>
                <w:sz w:val="16"/>
                <w:szCs w:val="16"/>
                <w:color w:val="auto"/>
              </w:rPr>
              <w:t>3.2</w:t>
            </w:r>
          </w:p>
        </w:tc>
        <w:tc>
          <w:tcPr>
            <w:tcW w:w="9780" w:type="dxa"/>
            <w:vAlign w:val="bottom"/>
            <w:gridSpan w:val="23"/>
            <w:shd w:val="clear" w:color="auto" w:fill="CFF0FC"/>
          </w:tcPr>
          <w:p>
            <w:pPr>
              <w:spacing w:after="0"/>
              <w:rPr>
                <w:rFonts w:ascii="Arial" w:cs="Arial" w:eastAsia="Arial" w:hAnsi="Arial"/>
                <w:sz w:val="16"/>
                <w:szCs w:val="16"/>
                <w:color w:val="0000FF"/>
              </w:rPr>
            </w:pPr>
            <w:hyperlink r:id="rId429">
              <w:r>
                <w:rPr>
                  <w:rFonts w:ascii="Arial" w:cs="Arial" w:eastAsia="Arial" w:hAnsi="Arial"/>
                  <w:sz w:val="16"/>
                  <w:szCs w:val="16"/>
                  <w:color w:val="0000FF"/>
                </w:rPr>
                <w:t>Amended and Restated Bylaws of the Registrant dated April 24, 2023 (filed as Exhibit 3.2 to the Registrant’s Form 8-K filed on May 3,</w:t>
              </w:r>
            </w:hyperlink>
          </w:p>
        </w:tc>
        <w:tc>
          <w:tcPr>
            <w:tcW w:w="0" w:type="dxa"/>
            <w:vAlign w:val="bottom"/>
          </w:tcPr>
          <w:p>
            <w:pPr>
              <w:spacing w:after="0"/>
              <w:rPr>
                <w:sz w:val="1"/>
                <w:szCs w:val="1"/>
                <w:color w:val="auto"/>
              </w:rPr>
            </w:pPr>
          </w:p>
        </w:tc>
      </w:tr>
      <w:tr>
        <w:trPr>
          <w:trHeight w:val="169"/>
        </w:trPr>
        <w:tc>
          <w:tcPr>
            <w:tcW w:w="1460" w:type="dxa"/>
            <w:vAlign w:val="bottom"/>
            <w:tcBorders>
              <w:top w:val="single" w:sz="8" w:color="CFF0FC"/>
              <w:right w:val="single" w:sz="8" w:color="CFF0FC"/>
            </w:tcBorders>
            <w:shd w:val="clear" w:color="auto" w:fill="CFF0FC"/>
          </w:tcPr>
          <w:p>
            <w:pPr>
              <w:spacing w:after="0"/>
              <w:rPr>
                <w:sz w:val="14"/>
                <w:szCs w:val="14"/>
                <w:color w:val="auto"/>
              </w:rPr>
            </w:pPr>
          </w:p>
        </w:tc>
        <w:tc>
          <w:tcPr>
            <w:tcW w:w="560" w:type="dxa"/>
            <w:vAlign w:val="bottom"/>
            <w:tcBorders>
              <w:top w:val="single" w:sz="8" w:color="0000FF"/>
            </w:tcBorders>
            <w:gridSpan w:val="3"/>
            <w:shd w:val="clear" w:color="auto" w:fill="CFF0FC"/>
          </w:tcPr>
          <w:p>
            <w:pPr>
              <w:spacing w:after="0" w:line="169" w:lineRule="exact"/>
              <w:rPr>
                <w:rFonts w:ascii="Arial" w:cs="Arial" w:eastAsia="Arial" w:hAnsi="Arial"/>
                <w:sz w:val="16"/>
                <w:szCs w:val="16"/>
                <w:color w:val="0000FF"/>
              </w:rPr>
            </w:pPr>
            <w:hyperlink r:id="rId429">
              <w:r>
                <w:rPr>
                  <w:rFonts w:ascii="Arial" w:cs="Arial" w:eastAsia="Arial" w:hAnsi="Arial"/>
                  <w:sz w:val="16"/>
                  <w:szCs w:val="16"/>
                  <w:color w:val="0000FF"/>
                </w:rPr>
                <w:t>2023).</w:t>
              </w:r>
            </w:hyperlink>
          </w:p>
        </w:tc>
        <w:tc>
          <w:tcPr>
            <w:tcW w:w="40" w:type="dxa"/>
            <w:vAlign w:val="bottom"/>
            <w:tcBorders>
              <w:top w:val="single" w:sz="8" w:color="0000FF"/>
            </w:tcBorders>
            <w:shd w:val="clear" w:color="auto" w:fill="CFF0FC"/>
          </w:tcPr>
          <w:p>
            <w:pPr>
              <w:spacing w:after="0"/>
              <w:rPr>
                <w:sz w:val="14"/>
                <w:szCs w:val="14"/>
                <w:color w:val="auto"/>
              </w:rPr>
            </w:pPr>
          </w:p>
        </w:tc>
        <w:tc>
          <w:tcPr>
            <w:tcW w:w="1120" w:type="dxa"/>
            <w:vAlign w:val="bottom"/>
            <w:tcBorders>
              <w:top w:val="single" w:sz="8" w:color="0000FF"/>
            </w:tcBorders>
            <w:shd w:val="clear" w:color="auto" w:fill="CFF0FC"/>
          </w:tcPr>
          <w:p>
            <w:pPr>
              <w:spacing w:after="0"/>
              <w:rPr>
                <w:sz w:val="14"/>
                <w:szCs w:val="14"/>
                <w:color w:val="auto"/>
              </w:rPr>
            </w:pPr>
          </w:p>
        </w:tc>
        <w:tc>
          <w:tcPr>
            <w:tcW w:w="620" w:type="dxa"/>
            <w:vAlign w:val="bottom"/>
            <w:tcBorders>
              <w:top w:val="single" w:sz="8" w:color="0000FF"/>
            </w:tcBorders>
            <w:shd w:val="clear" w:color="auto" w:fill="CFF0FC"/>
          </w:tcPr>
          <w:p>
            <w:pPr>
              <w:spacing w:after="0"/>
              <w:rPr>
                <w:sz w:val="14"/>
                <w:szCs w:val="14"/>
                <w:color w:val="auto"/>
              </w:rPr>
            </w:pPr>
          </w:p>
        </w:tc>
        <w:tc>
          <w:tcPr>
            <w:tcW w:w="760" w:type="dxa"/>
            <w:vAlign w:val="bottom"/>
            <w:tcBorders>
              <w:top w:val="single" w:sz="8" w:color="0000FF"/>
            </w:tcBorders>
            <w:shd w:val="clear" w:color="auto" w:fill="CFF0FC"/>
          </w:tcPr>
          <w:p>
            <w:pPr>
              <w:spacing w:after="0"/>
              <w:rPr>
                <w:sz w:val="14"/>
                <w:szCs w:val="14"/>
                <w:color w:val="auto"/>
              </w:rPr>
            </w:pPr>
          </w:p>
        </w:tc>
        <w:tc>
          <w:tcPr>
            <w:tcW w:w="4200" w:type="dxa"/>
            <w:vAlign w:val="bottom"/>
            <w:tcBorders>
              <w:top w:val="single" w:sz="8" w:color="0000FF"/>
            </w:tcBorders>
            <w:shd w:val="clear" w:color="auto" w:fill="CFF0FC"/>
          </w:tcPr>
          <w:p>
            <w:pPr>
              <w:spacing w:after="0"/>
              <w:rPr>
                <w:sz w:val="14"/>
                <w:szCs w:val="14"/>
                <w:color w:val="auto"/>
              </w:rPr>
            </w:pPr>
          </w:p>
        </w:tc>
        <w:tc>
          <w:tcPr>
            <w:tcW w:w="154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6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1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80" w:type="dxa"/>
            <w:vAlign w:val="bottom"/>
            <w:tcBorders>
              <w:top w:val="single" w:sz="8" w:color="CFF0FC"/>
              <w:right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6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120" w:type="dxa"/>
            <w:vAlign w:val="bottom"/>
            <w:tcBorders>
              <w:top w:val="single" w:sz="8" w:color="CFF0FC"/>
            </w:tcBorders>
            <w:shd w:val="clear" w:color="auto" w:fill="CFF0FC"/>
          </w:tcPr>
          <w:p>
            <w:pPr>
              <w:spacing w:after="0"/>
              <w:rPr>
                <w:sz w:val="4"/>
                <w:szCs w:val="4"/>
                <w:color w:val="auto"/>
              </w:rPr>
            </w:pPr>
          </w:p>
        </w:tc>
        <w:tc>
          <w:tcPr>
            <w:tcW w:w="620" w:type="dxa"/>
            <w:vAlign w:val="bottom"/>
            <w:tcBorders>
              <w:top w:val="single" w:sz="8" w:color="CFF0FC"/>
            </w:tcBorders>
            <w:shd w:val="clear" w:color="auto" w:fill="CFF0FC"/>
          </w:tcPr>
          <w:p>
            <w:pPr>
              <w:spacing w:after="0"/>
              <w:rPr>
                <w:sz w:val="4"/>
                <w:szCs w:val="4"/>
                <w:color w:val="auto"/>
              </w:rPr>
            </w:pPr>
          </w:p>
        </w:tc>
        <w:tc>
          <w:tcPr>
            <w:tcW w:w="760" w:type="dxa"/>
            <w:vAlign w:val="bottom"/>
            <w:tcBorders>
              <w:top w:val="single" w:sz="8" w:color="CFF0FC"/>
            </w:tcBorders>
            <w:shd w:val="clear" w:color="auto" w:fill="CFF0FC"/>
          </w:tcPr>
          <w:p>
            <w:pPr>
              <w:spacing w:after="0"/>
              <w:rPr>
                <w:sz w:val="4"/>
                <w:szCs w:val="4"/>
                <w:color w:val="auto"/>
              </w:rPr>
            </w:pPr>
          </w:p>
        </w:tc>
        <w:tc>
          <w:tcPr>
            <w:tcW w:w="4200" w:type="dxa"/>
            <w:vAlign w:val="bottom"/>
            <w:tcBorders>
              <w:top w:val="single" w:sz="8" w:color="CFF0FC"/>
            </w:tcBorders>
            <w:shd w:val="clear" w:color="auto" w:fill="CFF0FC"/>
          </w:tcPr>
          <w:p>
            <w:pPr>
              <w:spacing w:after="0"/>
              <w:rPr>
                <w:sz w:val="4"/>
                <w:szCs w:val="4"/>
                <w:color w:val="auto"/>
              </w:rPr>
            </w:pPr>
          </w:p>
        </w:tc>
        <w:tc>
          <w:tcPr>
            <w:tcW w:w="15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1039"/>
              <w:spacing w:after="0"/>
              <w:rPr>
                <w:sz w:val="20"/>
                <w:szCs w:val="20"/>
                <w:color w:val="auto"/>
              </w:rPr>
            </w:pPr>
            <w:r>
              <w:rPr>
                <w:rFonts w:ascii="Arial" w:cs="Arial" w:eastAsia="Arial" w:hAnsi="Arial"/>
                <w:sz w:val="16"/>
                <w:szCs w:val="16"/>
                <w:color w:val="auto"/>
              </w:rPr>
              <w:t>4.1</w:t>
            </w:r>
          </w:p>
        </w:tc>
        <w:tc>
          <w:tcPr>
            <w:tcW w:w="9780" w:type="dxa"/>
            <w:vAlign w:val="bottom"/>
            <w:gridSpan w:val="23"/>
          </w:tcPr>
          <w:p>
            <w:pPr>
              <w:spacing w:after="0"/>
              <w:rPr>
                <w:rFonts w:ascii="Arial" w:cs="Arial" w:eastAsia="Arial" w:hAnsi="Arial"/>
                <w:sz w:val="16"/>
                <w:szCs w:val="16"/>
                <w:color w:val="0000FF"/>
              </w:rPr>
            </w:pPr>
            <w:hyperlink r:id="rId430">
              <w:r>
                <w:rPr>
                  <w:rFonts w:ascii="Arial" w:cs="Arial" w:eastAsia="Arial" w:hAnsi="Arial"/>
                  <w:sz w:val="16"/>
                  <w:szCs w:val="16"/>
                  <w:color w:val="0000FF"/>
                </w:rPr>
                <w:t>Indenture dated as of May 21, 2003 between the Registrant and Wells Fargo Bank, National Association (as successor to LaSalle Bank</w:t>
              </w:r>
            </w:hyperlink>
          </w:p>
        </w:tc>
        <w:tc>
          <w:tcPr>
            <w:tcW w:w="0" w:type="dxa"/>
            <w:vAlign w:val="bottom"/>
          </w:tcPr>
          <w:p>
            <w:pPr>
              <w:spacing w:after="0"/>
              <w:rPr>
                <w:sz w:val="1"/>
                <w:szCs w:val="1"/>
                <w:color w:val="auto"/>
              </w:rPr>
            </w:pPr>
          </w:p>
        </w:tc>
      </w:tr>
      <w:tr>
        <w:trPr>
          <w:trHeight w:val="20"/>
        </w:trPr>
        <w:tc>
          <w:tcPr>
            <w:tcW w:w="14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120" w:type="dxa"/>
            <w:vAlign w:val="bottom"/>
            <w:gridSpan w:val="4"/>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460" w:type="dxa"/>
            <w:vAlign w:val="bottom"/>
          </w:tcPr>
          <w:p>
            <w:pPr>
              <w:spacing w:after="0"/>
              <w:rPr>
                <w:sz w:val="14"/>
                <w:szCs w:val="14"/>
                <w:color w:val="auto"/>
              </w:rPr>
            </w:pPr>
          </w:p>
        </w:tc>
        <w:tc>
          <w:tcPr>
            <w:tcW w:w="9680" w:type="dxa"/>
            <w:vAlign w:val="bottom"/>
            <w:gridSpan w:val="22"/>
          </w:tcPr>
          <w:p>
            <w:pPr>
              <w:spacing w:after="0" w:line="169" w:lineRule="exact"/>
              <w:rPr>
                <w:rFonts w:ascii="Arial" w:cs="Arial" w:eastAsia="Arial" w:hAnsi="Arial"/>
                <w:sz w:val="16"/>
                <w:szCs w:val="16"/>
                <w:color w:val="0000FF"/>
              </w:rPr>
            </w:pPr>
            <w:hyperlink r:id="rId430">
              <w:r>
                <w:rPr>
                  <w:rFonts w:ascii="Arial" w:cs="Arial" w:eastAsia="Arial" w:hAnsi="Arial"/>
                  <w:sz w:val="16"/>
                  <w:szCs w:val="16"/>
                  <w:color w:val="0000FF"/>
                </w:rPr>
                <w:t>National Association), as Trustee (filed as Exhibit 4.1 to the Registrant’s Form 10-Q for the quarterly period ended June 30, 2003).</w:t>
              </w:r>
            </w:hyperlink>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799"/>
              <w:spacing w:after="0"/>
              <w:rPr>
                <w:sz w:val="20"/>
                <w:szCs w:val="20"/>
                <w:color w:val="auto"/>
              </w:rPr>
            </w:pPr>
            <w:r>
              <w:rPr>
                <w:rFonts w:ascii="Arial" w:cs="Arial" w:eastAsia="Arial" w:hAnsi="Arial"/>
                <w:sz w:val="16"/>
                <w:szCs w:val="16"/>
                <w:color w:val="auto"/>
              </w:rPr>
              <w:t>4.1-1</w:t>
            </w:r>
          </w:p>
        </w:tc>
        <w:tc>
          <w:tcPr>
            <w:tcW w:w="9780" w:type="dxa"/>
            <w:vAlign w:val="bottom"/>
            <w:gridSpan w:val="23"/>
            <w:shd w:val="clear" w:color="auto" w:fill="CFF0FC"/>
          </w:tcPr>
          <w:p>
            <w:pPr>
              <w:ind w:left="100"/>
              <w:spacing w:after="0"/>
              <w:rPr>
                <w:rFonts w:ascii="Arial" w:cs="Arial" w:eastAsia="Arial" w:hAnsi="Arial"/>
                <w:sz w:val="16"/>
                <w:szCs w:val="16"/>
                <w:color w:val="0000FF"/>
              </w:rPr>
            </w:pPr>
            <w:hyperlink r:id="rId431">
              <w:r>
                <w:rPr>
                  <w:rFonts w:ascii="Arial" w:cs="Arial" w:eastAsia="Arial" w:hAnsi="Arial"/>
                  <w:sz w:val="16"/>
                  <w:szCs w:val="16"/>
                  <w:color w:val="0000FF"/>
                </w:rPr>
                <w:t>First Supplemental Indenture dated as of May 21, 2003 (filed as Exhibit 4.2 to the Registrant’s Form 10-Q for the quarterly period</w:t>
              </w:r>
            </w:hyperlink>
          </w:p>
        </w:tc>
        <w:tc>
          <w:tcPr>
            <w:tcW w:w="0" w:type="dxa"/>
            <w:vAlign w:val="bottom"/>
          </w:tcPr>
          <w:p>
            <w:pPr>
              <w:spacing w:after="0"/>
              <w:rPr>
                <w:sz w:val="1"/>
                <w:szCs w:val="1"/>
                <w:color w:val="auto"/>
              </w:rPr>
            </w:pPr>
          </w:p>
        </w:tc>
      </w:tr>
      <w:tr>
        <w:trPr>
          <w:trHeight w:val="216"/>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620" w:type="dxa"/>
            <w:vAlign w:val="bottom"/>
            <w:tcBorders>
              <w:top w:val="single" w:sz="8" w:color="0000FF"/>
              <w:bottom w:val="single" w:sz="8" w:color="0000FF"/>
            </w:tcBorders>
            <w:gridSpan w:val="4"/>
            <w:shd w:val="clear" w:color="auto" w:fill="CFF0FC"/>
          </w:tcPr>
          <w:p>
            <w:pPr>
              <w:spacing w:after="0" w:line="169" w:lineRule="exact"/>
              <w:rPr>
                <w:rFonts w:ascii="Arial" w:cs="Arial" w:eastAsia="Arial" w:hAnsi="Arial"/>
                <w:sz w:val="16"/>
                <w:szCs w:val="16"/>
                <w:color w:val="0000FF"/>
                <w:w w:val="99"/>
              </w:rPr>
            </w:pPr>
            <w:hyperlink r:id="rId431">
              <w:r>
                <w:rPr>
                  <w:rFonts w:ascii="Arial" w:cs="Arial" w:eastAsia="Arial" w:hAnsi="Arial"/>
                  <w:sz w:val="16"/>
                  <w:szCs w:val="16"/>
                  <w:color w:val="0000FF"/>
                  <w:w w:val="99"/>
                </w:rPr>
                <w:t>ended June 30, 2003).</w:t>
              </w:r>
            </w:hyperlink>
          </w:p>
        </w:tc>
        <w:tc>
          <w:tcPr>
            <w:tcW w:w="7640" w:type="dxa"/>
            <w:vAlign w:val="bottom"/>
            <w:tcBorders>
              <w:top w:val="single" w:sz="8" w:color="0000FF"/>
              <w:bottom w:val="single" w:sz="8" w:color="CFF0FC"/>
            </w:tcBorders>
            <w:gridSpan w:val="11"/>
            <w:shd w:val="clear" w:color="auto" w:fill="CFF0FC"/>
          </w:tcPr>
          <w:p>
            <w:pPr>
              <w:spacing w:after="0"/>
              <w:rPr>
                <w:sz w:val="18"/>
                <w:szCs w:val="18"/>
                <w:color w:val="auto"/>
              </w:rPr>
            </w:pPr>
          </w:p>
        </w:tc>
        <w:tc>
          <w:tcPr>
            <w:tcW w:w="8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40" w:type="dxa"/>
            <w:vAlign w:val="bottom"/>
            <w:tcBorders>
              <w:top w:val="single" w:sz="8" w:color="CFF0FC"/>
              <w:bottom w:val="single" w:sz="8" w:color="CFF0FC"/>
              <w:right w:val="single" w:sz="8" w:color="CFF0FC"/>
            </w:tcBorders>
            <w:gridSpan w:val="4"/>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799"/>
              <w:spacing w:after="0"/>
              <w:rPr>
                <w:sz w:val="20"/>
                <w:szCs w:val="20"/>
                <w:color w:val="auto"/>
              </w:rPr>
            </w:pPr>
            <w:r>
              <w:rPr>
                <w:rFonts w:ascii="Arial" w:cs="Arial" w:eastAsia="Arial" w:hAnsi="Arial"/>
                <w:sz w:val="16"/>
                <w:szCs w:val="16"/>
                <w:color w:val="auto"/>
              </w:rPr>
              <w:t>4.1-2</w:t>
            </w:r>
          </w:p>
        </w:tc>
        <w:tc>
          <w:tcPr>
            <w:tcW w:w="9780" w:type="dxa"/>
            <w:vAlign w:val="bottom"/>
            <w:gridSpan w:val="23"/>
          </w:tcPr>
          <w:p>
            <w:pPr>
              <w:ind w:left="100"/>
              <w:spacing w:after="0"/>
              <w:rPr>
                <w:rFonts w:ascii="Arial" w:cs="Arial" w:eastAsia="Arial" w:hAnsi="Arial"/>
                <w:sz w:val="16"/>
                <w:szCs w:val="16"/>
                <w:color w:val="0000FF"/>
              </w:rPr>
            </w:pPr>
            <w:hyperlink r:id="rId432">
              <w:r>
                <w:rPr>
                  <w:rFonts w:ascii="Arial" w:cs="Arial" w:eastAsia="Arial" w:hAnsi="Arial"/>
                  <w:sz w:val="16"/>
                  <w:szCs w:val="16"/>
                  <w:color w:val="0000FF"/>
                </w:rPr>
                <w:t>Second Supplemental Indenture dated as of May 14, 2009 (filed as Exhibit 4 to the Registrant’s Form 8-K filed on May 14, 2009).</w:t>
              </w:r>
            </w:hyperlink>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799"/>
              <w:spacing w:after="0"/>
              <w:rPr>
                <w:sz w:val="20"/>
                <w:szCs w:val="20"/>
                <w:color w:val="auto"/>
              </w:rPr>
            </w:pPr>
            <w:r>
              <w:rPr>
                <w:rFonts w:ascii="Arial" w:cs="Arial" w:eastAsia="Arial" w:hAnsi="Arial"/>
                <w:sz w:val="16"/>
                <w:szCs w:val="16"/>
                <w:color w:val="auto"/>
              </w:rPr>
              <w:t>4.1-3</w:t>
            </w:r>
          </w:p>
        </w:tc>
        <w:tc>
          <w:tcPr>
            <w:tcW w:w="9780" w:type="dxa"/>
            <w:vAlign w:val="bottom"/>
            <w:gridSpan w:val="23"/>
            <w:shd w:val="clear" w:color="auto" w:fill="CFF0FC"/>
          </w:tcPr>
          <w:p>
            <w:pPr>
              <w:ind w:left="100"/>
              <w:spacing w:after="0"/>
              <w:rPr>
                <w:rFonts w:ascii="Arial" w:cs="Arial" w:eastAsia="Arial" w:hAnsi="Arial"/>
                <w:sz w:val="16"/>
                <w:szCs w:val="16"/>
                <w:color w:val="0000FF"/>
              </w:rPr>
            </w:pPr>
            <w:hyperlink r:id="rId433">
              <w:r>
                <w:rPr>
                  <w:rFonts w:ascii="Arial" w:cs="Arial" w:eastAsia="Arial" w:hAnsi="Arial"/>
                  <w:sz w:val="16"/>
                  <w:szCs w:val="16"/>
                  <w:color w:val="0000FF"/>
                </w:rPr>
                <w:t>Third Supplemental Indenture dated as of July 16, 2010 (filed as Exhibit 4 to Registrant’s Form 8-K filed on July 15, 2010).</w:t>
              </w:r>
            </w:hyperlink>
          </w:p>
        </w:tc>
        <w:tc>
          <w:tcPr>
            <w:tcW w:w="0" w:type="dxa"/>
            <w:vAlign w:val="bottom"/>
          </w:tcPr>
          <w:p>
            <w:pPr>
              <w:spacing w:after="0"/>
              <w:rPr>
                <w:sz w:val="1"/>
                <w:szCs w:val="1"/>
                <w:color w:val="auto"/>
              </w:rPr>
            </w:pPr>
          </w:p>
        </w:tc>
      </w:tr>
      <w:tr>
        <w:trPr>
          <w:trHeight w:val="48"/>
        </w:trPr>
        <w:tc>
          <w:tcPr>
            <w:tcW w:w="146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120" w:type="dxa"/>
            <w:vAlign w:val="bottom"/>
            <w:tcBorders>
              <w:top w:val="single" w:sz="8" w:color="0000FF"/>
            </w:tcBorders>
            <w:shd w:val="clear" w:color="auto" w:fill="CFF0FC"/>
          </w:tcPr>
          <w:p>
            <w:pPr>
              <w:spacing w:after="0"/>
              <w:rPr>
                <w:sz w:val="4"/>
                <w:szCs w:val="4"/>
                <w:color w:val="auto"/>
              </w:rPr>
            </w:pPr>
          </w:p>
        </w:tc>
        <w:tc>
          <w:tcPr>
            <w:tcW w:w="620" w:type="dxa"/>
            <w:vAlign w:val="bottom"/>
            <w:tcBorders>
              <w:top w:val="single" w:sz="8" w:color="0000FF"/>
            </w:tcBorders>
            <w:shd w:val="clear" w:color="auto" w:fill="CFF0FC"/>
          </w:tcPr>
          <w:p>
            <w:pPr>
              <w:spacing w:after="0"/>
              <w:rPr>
                <w:sz w:val="4"/>
                <w:szCs w:val="4"/>
                <w:color w:val="auto"/>
              </w:rPr>
            </w:pPr>
          </w:p>
        </w:tc>
        <w:tc>
          <w:tcPr>
            <w:tcW w:w="760" w:type="dxa"/>
            <w:vAlign w:val="bottom"/>
            <w:tcBorders>
              <w:top w:val="single" w:sz="8" w:color="0000FF"/>
            </w:tcBorders>
            <w:shd w:val="clear" w:color="auto" w:fill="CFF0FC"/>
          </w:tcPr>
          <w:p>
            <w:pPr>
              <w:spacing w:after="0"/>
              <w:rPr>
                <w:sz w:val="4"/>
                <w:szCs w:val="4"/>
                <w:color w:val="auto"/>
              </w:rPr>
            </w:pPr>
          </w:p>
        </w:tc>
        <w:tc>
          <w:tcPr>
            <w:tcW w:w="4200" w:type="dxa"/>
            <w:vAlign w:val="bottom"/>
            <w:tcBorders>
              <w:top w:val="single" w:sz="8" w:color="0000FF"/>
            </w:tcBorders>
            <w:shd w:val="clear" w:color="auto" w:fill="CFF0FC"/>
          </w:tcPr>
          <w:p>
            <w:pPr>
              <w:spacing w:after="0"/>
              <w:rPr>
                <w:sz w:val="4"/>
                <w:szCs w:val="4"/>
                <w:color w:val="auto"/>
              </w:rPr>
            </w:pPr>
          </w:p>
        </w:tc>
        <w:tc>
          <w:tcPr>
            <w:tcW w:w="154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Pr>
          <w:p>
            <w:pPr>
              <w:jc w:val="right"/>
              <w:ind w:right="799"/>
              <w:spacing w:after="0"/>
              <w:rPr>
                <w:sz w:val="20"/>
                <w:szCs w:val="20"/>
                <w:color w:val="auto"/>
              </w:rPr>
            </w:pPr>
            <w:r>
              <w:rPr>
                <w:rFonts w:ascii="Arial" w:cs="Arial" w:eastAsia="Arial" w:hAnsi="Arial"/>
                <w:sz w:val="16"/>
                <w:szCs w:val="16"/>
                <w:color w:val="auto"/>
              </w:rPr>
              <w:t>4.1-4</w:t>
            </w:r>
          </w:p>
        </w:tc>
        <w:tc>
          <w:tcPr>
            <w:tcW w:w="9780" w:type="dxa"/>
            <w:vAlign w:val="bottom"/>
            <w:gridSpan w:val="23"/>
          </w:tcPr>
          <w:p>
            <w:pPr>
              <w:ind w:left="100"/>
              <w:spacing w:after="0"/>
              <w:rPr>
                <w:rFonts w:ascii="Arial" w:cs="Arial" w:eastAsia="Arial" w:hAnsi="Arial"/>
                <w:sz w:val="16"/>
                <w:szCs w:val="16"/>
                <w:color w:val="0000FF"/>
              </w:rPr>
            </w:pPr>
            <w:hyperlink r:id="rId434">
              <w:r>
                <w:rPr>
                  <w:rFonts w:ascii="Arial" w:cs="Arial" w:eastAsia="Arial" w:hAnsi="Arial"/>
                  <w:sz w:val="16"/>
                  <w:szCs w:val="16"/>
                  <w:color w:val="0000FF"/>
                </w:rPr>
                <w:t>Fourth Supplemental Indenture dated as of November 19, 2013 (filed as Exhibit 4 to the Registrant’s Form 8-K filed on November 18,</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0000FF"/>
              <w:bottom w:val="single" w:sz="8" w:color="0000EE"/>
            </w:tcBorders>
            <w:gridSpan w:val="2"/>
          </w:tcPr>
          <w:p>
            <w:pPr>
              <w:spacing w:after="0" w:line="169" w:lineRule="exact"/>
              <w:rPr>
                <w:rFonts w:ascii="Arial" w:cs="Arial" w:eastAsia="Arial" w:hAnsi="Arial"/>
                <w:sz w:val="16"/>
                <w:szCs w:val="16"/>
                <w:color w:val="0000FF"/>
                <w:w w:val="96"/>
              </w:rPr>
            </w:pPr>
            <w:hyperlink r:id="rId434">
              <w:r>
                <w:rPr>
                  <w:rFonts w:ascii="Arial" w:cs="Arial" w:eastAsia="Arial" w:hAnsi="Arial"/>
                  <w:sz w:val="16"/>
                  <w:szCs w:val="16"/>
                  <w:color w:val="0000FF"/>
                  <w:w w:val="96"/>
                </w:rPr>
                <w:t>2013).</w:t>
              </w:r>
            </w:hyperlink>
          </w:p>
        </w:tc>
        <w:tc>
          <w:tcPr>
            <w:tcW w:w="40" w:type="dxa"/>
            <w:vAlign w:val="bottom"/>
            <w:tcBorders>
              <w:top w:val="single" w:sz="8" w:color="0000FF"/>
              <w:bottom w:val="single" w:sz="8" w:color="0000EE"/>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420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799"/>
              <w:spacing w:after="0"/>
              <w:rPr>
                <w:sz w:val="20"/>
                <w:szCs w:val="20"/>
                <w:color w:val="auto"/>
              </w:rPr>
            </w:pPr>
            <w:r>
              <w:rPr>
                <w:rFonts w:ascii="Arial" w:cs="Arial" w:eastAsia="Arial" w:hAnsi="Arial"/>
                <w:sz w:val="16"/>
                <w:szCs w:val="16"/>
                <w:color w:val="auto"/>
              </w:rPr>
              <w:t>4.1-5</w:t>
            </w:r>
          </w:p>
        </w:tc>
        <w:tc>
          <w:tcPr>
            <w:tcW w:w="9780" w:type="dxa"/>
            <w:vAlign w:val="bottom"/>
            <w:gridSpan w:val="23"/>
            <w:shd w:val="clear" w:color="auto" w:fill="CFF0FC"/>
          </w:tcPr>
          <w:p>
            <w:pPr>
              <w:ind w:left="100"/>
              <w:spacing w:after="0"/>
              <w:rPr>
                <w:rFonts w:ascii="Arial" w:cs="Arial" w:eastAsia="Arial" w:hAnsi="Arial"/>
                <w:sz w:val="16"/>
                <w:szCs w:val="16"/>
                <w:color w:val="0000FF"/>
              </w:rPr>
            </w:pPr>
            <w:hyperlink r:id="rId435">
              <w:r>
                <w:rPr>
                  <w:rFonts w:ascii="Arial" w:cs="Arial" w:eastAsia="Arial" w:hAnsi="Arial"/>
                  <w:sz w:val="16"/>
                  <w:szCs w:val="16"/>
                  <w:color w:val="0000FF"/>
                </w:rPr>
                <w:t>Fifth Supplemental Indenture dated as of January 13, 2016 (filed as Exhibit 4.1 to the Registrant’s Form 8-K filed on January 13,</w:t>
              </w:r>
            </w:hyperlink>
          </w:p>
        </w:tc>
        <w:tc>
          <w:tcPr>
            <w:tcW w:w="0" w:type="dxa"/>
            <w:vAlign w:val="bottom"/>
          </w:tcPr>
          <w:p>
            <w:pPr>
              <w:spacing w:after="0"/>
              <w:rPr>
                <w:sz w:val="1"/>
                <w:szCs w:val="1"/>
                <w:color w:val="auto"/>
              </w:rPr>
            </w:pPr>
          </w:p>
        </w:tc>
      </w:tr>
      <w:tr>
        <w:trPr>
          <w:trHeight w:val="222"/>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0000FF"/>
              <w:bottom w:val="single" w:sz="8" w:color="0000FF"/>
            </w:tcBorders>
            <w:gridSpan w:val="2"/>
            <w:shd w:val="clear" w:color="auto" w:fill="CFF0FC"/>
          </w:tcPr>
          <w:p>
            <w:pPr>
              <w:spacing w:after="0" w:line="169" w:lineRule="exact"/>
              <w:rPr>
                <w:rFonts w:ascii="Arial" w:cs="Arial" w:eastAsia="Arial" w:hAnsi="Arial"/>
                <w:sz w:val="16"/>
                <w:szCs w:val="16"/>
                <w:color w:val="0000FF"/>
                <w:w w:val="96"/>
              </w:rPr>
            </w:pPr>
            <w:hyperlink r:id="rId435">
              <w:r>
                <w:rPr>
                  <w:rFonts w:ascii="Arial" w:cs="Arial" w:eastAsia="Arial" w:hAnsi="Arial"/>
                  <w:sz w:val="16"/>
                  <w:szCs w:val="16"/>
                  <w:color w:val="0000FF"/>
                  <w:w w:val="96"/>
                </w:rPr>
                <w:t>2016).</w:t>
              </w:r>
            </w:hyperlink>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1120" w:type="dxa"/>
            <w:vAlign w:val="bottom"/>
            <w:tcBorders>
              <w:top w:val="single" w:sz="8" w:color="0000FF"/>
              <w:bottom w:val="single" w:sz="8" w:color="CFF0FC"/>
            </w:tcBorders>
            <w:shd w:val="clear" w:color="auto" w:fill="CFF0FC"/>
          </w:tcPr>
          <w:p>
            <w:pPr>
              <w:spacing w:after="0"/>
              <w:rPr>
                <w:sz w:val="18"/>
                <w:szCs w:val="18"/>
                <w:color w:val="auto"/>
              </w:rPr>
            </w:pPr>
          </w:p>
        </w:tc>
        <w:tc>
          <w:tcPr>
            <w:tcW w:w="620" w:type="dxa"/>
            <w:vAlign w:val="bottom"/>
            <w:tcBorders>
              <w:top w:val="single" w:sz="8" w:color="0000FF"/>
              <w:bottom w:val="single" w:sz="8" w:color="CFF0FC"/>
            </w:tcBorders>
            <w:shd w:val="clear" w:color="auto" w:fill="CFF0FC"/>
          </w:tcPr>
          <w:p>
            <w:pPr>
              <w:spacing w:after="0"/>
              <w:rPr>
                <w:sz w:val="18"/>
                <w:szCs w:val="18"/>
                <w:color w:val="auto"/>
              </w:rPr>
            </w:pPr>
          </w:p>
        </w:tc>
        <w:tc>
          <w:tcPr>
            <w:tcW w:w="760" w:type="dxa"/>
            <w:vAlign w:val="bottom"/>
            <w:tcBorders>
              <w:top w:val="single" w:sz="8" w:color="0000FF"/>
              <w:bottom w:val="single" w:sz="8" w:color="CFF0FC"/>
            </w:tcBorders>
            <w:shd w:val="clear" w:color="auto" w:fill="CFF0FC"/>
          </w:tcPr>
          <w:p>
            <w:pPr>
              <w:spacing w:after="0"/>
              <w:rPr>
                <w:sz w:val="18"/>
                <w:szCs w:val="18"/>
                <w:color w:val="auto"/>
              </w:rPr>
            </w:pPr>
          </w:p>
        </w:tc>
        <w:tc>
          <w:tcPr>
            <w:tcW w:w="4200" w:type="dxa"/>
            <w:vAlign w:val="bottom"/>
            <w:tcBorders>
              <w:top w:val="single" w:sz="8" w:color="0000FF"/>
              <w:bottom w:val="single" w:sz="8" w:color="CFF0FC"/>
            </w:tcBorders>
            <w:shd w:val="clear" w:color="auto" w:fill="CFF0FC"/>
          </w:tcPr>
          <w:p>
            <w:pPr>
              <w:spacing w:after="0"/>
              <w:rPr>
                <w:sz w:val="18"/>
                <w:szCs w:val="18"/>
                <w:color w:val="auto"/>
              </w:rPr>
            </w:pPr>
          </w:p>
        </w:tc>
        <w:tc>
          <w:tcPr>
            <w:tcW w:w="154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0000FF"/>
              <w:bottom w:val="single" w:sz="8" w:color="CFF0FC"/>
            </w:tcBorders>
            <w:shd w:val="clear" w:color="auto" w:fill="CFF0FC"/>
          </w:tcPr>
          <w:p>
            <w:pPr>
              <w:spacing w:after="0"/>
              <w:rPr>
                <w:sz w:val="18"/>
                <w:szCs w:val="18"/>
                <w:color w:val="auto"/>
              </w:rPr>
            </w:pPr>
          </w:p>
        </w:tc>
        <w:tc>
          <w:tcPr>
            <w:tcW w:w="260" w:type="dxa"/>
            <w:vAlign w:val="bottom"/>
            <w:tcBorders>
              <w:top w:val="single" w:sz="8" w:color="0000FF"/>
              <w:bottom w:val="single" w:sz="8" w:color="CFF0FC"/>
            </w:tcBorders>
            <w:shd w:val="clear" w:color="auto" w:fill="CFF0FC"/>
          </w:tcPr>
          <w:p>
            <w:pPr>
              <w:spacing w:after="0"/>
              <w:rPr>
                <w:sz w:val="18"/>
                <w:szCs w:val="18"/>
                <w:color w:val="auto"/>
              </w:rPr>
            </w:pPr>
          </w:p>
        </w:tc>
        <w:tc>
          <w:tcPr>
            <w:tcW w:w="10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60" w:type="dxa"/>
            <w:vAlign w:val="bottom"/>
            <w:tcBorders>
              <w:top w:val="single" w:sz="8" w:color="CFF0FC"/>
            </w:tcBorders>
          </w:tcPr>
          <w:p>
            <w:pPr>
              <w:jc w:val="right"/>
              <w:ind w:right="799"/>
              <w:spacing w:after="0"/>
              <w:rPr>
                <w:sz w:val="20"/>
                <w:szCs w:val="20"/>
                <w:color w:val="auto"/>
              </w:rPr>
            </w:pPr>
            <w:r>
              <w:rPr>
                <w:rFonts w:ascii="Arial" w:cs="Arial" w:eastAsia="Arial" w:hAnsi="Arial"/>
                <w:sz w:val="16"/>
                <w:szCs w:val="16"/>
                <w:color w:val="auto"/>
              </w:rPr>
              <w:t>4.1-6</w:t>
            </w:r>
          </w:p>
        </w:tc>
        <w:tc>
          <w:tcPr>
            <w:tcW w:w="9780" w:type="dxa"/>
            <w:vAlign w:val="bottom"/>
            <w:tcBorders>
              <w:top w:val="single" w:sz="8" w:color="CFF0FC"/>
            </w:tcBorders>
            <w:gridSpan w:val="23"/>
          </w:tcPr>
          <w:p>
            <w:pPr>
              <w:ind w:left="100"/>
              <w:spacing w:after="0"/>
              <w:rPr>
                <w:rFonts w:ascii="Arial" w:cs="Arial" w:eastAsia="Arial" w:hAnsi="Arial"/>
                <w:sz w:val="16"/>
                <w:szCs w:val="16"/>
                <w:color w:val="0000FF"/>
              </w:rPr>
            </w:pPr>
            <w:hyperlink r:id="rId436">
              <w:r>
                <w:rPr>
                  <w:rFonts w:ascii="Arial" w:cs="Arial" w:eastAsia="Arial" w:hAnsi="Arial"/>
                  <w:sz w:val="16"/>
                  <w:szCs w:val="16"/>
                  <w:color w:val="0000FF"/>
                </w:rPr>
                <w:t>Sixth Supplemental Indenture dated as of August 19, 2016 (filed as Exhibit 4.1 to the Registrant’s Form 8-K filed on August 19, 2016).</w:t>
              </w:r>
            </w:hyperlink>
          </w:p>
        </w:tc>
        <w:tc>
          <w:tcPr>
            <w:tcW w:w="0" w:type="dxa"/>
            <w:vAlign w:val="bottom"/>
          </w:tcPr>
          <w:p>
            <w:pPr>
              <w:spacing w:after="0"/>
              <w:rPr>
                <w:sz w:val="1"/>
                <w:szCs w:val="1"/>
                <w:color w:val="auto"/>
              </w:rPr>
            </w:pPr>
          </w:p>
        </w:tc>
      </w:tr>
      <w:tr>
        <w:trPr>
          <w:trHeight w:val="48"/>
        </w:trPr>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120" w:type="dxa"/>
            <w:vAlign w:val="bottom"/>
            <w:tcBorders>
              <w:top w:val="single" w:sz="8" w:color="0000FF"/>
            </w:tcBorders>
          </w:tcPr>
          <w:p>
            <w:pPr>
              <w:spacing w:after="0"/>
              <w:rPr>
                <w:sz w:val="4"/>
                <w:szCs w:val="4"/>
                <w:color w:val="auto"/>
              </w:rPr>
            </w:pPr>
          </w:p>
        </w:tc>
        <w:tc>
          <w:tcPr>
            <w:tcW w:w="62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4200" w:type="dxa"/>
            <w:vAlign w:val="bottom"/>
            <w:tcBorders>
              <w:top w:val="single" w:sz="8" w:color="0000FF"/>
            </w:tcBorders>
          </w:tcPr>
          <w:p>
            <w:pPr>
              <w:spacing w:after="0"/>
              <w:rPr>
                <w:sz w:val="4"/>
                <w:szCs w:val="4"/>
                <w:color w:val="auto"/>
              </w:rPr>
            </w:pPr>
          </w:p>
        </w:tc>
        <w:tc>
          <w:tcPr>
            <w:tcW w:w="15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460" w:type="dxa"/>
            <w:vAlign w:val="bottom"/>
            <w:tcBorders>
              <w:right w:val="single" w:sz="8" w:color="CFF0FC"/>
            </w:tcBorders>
            <w:shd w:val="clear" w:color="auto" w:fill="CFF0FC"/>
          </w:tcPr>
          <w:p>
            <w:pPr>
              <w:jc w:val="right"/>
              <w:ind w:right="799"/>
              <w:spacing w:after="0"/>
              <w:rPr>
                <w:sz w:val="20"/>
                <w:szCs w:val="20"/>
                <w:color w:val="auto"/>
              </w:rPr>
            </w:pPr>
            <w:r>
              <w:rPr>
                <w:rFonts w:ascii="Arial" w:cs="Arial" w:eastAsia="Arial" w:hAnsi="Arial"/>
                <w:sz w:val="16"/>
                <w:szCs w:val="16"/>
                <w:color w:val="auto"/>
              </w:rPr>
              <w:t>4.1-7</w:t>
            </w:r>
          </w:p>
        </w:tc>
        <w:tc>
          <w:tcPr>
            <w:tcW w:w="9780" w:type="dxa"/>
            <w:vAlign w:val="bottom"/>
            <w:gridSpan w:val="23"/>
            <w:shd w:val="clear" w:color="auto" w:fill="CFF0FC"/>
          </w:tcPr>
          <w:p>
            <w:pPr>
              <w:ind w:left="100"/>
              <w:spacing w:after="0"/>
              <w:rPr>
                <w:rFonts w:ascii="Arial" w:cs="Arial" w:eastAsia="Arial" w:hAnsi="Arial"/>
                <w:sz w:val="16"/>
                <w:szCs w:val="16"/>
                <w:color w:val="0000FF"/>
              </w:rPr>
            </w:pPr>
            <w:hyperlink r:id="rId437">
              <w:r>
                <w:rPr>
                  <w:rFonts w:ascii="Arial" w:cs="Arial" w:eastAsia="Arial" w:hAnsi="Arial"/>
                  <w:sz w:val="16"/>
                  <w:szCs w:val="16"/>
                  <w:color w:val="0000FF"/>
                </w:rPr>
                <w:t>Seventh Supplemental Indenture dated as of August 17, 2018 (filed as Exhibit 4.2 to the Registrant’s Form 8-K filed on August 17,</w:t>
              </w:r>
            </w:hyperlink>
          </w:p>
        </w:tc>
        <w:tc>
          <w:tcPr>
            <w:tcW w:w="0" w:type="dxa"/>
            <w:vAlign w:val="bottom"/>
          </w:tcPr>
          <w:p>
            <w:pPr>
              <w:spacing w:after="0"/>
              <w:rPr>
                <w:sz w:val="1"/>
                <w:szCs w:val="1"/>
                <w:color w:val="auto"/>
              </w:rPr>
            </w:pPr>
          </w:p>
        </w:tc>
      </w:tr>
      <w:tr>
        <w:trPr>
          <w:trHeight w:val="221"/>
        </w:trPr>
        <w:tc>
          <w:tcPr>
            <w:tcW w:w="146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460" w:type="dxa"/>
            <w:vAlign w:val="bottom"/>
            <w:tcBorders>
              <w:top w:val="single" w:sz="8" w:color="0000FF"/>
              <w:bottom w:val="single" w:sz="8" w:color="0000FF"/>
            </w:tcBorders>
            <w:gridSpan w:val="2"/>
            <w:shd w:val="clear" w:color="auto" w:fill="CFF0FC"/>
          </w:tcPr>
          <w:p>
            <w:pPr>
              <w:spacing w:after="0" w:line="169" w:lineRule="exact"/>
              <w:rPr>
                <w:rFonts w:ascii="Arial" w:cs="Arial" w:eastAsia="Arial" w:hAnsi="Arial"/>
                <w:sz w:val="16"/>
                <w:szCs w:val="16"/>
                <w:color w:val="0000FF"/>
                <w:w w:val="96"/>
              </w:rPr>
            </w:pPr>
            <w:hyperlink r:id="rId437">
              <w:r>
                <w:rPr>
                  <w:rFonts w:ascii="Arial" w:cs="Arial" w:eastAsia="Arial" w:hAnsi="Arial"/>
                  <w:sz w:val="16"/>
                  <w:szCs w:val="16"/>
                  <w:color w:val="0000FF"/>
                  <w:w w:val="96"/>
                </w:rPr>
                <w:t>2018).</w:t>
              </w:r>
            </w:hyperlink>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1120" w:type="dxa"/>
            <w:vAlign w:val="bottom"/>
            <w:tcBorders>
              <w:top w:val="single" w:sz="8" w:color="0000FF"/>
              <w:bottom w:val="single" w:sz="8" w:color="CFF0FC"/>
            </w:tcBorders>
            <w:shd w:val="clear" w:color="auto" w:fill="CFF0FC"/>
          </w:tcPr>
          <w:p>
            <w:pPr>
              <w:spacing w:after="0"/>
              <w:rPr>
                <w:sz w:val="18"/>
                <w:szCs w:val="18"/>
                <w:color w:val="auto"/>
              </w:rPr>
            </w:pPr>
          </w:p>
        </w:tc>
        <w:tc>
          <w:tcPr>
            <w:tcW w:w="620" w:type="dxa"/>
            <w:vAlign w:val="bottom"/>
            <w:tcBorders>
              <w:top w:val="single" w:sz="8" w:color="0000FF"/>
              <w:bottom w:val="single" w:sz="8" w:color="CFF0FC"/>
            </w:tcBorders>
            <w:shd w:val="clear" w:color="auto" w:fill="CFF0FC"/>
          </w:tcPr>
          <w:p>
            <w:pPr>
              <w:spacing w:after="0"/>
              <w:rPr>
                <w:sz w:val="18"/>
                <w:szCs w:val="18"/>
                <w:color w:val="auto"/>
              </w:rPr>
            </w:pPr>
          </w:p>
        </w:tc>
        <w:tc>
          <w:tcPr>
            <w:tcW w:w="760" w:type="dxa"/>
            <w:vAlign w:val="bottom"/>
            <w:tcBorders>
              <w:top w:val="single" w:sz="8" w:color="0000FF"/>
              <w:bottom w:val="single" w:sz="8" w:color="CFF0FC"/>
            </w:tcBorders>
            <w:shd w:val="clear" w:color="auto" w:fill="CFF0FC"/>
          </w:tcPr>
          <w:p>
            <w:pPr>
              <w:spacing w:after="0"/>
              <w:rPr>
                <w:sz w:val="18"/>
                <w:szCs w:val="18"/>
                <w:color w:val="auto"/>
              </w:rPr>
            </w:pPr>
          </w:p>
        </w:tc>
        <w:tc>
          <w:tcPr>
            <w:tcW w:w="4200" w:type="dxa"/>
            <w:vAlign w:val="bottom"/>
            <w:tcBorders>
              <w:top w:val="single" w:sz="8" w:color="0000FF"/>
              <w:bottom w:val="single" w:sz="8" w:color="CFF0FC"/>
            </w:tcBorders>
            <w:shd w:val="clear" w:color="auto" w:fill="CFF0FC"/>
          </w:tcPr>
          <w:p>
            <w:pPr>
              <w:spacing w:after="0"/>
              <w:rPr>
                <w:sz w:val="18"/>
                <w:szCs w:val="18"/>
                <w:color w:val="auto"/>
              </w:rPr>
            </w:pPr>
          </w:p>
        </w:tc>
        <w:tc>
          <w:tcPr>
            <w:tcW w:w="154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0000FF"/>
              <w:bottom w:val="single" w:sz="8" w:color="CFF0FC"/>
            </w:tcBorders>
            <w:shd w:val="clear" w:color="auto" w:fill="CFF0FC"/>
          </w:tcPr>
          <w:p>
            <w:pPr>
              <w:spacing w:after="0"/>
              <w:rPr>
                <w:sz w:val="18"/>
                <w:szCs w:val="18"/>
                <w:color w:val="auto"/>
              </w:rPr>
            </w:pPr>
          </w:p>
        </w:tc>
        <w:tc>
          <w:tcPr>
            <w:tcW w:w="260" w:type="dxa"/>
            <w:vAlign w:val="bottom"/>
            <w:tcBorders>
              <w:top w:val="single" w:sz="8" w:color="0000FF"/>
              <w:bottom w:val="single" w:sz="8" w:color="CFF0FC"/>
            </w:tcBorders>
            <w:shd w:val="clear" w:color="auto" w:fill="CFF0FC"/>
          </w:tcPr>
          <w:p>
            <w:pPr>
              <w:spacing w:after="0"/>
              <w:rPr>
                <w:sz w:val="18"/>
                <w:szCs w:val="18"/>
                <w:color w:val="auto"/>
              </w:rPr>
            </w:pPr>
          </w:p>
        </w:tc>
        <w:tc>
          <w:tcPr>
            <w:tcW w:w="10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40" w:type="dxa"/>
            <w:vAlign w:val="bottom"/>
            <w:tcBorders>
              <w:top w:val="single" w:sz="8" w:color="0000FF"/>
              <w:bottom w:val="single" w:sz="8" w:color="CFF0FC"/>
            </w:tcBorders>
            <w:shd w:val="clear" w:color="auto" w:fill="CFF0FC"/>
          </w:tcPr>
          <w:p>
            <w:pPr>
              <w:spacing w:after="0"/>
              <w:rPr>
                <w:sz w:val="18"/>
                <w:szCs w:val="18"/>
                <w:color w:val="auto"/>
              </w:rPr>
            </w:pPr>
          </w:p>
        </w:tc>
        <w:tc>
          <w:tcPr>
            <w:tcW w:w="60" w:type="dxa"/>
            <w:vAlign w:val="bottom"/>
            <w:tcBorders>
              <w:top w:val="single" w:sz="8" w:color="0000FF"/>
              <w:bottom w:val="single" w:sz="8" w:color="CFF0FC"/>
            </w:tcBorders>
            <w:shd w:val="clear" w:color="auto" w:fill="CFF0FC"/>
          </w:tcPr>
          <w:p>
            <w:pPr>
              <w:spacing w:after="0"/>
              <w:rPr>
                <w:sz w:val="18"/>
                <w:szCs w:val="18"/>
                <w:color w:val="auto"/>
              </w:rPr>
            </w:pPr>
          </w:p>
        </w:tc>
        <w:tc>
          <w:tcPr>
            <w:tcW w:w="20" w:type="dxa"/>
            <w:vAlign w:val="bottom"/>
            <w:tcBorders>
              <w:top w:val="single" w:sz="8" w:color="0000FF"/>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8"/>
                <w:szCs w:val="18"/>
                <w:color w:val="auto"/>
              </w:rPr>
            </w:pP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tcBorders>
              <w:top w:val="single" w:sz="8" w:color="CFF0FC"/>
            </w:tcBorders>
          </w:tcPr>
          <w:p>
            <w:pPr>
              <w:jc w:val="right"/>
              <w:ind w:right="799"/>
              <w:spacing w:after="0"/>
              <w:rPr>
                <w:sz w:val="20"/>
                <w:szCs w:val="20"/>
                <w:color w:val="auto"/>
              </w:rPr>
            </w:pPr>
            <w:r>
              <w:rPr>
                <w:rFonts w:ascii="Arial" w:cs="Arial" w:eastAsia="Arial" w:hAnsi="Arial"/>
                <w:sz w:val="16"/>
                <w:szCs w:val="16"/>
                <w:color w:val="auto"/>
              </w:rPr>
              <w:t>4.1-8</w:t>
            </w:r>
          </w:p>
        </w:tc>
        <w:tc>
          <w:tcPr>
            <w:tcW w:w="9780" w:type="dxa"/>
            <w:vAlign w:val="bottom"/>
            <w:tcBorders>
              <w:top w:val="single" w:sz="8" w:color="CFF0FC"/>
            </w:tcBorders>
            <w:gridSpan w:val="23"/>
          </w:tcPr>
          <w:p>
            <w:pPr>
              <w:ind w:left="100"/>
              <w:spacing w:after="0"/>
              <w:rPr>
                <w:rFonts w:ascii="Arial" w:cs="Arial" w:eastAsia="Arial" w:hAnsi="Arial"/>
                <w:sz w:val="16"/>
                <w:szCs w:val="16"/>
                <w:color w:val="0000FF"/>
              </w:rPr>
            </w:pPr>
            <w:hyperlink r:id="rId438">
              <w:r>
                <w:rPr>
                  <w:rFonts w:ascii="Arial" w:cs="Arial" w:eastAsia="Arial" w:hAnsi="Arial"/>
                  <w:sz w:val="16"/>
                  <w:szCs w:val="16"/>
                  <w:color w:val="0000FF"/>
                </w:rPr>
                <w:t>Eighth Supplemental Indenture dated as of October 3, 2019 (filed as Exhibit 4.1 to the Registrant’s Form 8-K filed on October 4,</w:t>
              </w:r>
            </w:hyperlink>
          </w:p>
        </w:tc>
        <w:tc>
          <w:tcPr>
            <w:tcW w:w="0" w:type="dxa"/>
            <w:vAlign w:val="bottom"/>
          </w:tcPr>
          <w:p>
            <w:pPr>
              <w:spacing w:after="0"/>
              <w:rPr>
                <w:sz w:val="1"/>
                <w:szCs w:val="1"/>
                <w:color w:val="auto"/>
              </w:rPr>
            </w:pPr>
          </w:p>
        </w:tc>
      </w:tr>
      <w:tr>
        <w:trPr>
          <w:trHeight w:val="169"/>
        </w:trPr>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6"/>
              </w:rPr>
            </w:pPr>
            <w:hyperlink r:id="rId438">
              <w:r>
                <w:rPr>
                  <w:rFonts w:ascii="Arial" w:cs="Arial" w:eastAsia="Arial" w:hAnsi="Arial"/>
                  <w:sz w:val="16"/>
                  <w:szCs w:val="16"/>
                  <w:color w:val="0000FF"/>
                  <w:w w:val="96"/>
                </w:rPr>
                <w:t>2019).</w:t>
              </w:r>
            </w:hyperlink>
          </w:p>
        </w:tc>
        <w:tc>
          <w:tcPr>
            <w:tcW w:w="40" w:type="dxa"/>
            <w:vAlign w:val="bottom"/>
            <w:tcBorders>
              <w:top w:val="single" w:sz="8" w:color="0000FF"/>
            </w:tcBorders>
          </w:tcPr>
          <w:p>
            <w:pPr>
              <w:spacing w:after="0"/>
              <w:rPr>
                <w:sz w:val="14"/>
                <w:szCs w:val="14"/>
                <w:color w:val="auto"/>
              </w:rPr>
            </w:pPr>
          </w:p>
        </w:tc>
        <w:tc>
          <w:tcPr>
            <w:tcW w:w="112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60" w:type="dxa"/>
            <w:vAlign w:val="bottom"/>
            <w:tcBorders>
              <w:top w:val="single" w:sz="8" w:color="0000FF"/>
            </w:tcBorders>
          </w:tcPr>
          <w:p>
            <w:pPr>
              <w:spacing w:after="0"/>
              <w:rPr>
                <w:sz w:val="14"/>
                <w:szCs w:val="14"/>
                <w:color w:val="auto"/>
              </w:rPr>
            </w:pPr>
          </w:p>
        </w:tc>
        <w:tc>
          <w:tcPr>
            <w:tcW w:w="4200" w:type="dxa"/>
            <w:vAlign w:val="bottom"/>
            <w:tcBorders>
              <w:top w:val="single" w:sz="8" w:color="0000FF"/>
            </w:tcBorders>
          </w:tcPr>
          <w:p>
            <w:pPr>
              <w:spacing w:after="0"/>
              <w:rPr>
                <w:sz w:val="14"/>
                <w:szCs w:val="14"/>
                <w:color w:val="auto"/>
              </w:rPr>
            </w:pPr>
          </w:p>
        </w:tc>
        <w:tc>
          <w:tcPr>
            <w:tcW w:w="15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1460" w:type="dxa"/>
            <w:vAlign w:val="bottom"/>
          </w:tcPr>
          <w:p>
            <w:pPr>
              <w:spacing w:after="0"/>
              <w:rPr>
                <w:sz w:val="21"/>
                <w:szCs w:val="21"/>
                <w:color w:val="auto"/>
              </w:rPr>
            </w:pPr>
          </w:p>
        </w:tc>
        <w:tc>
          <w:tcPr>
            <w:tcW w:w="7300" w:type="dxa"/>
            <w:vAlign w:val="bottom"/>
            <w:gridSpan w:val="8"/>
          </w:tcPr>
          <w:p>
            <w:pPr>
              <w:ind w:left="4020"/>
              <w:spacing w:after="0"/>
              <w:rPr>
                <w:sz w:val="20"/>
                <w:szCs w:val="20"/>
                <w:color w:val="auto"/>
              </w:rPr>
            </w:pPr>
            <w:r>
              <w:rPr>
                <w:rFonts w:ascii="Arial" w:cs="Arial" w:eastAsia="Arial" w:hAnsi="Arial"/>
                <w:sz w:val="16"/>
                <w:szCs w:val="16"/>
                <w:color w:val="auto"/>
              </w:rPr>
              <w:t>104</w:t>
            </w:r>
          </w:p>
        </w:tc>
        <w:tc>
          <w:tcPr>
            <w:tcW w:w="1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1"/>
        </w:trPr>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4" w:name="page105"/>
    <w:bookmarkEnd w:id="104"/>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1">
                      <a:extLst>
                        <a:ext uri="{28A0092B-C50C-407E-A947-70E740481C1C}"/>
                      </a:extLst>
                    </a:blip>
                    <a:srcRect/>
                    <a:stretch>
                      <a:fillRect/>
                    </a:stretch>
                  </pic:blipFill>
                  <pic:spPr bwMode="auto">
                    <a:xfrm>
                      <a:off x="0" y="0"/>
                      <a:ext cx="861060" cy="8255"/>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4.1-9</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ind w:left="120"/>
              <w:spacing w:after="0"/>
              <w:rPr>
                <w:rFonts w:ascii="Arial" w:cs="Arial" w:eastAsia="Arial" w:hAnsi="Arial"/>
                <w:sz w:val="16"/>
                <w:szCs w:val="16"/>
                <w:color w:val="0000FF"/>
              </w:rPr>
            </w:pPr>
            <w:hyperlink r:id="rId442">
              <w:r>
                <w:rPr>
                  <w:rFonts w:ascii="Arial" w:cs="Arial" w:eastAsia="Arial" w:hAnsi="Arial"/>
                  <w:sz w:val="16"/>
                  <w:szCs w:val="16"/>
                  <w:color w:val="0000FF"/>
                </w:rPr>
                <w:t>Ninth Supplemental Indenture dated as of June 17, 2020 (filed as Exhibit 4.1 to the Registrant’s Form 8-K filed on June 17, 2020).</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54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10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4.1-10</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43">
              <w:r>
                <w:rPr>
                  <w:rFonts w:ascii="Arial" w:cs="Arial" w:eastAsia="Arial" w:hAnsi="Arial"/>
                  <w:sz w:val="16"/>
                  <w:szCs w:val="16"/>
                  <w:color w:val="0000FF"/>
                </w:rPr>
                <w:t>Tenth Supplemental Indenture dated as of August 26, 2021 (filed as Exhibit 4.1 to the Registrant’s Form 8-K filed on August 26,</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0000FF"/>
              <w:bottom w:val="single" w:sz="8" w:color="0000FF"/>
            </w:tcBorders>
            <w:gridSpan w:val="2"/>
          </w:tcPr>
          <w:p>
            <w:pPr>
              <w:spacing w:after="0" w:line="169" w:lineRule="exact"/>
              <w:rPr>
                <w:rFonts w:ascii="Arial" w:cs="Arial" w:eastAsia="Arial" w:hAnsi="Arial"/>
                <w:sz w:val="16"/>
                <w:szCs w:val="16"/>
                <w:color w:val="0000FF"/>
                <w:w w:val="96"/>
              </w:rPr>
            </w:pPr>
            <w:hyperlink r:id="rId443">
              <w:r>
                <w:rPr>
                  <w:rFonts w:ascii="Arial" w:cs="Arial" w:eastAsia="Arial" w:hAnsi="Arial"/>
                  <w:sz w:val="16"/>
                  <w:szCs w:val="16"/>
                  <w:color w:val="0000FF"/>
                  <w:w w:val="96"/>
                </w:rPr>
                <w:t>2021).</w:t>
              </w:r>
            </w:hyperlink>
          </w:p>
        </w:tc>
        <w:tc>
          <w:tcPr>
            <w:tcW w:w="26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4.1-11</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ind w:left="120"/>
              <w:spacing w:after="0"/>
              <w:rPr>
                <w:rFonts w:ascii="Arial" w:cs="Arial" w:eastAsia="Arial" w:hAnsi="Arial"/>
                <w:sz w:val="16"/>
                <w:szCs w:val="16"/>
                <w:color w:val="0000FF"/>
              </w:rPr>
            </w:pPr>
            <w:hyperlink r:id="rId444">
              <w:r>
                <w:rPr>
                  <w:rFonts w:ascii="Arial" w:cs="Arial" w:eastAsia="Arial" w:hAnsi="Arial"/>
                  <w:sz w:val="16"/>
                  <w:szCs w:val="16"/>
                  <w:color w:val="0000FF"/>
                </w:rPr>
                <w:t>Eleventh Supplemental Indenture dated as of March 7, 2023 (filed as Exhibit 4.1 to the Registrant's Form 8-K filed on March 7, 2023).</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54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0000FF"/>
            </w:tcBorders>
            <w:shd w:val="clear" w:color="auto" w:fill="CFF0FC"/>
          </w:tcPr>
          <w:p>
            <w:pPr>
              <w:spacing w:after="0"/>
              <w:rPr>
                <w:sz w:val="4"/>
                <w:szCs w:val="4"/>
                <w:color w:val="auto"/>
              </w:rPr>
            </w:pPr>
          </w:p>
        </w:tc>
        <w:tc>
          <w:tcPr>
            <w:tcW w:w="100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80" w:type="dxa"/>
            <w:vAlign w:val="bottom"/>
            <w:tcBorders>
              <w:top w:val="single" w:sz="8" w:color="0000FF"/>
              <w:right w:val="single" w:sz="8" w:color="CFF0FC"/>
            </w:tcBorders>
            <w:shd w:val="clear" w:color="auto" w:fill="CFF0FC"/>
          </w:tcPr>
          <w:p>
            <w:pPr>
              <w:spacing w:after="0"/>
              <w:rPr>
                <w:sz w:val="4"/>
                <w:szCs w:val="4"/>
                <w:color w:val="auto"/>
              </w:rPr>
            </w:pPr>
          </w:p>
        </w:tc>
        <w:tc>
          <w:tcPr>
            <w:tcW w:w="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4.1-12</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45">
              <w:r>
                <w:rPr>
                  <w:rFonts w:ascii="Arial" w:cs="Arial" w:eastAsia="Arial" w:hAnsi="Arial"/>
                  <w:sz w:val="16"/>
                  <w:szCs w:val="16"/>
                  <w:color w:val="0000FF"/>
                </w:rPr>
                <w:t>Twelfth Supplemental Indenture dated as of September 15, 2023 (filed as Exhibit 4.1 to the Registrant's Form 8-K filed on September</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Borders>
              <w:top w:val="single" w:sz="8" w:color="0000FF"/>
            </w:tcBorders>
            <w:gridSpan w:val="4"/>
          </w:tcPr>
          <w:p>
            <w:pPr>
              <w:spacing w:after="0" w:line="169" w:lineRule="exact"/>
              <w:rPr>
                <w:rFonts w:ascii="Arial" w:cs="Arial" w:eastAsia="Arial" w:hAnsi="Arial"/>
                <w:sz w:val="16"/>
                <w:szCs w:val="16"/>
                <w:color w:val="0000FF"/>
              </w:rPr>
            </w:pPr>
            <w:hyperlink r:id="rId445">
              <w:r>
                <w:rPr>
                  <w:rFonts w:ascii="Arial" w:cs="Arial" w:eastAsia="Arial" w:hAnsi="Arial"/>
                  <w:sz w:val="16"/>
                  <w:szCs w:val="16"/>
                  <w:color w:val="0000FF"/>
                </w:rPr>
                <w:t>15, 2023).</w:t>
              </w:r>
            </w:hyperlink>
          </w:p>
        </w:tc>
        <w:tc>
          <w:tcPr>
            <w:tcW w:w="20" w:type="dxa"/>
            <w:vAlign w:val="bottom"/>
            <w:tcBorders>
              <w:top w:val="single" w:sz="8" w:color="0000FF"/>
            </w:tcBorders>
          </w:tcPr>
          <w:p>
            <w:pPr>
              <w:spacing w:after="0"/>
              <w:rPr>
                <w:sz w:val="14"/>
                <w:szCs w:val="14"/>
                <w:color w:val="auto"/>
              </w:rPr>
            </w:pPr>
          </w:p>
        </w:tc>
        <w:tc>
          <w:tcPr>
            <w:tcW w:w="1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13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4.2</w:t>
            </w:r>
          </w:p>
        </w:tc>
        <w:tc>
          <w:tcPr>
            <w:tcW w:w="10140" w:type="dxa"/>
            <w:vAlign w:val="bottom"/>
            <w:gridSpan w:val="42"/>
            <w:shd w:val="clear" w:color="auto" w:fill="CFF0FC"/>
          </w:tcPr>
          <w:p>
            <w:pPr>
              <w:ind w:left="340"/>
              <w:spacing w:after="0"/>
              <w:rPr>
                <w:rFonts w:ascii="Arial" w:cs="Arial" w:eastAsia="Arial" w:hAnsi="Arial"/>
                <w:sz w:val="16"/>
                <w:szCs w:val="16"/>
                <w:color w:val="0000FF"/>
              </w:rPr>
            </w:pPr>
            <w:hyperlink r:id="rId446">
              <w:r>
                <w:rPr>
                  <w:rFonts w:ascii="Arial" w:cs="Arial" w:eastAsia="Arial" w:hAnsi="Arial"/>
                  <w:sz w:val="16"/>
                  <w:szCs w:val="16"/>
                  <w:color w:val="0000FF"/>
                </w:rPr>
                <w:t>Restated and Amended Indenture of Mortgage and Deed of Trust of Black Hills Corporation (now called Black Hills Power, Inc.) dated</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9600" w:type="dxa"/>
            <w:vAlign w:val="bottom"/>
            <w:tcBorders>
              <w:top w:val="single" w:sz="8" w:color="0000FF"/>
            </w:tcBorders>
            <w:gridSpan w:val="32"/>
            <w:shd w:val="clear" w:color="auto" w:fill="CFF0FC"/>
          </w:tcPr>
          <w:p>
            <w:pPr>
              <w:spacing w:after="0" w:line="169" w:lineRule="exact"/>
              <w:rPr>
                <w:rFonts w:ascii="Arial" w:cs="Arial" w:eastAsia="Arial" w:hAnsi="Arial"/>
                <w:sz w:val="16"/>
                <w:szCs w:val="16"/>
                <w:color w:val="0000FF"/>
              </w:rPr>
            </w:pPr>
            <w:hyperlink r:id="rId446">
              <w:r>
                <w:rPr>
                  <w:rFonts w:ascii="Arial" w:cs="Arial" w:eastAsia="Arial" w:hAnsi="Arial"/>
                  <w:sz w:val="16"/>
                  <w:szCs w:val="16"/>
                  <w:color w:val="0000FF"/>
                </w:rPr>
                <w:t>as of September 1, 1999 (filed as Exhibit 4.19 to the Registrant’s Post-Effective Amendment No. 1 to the Registrant’s Registration</w:t>
              </w:r>
            </w:hyperlink>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9320" w:type="dxa"/>
            <w:vAlign w:val="bottom"/>
            <w:tcBorders>
              <w:top w:val="single" w:sz="8" w:color="0000FF"/>
            </w:tcBorders>
            <w:gridSpan w:val="26"/>
            <w:shd w:val="clear" w:color="auto" w:fill="CFF0FC"/>
          </w:tcPr>
          <w:p>
            <w:pPr>
              <w:spacing w:after="0" w:line="169" w:lineRule="exact"/>
              <w:rPr>
                <w:rFonts w:ascii="Arial" w:cs="Arial" w:eastAsia="Arial" w:hAnsi="Arial"/>
                <w:sz w:val="16"/>
                <w:szCs w:val="16"/>
                <w:color w:val="0000FF"/>
              </w:rPr>
            </w:pPr>
            <w:hyperlink r:id="rId446">
              <w:r>
                <w:rPr>
                  <w:rFonts w:ascii="Arial" w:cs="Arial" w:eastAsia="Arial" w:hAnsi="Arial"/>
                  <w:sz w:val="16"/>
                  <w:szCs w:val="16"/>
                  <w:color w:val="0000FF"/>
                </w:rPr>
                <w:t>Statement on Form S-3 (No. 333-150669)).</w:t>
              </w:r>
            </w:hyperlink>
          </w:p>
        </w:tc>
        <w:tc>
          <w:tcPr>
            <w:tcW w:w="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right w:val="single" w:sz="8" w:color="CFF0FC"/>
            </w:tcBorders>
            <w:shd w:val="clear" w:color="auto" w:fill="CFF0FC"/>
          </w:tcPr>
          <w:p>
            <w:pPr>
              <w:spacing w:after="0"/>
              <w:rPr>
                <w:sz w:val="14"/>
                <w:szCs w:val="14"/>
                <w:color w:val="auto"/>
              </w:rPr>
            </w:pPr>
          </w:p>
        </w:tc>
        <w:tc>
          <w:tcPr>
            <w:tcW w:w="80" w:type="dxa"/>
            <w:vAlign w:val="bottom"/>
            <w:tcBorders>
              <w:top w:val="single" w:sz="8" w:color="CFF0FC"/>
            </w:tcBorders>
            <w:gridSpan w:val="2"/>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5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4.2-1</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47">
              <w:r>
                <w:rPr>
                  <w:rFonts w:ascii="Arial" w:cs="Arial" w:eastAsia="Arial" w:hAnsi="Arial"/>
                  <w:sz w:val="16"/>
                  <w:szCs w:val="16"/>
                  <w:color w:val="0000FF"/>
                </w:rPr>
                <w:t>First Supplemental Indenture, dated as of August 13, 2002, between Black Hills Power, Inc. and The Bank of New York Mellon (as</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340" w:type="dxa"/>
            <w:vAlign w:val="bottom"/>
            <w:tcBorders>
              <w:top w:val="single" w:sz="8" w:color="0000FF"/>
            </w:tcBorders>
            <w:gridSpan w:val="29"/>
          </w:tcPr>
          <w:p>
            <w:pPr>
              <w:spacing w:after="0" w:line="169" w:lineRule="exact"/>
              <w:rPr>
                <w:rFonts w:ascii="Arial" w:cs="Arial" w:eastAsia="Arial" w:hAnsi="Arial"/>
                <w:sz w:val="16"/>
                <w:szCs w:val="16"/>
                <w:color w:val="0000FF"/>
              </w:rPr>
            </w:pPr>
            <w:hyperlink r:id="rId447">
              <w:r>
                <w:rPr>
                  <w:rFonts w:ascii="Arial" w:cs="Arial" w:eastAsia="Arial" w:hAnsi="Arial"/>
                  <w:sz w:val="16"/>
                  <w:szCs w:val="16"/>
                  <w:color w:val="0000FF"/>
                </w:rPr>
                <w:t>successor to JPMorgan Chase Bank), as Trustee (filed as Exhibit 4.20 to the Registrant’s Post-Effective Amendment No. 1 to the</w:t>
              </w:r>
            </w:hyperlink>
          </w:p>
        </w:tc>
        <w:tc>
          <w:tcPr>
            <w:tcW w:w="8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6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447">
              <w:r>
                <w:rPr>
                  <w:rFonts w:ascii="Arial" w:cs="Arial" w:eastAsia="Arial" w:hAnsi="Arial"/>
                  <w:sz w:val="16"/>
                  <w:szCs w:val="16"/>
                  <w:color w:val="0000FF"/>
                </w:rPr>
                <w:t>Registrant’s Registration Statement on Form S</w:t>
              </w:r>
              <w:r>
                <w:rPr>
                  <w:rFonts w:ascii="MS PGothic" w:cs="MS PGothic" w:eastAsia="MS PGothic" w:hAnsi="MS PGothic"/>
                  <w:sz w:val="16"/>
                  <w:szCs w:val="16"/>
                  <w:color w:val="0000FF"/>
                </w:rPr>
                <w:t>‑</w:t>
              </w:r>
              <w:r>
                <w:rPr>
                  <w:rFonts w:ascii="Arial" w:cs="Arial" w:eastAsia="Arial" w:hAnsi="Arial"/>
                  <w:sz w:val="16"/>
                  <w:szCs w:val="16"/>
                  <w:color w:val="0000FF"/>
                </w:rPr>
                <w:t>3 (No. 333</w:t>
              </w:r>
              <w:r>
                <w:rPr>
                  <w:rFonts w:ascii="MS PGothic" w:cs="MS PGothic" w:eastAsia="MS PGothic" w:hAnsi="MS PGothic"/>
                  <w:sz w:val="16"/>
                  <w:szCs w:val="16"/>
                  <w:color w:val="0000FF"/>
                </w:rPr>
                <w:t>‑</w:t>
              </w:r>
              <w:r>
                <w:rPr>
                  <w:rFonts w:ascii="Arial" w:cs="Arial" w:eastAsia="Arial" w:hAnsi="Arial"/>
                  <w:sz w:val="16"/>
                  <w:szCs w:val="16"/>
                  <w:color w:val="0000FF"/>
                </w:rPr>
                <w:t>150669)).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4.2-2</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ind w:left="120"/>
              <w:spacing w:after="0"/>
              <w:rPr>
                <w:rFonts w:ascii="Arial" w:cs="Arial" w:eastAsia="Arial" w:hAnsi="Arial"/>
                <w:sz w:val="16"/>
                <w:szCs w:val="16"/>
                <w:color w:val="0000FF"/>
              </w:rPr>
            </w:pPr>
            <w:hyperlink r:id="rId448">
              <w:r>
                <w:rPr>
                  <w:rFonts w:ascii="Arial" w:cs="Arial" w:eastAsia="Arial" w:hAnsi="Arial"/>
                  <w:sz w:val="16"/>
                  <w:szCs w:val="16"/>
                  <w:color w:val="0000FF"/>
                </w:rPr>
                <w:t>Second Supplemental Indenture, dated as of October 27, 2009, between Black Hills Power, Inc. and The Bank of New York Mellon</w:t>
              </w:r>
            </w:hyperlink>
          </w:p>
        </w:tc>
        <w:tc>
          <w:tcPr>
            <w:tcW w:w="0" w:type="dxa"/>
            <w:vAlign w:val="bottom"/>
          </w:tcPr>
          <w:p>
            <w:pPr>
              <w:spacing w:after="0"/>
              <w:rPr>
                <w:sz w:val="1"/>
                <w:szCs w:val="1"/>
                <w:color w:val="auto"/>
              </w:rPr>
            </w:pPr>
          </w:p>
        </w:tc>
      </w:tr>
      <w:tr>
        <w:trPr>
          <w:trHeight w:val="20"/>
        </w:trPr>
        <w:tc>
          <w:tcPr>
            <w:tcW w:w="11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right w:val="single" w:sz="8" w:color="CFF0FC"/>
            </w:tcBorders>
            <w:gridSpan w:val="2"/>
            <w:shd w:val="clear" w:color="auto" w:fill="0000FF"/>
          </w:tcPr>
          <w:p>
            <w:pPr>
              <w:spacing w:after="0" w:line="20" w:lineRule="exact"/>
              <w:rPr>
                <w:sz w:val="1"/>
                <w:szCs w:val="1"/>
                <w:color w:val="auto"/>
              </w:rPr>
            </w:pPr>
          </w:p>
        </w:tc>
        <w:tc>
          <w:tcPr>
            <w:tcW w:w="80" w:type="dxa"/>
            <w:vAlign w:val="bottom"/>
            <w:gridSpan w:val="2"/>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680" w:type="dxa"/>
            <w:vAlign w:val="bottom"/>
            <w:gridSpan w:val="40"/>
            <w:shd w:val="clear" w:color="auto" w:fill="CFF0FC"/>
          </w:tcPr>
          <w:p>
            <w:pPr>
              <w:spacing w:after="0" w:line="169" w:lineRule="exact"/>
              <w:rPr>
                <w:rFonts w:ascii="Arial" w:cs="Arial" w:eastAsia="Arial" w:hAnsi="Arial"/>
                <w:sz w:val="16"/>
                <w:szCs w:val="16"/>
                <w:color w:val="0000FF"/>
              </w:rPr>
            </w:pPr>
            <w:hyperlink r:id="rId448">
              <w:r>
                <w:rPr>
                  <w:rFonts w:ascii="Arial" w:cs="Arial" w:eastAsia="Arial" w:hAnsi="Arial"/>
                  <w:sz w:val="16"/>
                  <w:szCs w:val="16"/>
                  <w:color w:val="0000FF"/>
                </w:rPr>
                <w:t>(filed as Exhibit 4.21 to the Registrant’s Post-Effective Amendment No. 2 to the Registrant’s Registration Statement on Form S-3 (No.</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460" w:type="dxa"/>
            <w:vAlign w:val="bottom"/>
            <w:tcBorders>
              <w:top w:val="single" w:sz="8" w:color="CFF0FC"/>
            </w:tcBorders>
            <w:gridSpan w:val="2"/>
            <w:shd w:val="clear" w:color="auto" w:fill="CFF0FC"/>
          </w:tcPr>
          <w:p>
            <w:pPr>
              <w:spacing w:after="0"/>
              <w:rPr>
                <w:sz w:val="14"/>
                <w:szCs w:val="14"/>
                <w:color w:val="auto"/>
              </w:rPr>
            </w:pPr>
          </w:p>
        </w:tc>
        <w:tc>
          <w:tcPr>
            <w:tcW w:w="2280" w:type="dxa"/>
            <w:vAlign w:val="bottom"/>
            <w:tcBorders>
              <w:top w:val="single" w:sz="8" w:color="0000FF"/>
            </w:tcBorders>
            <w:gridSpan w:val="6"/>
            <w:shd w:val="clear" w:color="auto" w:fill="CFF0FC"/>
          </w:tcPr>
          <w:p>
            <w:pPr>
              <w:spacing w:after="0" w:line="169" w:lineRule="exact"/>
              <w:rPr>
                <w:rFonts w:ascii="Arial" w:cs="Arial" w:eastAsia="Arial" w:hAnsi="Arial"/>
                <w:sz w:val="16"/>
                <w:szCs w:val="16"/>
                <w:color w:val="0000FF"/>
              </w:rPr>
            </w:pPr>
            <w:hyperlink r:id="rId448">
              <w:r>
                <w:rPr>
                  <w:rFonts w:ascii="Arial" w:cs="Arial" w:eastAsia="Arial" w:hAnsi="Arial"/>
                  <w:sz w:val="16"/>
                  <w:szCs w:val="16"/>
                  <w:color w:val="0000FF"/>
                </w:rPr>
                <w:t>333-150669)).</w:t>
              </w:r>
            </w:hyperlink>
          </w:p>
        </w:tc>
        <w:tc>
          <w:tcPr>
            <w:tcW w:w="160" w:type="dxa"/>
            <w:vAlign w:val="bottom"/>
            <w:tcBorders>
              <w:top w:val="single" w:sz="8" w:color="0000FF"/>
            </w:tcBorders>
            <w:shd w:val="clear" w:color="auto" w:fill="CFF0FC"/>
          </w:tcPr>
          <w:p>
            <w:pPr>
              <w:spacing w:after="0"/>
              <w:rPr>
                <w:sz w:val="14"/>
                <w:szCs w:val="14"/>
                <w:color w:val="auto"/>
              </w:rPr>
            </w:pPr>
          </w:p>
        </w:tc>
        <w:tc>
          <w:tcPr>
            <w:tcW w:w="220" w:type="dxa"/>
            <w:vAlign w:val="bottom"/>
            <w:tcBorders>
              <w:top w:val="single" w:sz="8" w:color="0000FF"/>
            </w:tcBorders>
            <w:shd w:val="clear" w:color="auto" w:fill="CFF0FC"/>
          </w:tcPr>
          <w:p>
            <w:pPr>
              <w:spacing w:after="0"/>
              <w:rPr>
                <w:sz w:val="14"/>
                <w:szCs w:val="14"/>
                <w:color w:val="auto"/>
              </w:rPr>
            </w:pPr>
          </w:p>
        </w:tc>
        <w:tc>
          <w:tcPr>
            <w:tcW w:w="320" w:type="dxa"/>
            <w:vAlign w:val="bottom"/>
            <w:tcBorders>
              <w:top w:val="single" w:sz="8" w:color="0000FF"/>
            </w:tcBorders>
            <w:shd w:val="clear" w:color="auto" w:fill="CFF0FC"/>
          </w:tcPr>
          <w:p>
            <w:pPr>
              <w:spacing w:after="0"/>
              <w:rPr>
                <w:sz w:val="14"/>
                <w:szCs w:val="14"/>
                <w:color w:val="auto"/>
              </w:rPr>
            </w:pPr>
          </w:p>
        </w:tc>
        <w:tc>
          <w:tcPr>
            <w:tcW w:w="360" w:type="dxa"/>
            <w:vAlign w:val="bottom"/>
            <w:tcBorders>
              <w:top w:val="single" w:sz="8" w:color="0000FF"/>
            </w:tcBorders>
            <w:shd w:val="clear" w:color="auto" w:fill="CFF0FC"/>
          </w:tcPr>
          <w:p>
            <w:pPr>
              <w:spacing w:after="0"/>
              <w:rPr>
                <w:sz w:val="14"/>
                <w:szCs w:val="14"/>
                <w:color w:val="auto"/>
              </w:rPr>
            </w:pPr>
          </w:p>
        </w:tc>
        <w:tc>
          <w:tcPr>
            <w:tcW w:w="30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22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540" w:type="dxa"/>
            <w:vAlign w:val="bottom"/>
            <w:tcBorders>
              <w:top w:val="single" w:sz="8" w:color="0000FF"/>
            </w:tcBorders>
            <w:shd w:val="clear" w:color="auto" w:fill="CFF0FC"/>
          </w:tcPr>
          <w:p>
            <w:pPr>
              <w:spacing w:after="0"/>
              <w:rPr>
                <w:sz w:val="14"/>
                <w:szCs w:val="14"/>
                <w:color w:val="auto"/>
              </w:rPr>
            </w:pPr>
          </w:p>
        </w:tc>
        <w:tc>
          <w:tcPr>
            <w:tcW w:w="360" w:type="dxa"/>
            <w:vAlign w:val="bottom"/>
            <w:tcBorders>
              <w:top w:val="single" w:sz="8" w:color="0000FF"/>
            </w:tcBorders>
            <w:shd w:val="clear" w:color="auto" w:fill="CFF0FC"/>
          </w:tcPr>
          <w:p>
            <w:pPr>
              <w:spacing w:after="0"/>
              <w:rPr>
                <w:sz w:val="14"/>
                <w:szCs w:val="14"/>
                <w:color w:val="auto"/>
              </w:rPr>
            </w:pPr>
          </w:p>
        </w:tc>
        <w:tc>
          <w:tcPr>
            <w:tcW w:w="1320" w:type="dxa"/>
            <w:vAlign w:val="bottom"/>
            <w:tcBorders>
              <w:top w:val="single" w:sz="8" w:color="0000FF"/>
            </w:tcBorders>
            <w:shd w:val="clear" w:color="auto" w:fill="CFF0FC"/>
          </w:tcPr>
          <w:p>
            <w:pPr>
              <w:spacing w:after="0"/>
              <w:rPr>
                <w:sz w:val="14"/>
                <w:szCs w:val="14"/>
                <w:color w:val="auto"/>
              </w:rPr>
            </w:pPr>
          </w:p>
        </w:tc>
        <w:tc>
          <w:tcPr>
            <w:tcW w:w="1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60" w:type="dxa"/>
            <w:vAlign w:val="bottom"/>
            <w:tcBorders>
              <w:top w:val="single" w:sz="8" w:color="0000FF"/>
            </w:tcBorders>
            <w:shd w:val="clear" w:color="auto" w:fill="CFF0FC"/>
          </w:tcPr>
          <w:p>
            <w:pPr>
              <w:spacing w:after="0"/>
              <w:rPr>
                <w:sz w:val="14"/>
                <w:szCs w:val="14"/>
                <w:color w:val="auto"/>
              </w:rPr>
            </w:pPr>
          </w:p>
        </w:tc>
        <w:tc>
          <w:tcPr>
            <w:tcW w:w="280" w:type="dxa"/>
            <w:vAlign w:val="bottom"/>
            <w:tcBorders>
              <w:top w:val="single" w:sz="8" w:color="0000FF"/>
            </w:tcBorders>
            <w:shd w:val="clear" w:color="auto" w:fill="CFF0FC"/>
          </w:tcPr>
          <w:p>
            <w:pPr>
              <w:spacing w:after="0"/>
              <w:rPr>
                <w:sz w:val="14"/>
                <w:szCs w:val="14"/>
                <w:color w:val="auto"/>
              </w:rPr>
            </w:pPr>
          </w:p>
        </w:tc>
        <w:tc>
          <w:tcPr>
            <w:tcW w:w="100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80" w:type="dxa"/>
            <w:vAlign w:val="bottom"/>
            <w:tcBorders>
              <w:top w:val="single" w:sz="8" w:color="0000FF"/>
              <w:right w:val="single" w:sz="8" w:color="CFF0FC"/>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5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4.2-3</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49">
              <w:r>
                <w:rPr>
                  <w:rFonts w:ascii="Arial" w:cs="Arial" w:eastAsia="Arial" w:hAnsi="Arial"/>
                  <w:sz w:val="16"/>
                  <w:szCs w:val="16"/>
                  <w:color w:val="0000FF"/>
                </w:rPr>
                <w:t>Third Supplemental Indenture, dated as of October 1, 2014, between Black Hills Power, Inc. and The Bank of New York Mellon (filed</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2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449">
              <w:r>
                <w:rPr>
                  <w:rFonts w:ascii="Arial" w:cs="Arial" w:eastAsia="Arial" w:hAnsi="Arial"/>
                  <w:sz w:val="16"/>
                  <w:szCs w:val="16"/>
                  <w:color w:val="0000FF"/>
                </w:rPr>
                <w:t>as Exhibit 10.1 to the Registrant’s Form 8-K filed on October 2,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4.3</w:t>
            </w:r>
          </w:p>
        </w:tc>
        <w:tc>
          <w:tcPr>
            <w:tcW w:w="10140" w:type="dxa"/>
            <w:vAlign w:val="bottom"/>
            <w:gridSpan w:val="42"/>
            <w:shd w:val="clear" w:color="auto" w:fill="CFF0FC"/>
          </w:tcPr>
          <w:p>
            <w:pPr>
              <w:ind w:left="340"/>
              <w:spacing w:after="0"/>
              <w:rPr>
                <w:rFonts w:ascii="Arial" w:cs="Arial" w:eastAsia="Arial" w:hAnsi="Arial"/>
                <w:sz w:val="16"/>
                <w:szCs w:val="16"/>
                <w:color w:val="0000FF"/>
              </w:rPr>
            </w:pPr>
            <w:hyperlink r:id="rId450">
              <w:r>
                <w:rPr>
                  <w:rFonts w:ascii="Arial" w:cs="Arial" w:eastAsia="Arial" w:hAnsi="Arial"/>
                  <w:sz w:val="16"/>
                  <w:szCs w:val="16"/>
                  <w:color w:val="0000FF"/>
                </w:rPr>
                <w:t>Restated Indenture of Mortgage, Deed of Trust, Security Agreement and Financing Statement, amended and restated as of November</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bottom w:val="single" w:sz="8" w:color="CFF0FC"/>
            </w:tcBorders>
            <w:shd w:val="clear" w:color="auto" w:fill="CFF0FC"/>
          </w:tcPr>
          <w:p>
            <w:pPr>
              <w:spacing w:after="0"/>
              <w:rPr>
                <w:sz w:val="14"/>
                <w:szCs w:val="14"/>
                <w:color w:val="auto"/>
              </w:rPr>
            </w:pPr>
          </w:p>
        </w:tc>
        <w:tc>
          <w:tcPr>
            <w:tcW w:w="340" w:type="dxa"/>
            <w:vAlign w:val="bottom"/>
            <w:tcBorders>
              <w:top w:val="single" w:sz="8" w:color="CFF0FC"/>
              <w:bottom w:val="single" w:sz="8" w:color="CFF0FC"/>
            </w:tcBorders>
            <w:shd w:val="clear" w:color="auto" w:fill="CFF0FC"/>
          </w:tcPr>
          <w:p>
            <w:pPr>
              <w:spacing w:after="0"/>
              <w:rPr>
                <w:sz w:val="14"/>
                <w:szCs w:val="14"/>
                <w:color w:val="auto"/>
              </w:rPr>
            </w:pPr>
          </w:p>
        </w:tc>
        <w:tc>
          <w:tcPr>
            <w:tcW w:w="9700" w:type="dxa"/>
            <w:vAlign w:val="bottom"/>
            <w:tcBorders>
              <w:top w:val="single" w:sz="8" w:color="0000FF"/>
              <w:bottom w:val="single" w:sz="8" w:color="0000FF"/>
            </w:tcBorders>
            <w:gridSpan w:val="37"/>
            <w:shd w:val="clear" w:color="auto" w:fill="CFF0FC"/>
          </w:tcPr>
          <w:p>
            <w:pPr>
              <w:spacing w:after="0" w:line="169" w:lineRule="exact"/>
              <w:rPr>
                <w:rFonts w:ascii="Arial" w:cs="Arial" w:eastAsia="Arial" w:hAnsi="Arial"/>
                <w:sz w:val="16"/>
                <w:szCs w:val="16"/>
                <w:color w:val="0000FF"/>
              </w:rPr>
            </w:pPr>
            <w:hyperlink r:id="rId450">
              <w:r>
                <w:rPr>
                  <w:rFonts w:ascii="Arial" w:cs="Arial" w:eastAsia="Arial" w:hAnsi="Arial"/>
                  <w:sz w:val="16"/>
                  <w:szCs w:val="16"/>
                  <w:color w:val="0000FF"/>
                </w:rPr>
                <w:t>20, 2007, between Cheyenne Light, Fuel and Power Company and Wells Fargo Bank, National Association (filed as Exhibit 10.2 to the</w:t>
              </w:r>
            </w:hyperlink>
          </w:p>
        </w:tc>
        <w:tc>
          <w:tcPr>
            <w:tcW w:w="20" w:type="dxa"/>
            <w:vAlign w:val="bottom"/>
            <w:tcBorders>
              <w:top w:val="single" w:sz="8" w:color="CFF0FC"/>
              <w:bottom w:val="single" w:sz="8" w:color="0000FF"/>
            </w:tcBorders>
            <w:shd w:val="clear" w:color="auto" w:fill="CFF0FC"/>
          </w:tcPr>
          <w:p>
            <w:pPr>
              <w:spacing w:after="0"/>
              <w:rPr>
                <w:sz w:val="14"/>
                <w:szCs w:val="14"/>
                <w:color w:val="auto"/>
              </w:rPr>
            </w:pPr>
          </w:p>
        </w:tc>
        <w:tc>
          <w:tcPr>
            <w:tcW w:w="20" w:type="dxa"/>
            <w:vAlign w:val="bottom"/>
            <w:tcBorders>
              <w:top w:val="single" w:sz="8" w:color="CFF0FC"/>
              <w:bottom w:val="single" w:sz="8" w:color="0000FF"/>
            </w:tcBorders>
            <w:shd w:val="clear" w:color="auto" w:fill="CFF0FC"/>
          </w:tcPr>
          <w:p>
            <w:pPr>
              <w:spacing w:after="0"/>
              <w:rPr>
                <w:sz w:val="14"/>
                <w:szCs w:val="14"/>
                <w:color w:val="auto"/>
              </w:rPr>
            </w:pPr>
          </w:p>
        </w:tc>
        <w:tc>
          <w:tcPr>
            <w:tcW w:w="60" w:type="dxa"/>
            <w:vAlign w:val="bottom"/>
            <w:tcBorders>
              <w:top w:val="single" w:sz="8" w:color="CFF0FC"/>
              <w:bottom w:val="single" w:sz="8" w:color="CFF0FC"/>
            </w:tcBorders>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1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3460" w:type="dxa"/>
            <w:vAlign w:val="bottom"/>
            <w:tcBorders>
              <w:bottom w:val="single" w:sz="8" w:color="0000FF"/>
            </w:tcBorders>
            <w:gridSpan w:val="11"/>
            <w:shd w:val="clear" w:color="auto" w:fill="CFF0FC"/>
          </w:tcPr>
          <w:p>
            <w:pPr>
              <w:spacing w:after="0" w:line="169" w:lineRule="exact"/>
              <w:rPr>
                <w:rFonts w:ascii="Arial" w:cs="Arial" w:eastAsia="Arial" w:hAnsi="Arial"/>
                <w:sz w:val="16"/>
                <w:szCs w:val="16"/>
                <w:color w:val="0000FF"/>
              </w:rPr>
            </w:pPr>
            <w:hyperlink r:id="rId450">
              <w:r>
                <w:rPr>
                  <w:rFonts w:ascii="Arial" w:cs="Arial" w:eastAsia="Arial" w:hAnsi="Arial"/>
                  <w:sz w:val="16"/>
                  <w:szCs w:val="16"/>
                  <w:color w:val="0000FF"/>
                </w:rPr>
                <w:t>Registrant’s Form 8-K filed on October 2, 2014).</w:t>
              </w:r>
            </w:hyperlink>
          </w:p>
        </w:tc>
        <w:tc>
          <w:tcPr>
            <w:tcW w:w="6280" w:type="dxa"/>
            <w:vAlign w:val="bottom"/>
            <w:tcBorders>
              <w:bottom w:val="single" w:sz="8" w:color="CFF0FC"/>
            </w:tcBorders>
            <w:gridSpan w:val="28"/>
            <w:shd w:val="clear" w:color="auto" w:fill="CFF0FC"/>
          </w:tcPr>
          <w:p>
            <w:pPr>
              <w:spacing w:after="0"/>
              <w:rPr>
                <w:sz w:val="18"/>
                <w:szCs w:val="18"/>
                <w:color w:val="auto"/>
              </w:rPr>
            </w:pPr>
          </w:p>
        </w:tc>
        <w:tc>
          <w:tcPr>
            <w:tcW w:w="60" w:type="dxa"/>
            <w:vAlign w:val="bottom"/>
            <w:tcBorders>
              <w:bottom w:val="single" w:sz="8" w:color="CFF0FC"/>
            </w:tcBorders>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100" w:type="dxa"/>
            <w:vAlign w:val="bottom"/>
          </w:tcPr>
          <w:p>
            <w:pPr>
              <w:ind w:left="220"/>
              <w:spacing w:after="0"/>
              <w:rPr>
                <w:sz w:val="20"/>
                <w:szCs w:val="20"/>
                <w:color w:val="auto"/>
              </w:rPr>
            </w:pPr>
            <w:r>
              <w:rPr>
                <w:rFonts w:ascii="Arial" w:cs="Arial" w:eastAsia="Arial" w:hAnsi="Arial"/>
                <w:sz w:val="16"/>
                <w:szCs w:val="16"/>
                <w:color w:val="auto"/>
              </w:rPr>
              <w:t>4.3-1</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51">
              <w:r>
                <w:rPr>
                  <w:rFonts w:ascii="Arial" w:cs="Arial" w:eastAsia="Arial" w:hAnsi="Arial"/>
                  <w:sz w:val="16"/>
                  <w:szCs w:val="16"/>
                  <w:color w:val="0000FF"/>
                </w:rPr>
                <w:t>First Supplemental Indenture, dated as of September 3, 2009, between Cheyenne Light, Fuel and Power Company and Wells Fargo</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40" w:type="dxa"/>
            <w:vAlign w:val="bottom"/>
            <w:tcBorders>
              <w:top w:val="single" w:sz="8" w:color="0000FF"/>
            </w:tcBorders>
            <w:gridSpan w:val="34"/>
          </w:tcPr>
          <w:p>
            <w:pPr>
              <w:spacing w:after="0" w:line="169" w:lineRule="exact"/>
              <w:rPr>
                <w:rFonts w:ascii="Arial" w:cs="Arial" w:eastAsia="Arial" w:hAnsi="Arial"/>
                <w:sz w:val="16"/>
                <w:szCs w:val="16"/>
                <w:color w:val="0000FF"/>
              </w:rPr>
            </w:pPr>
            <w:hyperlink r:id="rId451">
              <w:r>
                <w:rPr>
                  <w:rFonts w:ascii="Arial" w:cs="Arial" w:eastAsia="Arial" w:hAnsi="Arial"/>
                  <w:sz w:val="16"/>
                  <w:szCs w:val="16"/>
                  <w:color w:val="0000FF"/>
                </w:rPr>
                <w:t>Bank, National Association (filed as Exhibit 10.3 to the Registrant’s Form 8-K filed on October 2, 2014).</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4.3-2</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ind w:left="120"/>
              <w:spacing w:after="0"/>
              <w:rPr>
                <w:rFonts w:ascii="Arial" w:cs="Arial" w:eastAsia="Arial" w:hAnsi="Arial"/>
                <w:sz w:val="16"/>
                <w:szCs w:val="16"/>
                <w:color w:val="0000FF"/>
              </w:rPr>
            </w:pPr>
            <w:hyperlink r:id="rId452">
              <w:r>
                <w:rPr>
                  <w:rFonts w:ascii="Arial" w:cs="Arial" w:eastAsia="Arial" w:hAnsi="Arial"/>
                  <w:sz w:val="16"/>
                  <w:szCs w:val="16"/>
                  <w:color w:val="0000FF"/>
                </w:rPr>
                <w:t>Second Supplemental Indenture, dated as of October 1, 2014, between Cheyenne Light, Fuel and Power Company and Wells Fargo</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9560" w:type="dxa"/>
            <w:vAlign w:val="bottom"/>
            <w:tcBorders>
              <w:top w:val="single" w:sz="8" w:color="0000FF"/>
            </w:tcBorders>
            <w:gridSpan w:val="35"/>
            <w:shd w:val="clear" w:color="auto" w:fill="CFF0FC"/>
          </w:tcPr>
          <w:p>
            <w:pPr>
              <w:spacing w:after="0" w:line="169" w:lineRule="exact"/>
              <w:rPr>
                <w:rFonts w:ascii="Arial" w:cs="Arial" w:eastAsia="Arial" w:hAnsi="Arial"/>
                <w:sz w:val="16"/>
                <w:szCs w:val="16"/>
                <w:color w:val="0000FF"/>
              </w:rPr>
            </w:pPr>
            <w:hyperlink r:id="rId452">
              <w:r>
                <w:rPr>
                  <w:rFonts w:ascii="Arial" w:cs="Arial" w:eastAsia="Arial" w:hAnsi="Arial"/>
                  <w:sz w:val="16"/>
                  <w:szCs w:val="16"/>
                  <w:color w:val="0000FF"/>
                </w:rPr>
                <w:t>Bank, National Association (filed as Exhibit 10.4 to the Registrant’s Form 8-K filed on October 2, 2014).</w:t>
              </w:r>
            </w:hyperlink>
          </w:p>
        </w:tc>
        <w:tc>
          <w:tcPr>
            <w:tcW w:w="40" w:type="dxa"/>
            <w:vAlign w:val="bottom"/>
            <w:tcBorders>
              <w:top w:val="single" w:sz="8" w:color="CFF0FC"/>
            </w:tcBorders>
            <w:gridSpan w:val="2"/>
            <w:shd w:val="clear" w:color="auto" w:fill="CFF0FC"/>
          </w:tcPr>
          <w:p>
            <w:pPr>
              <w:spacing w:after="0"/>
              <w:rPr>
                <w:sz w:val="14"/>
                <w:szCs w:val="14"/>
                <w:color w:val="auto"/>
              </w:rPr>
            </w:pPr>
          </w:p>
        </w:tc>
        <w:tc>
          <w:tcPr>
            <w:tcW w:w="80" w:type="dxa"/>
            <w:vAlign w:val="bottom"/>
            <w:tcBorders>
              <w:top w:val="single" w:sz="8" w:color="CFF0FC"/>
            </w:tcBorders>
            <w:gridSpan w:val="3"/>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54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20"/>
              <w:spacing w:after="0"/>
              <w:rPr>
                <w:sz w:val="20"/>
                <w:szCs w:val="20"/>
                <w:color w:val="auto"/>
              </w:rPr>
            </w:pPr>
            <w:r>
              <w:rPr>
                <w:rFonts w:ascii="Arial" w:cs="Arial" w:eastAsia="Arial" w:hAnsi="Arial"/>
                <w:sz w:val="16"/>
                <w:szCs w:val="16"/>
                <w:color w:val="auto"/>
              </w:rPr>
              <w:t>4.4</w:t>
            </w:r>
          </w:p>
        </w:tc>
        <w:tc>
          <w:tcPr>
            <w:tcW w:w="10140" w:type="dxa"/>
            <w:vAlign w:val="bottom"/>
            <w:gridSpan w:val="42"/>
          </w:tcPr>
          <w:p>
            <w:pPr>
              <w:ind w:left="340"/>
              <w:spacing w:after="0"/>
              <w:rPr>
                <w:rFonts w:ascii="Arial" w:cs="Arial" w:eastAsia="Arial" w:hAnsi="Arial"/>
                <w:sz w:val="16"/>
                <w:szCs w:val="16"/>
                <w:color w:val="0000FF"/>
              </w:rPr>
            </w:pPr>
            <w:hyperlink r:id="rId453">
              <w:r>
                <w:rPr>
                  <w:rFonts w:ascii="Arial" w:cs="Arial" w:eastAsia="Arial" w:hAnsi="Arial"/>
                  <w:sz w:val="16"/>
                  <w:szCs w:val="16"/>
                  <w:color w:val="0000FF"/>
                </w:rPr>
                <w:t xml:space="preserve">Form of Stock Certificate for Common Stock, Par Value </w:t>
              </w:r>
              <w:r>
                <w:rPr>
                  <w:rFonts w:ascii="Arial" w:cs="Arial" w:eastAsia="Arial" w:hAnsi="Arial"/>
                  <w:sz w:val="16"/>
                  <w:szCs w:val="16"/>
                  <w:u w:val="single" w:color="auto"/>
                  <w:color w:val="0000FF"/>
                </w:rPr>
                <w:t>$</w:t>
              </w:r>
              <w:r>
                <w:rPr>
                  <w:rFonts w:ascii="Arial" w:cs="Arial" w:eastAsia="Arial" w:hAnsi="Arial"/>
                  <w:sz w:val="16"/>
                  <w:szCs w:val="16"/>
                  <w:color w:val="0000FF"/>
                </w:rPr>
                <w:t>1.00 Per Share (filed as Exhibit 4.2 to the Registrant’s Form 10-K for 2000).</w:t>
              </w:r>
            </w:hyperlink>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1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4.5</w:t>
            </w:r>
          </w:p>
        </w:tc>
        <w:tc>
          <w:tcPr>
            <w:tcW w:w="340" w:type="dxa"/>
            <w:vAlign w:val="bottom"/>
            <w:tcBorders>
              <w:bottom w:val="single" w:sz="8" w:color="CFF0FC"/>
            </w:tcBorders>
            <w:shd w:val="clear" w:color="auto" w:fill="CFF0FC"/>
          </w:tcPr>
          <w:p>
            <w:pPr>
              <w:spacing w:after="0"/>
              <w:rPr>
                <w:sz w:val="24"/>
                <w:szCs w:val="24"/>
                <w:color w:val="auto"/>
              </w:rPr>
            </w:pPr>
          </w:p>
        </w:tc>
        <w:tc>
          <w:tcPr>
            <w:tcW w:w="6020" w:type="dxa"/>
            <w:vAlign w:val="bottom"/>
            <w:tcBorders>
              <w:bottom w:val="single" w:sz="8" w:color="0000FF"/>
            </w:tcBorders>
            <w:gridSpan w:val="17"/>
            <w:shd w:val="clear" w:color="auto" w:fill="CFF0FC"/>
          </w:tcPr>
          <w:p>
            <w:pPr>
              <w:spacing w:after="0"/>
              <w:rPr>
                <w:rFonts w:ascii="Arial" w:cs="Arial" w:eastAsia="Arial" w:hAnsi="Arial"/>
                <w:sz w:val="16"/>
                <w:szCs w:val="16"/>
                <w:color w:val="0000FF"/>
              </w:rPr>
            </w:pPr>
            <w:hyperlink r:id="rId454">
              <w:r>
                <w:rPr>
                  <w:rFonts w:ascii="Arial" w:cs="Arial" w:eastAsia="Arial" w:hAnsi="Arial"/>
                  <w:sz w:val="16"/>
                  <w:szCs w:val="16"/>
                  <w:color w:val="0000FF"/>
                </w:rPr>
                <w:t>Description of Securities (filed as Exhibit 4.5 to the Registrant's Form 10-K for 2019)</w:t>
              </w:r>
            </w:hyperlink>
          </w:p>
        </w:tc>
        <w:tc>
          <w:tcPr>
            <w:tcW w:w="3780" w:type="dxa"/>
            <w:vAlign w:val="bottom"/>
            <w:tcBorders>
              <w:bottom w:val="single" w:sz="8" w:color="CFF0FC"/>
            </w:tcBorders>
            <w:gridSpan w:val="24"/>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20"/>
              <w:spacing w:after="0"/>
              <w:rPr>
                <w:sz w:val="20"/>
                <w:szCs w:val="20"/>
                <w:color w:val="auto"/>
              </w:rPr>
            </w:pPr>
            <w:r>
              <w:rPr>
                <w:rFonts w:ascii="Arial" w:cs="Arial" w:eastAsia="Arial" w:hAnsi="Arial"/>
                <w:sz w:val="16"/>
                <w:szCs w:val="16"/>
                <w:color w:val="auto"/>
              </w:rPr>
              <w:t>10.1†</w:t>
            </w:r>
          </w:p>
        </w:tc>
        <w:tc>
          <w:tcPr>
            <w:tcW w:w="10140" w:type="dxa"/>
            <w:vAlign w:val="bottom"/>
            <w:gridSpan w:val="42"/>
          </w:tcPr>
          <w:p>
            <w:pPr>
              <w:ind w:left="340"/>
              <w:spacing w:after="0"/>
              <w:rPr>
                <w:rFonts w:ascii="Arial" w:cs="Arial" w:eastAsia="Arial" w:hAnsi="Arial"/>
                <w:sz w:val="16"/>
                <w:szCs w:val="16"/>
                <w:color w:val="0000FF"/>
              </w:rPr>
            </w:pPr>
            <w:hyperlink r:id="rId455">
              <w:r>
                <w:rPr>
                  <w:rFonts w:ascii="Arial" w:cs="Arial" w:eastAsia="Arial" w:hAnsi="Arial"/>
                  <w:sz w:val="16"/>
                  <w:szCs w:val="16"/>
                  <w:color w:val="0000FF"/>
                </w:rPr>
                <w:t>Amended and Restated Pension Equalization Plan of Black Hills Corporation dated November 6, 2001 (filed as Exhibit 10.11 to the</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0" w:type="dxa"/>
            <w:vAlign w:val="bottom"/>
            <w:tcBorders>
              <w:top w:val="single" w:sz="8" w:color="0000FF"/>
            </w:tcBorders>
            <w:gridSpan w:val="28"/>
          </w:tcPr>
          <w:p>
            <w:pPr>
              <w:spacing w:after="0" w:line="169" w:lineRule="exact"/>
              <w:rPr>
                <w:rFonts w:ascii="Arial" w:cs="Arial" w:eastAsia="Arial" w:hAnsi="Arial"/>
                <w:sz w:val="16"/>
                <w:szCs w:val="16"/>
                <w:color w:val="0000FF"/>
              </w:rPr>
            </w:pPr>
            <w:hyperlink r:id="rId455">
              <w:r>
                <w:rPr>
                  <w:rFonts w:ascii="Arial" w:cs="Arial" w:eastAsia="Arial" w:hAnsi="Arial"/>
                  <w:sz w:val="16"/>
                  <w:szCs w:val="16"/>
                  <w:color w:val="0000FF"/>
                </w:rPr>
                <w:t>Registrant’s Form 10-K/A for 2001).</w:t>
              </w:r>
            </w:hyperlink>
          </w:p>
        </w:tc>
        <w:tc>
          <w:tcPr>
            <w:tcW w:w="4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10.1-1†</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ind w:left="120"/>
              <w:spacing w:after="0"/>
              <w:rPr>
                <w:rFonts w:ascii="Arial" w:cs="Arial" w:eastAsia="Arial" w:hAnsi="Arial"/>
                <w:sz w:val="16"/>
                <w:szCs w:val="16"/>
                <w:color w:val="0000FF"/>
              </w:rPr>
            </w:pPr>
            <w:hyperlink r:id="rId456">
              <w:r>
                <w:rPr>
                  <w:rFonts w:ascii="Arial" w:cs="Arial" w:eastAsia="Arial" w:hAnsi="Arial"/>
                  <w:sz w:val="16"/>
                  <w:szCs w:val="16"/>
                  <w:color w:val="0000FF"/>
                </w:rPr>
                <w:t>First Amendment to Pension Equalization Plan (filed as Exhibit 10.10 to the Registrant’s Form 10-K for 2002).</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54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10.1-2†</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57">
              <w:r>
                <w:rPr>
                  <w:rFonts w:ascii="Arial" w:cs="Arial" w:eastAsia="Arial" w:hAnsi="Arial"/>
                  <w:sz w:val="16"/>
                  <w:szCs w:val="16"/>
                  <w:color w:val="0000FF"/>
                </w:rPr>
                <w:t>Grandfather Amendment to the Amended and Restated Pension Equalization Plan of Black Hills Corporation (filed as Exhibit 10.2 to</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500" w:type="dxa"/>
            <w:vAlign w:val="bottom"/>
            <w:tcBorders>
              <w:top w:val="single" w:sz="8" w:color="0000FF"/>
            </w:tcBorders>
            <w:gridSpan w:val="32"/>
          </w:tcPr>
          <w:p>
            <w:pPr>
              <w:spacing w:after="0" w:line="169" w:lineRule="exact"/>
              <w:rPr>
                <w:rFonts w:ascii="Arial" w:cs="Arial" w:eastAsia="Arial" w:hAnsi="Arial"/>
                <w:sz w:val="16"/>
                <w:szCs w:val="16"/>
                <w:color w:val="0000FF"/>
              </w:rPr>
            </w:pPr>
            <w:hyperlink r:id="rId457">
              <w:r>
                <w:rPr>
                  <w:rFonts w:ascii="Arial" w:cs="Arial" w:eastAsia="Arial" w:hAnsi="Arial"/>
                  <w:sz w:val="16"/>
                  <w:szCs w:val="16"/>
                  <w:color w:val="0000FF"/>
                </w:rPr>
                <w:t>the Registrant’s Form 10-K for 2008).</w:t>
              </w:r>
            </w:hyperlink>
          </w:p>
        </w:tc>
        <w:tc>
          <w:tcPr>
            <w:tcW w:w="100" w:type="dxa"/>
            <w:vAlign w:val="bottom"/>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spacing w:after="0"/>
              <w:rPr>
                <w:rFonts w:ascii="Arial" w:cs="Arial" w:eastAsia="Arial" w:hAnsi="Arial"/>
                <w:sz w:val="16"/>
                <w:szCs w:val="16"/>
                <w:color w:val="0000FF"/>
              </w:rPr>
            </w:pPr>
            <w:hyperlink r:id="rId458">
              <w:r>
                <w:rPr>
                  <w:rFonts w:ascii="Arial" w:cs="Arial" w:eastAsia="Arial" w:hAnsi="Arial"/>
                  <w:sz w:val="16"/>
                  <w:szCs w:val="16"/>
                  <w:color w:val="0000FF"/>
                </w:rPr>
                <w:t>Restoration Plan of Black Hills Corporation (filed as Exhibit 10.5 to the Registrant’s Form 10-K for 2008).</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54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10.2-1†</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59">
              <w:r>
                <w:rPr>
                  <w:rFonts w:ascii="Arial" w:cs="Arial" w:eastAsia="Arial" w:hAnsi="Arial"/>
                  <w:sz w:val="16"/>
                  <w:szCs w:val="16"/>
                  <w:color w:val="0000FF"/>
                </w:rPr>
                <w:t>First Amendment to the Restoration Plan of Black Hills Corporation dated July 24, 2011 (filed as Exhibit 10.2 to the Registrant’s Form</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0" w:type="dxa"/>
            <w:vAlign w:val="bottom"/>
            <w:tcBorders>
              <w:top w:val="single" w:sz="8" w:color="0000FF"/>
            </w:tcBorders>
            <w:gridSpan w:val="37"/>
          </w:tcPr>
          <w:p>
            <w:pPr>
              <w:spacing w:after="0" w:line="169" w:lineRule="exact"/>
              <w:rPr>
                <w:rFonts w:ascii="Arial" w:cs="Arial" w:eastAsia="Arial" w:hAnsi="Arial"/>
                <w:sz w:val="16"/>
                <w:szCs w:val="16"/>
                <w:color w:val="0000FF"/>
              </w:rPr>
            </w:pPr>
            <w:hyperlink r:id="rId459">
              <w:r>
                <w:rPr>
                  <w:rFonts w:ascii="Arial" w:cs="Arial" w:eastAsia="Arial" w:hAnsi="Arial"/>
                  <w:sz w:val="16"/>
                  <w:szCs w:val="16"/>
                  <w:color w:val="0000FF"/>
                </w:rPr>
                <w:t>10-Q for the quarterly period ended June 30, 2011).</w:t>
              </w:r>
            </w:hyperlink>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10.3†</w:t>
            </w:r>
          </w:p>
        </w:tc>
        <w:tc>
          <w:tcPr>
            <w:tcW w:w="10140" w:type="dxa"/>
            <w:vAlign w:val="bottom"/>
            <w:gridSpan w:val="42"/>
            <w:shd w:val="clear" w:color="auto" w:fill="CFF0FC"/>
          </w:tcPr>
          <w:p>
            <w:pPr>
              <w:ind w:left="340"/>
              <w:spacing w:after="0"/>
              <w:rPr>
                <w:rFonts w:ascii="Arial" w:cs="Arial" w:eastAsia="Arial" w:hAnsi="Arial"/>
                <w:sz w:val="16"/>
                <w:szCs w:val="16"/>
                <w:color w:val="0000FF"/>
              </w:rPr>
            </w:pPr>
            <w:hyperlink r:id="rId460">
              <w:r>
                <w:rPr>
                  <w:rFonts w:ascii="Arial" w:cs="Arial" w:eastAsia="Arial" w:hAnsi="Arial"/>
                  <w:sz w:val="16"/>
                  <w:szCs w:val="16"/>
                  <w:color w:val="0000FF"/>
                </w:rPr>
                <w:t>Black Hills Corporation Non-qualified Deferred Compensation Plan as Amended and Restated effective January 1, 2011 (filed as</w:t>
              </w:r>
            </w:hyperlink>
          </w:p>
        </w:tc>
        <w:tc>
          <w:tcPr>
            <w:tcW w:w="0" w:type="dxa"/>
            <w:vAlign w:val="bottom"/>
          </w:tcPr>
          <w:p>
            <w:pPr>
              <w:spacing w:after="0"/>
              <w:rPr>
                <w:sz w:val="1"/>
                <w:szCs w:val="1"/>
                <w:color w:val="auto"/>
              </w:rPr>
            </w:pPr>
          </w:p>
        </w:tc>
      </w:tr>
      <w:tr>
        <w:trPr>
          <w:trHeight w:val="216"/>
        </w:trPr>
        <w:tc>
          <w:tcPr>
            <w:tcW w:w="1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3760" w:type="dxa"/>
            <w:vAlign w:val="bottom"/>
            <w:tcBorders>
              <w:top w:val="single" w:sz="8" w:color="0000FF"/>
              <w:bottom w:val="single" w:sz="8" w:color="0000FF"/>
            </w:tcBorders>
            <w:gridSpan w:val="12"/>
            <w:shd w:val="clear" w:color="auto" w:fill="CFF0FC"/>
          </w:tcPr>
          <w:p>
            <w:pPr>
              <w:spacing w:after="0" w:line="169" w:lineRule="exact"/>
              <w:rPr>
                <w:rFonts w:ascii="Arial" w:cs="Arial" w:eastAsia="Arial" w:hAnsi="Arial"/>
                <w:sz w:val="16"/>
                <w:szCs w:val="16"/>
                <w:color w:val="0000FF"/>
              </w:rPr>
            </w:pPr>
            <w:hyperlink r:id="rId460">
              <w:r>
                <w:rPr>
                  <w:rFonts w:ascii="Arial" w:cs="Arial" w:eastAsia="Arial" w:hAnsi="Arial"/>
                  <w:sz w:val="16"/>
                  <w:szCs w:val="16"/>
                  <w:color w:val="0000FF"/>
                </w:rPr>
                <w:t>Exhibit 10.4 to the Registrant’s Form 10-K for 2010).</w:t>
              </w:r>
            </w:hyperlink>
          </w:p>
        </w:tc>
        <w:tc>
          <w:tcPr>
            <w:tcW w:w="5480" w:type="dxa"/>
            <w:vAlign w:val="bottom"/>
            <w:tcBorders>
              <w:top w:val="single" w:sz="8" w:color="0000FF"/>
              <w:bottom w:val="single" w:sz="8" w:color="CFF0FC"/>
            </w:tcBorders>
            <w:gridSpan w:val="12"/>
            <w:shd w:val="clear" w:color="auto" w:fill="CFF0FC"/>
          </w:tcPr>
          <w:p>
            <w:pPr>
              <w:spacing w:after="0"/>
              <w:rPr>
                <w:sz w:val="18"/>
                <w:szCs w:val="18"/>
                <w:color w:val="auto"/>
              </w:rPr>
            </w:pPr>
          </w:p>
        </w:tc>
        <w:tc>
          <w:tcPr>
            <w:tcW w:w="200" w:type="dxa"/>
            <w:vAlign w:val="bottom"/>
            <w:tcBorders>
              <w:top w:val="single" w:sz="8" w:color="CFF0FC"/>
              <w:bottom w:val="single" w:sz="8" w:color="CFF0FC"/>
            </w:tcBorders>
            <w:gridSpan w:val="5"/>
            <w:shd w:val="clear" w:color="auto" w:fill="CFF0FC"/>
          </w:tcPr>
          <w:p>
            <w:pPr>
              <w:spacing w:after="0"/>
              <w:rPr>
                <w:sz w:val="18"/>
                <w:szCs w:val="18"/>
                <w:color w:val="auto"/>
              </w:rPr>
            </w:pPr>
          </w:p>
        </w:tc>
        <w:tc>
          <w:tcPr>
            <w:tcW w:w="100" w:type="dxa"/>
            <w:vAlign w:val="bottom"/>
            <w:tcBorders>
              <w:top w:val="single" w:sz="8" w:color="CFF0FC"/>
              <w:bottom w:val="single" w:sz="8" w:color="CFF0FC"/>
              <w:right w:val="single" w:sz="8" w:color="CFF0FC"/>
            </w:tcBorders>
            <w:gridSpan w:val="2"/>
            <w:shd w:val="clear" w:color="auto" w:fill="CFF0FC"/>
          </w:tcPr>
          <w:p>
            <w:pPr>
              <w:spacing w:after="0"/>
              <w:rPr>
                <w:sz w:val="18"/>
                <w:szCs w:val="18"/>
                <w:color w:val="auto"/>
              </w:rPr>
            </w:pPr>
          </w:p>
        </w:tc>
        <w:tc>
          <w:tcPr>
            <w:tcW w:w="260" w:type="dxa"/>
            <w:vAlign w:val="bottom"/>
            <w:tcBorders>
              <w:top w:val="single" w:sz="8" w:color="CFF0FC"/>
              <w:bottom w:val="single" w:sz="8" w:color="CFF0FC"/>
            </w:tcBorders>
            <w:gridSpan w:val="10"/>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10.3-1†</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61">
              <w:r>
                <w:rPr>
                  <w:rFonts w:ascii="Arial" w:cs="Arial" w:eastAsia="Arial" w:hAnsi="Arial"/>
                  <w:sz w:val="16"/>
                  <w:szCs w:val="16"/>
                  <w:color w:val="0000FF"/>
                </w:rPr>
                <w:t>First Amendment to the Black Hills Corporation Nonqualified Deferred Compensation Plan as Amended and Restated effective</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10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461">
              <w:r>
                <w:rPr>
                  <w:rFonts w:ascii="Arial" w:cs="Arial" w:eastAsia="Arial" w:hAnsi="Arial"/>
                  <w:sz w:val="16"/>
                  <w:szCs w:val="16"/>
                  <w:color w:val="0000FF"/>
                </w:rPr>
                <w:t>January 1, 2011 (filed as Exhibit 10.5 to the Registrant’s Form 10-K for 2018).</w:t>
              </w:r>
            </w:hyperlink>
          </w:p>
        </w:tc>
        <w:tc>
          <w:tcPr>
            <w:tcW w:w="220" w:type="dxa"/>
            <w:vAlign w:val="bottom"/>
            <w:gridSpan w:val="6"/>
          </w:tcPr>
          <w:p>
            <w:pPr>
              <w:spacing w:after="0"/>
              <w:rPr>
                <w:sz w:val="14"/>
                <w:szCs w:val="14"/>
                <w:color w:val="auto"/>
              </w:rPr>
            </w:pPr>
          </w:p>
        </w:tc>
        <w:tc>
          <w:tcPr>
            <w:tcW w:w="100" w:type="dxa"/>
            <w:vAlign w:val="bottom"/>
            <w:gridSpan w:val="2"/>
          </w:tcPr>
          <w:p>
            <w:pPr>
              <w:spacing w:after="0"/>
              <w:rPr>
                <w:sz w:val="14"/>
                <w:szCs w:val="14"/>
                <w:color w:val="auto"/>
              </w:rPr>
            </w:pPr>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10.4†</w:t>
            </w:r>
          </w:p>
        </w:tc>
        <w:tc>
          <w:tcPr>
            <w:tcW w:w="10140" w:type="dxa"/>
            <w:vAlign w:val="bottom"/>
            <w:gridSpan w:val="42"/>
            <w:shd w:val="clear" w:color="auto" w:fill="CFF0FC"/>
          </w:tcPr>
          <w:p>
            <w:pPr>
              <w:ind w:left="340"/>
              <w:spacing w:after="0"/>
              <w:rPr>
                <w:rFonts w:ascii="Arial" w:cs="Arial" w:eastAsia="Arial" w:hAnsi="Arial"/>
                <w:sz w:val="16"/>
                <w:szCs w:val="16"/>
                <w:color w:val="0000FF"/>
              </w:rPr>
            </w:pPr>
            <w:hyperlink r:id="rId462">
              <w:r>
                <w:rPr>
                  <w:rFonts w:ascii="Arial" w:cs="Arial" w:eastAsia="Arial" w:hAnsi="Arial"/>
                  <w:sz w:val="16"/>
                  <w:szCs w:val="16"/>
                  <w:color w:val="0000FF"/>
                </w:rPr>
                <w:t>Black Hills Corporation Post-2018 Nonqualified Deferred Compensation Plan (filed as Exhibit 10.4 to the Registrant's Form 10-K for</w:t>
              </w:r>
            </w:hyperlink>
          </w:p>
        </w:tc>
        <w:tc>
          <w:tcPr>
            <w:tcW w:w="0" w:type="dxa"/>
            <w:vAlign w:val="bottom"/>
          </w:tcPr>
          <w:p>
            <w:pPr>
              <w:spacing w:after="0"/>
              <w:rPr>
                <w:sz w:val="1"/>
                <w:szCs w:val="1"/>
                <w:color w:val="auto"/>
              </w:rPr>
            </w:pPr>
          </w:p>
        </w:tc>
      </w:tr>
      <w:tr>
        <w:trPr>
          <w:trHeight w:val="169"/>
        </w:trPr>
        <w:tc>
          <w:tcPr>
            <w:tcW w:w="1100" w:type="dxa"/>
            <w:vAlign w:val="bottom"/>
            <w:tcBorders>
              <w:top w:val="single" w:sz="8" w:color="CFF0FC"/>
            </w:tcBorders>
            <w:shd w:val="clear" w:color="auto" w:fill="CFF0FC"/>
          </w:tcPr>
          <w:p>
            <w:pPr>
              <w:spacing w:after="0"/>
              <w:rPr>
                <w:sz w:val="14"/>
                <w:szCs w:val="14"/>
                <w:color w:val="auto"/>
              </w:rPr>
            </w:pPr>
          </w:p>
        </w:tc>
        <w:tc>
          <w:tcPr>
            <w:tcW w:w="340" w:type="dxa"/>
            <w:vAlign w:val="bottom"/>
            <w:tcBorders>
              <w:top w:val="single" w:sz="8" w:color="CFF0FC"/>
            </w:tcBorders>
            <w:shd w:val="clear" w:color="auto" w:fill="CFF0FC"/>
          </w:tcPr>
          <w:p>
            <w:pPr>
              <w:spacing w:after="0"/>
              <w:rPr>
                <w:sz w:val="14"/>
                <w:szCs w:val="14"/>
                <w:color w:val="auto"/>
              </w:rPr>
            </w:pPr>
          </w:p>
        </w:tc>
        <w:tc>
          <w:tcPr>
            <w:tcW w:w="580" w:type="dxa"/>
            <w:vAlign w:val="bottom"/>
            <w:tcBorders>
              <w:top w:val="single" w:sz="8" w:color="0000FF"/>
            </w:tcBorders>
            <w:gridSpan w:val="3"/>
            <w:shd w:val="clear" w:color="auto" w:fill="CFF0FC"/>
          </w:tcPr>
          <w:p>
            <w:pPr>
              <w:spacing w:after="0" w:line="169" w:lineRule="exact"/>
              <w:rPr>
                <w:rFonts w:ascii="Arial" w:cs="Arial" w:eastAsia="Arial" w:hAnsi="Arial"/>
                <w:sz w:val="16"/>
                <w:szCs w:val="16"/>
                <w:color w:val="0000FF"/>
              </w:rPr>
            </w:pPr>
            <w:hyperlink r:id="rId462">
              <w:r>
                <w:rPr>
                  <w:rFonts w:ascii="Arial" w:cs="Arial" w:eastAsia="Arial" w:hAnsi="Arial"/>
                  <w:sz w:val="16"/>
                  <w:szCs w:val="16"/>
                  <w:color w:val="0000FF"/>
                </w:rPr>
                <w:t>2022).</w:t>
              </w:r>
            </w:hyperlink>
          </w:p>
        </w:tc>
        <w:tc>
          <w:tcPr>
            <w:tcW w:w="260" w:type="dxa"/>
            <w:vAlign w:val="bottom"/>
            <w:tcBorders>
              <w:top w:val="single" w:sz="8" w:color="0000FF"/>
            </w:tcBorders>
            <w:shd w:val="clear" w:color="auto" w:fill="CFF0FC"/>
          </w:tcPr>
          <w:p>
            <w:pPr>
              <w:spacing w:after="0"/>
              <w:rPr>
                <w:sz w:val="14"/>
                <w:szCs w:val="14"/>
                <w:color w:val="auto"/>
              </w:rPr>
            </w:pPr>
          </w:p>
        </w:tc>
        <w:tc>
          <w:tcPr>
            <w:tcW w:w="2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1280" w:type="dxa"/>
            <w:vAlign w:val="bottom"/>
            <w:tcBorders>
              <w:top w:val="single" w:sz="8" w:color="0000FF"/>
            </w:tcBorders>
            <w:shd w:val="clear" w:color="auto" w:fill="CFF0FC"/>
          </w:tcPr>
          <w:p>
            <w:pPr>
              <w:spacing w:after="0"/>
              <w:rPr>
                <w:sz w:val="14"/>
                <w:szCs w:val="14"/>
                <w:color w:val="auto"/>
              </w:rPr>
            </w:pPr>
          </w:p>
        </w:tc>
        <w:tc>
          <w:tcPr>
            <w:tcW w:w="160" w:type="dxa"/>
            <w:vAlign w:val="bottom"/>
            <w:tcBorders>
              <w:top w:val="single" w:sz="8" w:color="0000FF"/>
            </w:tcBorders>
            <w:shd w:val="clear" w:color="auto" w:fill="CFF0FC"/>
          </w:tcPr>
          <w:p>
            <w:pPr>
              <w:spacing w:after="0"/>
              <w:rPr>
                <w:sz w:val="14"/>
                <w:szCs w:val="14"/>
                <w:color w:val="auto"/>
              </w:rPr>
            </w:pPr>
          </w:p>
        </w:tc>
        <w:tc>
          <w:tcPr>
            <w:tcW w:w="220" w:type="dxa"/>
            <w:vAlign w:val="bottom"/>
            <w:tcBorders>
              <w:top w:val="single" w:sz="8" w:color="0000FF"/>
            </w:tcBorders>
            <w:shd w:val="clear" w:color="auto" w:fill="CFF0FC"/>
          </w:tcPr>
          <w:p>
            <w:pPr>
              <w:spacing w:after="0"/>
              <w:rPr>
                <w:sz w:val="14"/>
                <w:szCs w:val="14"/>
                <w:color w:val="auto"/>
              </w:rPr>
            </w:pPr>
          </w:p>
        </w:tc>
        <w:tc>
          <w:tcPr>
            <w:tcW w:w="320" w:type="dxa"/>
            <w:vAlign w:val="bottom"/>
            <w:tcBorders>
              <w:top w:val="single" w:sz="8" w:color="0000FF"/>
            </w:tcBorders>
            <w:shd w:val="clear" w:color="auto" w:fill="CFF0FC"/>
          </w:tcPr>
          <w:p>
            <w:pPr>
              <w:spacing w:after="0"/>
              <w:rPr>
                <w:sz w:val="14"/>
                <w:szCs w:val="14"/>
                <w:color w:val="auto"/>
              </w:rPr>
            </w:pPr>
          </w:p>
        </w:tc>
        <w:tc>
          <w:tcPr>
            <w:tcW w:w="360" w:type="dxa"/>
            <w:vAlign w:val="bottom"/>
            <w:tcBorders>
              <w:top w:val="single" w:sz="8" w:color="0000FF"/>
            </w:tcBorders>
            <w:shd w:val="clear" w:color="auto" w:fill="CFF0FC"/>
          </w:tcPr>
          <w:p>
            <w:pPr>
              <w:spacing w:after="0"/>
              <w:rPr>
                <w:sz w:val="14"/>
                <w:szCs w:val="14"/>
                <w:color w:val="auto"/>
              </w:rPr>
            </w:pPr>
          </w:p>
        </w:tc>
        <w:tc>
          <w:tcPr>
            <w:tcW w:w="30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1220" w:type="dxa"/>
            <w:vAlign w:val="bottom"/>
            <w:tcBorders>
              <w:top w:val="single" w:sz="8" w:color="0000FF"/>
            </w:tcBorders>
            <w:shd w:val="clear" w:color="auto" w:fill="CFF0FC"/>
          </w:tcPr>
          <w:p>
            <w:pPr>
              <w:spacing w:after="0"/>
              <w:rPr>
                <w:sz w:val="14"/>
                <w:szCs w:val="14"/>
                <w:color w:val="auto"/>
              </w:rPr>
            </w:pPr>
          </w:p>
        </w:tc>
        <w:tc>
          <w:tcPr>
            <w:tcW w:w="100" w:type="dxa"/>
            <w:vAlign w:val="bottom"/>
            <w:tcBorders>
              <w:top w:val="single" w:sz="8" w:color="0000FF"/>
            </w:tcBorders>
            <w:shd w:val="clear" w:color="auto" w:fill="CFF0FC"/>
          </w:tcPr>
          <w:p>
            <w:pPr>
              <w:spacing w:after="0"/>
              <w:rPr>
                <w:sz w:val="14"/>
                <w:szCs w:val="14"/>
                <w:color w:val="auto"/>
              </w:rPr>
            </w:pPr>
          </w:p>
        </w:tc>
        <w:tc>
          <w:tcPr>
            <w:tcW w:w="540" w:type="dxa"/>
            <w:vAlign w:val="bottom"/>
            <w:tcBorders>
              <w:top w:val="single" w:sz="8" w:color="0000FF"/>
            </w:tcBorders>
            <w:shd w:val="clear" w:color="auto" w:fill="CFF0FC"/>
          </w:tcPr>
          <w:p>
            <w:pPr>
              <w:spacing w:after="0"/>
              <w:rPr>
                <w:sz w:val="14"/>
                <w:szCs w:val="14"/>
                <w:color w:val="auto"/>
              </w:rPr>
            </w:pPr>
          </w:p>
        </w:tc>
        <w:tc>
          <w:tcPr>
            <w:tcW w:w="360" w:type="dxa"/>
            <w:vAlign w:val="bottom"/>
            <w:tcBorders>
              <w:top w:val="single" w:sz="8" w:color="0000FF"/>
            </w:tcBorders>
            <w:shd w:val="clear" w:color="auto" w:fill="CFF0FC"/>
          </w:tcPr>
          <w:p>
            <w:pPr>
              <w:spacing w:after="0"/>
              <w:rPr>
                <w:sz w:val="14"/>
                <w:szCs w:val="14"/>
                <w:color w:val="auto"/>
              </w:rPr>
            </w:pPr>
          </w:p>
        </w:tc>
        <w:tc>
          <w:tcPr>
            <w:tcW w:w="1320" w:type="dxa"/>
            <w:vAlign w:val="bottom"/>
            <w:tcBorders>
              <w:top w:val="single" w:sz="8" w:color="0000FF"/>
            </w:tcBorders>
            <w:shd w:val="clear" w:color="auto" w:fill="CFF0FC"/>
          </w:tcPr>
          <w:p>
            <w:pPr>
              <w:spacing w:after="0"/>
              <w:rPr>
                <w:sz w:val="14"/>
                <w:szCs w:val="14"/>
                <w:color w:val="auto"/>
              </w:rPr>
            </w:pPr>
          </w:p>
        </w:tc>
        <w:tc>
          <w:tcPr>
            <w:tcW w:w="1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60" w:type="dxa"/>
            <w:vAlign w:val="bottom"/>
            <w:tcBorders>
              <w:top w:val="single" w:sz="8" w:color="0000FF"/>
            </w:tcBorders>
            <w:shd w:val="clear" w:color="auto" w:fill="CFF0FC"/>
          </w:tcPr>
          <w:p>
            <w:pPr>
              <w:spacing w:after="0"/>
              <w:rPr>
                <w:sz w:val="14"/>
                <w:szCs w:val="14"/>
                <w:color w:val="auto"/>
              </w:rPr>
            </w:pPr>
          </w:p>
        </w:tc>
        <w:tc>
          <w:tcPr>
            <w:tcW w:w="280" w:type="dxa"/>
            <w:vAlign w:val="bottom"/>
            <w:tcBorders>
              <w:top w:val="single" w:sz="8" w:color="0000FF"/>
            </w:tcBorders>
            <w:shd w:val="clear" w:color="auto" w:fill="CFF0FC"/>
          </w:tcPr>
          <w:p>
            <w:pPr>
              <w:spacing w:after="0"/>
              <w:rPr>
                <w:sz w:val="14"/>
                <w:szCs w:val="14"/>
                <w:color w:val="auto"/>
              </w:rPr>
            </w:pPr>
          </w:p>
        </w:tc>
        <w:tc>
          <w:tcPr>
            <w:tcW w:w="100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6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0000FF"/>
            </w:tcBorders>
            <w:shd w:val="clear" w:color="auto" w:fill="CFF0FC"/>
          </w:tcPr>
          <w:p>
            <w:pPr>
              <w:spacing w:after="0"/>
              <w:rPr>
                <w:sz w:val="14"/>
                <w:szCs w:val="14"/>
                <w:color w:val="auto"/>
              </w:rPr>
            </w:pPr>
          </w:p>
        </w:tc>
        <w:tc>
          <w:tcPr>
            <w:tcW w:w="40" w:type="dxa"/>
            <w:vAlign w:val="bottom"/>
            <w:tcBorders>
              <w:top w:val="single" w:sz="8" w:color="0000FF"/>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right w:val="single" w:sz="8" w:color="CFF0FC"/>
            </w:tcBorders>
            <w:shd w:val="clear" w:color="auto" w:fill="CFF0FC"/>
          </w:tcPr>
          <w:p>
            <w:pPr>
              <w:spacing w:after="0"/>
              <w:rPr>
                <w:sz w:val="14"/>
                <w:szCs w:val="14"/>
                <w:color w:val="auto"/>
              </w:rPr>
            </w:pPr>
          </w:p>
        </w:tc>
        <w:tc>
          <w:tcPr>
            <w:tcW w:w="6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1280" w:type="dxa"/>
            <w:vAlign w:val="bottom"/>
            <w:tcBorders>
              <w:top w:val="single" w:sz="8" w:color="CFF0FC"/>
            </w:tcBorders>
            <w:shd w:val="clear" w:color="auto" w:fill="CFF0FC"/>
          </w:tcPr>
          <w:p>
            <w:pPr>
              <w:spacing w:after="0"/>
              <w:rPr>
                <w:sz w:val="4"/>
                <w:szCs w:val="4"/>
                <w:color w:val="auto"/>
              </w:rPr>
            </w:pPr>
          </w:p>
        </w:tc>
        <w:tc>
          <w:tcPr>
            <w:tcW w:w="16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32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20" w:type="dxa"/>
            <w:vAlign w:val="bottom"/>
            <w:tcBorders>
              <w:top w:val="single" w:sz="8" w:color="CFF0FC"/>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540" w:type="dxa"/>
            <w:vAlign w:val="bottom"/>
            <w:tcBorders>
              <w:top w:val="single" w:sz="8" w:color="CFF0FC"/>
            </w:tcBorders>
            <w:shd w:val="clear" w:color="auto" w:fill="CFF0FC"/>
          </w:tcPr>
          <w:p>
            <w:pPr>
              <w:spacing w:after="0"/>
              <w:rPr>
                <w:sz w:val="4"/>
                <w:szCs w:val="4"/>
                <w:color w:val="auto"/>
              </w:rPr>
            </w:pPr>
          </w:p>
        </w:tc>
        <w:tc>
          <w:tcPr>
            <w:tcW w:w="360" w:type="dxa"/>
            <w:vAlign w:val="bottom"/>
            <w:tcBorders>
              <w:top w:val="single" w:sz="8" w:color="CFF0FC"/>
            </w:tcBorders>
            <w:shd w:val="clear" w:color="auto" w:fill="CFF0FC"/>
          </w:tcPr>
          <w:p>
            <w:pPr>
              <w:spacing w:after="0"/>
              <w:rPr>
                <w:sz w:val="4"/>
                <w:szCs w:val="4"/>
                <w:color w:val="auto"/>
              </w:rPr>
            </w:pPr>
          </w:p>
        </w:tc>
        <w:tc>
          <w:tcPr>
            <w:tcW w:w="132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120"/>
              <w:spacing w:after="0"/>
              <w:rPr>
                <w:sz w:val="20"/>
                <w:szCs w:val="20"/>
                <w:color w:val="auto"/>
              </w:rPr>
            </w:pPr>
            <w:r>
              <w:rPr>
                <w:rFonts w:ascii="Arial" w:cs="Arial" w:eastAsia="Arial" w:hAnsi="Arial"/>
                <w:sz w:val="16"/>
                <w:szCs w:val="16"/>
                <w:color w:val="auto"/>
              </w:rPr>
              <w:t>10.5†</w:t>
            </w:r>
          </w:p>
        </w:tc>
        <w:tc>
          <w:tcPr>
            <w:tcW w:w="340" w:type="dxa"/>
            <w:vAlign w:val="bottom"/>
          </w:tcPr>
          <w:p>
            <w:pPr>
              <w:spacing w:after="0"/>
              <w:rPr>
                <w:sz w:val="19"/>
                <w:szCs w:val="19"/>
                <w:color w:val="auto"/>
              </w:rPr>
            </w:pPr>
          </w:p>
        </w:tc>
        <w:tc>
          <w:tcPr>
            <w:tcW w:w="9800" w:type="dxa"/>
            <w:vAlign w:val="bottom"/>
            <w:gridSpan w:val="41"/>
          </w:tcPr>
          <w:p>
            <w:pPr>
              <w:spacing w:after="0"/>
              <w:rPr>
                <w:rFonts w:ascii="Arial" w:cs="Arial" w:eastAsia="Arial" w:hAnsi="Arial"/>
                <w:sz w:val="16"/>
                <w:szCs w:val="16"/>
                <w:color w:val="0000FF"/>
              </w:rPr>
            </w:pPr>
            <w:hyperlink r:id="rId463">
              <w:r>
                <w:rPr>
                  <w:rFonts w:ascii="Arial" w:cs="Arial" w:eastAsia="Arial" w:hAnsi="Arial"/>
                  <w:sz w:val="16"/>
                  <w:szCs w:val="16"/>
                  <w:color w:val="0000FF"/>
                </w:rPr>
                <w:t>Black Hills Corporation 2005 Omnibus Incentive Plan (”Omnibus Plan”) (filed as Appendix A to the Registrant’s Proxy Statement filed</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54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463">
              <w:r>
                <w:rPr>
                  <w:rFonts w:ascii="Arial" w:cs="Arial" w:eastAsia="Arial" w:hAnsi="Arial"/>
                  <w:sz w:val="16"/>
                  <w:szCs w:val="16"/>
                  <w:color w:val="0000FF"/>
                </w:rPr>
                <w:t>April 13, 2005).</w:t>
              </w:r>
            </w:hyperlink>
          </w:p>
        </w:tc>
        <w:tc>
          <w:tcPr>
            <w:tcW w:w="2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10.5-1†</w:t>
            </w:r>
          </w:p>
        </w:tc>
        <w:tc>
          <w:tcPr>
            <w:tcW w:w="340" w:type="dxa"/>
            <w:vAlign w:val="bottom"/>
            <w:shd w:val="clear" w:color="auto" w:fill="CFF0FC"/>
          </w:tcPr>
          <w:p>
            <w:pPr>
              <w:spacing w:after="0"/>
              <w:rPr>
                <w:sz w:val="19"/>
                <w:szCs w:val="19"/>
                <w:color w:val="auto"/>
              </w:rPr>
            </w:pPr>
          </w:p>
        </w:tc>
        <w:tc>
          <w:tcPr>
            <w:tcW w:w="9800" w:type="dxa"/>
            <w:vAlign w:val="bottom"/>
            <w:gridSpan w:val="41"/>
            <w:shd w:val="clear" w:color="auto" w:fill="CFF0FC"/>
          </w:tcPr>
          <w:p>
            <w:pPr>
              <w:ind w:left="120"/>
              <w:spacing w:after="0"/>
              <w:rPr>
                <w:rFonts w:ascii="Arial" w:cs="Arial" w:eastAsia="Arial" w:hAnsi="Arial"/>
                <w:sz w:val="16"/>
                <w:szCs w:val="16"/>
                <w:color w:val="0000FF"/>
              </w:rPr>
            </w:pPr>
            <w:hyperlink r:id="rId464">
              <w:r>
                <w:rPr>
                  <w:rFonts w:ascii="Arial" w:cs="Arial" w:eastAsia="Arial" w:hAnsi="Arial"/>
                  <w:sz w:val="16"/>
                  <w:szCs w:val="16"/>
                  <w:color w:val="0000FF"/>
                </w:rPr>
                <w:t>First Amendment to the Omnibus Plan (filed as Exhibit 10.11 to the Registrant’s Form 10-K for 2008).</w:t>
              </w:r>
            </w:hyperlink>
          </w:p>
        </w:tc>
        <w:tc>
          <w:tcPr>
            <w:tcW w:w="0" w:type="dxa"/>
            <w:vAlign w:val="bottom"/>
          </w:tcPr>
          <w:p>
            <w:pPr>
              <w:spacing w:after="0"/>
              <w:rPr>
                <w:sz w:val="1"/>
                <w:szCs w:val="1"/>
                <w:color w:val="auto"/>
              </w:rPr>
            </w:pPr>
          </w:p>
        </w:tc>
      </w:tr>
      <w:tr>
        <w:trPr>
          <w:trHeight w:val="48"/>
        </w:trPr>
        <w:tc>
          <w:tcPr>
            <w:tcW w:w="110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60" w:type="dxa"/>
            <w:vAlign w:val="bottom"/>
            <w:tcBorders>
              <w:top w:val="single" w:sz="8" w:color="0000FF"/>
            </w:tcBorders>
            <w:shd w:val="clear" w:color="auto" w:fill="CFF0FC"/>
          </w:tcPr>
          <w:p>
            <w:pPr>
              <w:spacing w:after="0"/>
              <w:rPr>
                <w:sz w:val="4"/>
                <w:szCs w:val="4"/>
                <w:color w:val="auto"/>
              </w:rPr>
            </w:pPr>
          </w:p>
        </w:tc>
        <w:tc>
          <w:tcPr>
            <w:tcW w:w="20" w:type="dxa"/>
            <w:vAlign w:val="bottom"/>
            <w:tcBorders>
              <w:top w:val="single" w:sz="8" w:color="0000FF"/>
            </w:tcBorders>
            <w:shd w:val="clear" w:color="auto" w:fill="CFF0FC"/>
          </w:tcPr>
          <w:p>
            <w:pPr>
              <w:spacing w:after="0"/>
              <w:rPr>
                <w:sz w:val="4"/>
                <w:szCs w:val="4"/>
                <w:color w:val="auto"/>
              </w:rPr>
            </w:pPr>
          </w:p>
        </w:tc>
        <w:tc>
          <w:tcPr>
            <w:tcW w:w="1280" w:type="dxa"/>
            <w:vAlign w:val="bottom"/>
            <w:tcBorders>
              <w:top w:val="single" w:sz="8" w:color="0000FF"/>
            </w:tcBorders>
            <w:shd w:val="clear" w:color="auto" w:fill="CFF0FC"/>
          </w:tcPr>
          <w:p>
            <w:pPr>
              <w:spacing w:after="0"/>
              <w:rPr>
                <w:sz w:val="4"/>
                <w:szCs w:val="4"/>
                <w:color w:val="auto"/>
              </w:rPr>
            </w:pPr>
          </w:p>
        </w:tc>
        <w:tc>
          <w:tcPr>
            <w:tcW w:w="16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2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300" w:type="dxa"/>
            <w:vAlign w:val="bottom"/>
            <w:tcBorders>
              <w:top w:val="single" w:sz="8" w:color="0000FF"/>
            </w:tcBorders>
            <w:shd w:val="clear" w:color="auto" w:fill="CFF0FC"/>
          </w:tcPr>
          <w:p>
            <w:pPr>
              <w:spacing w:after="0"/>
              <w:rPr>
                <w:sz w:val="4"/>
                <w:szCs w:val="4"/>
                <w:color w:val="auto"/>
              </w:rPr>
            </w:pPr>
          </w:p>
        </w:tc>
        <w:tc>
          <w:tcPr>
            <w:tcW w:w="40" w:type="dxa"/>
            <w:vAlign w:val="bottom"/>
            <w:tcBorders>
              <w:top w:val="single" w:sz="8" w:color="0000FF"/>
            </w:tcBorders>
            <w:shd w:val="clear" w:color="auto" w:fill="CFF0FC"/>
          </w:tcPr>
          <w:p>
            <w:pPr>
              <w:spacing w:after="0"/>
              <w:rPr>
                <w:sz w:val="4"/>
                <w:szCs w:val="4"/>
                <w:color w:val="auto"/>
              </w:rPr>
            </w:pPr>
          </w:p>
        </w:tc>
        <w:tc>
          <w:tcPr>
            <w:tcW w:w="122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0000FF"/>
            </w:tcBorders>
            <w:shd w:val="clear" w:color="auto" w:fill="CFF0FC"/>
          </w:tcPr>
          <w:p>
            <w:pPr>
              <w:spacing w:after="0"/>
              <w:rPr>
                <w:sz w:val="4"/>
                <w:szCs w:val="4"/>
                <w:color w:val="auto"/>
              </w:rPr>
            </w:pPr>
          </w:p>
        </w:tc>
        <w:tc>
          <w:tcPr>
            <w:tcW w:w="540" w:type="dxa"/>
            <w:vAlign w:val="bottom"/>
            <w:tcBorders>
              <w:top w:val="single" w:sz="8" w:color="0000FF"/>
            </w:tcBorders>
            <w:shd w:val="clear" w:color="auto" w:fill="CFF0FC"/>
          </w:tcPr>
          <w:p>
            <w:pPr>
              <w:spacing w:after="0"/>
              <w:rPr>
                <w:sz w:val="4"/>
                <w:szCs w:val="4"/>
                <w:color w:val="auto"/>
              </w:rPr>
            </w:pPr>
          </w:p>
        </w:tc>
        <w:tc>
          <w:tcPr>
            <w:tcW w:w="360" w:type="dxa"/>
            <w:vAlign w:val="bottom"/>
            <w:tcBorders>
              <w:top w:val="single" w:sz="8" w:color="0000FF"/>
            </w:tcBorders>
            <w:shd w:val="clear" w:color="auto" w:fill="CFF0FC"/>
          </w:tcPr>
          <w:p>
            <w:pPr>
              <w:spacing w:after="0"/>
              <w:rPr>
                <w:sz w:val="4"/>
                <w:szCs w:val="4"/>
                <w:color w:val="auto"/>
              </w:rPr>
            </w:pPr>
          </w:p>
        </w:tc>
        <w:tc>
          <w:tcPr>
            <w:tcW w:w="132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280" w:type="dxa"/>
            <w:vAlign w:val="bottom"/>
            <w:tcBorders>
              <w:top w:val="single" w:sz="8" w:color="CFF0FC"/>
            </w:tcBorders>
            <w:shd w:val="clear" w:color="auto" w:fill="CFF0FC"/>
          </w:tcPr>
          <w:p>
            <w:pPr>
              <w:spacing w:after="0"/>
              <w:rPr>
                <w:sz w:val="4"/>
                <w:szCs w:val="4"/>
                <w:color w:val="auto"/>
              </w:rPr>
            </w:pPr>
          </w:p>
        </w:tc>
        <w:tc>
          <w:tcPr>
            <w:tcW w:w="100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right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1100" w:type="dxa"/>
            <w:vAlign w:val="bottom"/>
          </w:tcPr>
          <w:p>
            <w:pPr>
              <w:ind w:left="220"/>
              <w:spacing w:after="0"/>
              <w:rPr>
                <w:sz w:val="20"/>
                <w:szCs w:val="20"/>
                <w:color w:val="auto"/>
              </w:rPr>
            </w:pPr>
            <w:r>
              <w:rPr>
                <w:rFonts w:ascii="Arial" w:cs="Arial" w:eastAsia="Arial" w:hAnsi="Arial"/>
                <w:sz w:val="16"/>
                <w:szCs w:val="16"/>
                <w:color w:val="auto"/>
              </w:rPr>
              <w:t>10.5-2†</w:t>
            </w:r>
          </w:p>
        </w:tc>
        <w:tc>
          <w:tcPr>
            <w:tcW w:w="340" w:type="dxa"/>
            <w:vAlign w:val="bottom"/>
          </w:tcPr>
          <w:p>
            <w:pPr>
              <w:spacing w:after="0"/>
              <w:rPr>
                <w:sz w:val="19"/>
                <w:szCs w:val="19"/>
                <w:color w:val="auto"/>
              </w:rPr>
            </w:pPr>
          </w:p>
        </w:tc>
        <w:tc>
          <w:tcPr>
            <w:tcW w:w="9800" w:type="dxa"/>
            <w:vAlign w:val="bottom"/>
            <w:gridSpan w:val="41"/>
          </w:tcPr>
          <w:p>
            <w:pPr>
              <w:ind w:left="120"/>
              <w:spacing w:after="0"/>
              <w:rPr>
                <w:rFonts w:ascii="Arial" w:cs="Arial" w:eastAsia="Arial" w:hAnsi="Arial"/>
                <w:sz w:val="16"/>
                <w:szCs w:val="16"/>
                <w:color w:val="0000FF"/>
              </w:rPr>
            </w:pPr>
            <w:hyperlink r:id="rId465">
              <w:r>
                <w:rPr>
                  <w:rFonts w:ascii="Arial" w:cs="Arial" w:eastAsia="Arial" w:hAnsi="Arial"/>
                  <w:sz w:val="16"/>
                  <w:szCs w:val="16"/>
                  <w:color w:val="0000FF"/>
                </w:rPr>
                <w:t>Second Amendment to the Omnibus Plan (filed as Exhibit 10 to the Registrant’s Form 8-K filed on May 26, 2010).</w:t>
              </w:r>
            </w:hyperlink>
          </w:p>
        </w:tc>
        <w:tc>
          <w:tcPr>
            <w:tcW w:w="0" w:type="dxa"/>
            <w:vAlign w:val="bottom"/>
          </w:tcPr>
          <w:p>
            <w:pPr>
              <w:spacing w:after="0"/>
              <w:rPr>
                <w:sz w:val="1"/>
                <w:szCs w:val="1"/>
                <w:color w:val="auto"/>
              </w:rPr>
            </w:pPr>
          </w:p>
        </w:tc>
      </w:tr>
      <w:tr>
        <w:trPr>
          <w:trHeight w:val="48"/>
        </w:trPr>
        <w:tc>
          <w:tcPr>
            <w:tcW w:w="1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132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10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11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10.6†</w:t>
            </w:r>
          </w:p>
        </w:tc>
        <w:tc>
          <w:tcPr>
            <w:tcW w:w="10140" w:type="dxa"/>
            <w:vAlign w:val="bottom"/>
            <w:gridSpan w:val="42"/>
            <w:shd w:val="clear" w:color="auto" w:fill="CFF0FC"/>
          </w:tcPr>
          <w:p>
            <w:pPr>
              <w:ind w:left="340"/>
              <w:spacing w:after="0"/>
              <w:rPr>
                <w:rFonts w:ascii="Arial" w:cs="Arial" w:eastAsia="Arial" w:hAnsi="Arial"/>
                <w:sz w:val="16"/>
                <w:szCs w:val="16"/>
                <w:color w:val="0000FF"/>
              </w:rPr>
            </w:pPr>
            <w:hyperlink r:id="rId466">
              <w:r>
                <w:rPr>
                  <w:rFonts w:ascii="Arial" w:cs="Arial" w:eastAsia="Arial" w:hAnsi="Arial"/>
                  <w:sz w:val="16"/>
                  <w:szCs w:val="16"/>
                  <w:color w:val="0000FF"/>
                </w:rPr>
                <w:t>Black Hills Corporation Amended and Restated 2015 Omnibus Incentive Plan effective January 24, 2023 (filed as Exhibit 10.6 to the</w:t>
              </w:r>
            </w:hyperlink>
          </w:p>
        </w:tc>
        <w:tc>
          <w:tcPr>
            <w:tcW w:w="0" w:type="dxa"/>
            <w:vAlign w:val="bottom"/>
          </w:tcPr>
          <w:p>
            <w:pPr>
              <w:spacing w:after="0"/>
              <w:rPr>
                <w:sz w:val="1"/>
                <w:szCs w:val="1"/>
                <w:color w:val="auto"/>
              </w:rPr>
            </w:pPr>
          </w:p>
        </w:tc>
      </w:tr>
      <w:tr>
        <w:trPr>
          <w:trHeight w:val="216"/>
        </w:trPr>
        <w:tc>
          <w:tcPr>
            <w:tcW w:w="1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CFF0FC"/>
            </w:tcBorders>
            <w:shd w:val="clear" w:color="auto" w:fill="CFF0FC"/>
          </w:tcPr>
          <w:p>
            <w:pPr>
              <w:spacing w:after="0"/>
              <w:rPr>
                <w:sz w:val="18"/>
                <w:szCs w:val="18"/>
                <w:color w:val="auto"/>
              </w:rPr>
            </w:pPr>
          </w:p>
        </w:tc>
        <w:tc>
          <w:tcPr>
            <w:tcW w:w="9540" w:type="dxa"/>
            <w:vAlign w:val="bottom"/>
            <w:tcBorders>
              <w:top w:val="single" w:sz="8" w:color="0000FF"/>
              <w:right w:val="single" w:sz="8" w:color="CFF0FC"/>
            </w:tcBorders>
            <w:gridSpan w:val="31"/>
            <w:shd w:val="clear" w:color="auto" w:fill="CFF0FC"/>
          </w:tcPr>
          <w:p>
            <w:pPr>
              <w:spacing w:after="0" w:line="169" w:lineRule="exact"/>
              <w:rPr>
                <w:rFonts w:ascii="Arial" w:cs="Arial" w:eastAsia="Arial" w:hAnsi="Arial"/>
                <w:sz w:val="16"/>
                <w:szCs w:val="16"/>
                <w:color w:val="0000FF"/>
              </w:rPr>
            </w:pPr>
            <w:hyperlink r:id="rId466">
              <w:r>
                <w:rPr>
                  <w:rFonts w:ascii="Arial" w:cs="Arial" w:eastAsia="Arial" w:hAnsi="Arial"/>
                  <w:sz w:val="16"/>
                  <w:szCs w:val="16"/>
                  <w:color w:val="0000FF"/>
                </w:rPr>
                <w:t>Registrant's Form 10-K for 2022).</w:t>
              </w:r>
            </w:hyperlink>
          </w:p>
        </w:tc>
        <w:tc>
          <w:tcPr>
            <w:tcW w:w="260" w:type="dxa"/>
            <w:vAlign w:val="bottom"/>
            <w:tcBorders>
              <w:top w:val="single" w:sz="8" w:color="CFF0FC"/>
            </w:tcBorders>
            <w:gridSpan w:val="10"/>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0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2400" w:type="dxa"/>
            <w:vAlign w:val="bottom"/>
            <w:tcBorders>
              <w:top w:val="single" w:sz="8" w:color="0000FF"/>
            </w:tcBorders>
            <w:gridSpan w:val="7"/>
          </w:tcPr>
          <w:p>
            <w:pPr>
              <w:spacing w:after="0"/>
              <w:rPr>
                <w:sz w:val="18"/>
                <w:szCs w:val="18"/>
                <w:color w:val="auto"/>
              </w:rPr>
            </w:pPr>
          </w:p>
        </w:tc>
        <w:tc>
          <w:tcPr>
            <w:tcW w:w="2620" w:type="dxa"/>
            <w:vAlign w:val="bottom"/>
            <w:tcBorders>
              <w:top w:val="single" w:sz="8" w:color="CFF0FC"/>
            </w:tcBorders>
            <w:gridSpan w:val="7"/>
          </w:tcPr>
          <w:p>
            <w:pPr>
              <w:jc w:val="right"/>
              <w:ind w:right="700"/>
              <w:spacing w:after="0"/>
              <w:rPr>
                <w:sz w:val="20"/>
                <w:szCs w:val="20"/>
                <w:color w:val="auto"/>
              </w:rPr>
            </w:pPr>
            <w:r>
              <w:rPr>
                <w:rFonts w:ascii="Arial" w:cs="Arial" w:eastAsia="Arial" w:hAnsi="Arial"/>
                <w:sz w:val="16"/>
                <w:szCs w:val="16"/>
                <w:color w:val="auto"/>
              </w:rPr>
              <w:t>105</w:t>
            </w:r>
          </w:p>
        </w:tc>
        <w:tc>
          <w:tcPr>
            <w:tcW w:w="100" w:type="dxa"/>
            <w:vAlign w:val="bottom"/>
            <w:tcBorders>
              <w:top w:val="single" w:sz="8" w:color="CFF0FC"/>
            </w:tcBorders>
          </w:tcPr>
          <w:p>
            <w:pPr>
              <w:spacing w:after="0"/>
              <w:rPr>
                <w:sz w:val="18"/>
                <w:szCs w:val="18"/>
                <w:color w:val="auto"/>
              </w:rPr>
            </w:pPr>
          </w:p>
        </w:tc>
        <w:tc>
          <w:tcPr>
            <w:tcW w:w="540" w:type="dxa"/>
            <w:vAlign w:val="bottom"/>
            <w:tcBorders>
              <w:top w:val="single" w:sz="8" w:color="CFF0FC"/>
            </w:tcBorders>
          </w:tcPr>
          <w:p>
            <w:pPr>
              <w:spacing w:after="0"/>
              <w:rPr>
                <w:sz w:val="18"/>
                <w:szCs w:val="18"/>
                <w:color w:val="auto"/>
              </w:rPr>
            </w:pPr>
          </w:p>
        </w:tc>
        <w:tc>
          <w:tcPr>
            <w:tcW w:w="360" w:type="dxa"/>
            <w:vAlign w:val="bottom"/>
            <w:tcBorders>
              <w:top w:val="single" w:sz="8" w:color="CFF0FC"/>
            </w:tcBorders>
          </w:tcPr>
          <w:p>
            <w:pPr>
              <w:spacing w:after="0"/>
              <w:rPr>
                <w:sz w:val="18"/>
                <w:szCs w:val="18"/>
                <w:color w:val="auto"/>
              </w:rPr>
            </w:pPr>
          </w:p>
        </w:tc>
        <w:tc>
          <w:tcPr>
            <w:tcW w:w="13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60" w:type="dxa"/>
            <w:vAlign w:val="bottom"/>
            <w:tcBorders>
              <w:top w:val="single" w:sz="8" w:color="CFF0FC"/>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00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4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737"/>
        </w:trPr>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84"/>
        </w:trPr>
        <w:tc>
          <w:tcPr>
            <w:tcW w:w="1400" w:type="dxa"/>
            <w:vAlign w:val="bottom"/>
            <w:gridSpan w:val="2"/>
          </w:tcPr>
          <w:p>
            <w:pPr>
              <w:spacing w:after="0"/>
              <w:rPr>
                <w:sz w:val="20"/>
                <w:szCs w:val="20"/>
                <w:color w:val="auto"/>
              </w:rPr>
            </w:pPr>
            <w:r>
              <w:rPr>
                <w:rFonts w:ascii="Arial" w:cs="Arial" w:eastAsia="Arial" w:hAnsi="Arial"/>
                <w:sz w:val="16"/>
                <w:szCs w:val="16"/>
                <w:b w:val="1"/>
                <w:bCs w:val="1"/>
                <w:color w:val="0000FF"/>
              </w:rPr>
              <w:t>Table of Contents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53"/>
        </w:trPr>
        <w:tc>
          <w:tcPr>
            <w:tcW w:w="1360" w:type="dxa"/>
            <w:vAlign w:val="bottom"/>
            <w:tcBorders>
              <w:top w:val="single" w:sz="8" w:color="0000FF"/>
            </w:tcBorders>
          </w:tcPr>
          <w:p>
            <w:pPr>
              <w:ind w:left="120"/>
              <w:spacing w:after="0"/>
              <w:rPr>
                <w:sz w:val="20"/>
                <w:szCs w:val="20"/>
                <w:color w:val="auto"/>
              </w:rPr>
            </w:pPr>
            <w:r>
              <w:rPr>
                <w:rFonts w:ascii="Arial" w:cs="Arial" w:eastAsia="Arial" w:hAnsi="Arial"/>
                <w:sz w:val="16"/>
                <w:szCs w:val="16"/>
                <w:color w:val="auto"/>
              </w:rPr>
              <w:t>10.7†</w:t>
            </w:r>
          </w:p>
        </w:tc>
        <w:tc>
          <w:tcPr>
            <w:tcW w:w="40" w:type="dxa"/>
            <w:vAlign w:val="bottom"/>
          </w:tcPr>
          <w:p>
            <w:pPr>
              <w:spacing w:after="0"/>
              <w:rPr>
                <w:sz w:val="24"/>
                <w:szCs w:val="24"/>
                <w:color w:val="auto"/>
              </w:rPr>
            </w:pPr>
          </w:p>
        </w:tc>
        <w:tc>
          <w:tcPr>
            <w:tcW w:w="9840" w:type="dxa"/>
            <w:vAlign w:val="bottom"/>
            <w:gridSpan w:val="33"/>
          </w:tcPr>
          <w:p>
            <w:pPr>
              <w:ind w:left="40"/>
              <w:spacing w:after="0"/>
              <w:rPr>
                <w:rFonts w:ascii="Arial" w:cs="Arial" w:eastAsia="Arial" w:hAnsi="Arial"/>
                <w:sz w:val="16"/>
                <w:szCs w:val="16"/>
                <w:color w:val="0000FF"/>
              </w:rPr>
            </w:pPr>
            <w:hyperlink r:id="rId469">
              <w:r>
                <w:rPr>
                  <w:rFonts w:ascii="Arial" w:cs="Arial" w:eastAsia="Arial" w:hAnsi="Arial"/>
                  <w:sz w:val="16"/>
                  <w:szCs w:val="16"/>
                  <w:color w:val="0000FF"/>
                </w:rPr>
                <w:t>Form of Stock Option Agreement for Omnibus Plan effective for awards granted on or after January 1, 2014 (filed as Exhibit 10.7 to the</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72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469">
              <w:r>
                <w:rPr>
                  <w:rFonts w:ascii="Arial" w:cs="Arial" w:eastAsia="Arial" w:hAnsi="Arial"/>
                  <w:sz w:val="16"/>
                  <w:szCs w:val="16"/>
                  <w:color w:val="0000FF"/>
                </w:rPr>
                <w:t>Registrant’s Form 10-K for 2013).</w:t>
              </w:r>
            </w:hyperlink>
          </w:p>
        </w:tc>
        <w:tc>
          <w:tcPr>
            <w:tcW w:w="80" w:type="dxa"/>
            <w:vAlign w:val="bottom"/>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10.8†</w:t>
            </w:r>
          </w:p>
        </w:tc>
        <w:tc>
          <w:tcPr>
            <w:tcW w:w="9840" w:type="dxa"/>
            <w:vAlign w:val="bottom"/>
            <w:gridSpan w:val="33"/>
            <w:shd w:val="clear" w:color="auto" w:fill="CFF0FC"/>
          </w:tcPr>
          <w:p>
            <w:pPr>
              <w:ind w:left="40"/>
              <w:spacing w:after="0"/>
              <w:rPr>
                <w:rFonts w:ascii="Arial" w:cs="Arial" w:eastAsia="Arial" w:hAnsi="Arial"/>
                <w:sz w:val="16"/>
                <w:szCs w:val="16"/>
                <w:color w:val="0000FF"/>
              </w:rPr>
            </w:pPr>
            <w:hyperlink r:id="rId470">
              <w:r>
                <w:rPr>
                  <w:rFonts w:ascii="Arial" w:cs="Arial" w:eastAsia="Arial" w:hAnsi="Arial"/>
                  <w:sz w:val="16"/>
                  <w:szCs w:val="16"/>
                  <w:color w:val="0000FF"/>
                </w:rPr>
                <w:t>Form of Stock Option Agreement effective for awards granted on or after April 28, 2015 (filed as Exhibit 10.8 to Registrant’s Form 10-K</w:t>
              </w:r>
            </w:hyperlink>
          </w:p>
        </w:tc>
      </w:tr>
      <w:tr>
        <w:trPr>
          <w:trHeight w:val="169"/>
        </w:trPr>
        <w:tc>
          <w:tcPr>
            <w:tcW w:w="13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9680" w:type="dxa"/>
            <w:vAlign w:val="bottom"/>
            <w:tcBorders>
              <w:top w:val="single" w:sz="8" w:color="0000FF"/>
            </w:tcBorders>
            <w:gridSpan w:val="29"/>
            <w:shd w:val="clear" w:color="auto" w:fill="CFF0FC"/>
          </w:tcPr>
          <w:p>
            <w:pPr>
              <w:spacing w:after="0" w:line="169" w:lineRule="exact"/>
              <w:rPr>
                <w:rFonts w:ascii="Arial" w:cs="Arial" w:eastAsia="Arial" w:hAnsi="Arial"/>
                <w:sz w:val="16"/>
                <w:szCs w:val="16"/>
                <w:color w:val="0000FF"/>
              </w:rPr>
            </w:pPr>
            <w:hyperlink r:id="rId470">
              <w:r>
                <w:rPr>
                  <w:rFonts w:ascii="Arial" w:cs="Arial" w:eastAsia="Arial" w:hAnsi="Arial"/>
                  <w:sz w:val="16"/>
                  <w:szCs w:val="16"/>
                  <w:color w:val="0000FF"/>
                </w:rPr>
                <w:t>for 2015).</w:t>
              </w:r>
            </w:hyperlink>
          </w:p>
        </w:tc>
        <w:tc>
          <w:tcPr>
            <w:tcW w:w="2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gridSpan w:val="2"/>
            <w:shd w:val="clear" w:color="auto" w:fill="CFF0FC"/>
          </w:tcPr>
          <w:p>
            <w:pPr>
              <w:spacing w:after="0"/>
              <w:rPr>
                <w:sz w:val="14"/>
                <w:szCs w:val="14"/>
                <w:color w:val="auto"/>
              </w:rPr>
            </w:pPr>
          </w:p>
        </w:tc>
      </w:tr>
      <w:tr>
        <w:trPr>
          <w:trHeight w:val="48"/>
        </w:trPr>
        <w:tc>
          <w:tcPr>
            <w:tcW w:w="13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170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CFF0FC"/>
            </w:tcBorders>
            <w:shd w:val="clear" w:color="auto" w:fill="CFF0FC"/>
          </w:tcPr>
          <w:p>
            <w:pPr>
              <w:spacing w:after="0"/>
              <w:rPr>
                <w:sz w:val="4"/>
                <w:szCs w:val="4"/>
                <w:color w:val="auto"/>
              </w:rPr>
            </w:pPr>
          </w:p>
        </w:tc>
        <w:tc>
          <w:tcPr>
            <w:tcW w:w="640" w:type="dxa"/>
            <w:vAlign w:val="bottom"/>
            <w:tcBorders>
              <w:top w:val="single" w:sz="8" w:color="CFF0FC"/>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3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160" w:type="dxa"/>
            <w:vAlign w:val="bottom"/>
            <w:tcBorders>
              <w:top w:val="single" w:sz="8" w:color="CFF0FC"/>
            </w:tcBorders>
            <w:shd w:val="clear" w:color="auto" w:fill="CFF0FC"/>
          </w:tcPr>
          <w:p>
            <w:pPr>
              <w:spacing w:after="0"/>
              <w:rPr>
                <w:sz w:val="4"/>
                <w:szCs w:val="4"/>
                <w:color w:val="auto"/>
              </w:rPr>
            </w:pPr>
          </w:p>
        </w:tc>
        <w:tc>
          <w:tcPr>
            <w:tcW w:w="12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r>
      <w:tr>
        <w:trPr>
          <w:trHeight w:val="230"/>
        </w:trPr>
        <w:tc>
          <w:tcPr>
            <w:tcW w:w="1400" w:type="dxa"/>
            <w:vAlign w:val="bottom"/>
            <w:gridSpan w:val="2"/>
          </w:tcPr>
          <w:p>
            <w:pPr>
              <w:ind w:left="120"/>
              <w:spacing w:after="0"/>
              <w:rPr>
                <w:sz w:val="20"/>
                <w:szCs w:val="20"/>
                <w:color w:val="auto"/>
              </w:rPr>
            </w:pPr>
            <w:r>
              <w:rPr>
                <w:rFonts w:ascii="Arial" w:cs="Arial" w:eastAsia="Arial" w:hAnsi="Arial"/>
                <w:sz w:val="16"/>
                <w:szCs w:val="16"/>
                <w:color w:val="auto"/>
              </w:rPr>
              <w:t>10.9†</w:t>
            </w:r>
          </w:p>
        </w:tc>
        <w:tc>
          <w:tcPr>
            <w:tcW w:w="40" w:type="dxa"/>
            <w:vAlign w:val="bottom"/>
          </w:tcPr>
          <w:p>
            <w:pPr>
              <w:spacing w:after="0"/>
              <w:rPr>
                <w:sz w:val="19"/>
                <w:szCs w:val="19"/>
                <w:color w:val="auto"/>
              </w:rPr>
            </w:pPr>
          </w:p>
        </w:tc>
        <w:tc>
          <w:tcPr>
            <w:tcW w:w="9800" w:type="dxa"/>
            <w:vAlign w:val="bottom"/>
            <w:gridSpan w:val="32"/>
          </w:tcPr>
          <w:p>
            <w:pPr>
              <w:spacing w:after="0"/>
              <w:rPr>
                <w:rFonts w:ascii="Arial" w:cs="Arial" w:eastAsia="Arial" w:hAnsi="Arial"/>
                <w:sz w:val="16"/>
                <w:szCs w:val="16"/>
                <w:color w:val="0000FF"/>
              </w:rPr>
            </w:pPr>
            <w:hyperlink r:id="rId471">
              <w:r>
                <w:rPr>
                  <w:rFonts w:ascii="Arial" w:cs="Arial" w:eastAsia="Arial" w:hAnsi="Arial"/>
                  <w:sz w:val="16"/>
                  <w:szCs w:val="16"/>
                  <w:color w:val="0000FF"/>
                </w:rPr>
                <w:t>Form of Restricted Stock Award Agreement for 2015 Omnibus Incentive Plan effective for awards granted on or after April 28, 2015</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60" w:type="dxa"/>
            <w:vAlign w:val="bottom"/>
            <w:tcBorders>
              <w:top w:val="single" w:sz="8" w:color="0000FF"/>
            </w:tcBorders>
            <w:gridSpan w:val="19"/>
          </w:tcPr>
          <w:p>
            <w:pPr>
              <w:spacing w:after="0" w:line="169" w:lineRule="exact"/>
              <w:rPr>
                <w:rFonts w:ascii="Arial" w:cs="Arial" w:eastAsia="Arial" w:hAnsi="Arial"/>
                <w:sz w:val="16"/>
                <w:szCs w:val="16"/>
                <w:color w:val="0000FF"/>
              </w:rPr>
            </w:pPr>
            <w:hyperlink r:id="rId471">
              <w:r>
                <w:rPr>
                  <w:rFonts w:ascii="Arial" w:cs="Arial" w:eastAsia="Arial" w:hAnsi="Arial"/>
                  <w:sz w:val="16"/>
                  <w:szCs w:val="16"/>
                  <w:color w:val="0000FF"/>
                </w:rPr>
                <w:t>(filed as Exhibit 10.10 to Registrant’s Form 10-K for 2015).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2"/>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10.10†</w:t>
            </w:r>
          </w:p>
        </w:tc>
        <w:tc>
          <w:tcPr>
            <w:tcW w:w="9840" w:type="dxa"/>
            <w:vAlign w:val="bottom"/>
            <w:gridSpan w:val="33"/>
            <w:shd w:val="clear" w:color="auto" w:fill="CFF0FC"/>
          </w:tcPr>
          <w:p>
            <w:pPr>
              <w:ind w:left="40"/>
              <w:spacing w:after="0"/>
              <w:rPr>
                <w:rFonts w:ascii="Arial" w:cs="Arial" w:eastAsia="Arial" w:hAnsi="Arial"/>
                <w:sz w:val="16"/>
                <w:szCs w:val="16"/>
                <w:color w:val="0000FF"/>
              </w:rPr>
            </w:pPr>
            <w:hyperlink r:id="rId472">
              <w:r>
                <w:rPr>
                  <w:rFonts w:ascii="Arial" w:cs="Arial" w:eastAsia="Arial" w:hAnsi="Arial"/>
                  <w:sz w:val="16"/>
                  <w:szCs w:val="16"/>
                  <w:color w:val="0000FF"/>
                </w:rPr>
                <w:t>Form of Restricted Stock Award Agreement for 2015 Omnibus Incentive Plan effective for awards granted on or after January 26, 2021.</w:t>
              </w:r>
            </w:hyperlink>
          </w:p>
        </w:tc>
      </w:tr>
      <w:tr>
        <w:trPr>
          <w:trHeight w:val="217"/>
        </w:trPr>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400" w:type="dxa"/>
            <w:vAlign w:val="bottom"/>
            <w:tcBorders>
              <w:top w:val="single" w:sz="8" w:color="0000FF"/>
              <w:bottom w:val="single" w:sz="8" w:color="0000FF"/>
            </w:tcBorders>
            <w:gridSpan w:val="8"/>
            <w:shd w:val="clear" w:color="auto" w:fill="CFF0FC"/>
          </w:tcPr>
          <w:p>
            <w:pPr>
              <w:spacing w:after="0" w:line="169" w:lineRule="exact"/>
              <w:rPr>
                <w:rFonts w:ascii="Arial" w:cs="Arial" w:eastAsia="Arial" w:hAnsi="Arial"/>
                <w:sz w:val="16"/>
                <w:szCs w:val="16"/>
                <w:color w:val="0000FF"/>
              </w:rPr>
            </w:pPr>
            <w:hyperlink r:id="rId472">
              <w:r>
                <w:rPr>
                  <w:rFonts w:ascii="Arial" w:cs="Arial" w:eastAsia="Arial" w:hAnsi="Arial"/>
                  <w:sz w:val="16"/>
                  <w:szCs w:val="16"/>
                  <w:color w:val="0000FF"/>
                </w:rPr>
                <w:t>(filed as Exhibit 10.11 to the Registrant's Form 10-K for 2020)</w:t>
              </w:r>
            </w:hyperlink>
          </w:p>
        </w:tc>
        <w:tc>
          <w:tcPr>
            <w:tcW w:w="5320" w:type="dxa"/>
            <w:vAlign w:val="bottom"/>
            <w:tcBorders>
              <w:top w:val="single" w:sz="8" w:color="0000FF"/>
              <w:bottom w:val="single" w:sz="8" w:color="CFF0FC"/>
            </w:tcBorders>
            <w:gridSpan w:val="23"/>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29"/>
        </w:trPr>
        <w:tc>
          <w:tcPr>
            <w:tcW w:w="1400" w:type="dxa"/>
            <w:vAlign w:val="bottom"/>
            <w:gridSpan w:val="2"/>
          </w:tcPr>
          <w:p>
            <w:pPr>
              <w:ind w:left="120"/>
              <w:spacing w:after="0"/>
              <w:rPr>
                <w:sz w:val="20"/>
                <w:szCs w:val="20"/>
                <w:color w:val="auto"/>
              </w:rPr>
            </w:pPr>
            <w:r>
              <w:rPr>
                <w:rFonts w:ascii="Arial" w:cs="Arial" w:eastAsia="Arial" w:hAnsi="Arial"/>
                <w:sz w:val="16"/>
                <w:szCs w:val="16"/>
                <w:color w:val="auto"/>
              </w:rPr>
              <w:t>10.11†</w:t>
            </w:r>
          </w:p>
        </w:tc>
        <w:tc>
          <w:tcPr>
            <w:tcW w:w="9840" w:type="dxa"/>
            <w:vAlign w:val="bottom"/>
            <w:gridSpan w:val="33"/>
          </w:tcPr>
          <w:p>
            <w:pPr>
              <w:ind w:left="40"/>
              <w:spacing w:after="0"/>
              <w:rPr>
                <w:rFonts w:ascii="Arial" w:cs="Arial" w:eastAsia="Arial" w:hAnsi="Arial"/>
                <w:sz w:val="16"/>
                <w:szCs w:val="16"/>
                <w:color w:val="0000FF"/>
              </w:rPr>
            </w:pPr>
            <w:hyperlink r:id="rId473">
              <w:r>
                <w:rPr>
                  <w:rFonts w:ascii="Arial" w:cs="Arial" w:eastAsia="Arial" w:hAnsi="Arial"/>
                  <w:sz w:val="16"/>
                  <w:szCs w:val="16"/>
                  <w:color w:val="0000FF"/>
                </w:rPr>
                <w:t>Form of Restricted Stock Unit Award Agreement for 2015 Omnibus Plan effective for awards granted on or after April 28, 2015 (filed as</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7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473">
              <w:r>
                <w:rPr>
                  <w:rFonts w:ascii="Arial" w:cs="Arial" w:eastAsia="Arial" w:hAnsi="Arial"/>
                  <w:sz w:val="16"/>
                  <w:szCs w:val="16"/>
                  <w:color w:val="0000FF"/>
                </w:rPr>
                <w:t>Exhibit 10.12 to the Registrant’s Form 10-K for 2015).</w:t>
              </w:r>
            </w:hyperlink>
          </w:p>
        </w:tc>
        <w:tc>
          <w:tcPr>
            <w:tcW w:w="100" w:type="dxa"/>
            <w:vAlign w:val="bottom"/>
            <w:gridSpan w:val="2"/>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10.12†</w:t>
            </w:r>
          </w:p>
        </w:tc>
        <w:tc>
          <w:tcPr>
            <w:tcW w:w="9840" w:type="dxa"/>
            <w:vAlign w:val="bottom"/>
            <w:gridSpan w:val="33"/>
            <w:shd w:val="clear" w:color="auto" w:fill="CFF0FC"/>
          </w:tcPr>
          <w:p>
            <w:pPr>
              <w:ind w:left="40"/>
              <w:spacing w:after="0"/>
              <w:rPr>
                <w:rFonts w:ascii="Arial" w:cs="Arial" w:eastAsia="Arial" w:hAnsi="Arial"/>
                <w:sz w:val="16"/>
                <w:szCs w:val="16"/>
                <w:color w:val="0000FF"/>
              </w:rPr>
            </w:pPr>
            <w:hyperlink r:id="rId474">
              <w:r>
                <w:rPr>
                  <w:rFonts w:ascii="Arial" w:cs="Arial" w:eastAsia="Arial" w:hAnsi="Arial"/>
                  <w:sz w:val="16"/>
                  <w:szCs w:val="16"/>
                  <w:color w:val="0000FF"/>
                </w:rPr>
                <w:t>Form of Performance Share Award Agreement effective for awards granted on or after January 1, 2016 (filed as Exhibit 10.6 to the</w:t>
              </w:r>
            </w:hyperlink>
          </w:p>
        </w:tc>
      </w:tr>
      <w:tr>
        <w:trPr>
          <w:trHeight w:val="169"/>
        </w:trPr>
        <w:tc>
          <w:tcPr>
            <w:tcW w:w="13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9380" w:type="dxa"/>
            <w:vAlign w:val="bottom"/>
            <w:tcBorders>
              <w:top w:val="single" w:sz="8" w:color="0000FF"/>
            </w:tcBorders>
            <w:gridSpan w:val="17"/>
            <w:shd w:val="clear" w:color="auto" w:fill="CFF0FC"/>
          </w:tcPr>
          <w:p>
            <w:pPr>
              <w:spacing w:after="0" w:line="169" w:lineRule="exact"/>
              <w:rPr>
                <w:rFonts w:ascii="Arial" w:cs="Arial" w:eastAsia="Arial" w:hAnsi="Arial"/>
                <w:sz w:val="16"/>
                <w:szCs w:val="16"/>
                <w:color w:val="0000FF"/>
              </w:rPr>
            </w:pPr>
            <w:hyperlink r:id="rId474">
              <w:r>
                <w:rPr>
                  <w:rFonts w:ascii="Arial" w:cs="Arial" w:eastAsia="Arial" w:hAnsi="Arial"/>
                  <w:sz w:val="16"/>
                  <w:szCs w:val="16"/>
                  <w:color w:val="0000FF"/>
                </w:rPr>
                <w:t>Registrant’s Form 10-Q for the quarterly period ended March 31, 2016).</w:t>
              </w:r>
            </w:hyperlink>
          </w:p>
        </w:tc>
        <w:tc>
          <w:tcPr>
            <w:tcW w:w="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gridSpan w:val="2"/>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2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CFF0FC"/>
            </w:tcBorders>
            <w:gridSpan w:val="4"/>
            <w:shd w:val="clear" w:color="auto" w:fill="CFF0FC"/>
          </w:tcPr>
          <w:p>
            <w:pPr>
              <w:spacing w:after="0"/>
              <w:rPr>
                <w:sz w:val="14"/>
                <w:szCs w:val="14"/>
                <w:color w:val="auto"/>
              </w:rPr>
            </w:pPr>
          </w:p>
        </w:tc>
      </w:tr>
      <w:tr>
        <w:trPr>
          <w:trHeight w:val="48"/>
        </w:trPr>
        <w:tc>
          <w:tcPr>
            <w:tcW w:w="13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1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160" w:type="dxa"/>
            <w:vAlign w:val="bottom"/>
            <w:tcBorders>
              <w:top w:val="single" w:sz="8" w:color="CFF0FC"/>
            </w:tcBorders>
            <w:shd w:val="clear" w:color="auto" w:fill="CFF0FC"/>
          </w:tcPr>
          <w:p>
            <w:pPr>
              <w:spacing w:after="0"/>
              <w:rPr>
                <w:sz w:val="4"/>
                <w:szCs w:val="4"/>
                <w:color w:val="auto"/>
              </w:rPr>
            </w:pPr>
          </w:p>
        </w:tc>
        <w:tc>
          <w:tcPr>
            <w:tcW w:w="12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r>
      <w:tr>
        <w:trPr>
          <w:trHeight w:val="229"/>
        </w:trPr>
        <w:tc>
          <w:tcPr>
            <w:tcW w:w="1400" w:type="dxa"/>
            <w:vAlign w:val="bottom"/>
            <w:gridSpan w:val="2"/>
          </w:tcPr>
          <w:p>
            <w:pPr>
              <w:ind w:left="120"/>
              <w:spacing w:after="0"/>
              <w:rPr>
                <w:sz w:val="20"/>
                <w:szCs w:val="20"/>
                <w:color w:val="auto"/>
              </w:rPr>
            </w:pPr>
            <w:r>
              <w:rPr>
                <w:rFonts w:ascii="Arial" w:cs="Arial" w:eastAsia="Arial" w:hAnsi="Arial"/>
                <w:sz w:val="16"/>
                <w:szCs w:val="16"/>
                <w:color w:val="auto"/>
              </w:rPr>
              <w:t>10.13†</w:t>
            </w:r>
          </w:p>
        </w:tc>
        <w:tc>
          <w:tcPr>
            <w:tcW w:w="40" w:type="dxa"/>
            <w:vAlign w:val="bottom"/>
          </w:tcPr>
          <w:p>
            <w:pPr>
              <w:spacing w:after="0"/>
              <w:rPr>
                <w:sz w:val="19"/>
                <w:szCs w:val="19"/>
                <w:color w:val="auto"/>
              </w:rPr>
            </w:pPr>
          </w:p>
        </w:tc>
        <w:tc>
          <w:tcPr>
            <w:tcW w:w="9800" w:type="dxa"/>
            <w:vAlign w:val="bottom"/>
            <w:gridSpan w:val="32"/>
          </w:tcPr>
          <w:p>
            <w:pPr>
              <w:spacing w:after="0"/>
              <w:rPr>
                <w:rFonts w:ascii="Arial" w:cs="Arial" w:eastAsia="Arial" w:hAnsi="Arial"/>
                <w:sz w:val="16"/>
                <w:szCs w:val="16"/>
                <w:color w:val="0000FF"/>
              </w:rPr>
            </w:pPr>
            <w:hyperlink r:id="rId475">
              <w:r>
                <w:rPr>
                  <w:rFonts w:ascii="Arial" w:cs="Arial" w:eastAsia="Arial" w:hAnsi="Arial"/>
                  <w:sz w:val="16"/>
                  <w:szCs w:val="16"/>
                  <w:color w:val="0000FF"/>
                </w:rPr>
                <w:t>Form of Performance Share Award Agreement effective for awards granted on or after January 1, 2017 (filed as Exhibit 10.12 to the</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8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475">
              <w:r>
                <w:rPr>
                  <w:rFonts w:ascii="Arial" w:cs="Arial" w:eastAsia="Arial" w:hAnsi="Arial"/>
                  <w:sz w:val="16"/>
                  <w:szCs w:val="16"/>
                  <w:color w:val="0000FF"/>
                </w:rPr>
                <w:t>Registrant's Form 10-K for 2019).</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10.14†</w:t>
            </w:r>
          </w:p>
        </w:tc>
        <w:tc>
          <w:tcPr>
            <w:tcW w:w="9840" w:type="dxa"/>
            <w:vAlign w:val="bottom"/>
            <w:gridSpan w:val="33"/>
            <w:shd w:val="clear" w:color="auto" w:fill="CFF0FC"/>
          </w:tcPr>
          <w:p>
            <w:pPr>
              <w:ind w:left="40"/>
              <w:spacing w:after="0"/>
              <w:rPr>
                <w:rFonts w:ascii="Arial" w:cs="Arial" w:eastAsia="Arial" w:hAnsi="Arial"/>
                <w:sz w:val="16"/>
                <w:szCs w:val="16"/>
                <w:color w:val="0000FF"/>
              </w:rPr>
            </w:pPr>
            <w:hyperlink r:id="rId476">
              <w:r>
                <w:rPr>
                  <w:rFonts w:ascii="Arial" w:cs="Arial" w:eastAsia="Arial" w:hAnsi="Arial"/>
                  <w:sz w:val="16"/>
                  <w:szCs w:val="16"/>
                  <w:color w:val="0000FF"/>
                </w:rPr>
                <w:t>Form of Short-term Incentive Plan for Officers Award Agreement effective for awards granted on or after January 1, 2021 (filed as</w:t>
              </w:r>
            </w:hyperlink>
          </w:p>
        </w:tc>
      </w:tr>
      <w:tr>
        <w:trPr>
          <w:trHeight w:val="217"/>
        </w:trPr>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3840" w:type="dxa"/>
            <w:vAlign w:val="bottom"/>
            <w:tcBorders>
              <w:top w:val="single" w:sz="8" w:color="0000FF"/>
              <w:bottom w:val="single" w:sz="8" w:color="0000FF"/>
            </w:tcBorders>
            <w:gridSpan w:val="6"/>
            <w:shd w:val="clear" w:color="auto" w:fill="CFF0FC"/>
          </w:tcPr>
          <w:p>
            <w:pPr>
              <w:spacing w:after="0" w:line="169" w:lineRule="exact"/>
              <w:rPr>
                <w:rFonts w:ascii="Arial" w:cs="Arial" w:eastAsia="Arial" w:hAnsi="Arial"/>
                <w:sz w:val="16"/>
                <w:szCs w:val="16"/>
                <w:color w:val="0000FF"/>
              </w:rPr>
            </w:pPr>
            <w:hyperlink r:id="rId476">
              <w:r>
                <w:rPr>
                  <w:rFonts w:ascii="Arial" w:cs="Arial" w:eastAsia="Arial" w:hAnsi="Arial"/>
                  <w:sz w:val="16"/>
                  <w:szCs w:val="16"/>
                  <w:color w:val="0000FF"/>
                </w:rPr>
                <w:t>Exhibit 10.16 to the Registrant's Form 10-K for 2020).</w:t>
              </w:r>
            </w:hyperlink>
          </w:p>
        </w:tc>
        <w:tc>
          <w:tcPr>
            <w:tcW w:w="5460" w:type="dxa"/>
            <w:vAlign w:val="bottom"/>
            <w:tcBorders>
              <w:top w:val="single" w:sz="8" w:color="0000FF"/>
              <w:bottom w:val="single" w:sz="8" w:color="CFF0FC"/>
            </w:tcBorders>
            <w:gridSpan w:val="10"/>
            <w:shd w:val="clear" w:color="auto" w:fill="CFF0FC"/>
          </w:tcPr>
          <w:p>
            <w:pPr>
              <w:spacing w:after="0"/>
              <w:rPr>
                <w:sz w:val="18"/>
                <w:szCs w:val="18"/>
                <w:color w:val="auto"/>
              </w:rPr>
            </w:pPr>
          </w:p>
        </w:tc>
        <w:tc>
          <w:tcPr>
            <w:tcW w:w="1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3"/>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30"/>
        </w:trPr>
        <w:tc>
          <w:tcPr>
            <w:tcW w:w="1400" w:type="dxa"/>
            <w:vAlign w:val="bottom"/>
            <w:gridSpan w:val="2"/>
          </w:tcPr>
          <w:p>
            <w:pPr>
              <w:ind w:left="120"/>
              <w:spacing w:after="0"/>
              <w:rPr>
                <w:sz w:val="20"/>
                <w:szCs w:val="20"/>
                <w:color w:val="auto"/>
              </w:rPr>
            </w:pPr>
            <w:r>
              <w:rPr>
                <w:rFonts w:ascii="Arial" w:cs="Arial" w:eastAsia="Arial" w:hAnsi="Arial"/>
                <w:sz w:val="16"/>
                <w:szCs w:val="16"/>
                <w:color w:val="auto"/>
              </w:rPr>
              <w:t>10.15†</w:t>
            </w:r>
          </w:p>
        </w:tc>
        <w:tc>
          <w:tcPr>
            <w:tcW w:w="9840" w:type="dxa"/>
            <w:vAlign w:val="bottom"/>
            <w:gridSpan w:val="33"/>
          </w:tcPr>
          <w:p>
            <w:pPr>
              <w:ind w:left="40"/>
              <w:spacing w:after="0"/>
              <w:rPr>
                <w:rFonts w:ascii="Arial" w:cs="Arial" w:eastAsia="Arial" w:hAnsi="Arial"/>
                <w:sz w:val="16"/>
                <w:szCs w:val="16"/>
                <w:color w:val="0000FF"/>
              </w:rPr>
            </w:pPr>
            <w:hyperlink r:id="rId477">
              <w:r>
                <w:rPr>
                  <w:rFonts w:ascii="Arial" w:cs="Arial" w:eastAsia="Arial" w:hAnsi="Arial"/>
                  <w:sz w:val="16"/>
                  <w:szCs w:val="16"/>
                  <w:color w:val="0000FF"/>
                </w:rPr>
                <w:t>Form of Performance Unit Award Agreement for 2015 Omnibus Incentive Plan effective for awards granted on or after January 1, 2021.</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72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477">
              <w:r>
                <w:rPr>
                  <w:rFonts w:ascii="Arial" w:cs="Arial" w:eastAsia="Arial" w:hAnsi="Arial"/>
                  <w:sz w:val="16"/>
                  <w:szCs w:val="16"/>
                  <w:color w:val="0000FF"/>
                </w:rPr>
                <w:t>(filed as Exhibit 10.17 to the Registrant's Form 10-K for 2020)</w:t>
              </w:r>
            </w:hyperlink>
          </w:p>
        </w:tc>
        <w:tc>
          <w:tcPr>
            <w:tcW w:w="80" w:type="dxa"/>
            <w:vAlign w:val="bottom"/>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14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10.16†</w:t>
            </w:r>
          </w:p>
        </w:tc>
        <w:tc>
          <w:tcPr>
            <w:tcW w:w="40" w:type="dxa"/>
            <w:vAlign w:val="bottom"/>
            <w:tcBorders>
              <w:bottom w:val="single" w:sz="8" w:color="CFF0FC"/>
            </w:tcBorders>
            <w:shd w:val="clear" w:color="auto" w:fill="CFF0FC"/>
          </w:tcPr>
          <w:p>
            <w:pPr>
              <w:spacing w:after="0"/>
              <w:rPr>
                <w:sz w:val="24"/>
                <w:szCs w:val="24"/>
                <w:color w:val="auto"/>
              </w:rPr>
            </w:pPr>
          </w:p>
        </w:tc>
        <w:tc>
          <w:tcPr>
            <w:tcW w:w="8200" w:type="dxa"/>
            <w:vAlign w:val="bottom"/>
            <w:tcBorders>
              <w:bottom w:val="single" w:sz="8" w:color="0000FF"/>
            </w:tcBorders>
            <w:gridSpan w:val="14"/>
            <w:shd w:val="clear" w:color="auto" w:fill="CFF0FC"/>
          </w:tcPr>
          <w:p>
            <w:pPr>
              <w:spacing w:after="0"/>
              <w:rPr>
                <w:rFonts w:ascii="Arial" w:cs="Arial" w:eastAsia="Arial" w:hAnsi="Arial"/>
                <w:sz w:val="16"/>
                <w:szCs w:val="16"/>
                <w:color w:val="0000FF"/>
              </w:rPr>
            </w:pPr>
            <w:hyperlink r:id="rId478">
              <w:r>
                <w:rPr>
                  <w:rFonts w:ascii="Arial" w:cs="Arial" w:eastAsia="Arial" w:hAnsi="Arial"/>
                  <w:sz w:val="16"/>
                  <w:szCs w:val="16"/>
                  <w:color w:val="0000FF"/>
                </w:rPr>
                <w:t>Form of Indemnification Agreement (filed as Exhibit 10.5 to the Registrant’s Form 8-K filed on September 3, 2004).</w:t>
              </w:r>
            </w:hyperlink>
          </w:p>
        </w:tc>
        <w:tc>
          <w:tcPr>
            <w:tcW w:w="1600" w:type="dxa"/>
            <w:vAlign w:val="bottom"/>
            <w:tcBorders>
              <w:bottom w:val="single" w:sz="8" w:color="CFF0FC"/>
            </w:tcBorders>
            <w:gridSpan w:val="18"/>
            <w:shd w:val="clear" w:color="auto" w:fill="CFF0FC"/>
          </w:tcPr>
          <w:p>
            <w:pPr>
              <w:spacing w:after="0"/>
              <w:rPr>
                <w:sz w:val="24"/>
                <w:szCs w:val="24"/>
                <w:color w:val="auto"/>
              </w:rPr>
            </w:pPr>
          </w:p>
        </w:tc>
      </w:tr>
      <w:tr>
        <w:trPr>
          <w:trHeight w:val="229"/>
        </w:trPr>
        <w:tc>
          <w:tcPr>
            <w:tcW w:w="1400" w:type="dxa"/>
            <w:vAlign w:val="bottom"/>
            <w:gridSpan w:val="2"/>
          </w:tcPr>
          <w:p>
            <w:pPr>
              <w:ind w:left="120"/>
              <w:spacing w:after="0"/>
              <w:rPr>
                <w:sz w:val="20"/>
                <w:szCs w:val="20"/>
                <w:color w:val="auto"/>
              </w:rPr>
            </w:pPr>
            <w:r>
              <w:rPr>
                <w:rFonts w:ascii="Arial" w:cs="Arial" w:eastAsia="Arial" w:hAnsi="Arial"/>
                <w:sz w:val="16"/>
                <w:szCs w:val="16"/>
                <w:color w:val="auto"/>
              </w:rPr>
              <w:t>10.17†</w:t>
            </w:r>
          </w:p>
        </w:tc>
        <w:tc>
          <w:tcPr>
            <w:tcW w:w="9840" w:type="dxa"/>
            <w:vAlign w:val="bottom"/>
            <w:gridSpan w:val="33"/>
          </w:tcPr>
          <w:p>
            <w:pPr>
              <w:ind w:left="40"/>
              <w:spacing w:after="0"/>
              <w:rPr>
                <w:rFonts w:ascii="Arial" w:cs="Arial" w:eastAsia="Arial" w:hAnsi="Arial"/>
                <w:sz w:val="16"/>
                <w:szCs w:val="16"/>
                <w:color w:val="0000FF"/>
              </w:rPr>
            </w:pPr>
            <w:hyperlink r:id="rId479">
              <w:r>
                <w:rPr>
                  <w:rFonts w:ascii="Arial" w:cs="Arial" w:eastAsia="Arial" w:hAnsi="Arial"/>
                  <w:sz w:val="16"/>
                  <w:szCs w:val="16"/>
                  <w:color w:val="0000FF"/>
                </w:rPr>
                <w:t>Change in Control Agreement dated November 15, 2022 between Black Hills Corporation and Linden R. Evans.</w:t>
              </w:r>
            </w:hyperlink>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60" w:type="dxa"/>
            <w:vAlign w:val="bottom"/>
            <w:tcBorders>
              <w:top w:val="single" w:sz="8" w:color="0000FF"/>
            </w:tcBorders>
          </w:tcPr>
          <w:p>
            <w:pPr>
              <w:spacing w:after="0"/>
              <w:rPr>
                <w:sz w:val="4"/>
                <w:szCs w:val="4"/>
                <w:color w:val="auto"/>
              </w:rPr>
            </w:pPr>
          </w:p>
        </w:tc>
        <w:tc>
          <w:tcPr>
            <w:tcW w:w="126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14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6"/>
                <w:szCs w:val="16"/>
                <w:color w:val="auto"/>
              </w:rPr>
              <w:t>10.18†</w:t>
            </w:r>
          </w:p>
        </w:tc>
        <w:tc>
          <w:tcPr>
            <w:tcW w:w="40" w:type="dxa"/>
            <w:vAlign w:val="bottom"/>
            <w:tcBorders>
              <w:bottom w:val="single" w:sz="8" w:color="CFF0FC"/>
            </w:tcBorders>
            <w:shd w:val="clear" w:color="auto" w:fill="CFF0FC"/>
          </w:tcPr>
          <w:p>
            <w:pPr>
              <w:spacing w:after="0"/>
              <w:rPr>
                <w:sz w:val="24"/>
                <w:szCs w:val="24"/>
                <w:color w:val="auto"/>
              </w:rPr>
            </w:pPr>
          </w:p>
        </w:tc>
        <w:tc>
          <w:tcPr>
            <w:tcW w:w="9660" w:type="dxa"/>
            <w:vAlign w:val="bottom"/>
            <w:tcBorders>
              <w:bottom w:val="single" w:sz="8" w:color="0000FF"/>
            </w:tcBorders>
            <w:gridSpan w:val="28"/>
            <w:shd w:val="clear" w:color="auto" w:fill="CFF0FC"/>
          </w:tcPr>
          <w:p>
            <w:pPr>
              <w:spacing w:after="0"/>
              <w:rPr>
                <w:rFonts w:ascii="Arial" w:cs="Arial" w:eastAsia="Arial" w:hAnsi="Arial"/>
                <w:sz w:val="16"/>
                <w:szCs w:val="16"/>
                <w:color w:val="0000FF"/>
              </w:rPr>
            </w:pPr>
            <w:hyperlink r:id="rId480">
              <w:r>
                <w:rPr>
                  <w:rFonts w:ascii="Arial" w:cs="Arial" w:eastAsia="Arial" w:hAnsi="Arial"/>
                  <w:sz w:val="16"/>
                  <w:szCs w:val="16"/>
                  <w:color w:val="0000FF"/>
                </w:rPr>
                <w:t>Change in Control Agreements dated November 15, 2022 between Black Hills Corporation and its non-CEO Senior Executive Officers.</w:t>
              </w:r>
            </w:hyperlink>
          </w:p>
        </w:tc>
        <w:tc>
          <w:tcPr>
            <w:tcW w:w="140" w:type="dxa"/>
            <w:vAlign w:val="bottom"/>
            <w:tcBorders>
              <w:bottom w:val="single" w:sz="8" w:color="CFF0FC"/>
            </w:tcBorders>
            <w:gridSpan w:val="4"/>
            <w:shd w:val="clear" w:color="auto" w:fill="CFF0FC"/>
          </w:tcPr>
          <w:p>
            <w:pPr>
              <w:spacing w:after="0"/>
              <w:rPr>
                <w:sz w:val="24"/>
                <w:szCs w:val="24"/>
                <w:color w:val="auto"/>
              </w:rPr>
            </w:pPr>
          </w:p>
        </w:tc>
      </w:tr>
      <w:tr>
        <w:trPr>
          <w:trHeight w:val="230"/>
        </w:trPr>
        <w:tc>
          <w:tcPr>
            <w:tcW w:w="1400" w:type="dxa"/>
            <w:vAlign w:val="bottom"/>
            <w:gridSpan w:val="2"/>
          </w:tcPr>
          <w:p>
            <w:pPr>
              <w:ind w:left="120"/>
              <w:spacing w:after="0"/>
              <w:rPr>
                <w:sz w:val="20"/>
                <w:szCs w:val="20"/>
                <w:color w:val="auto"/>
              </w:rPr>
            </w:pPr>
            <w:r>
              <w:rPr>
                <w:rFonts w:ascii="Arial" w:cs="Arial" w:eastAsia="Arial" w:hAnsi="Arial"/>
                <w:sz w:val="16"/>
                <w:szCs w:val="16"/>
                <w:color w:val="auto"/>
              </w:rPr>
              <w:t>10.19†</w:t>
            </w:r>
          </w:p>
        </w:tc>
        <w:tc>
          <w:tcPr>
            <w:tcW w:w="9840" w:type="dxa"/>
            <w:vAlign w:val="bottom"/>
            <w:gridSpan w:val="33"/>
          </w:tcPr>
          <w:p>
            <w:pPr>
              <w:ind w:left="40"/>
              <w:spacing w:after="0"/>
              <w:rPr>
                <w:rFonts w:ascii="Arial" w:cs="Arial" w:eastAsia="Arial" w:hAnsi="Arial"/>
                <w:sz w:val="16"/>
                <w:szCs w:val="16"/>
                <w:color w:val="0000FF"/>
              </w:rPr>
            </w:pPr>
            <w:hyperlink r:id="rId481">
              <w:r>
                <w:rPr>
                  <w:rFonts w:ascii="Arial" w:cs="Arial" w:eastAsia="Arial" w:hAnsi="Arial"/>
                  <w:sz w:val="16"/>
                  <w:szCs w:val="16"/>
                  <w:color w:val="0000FF"/>
                </w:rPr>
                <w:t>Outside Directors Stock Based Compensation Plan as Amended and Restated effective January 1, 2009 (filed as Exhibit 10.23 to the</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2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481">
              <w:r>
                <w:rPr>
                  <w:rFonts w:ascii="Arial" w:cs="Arial" w:eastAsia="Arial" w:hAnsi="Arial"/>
                  <w:sz w:val="16"/>
                  <w:szCs w:val="16"/>
                  <w:color w:val="0000FF"/>
                </w:rPr>
                <w:t>Registrant’s Form 10-K for 2008).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10.19-1†</w:t>
            </w:r>
          </w:p>
        </w:tc>
        <w:tc>
          <w:tcPr>
            <w:tcW w:w="40" w:type="dxa"/>
            <w:vAlign w:val="bottom"/>
            <w:shd w:val="clear" w:color="auto" w:fill="CFF0FC"/>
          </w:tcPr>
          <w:p>
            <w:pPr>
              <w:spacing w:after="0"/>
              <w:rPr>
                <w:sz w:val="19"/>
                <w:szCs w:val="19"/>
                <w:color w:val="auto"/>
              </w:rPr>
            </w:pPr>
          </w:p>
        </w:tc>
        <w:tc>
          <w:tcPr>
            <w:tcW w:w="9800" w:type="dxa"/>
            <w:vAlign w:val="bottom"/>
            <w:gridSpan w:val="32"/>
            <w:shd w:val="clear" w:color="auto" w:fill="CFF0FC"/>
          </w:tcPr>
          <w:p>
            <w:pPr>
              <w:ind w:left="120"/>
              <w:spacing w:after="0"/>
              <w:rPr>
                <w:rFonts w:ascii="Arial" w:cs="Arial" w:eastAsia="Arial" w:hAnsi="Arial"/>
                <w:sz w:val="16"/>
                <w:szCs w:val="16"/>
                <w:color w:val="0000FF"/>
              </w:rPr>
            </w:pPr>
            <w:hyperlink r:id="rId482">
              <w:r>
                <w:rPr>
                  <w:rFonts w:ascii="Arial" w:cs="Arial" w:eastAsia="Arial" w:hAnsi="Arial"/>
                  <w:sz w:val="16"/>
                  <w:szCs w:val="16"/>
                  <w:color w:val="0000FF"/>
                </w:rPr>
                <w:t>First Amendment to the Outside Directors Stock Based Compensation Plan effective January 1, 2011 (filed as Exhibit 10.16 to the</w:t>
              </w:r>
            </w:hyperlink>
          </w:p>
        </w:tc>
      </w:tr>
      <w:tr>
        <w:trPr>
          <w:trHeight w:val="216"/>
        </w:trPr>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0" w:type="dxa"/>
            <w:vAlign w:val="bottom"/>
            <w:tcBorders>
              <w:top w:val="single" w:sz="8" w:color="0000FF"/>
              <w:bottom w:val="single" w:sz="8" w:color="0000FF"/>
            </w:tcBorders>
            <w:gridSpan w:val="3"/>
            <w:shd w:val="clear" w:color="auto" w:fill="CFF0FC"/>
          </w:tcPr>
          <w:p>
            <w:pPr>
              <w:spacing w:after="0" w:line="169" w:lineRule="exact"/>
              <w:rPr>
                <w:rFonts w:ascii="Arial" w:cs="Arial" w:eastAsia="Arial" w:hAnsi="Arial"/>
                <w:sz w:val="16"/>
                <w:szCs w:val="16"/>
                <w:color w:val="0000FF"/>
              </w:rPr>
            </w:pPr>
            <w:hyperlink r:id="rId482">
              <w:r>
                <w:rPr>
                  <w:rFonts w:ascii="Arial" w:cs="Arial" w:eastAsia="Arial" w:hAnsi="Arial"/>
                  <w:sz w:val="16"/>
                  <w:szCs w:val="16"/>
                  <w:color w:val="0000FF"/>
                </w:rPr>
                <w:t>Registrant’s Form 10-K for 2010).</w:t>
              </w:r>
            </w:hyperlink>
          </w:p>
        </w:tc>
        <w:tc>
          <w:tcPr>
            <w:tcW w:w="6920" w:type="dxa"/>
            <w:vAlign w:val="bottom"/>
            <w:tcBorders>
              <w:top w:val="single" w:sz="8" w:color="0000FF"/>
              <w:bottom w:val="single" w:sz="8" w:color="CFF0FC"/>
            </w:tcBorders>
            <w:gridSpan w:val="14"/>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3"/>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30"/>
        </w:trPr>
        <w:tc>
          <w:tcPr>
            <w:tcW w:w="1400" w:type="dxa"/>
            <w:vAlign w:val="bottom"/>
            <w:gridSpan w:val="2"/>
          </w:tcPr>
          <w:p>
            <w:pPr>
              <w:ind w:left="220"/>
              <w:spacing w:after="0"/>
              <w:rPr>
                <w:sz w:val="20"/>
                <w:szCs w:val="20"/>
                <w:color w:val="auto"/>
              </w:rPr>
            </w:pPr>
            <w:r>
              <w:rPr>
                <w:rFonts w:ascii="Arial" w:cs="Arial" w:eastAsia="Arial" w:hAnsi="Arial"/>
                <w:sz w:val="16"/>
                <w:szCs w:val="16"/>
                <w:color w:val="auto"/>
              </w:rPr>
              <w:t>10.19-2†</w:t>
            </w:r>
          </w:p>
        </w:tc>
        <w:tc>
          <w:tcPr>
            <w:tcW w:w="40" w:type="dxa"/>
            <w:vAlign w:val="bottom"/>
          </w:tcPr>
          <w:p>
            <w:pPr>
              <w:spacing w:after="0"/>
              <w:rPr>
                <w:sz w:val="19"/>
                <w:szCs w:val="19"/>
                <w:color w:val="auto"/>
              </w:rPr>
            </w:pPr>
          </w:p>
        </w:tc>
        <w:tc>
          <w:tcPr>
            <w:tcW w:w="9800" w:type="dxa"/>
            <w:vAlign w:val="bottom"/>
            <w:gridSpan w:val="32"/>
          </w:tcPr>
          <w:p>
            <w:pPr>
              <w:ind w:left="120"/>
              <w:spacing w:after="0"/>
              <w:rPr>
                <w:rFonts w:ascii="Arial" w:cs="Arial" w:eastAsia="Arial" w:hAnsi="Arial"/>
                <w:sz w:val="16"/>
                <w:szCs w:val="16"/>
                <w:color w:val="0000FF"/>
              </w:rPr>
            </w:pPr>
            <w:hyperlink r:id="rId483">
              <w:r>
                <w:rPr>
                  <w:rFonts w:ascii="Arial" w:cs="Arial" w:eastAsia="Arial" w:hAnsi="Arial"/>
                  <w:sz w:val="16"/>
                  <w:szCs w:val="16"/>
                  <w:color w:val="0000FF"/>
                </w:rPr>
                <w:t>Second Amendment to the Outside Director’s Stock Based Compensation Plan effective January 1, 2013 (filed as Exhibit 10.15 to the</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0" w:type="dxa"/>
            <w:vAlign w:val="bottom"/>
            <w:tcBorders>
              <w:top w:val="single" w:sz="8" w:color="0000FF"/>
            </w:tcBorders>
            <w:gridSpan w:val="30"/>
          </w:tcPr>
          <w:p>
            <w:pPr>
              <w:spacing w:after="0" w:line="169" w:lineRule="exact"/>
              <w:rPr>
                <w:rFonts w:ascii="Arial" w:cs="Arial" w:eastAsia="Arial" w:hAnsi="Arial"/>
                <w:sz w:val="16"/>
                <w:szCs w:val="16"/>
                <w:color w:val="0000FF"/>
              </w:rPr>
            </w:pPr>
            <w:hyperlink r:id="rId483">
              <w:r>
                <w:rPr>
                  <w:rFonts w:ascii="Arial" w:cs="Arial" w:eastAsia="Arial" w:hAnsi="Arial"/>
                  <w:sz w:val="16"/>
                  <w:szCs w:val="16"/>
                  <w:color w:val="0000FF"/>
                </w:rPr>
                <w:t>Registrant’s Form 10-K for 2012).</w:t>
              </w:r>
            </w:hyperlink>
          </w:p>
        </w:tc>
        <w:tc>
          <w:tcPr>
            <w:tcW w:w="80" w:type="dxa"/>
            <w:vAlign w:val="bottom"/>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10.19-3†</w:t>
            </w:r>
          </w:p>
        </w:tc>
        <w:tc>
          <w:tcPr>
            <w:tcW w:w="40" w:type="dxa"/>
            <w:vAlign w:val="bottom"/>
            <w:shd w:val="clear" w:color="auto" w:fill="CFF0FC"/>
          </w:tcPr>
          <w:p>
            <w:pPr>
              <w:spacing w:after="0"/>
              <w:rPr>
                <w:sz w:val="19"/>
                <w:szCs w:val="19"/>
                <w:color w:val="auto"/>
              </w:rPr>
            </w:pPr>
          </w:p>
        </w:tc>
        <w:tc>
          <w:tcPr>
            <w:tcW w:w="9800" w:type="dxa"/>
            <w:vAlign w:val="bottom"/>
            <w:gridSpan w:val="32"/>
            <w:shd w:val="clear" w:color="auto" w:fill="CFF0FC"/>
          </w:tcPr>
          <w:p>
            <w:pPr>
              <w:ind w:left="120"/>
              <w:spacing w:after="0"/>
              <w:rPr>
                <w:rFonts w:ascii="Arial" w:cs="Arial" w:eastAsia="Arial" w:hAnsi="Arial"/>
                <w:sz w:val="16"/>
                <w:szCs w:val="16"/>
                <w:color w:val="0000FF"/>
              </w:rPr>
            </w:pPr>
            <w:hyperlink r:id="rId484">
              <w:r>
                <w:rPr>
                  <w:rFonts w:ascii="Arial" w:cs="Arial" w:eastAsia="Arial" w:hAnsi="Arial"/>
                  <w:sz w:val="16"/>
                  <w:szCs w:val="16"/>
                  <w:color w:val="0000FF"/>
                </w:rPr>
                <w:t>Third Amendment to the Outside Director’s Stock Based Compensation Plan effective January 1, 2015 (filed as Exhibit 10.16 to the</w:t>
              </w:r>
            </w:hyperlink>
          </w:p>
        </w:tc>
      </w:tr>
      <w:tr>
        <w:trPr>
          <w:trHeight w:val="216"/>
        </w:trPr>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0" w:type="dxa"/>
            <w:vAlign w:val="bottom"/>
            <w:tcBorders>
              <w:top w:val="single" w:sz="8" w:color="0000FF"/>
              <w:bottom w:val="single" w:sz="8" w:color="0000FF"/>
            </w:tcBorders>
            <w:gridSpan w:val="3"/>
            <w:shd w:val="clear" w:color="auto" w:fill="CFF0FC"/>
          </w:tcPr>
          <w:p>
            <w:pPr>
              <w:spacing w:after="0" w:line="169" w:lineRule="exact"/>
              <w:rPr>
                <w:rFonts w:ascii="Arial" w:cs="Arial" w:eastAsia="Arial" w:hAnsi="Arial"/>
                <w:sz w:val="16"/>
                <w:szCs w:val="16"/>
                <w:color w:val="0000FF"/>
              </w:rPr>
            </w:pPr>
            <w:hyperlink r:id="rId484">
              <w:r>
                <w:rPr>
                  <w:rFonts w:ascii="Arial" w:cs="Arial" w:eastAsia="Arial" w:hAnsi="Arial"/>
                  <w:sz w:val="16"/>
                  <w:szCs w:val="16"/>
                  <w:color w:val="0000FF"/>
                </w:rPr>
                <w:t>Registrant’s Form 10-K for 2014).</w:t>
              </w:r>
            </w:hyperlink>
          </w:p>
        </w:tc>
        <w:tc>
          <w:tcPr>
            <w:tcW w:w="7040" w:type="dxa"/>
            <w:vAlign w:val="bottom"/>
            <w:tcBorders>
              <w:top w:val="single" w:sz="8" w:color="0000FF"/>
              <w:bottom w:val="single" w:sz="8" w:color="CFF0FC"/>
            </w:tcBorders>
            <w:gridSpan w:val="19"/>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30"/>
        </w:trPr>
        <w:tc>
          <w:tcPr>
            <w:tcW w:w="1400" w:type="dxa"/>
            <w:vAlign w:val="bottom"/>
            <w:gridSpan w:val="2"/>
          </w:tcPr>
          <w:p>
            <w:pPr>
              <w:ind w:left="220"/>
              <w:spacing w:after="0"/>
              <w:rPr>
                <w:sz w:val="20"/>
                <w:szCs w:val="20"/>
                <w:color w:val="auto"/>
              </w:rPr>
            </w:pPr>
            <w:r>
              <w:rPr>
                <w:rFonts w:ascii="Arial" w:cs="Arial" w:eastAsia="Arial" w:hAnsi="Arial"/>
                <w:sz w:val="16"/>
                <w:szCs w:val="16"/>
                <w:color w:val="auto"/>
              </w:rPr>
              <w:t>10.19-4†</w:t>
            </w:r>
          </w:p>
        </w:tc>
        <w:tc>
          <w:tcPr>
            <w:tcW w:w="40" w:type="dxa"/>
            <w:vAlign w:val="bottom"/>
          </w:tcPr>
          <w:p>
            <w:pPr>
              <w:spacing w:after="0"/>
              <w:rPr>
                <w:sz w:val="19"/>
                <w:szCs w:val="19"/>
                <w:color w:val="auto"/>
              </w:rPr>
            </w:pPr>
          </w:p>
        </w:tc>
        <w:tc>
          <w:tcPr>
            <w:tcW w:w="9800" w:type="dxa"/>
            <w:vAlign w:val="bottom"/>
            <w:gridSpan w:val="32"/>
          </w:tcPr>
          <w:p>
            <w:pPr>
              <w:ind w:left="120"/>
              <w:spacing w:after="0"/>
              <w:rPr>
                <w:rFonts w:ascii="Arial" w:cs="Arial" w:eastAsia="Arial" w:hAnsi="Arial"/>
                <w:sz w:val="16"/>
                <w:szCs w:val="16"/>
                <w:color w:val="0000FF"/>
              </w:rPr>
            </w:pPr>
            <w:hyperlink r:id="rId485">
              <w:r>
                <w:rPr>
                  <w:rFonts w:ascii="Arial" w:cs="Arial" w:eastAsia="Arial" w:hAnsi="Arial"/>
                  <w:sz w:val="16"/>
                  <w:szCs w:val="16"/>
                  <w:color w:val="0000FF"/>
                </w:rPr>
                <w:t>Fourth Amendment to the Outside Director’s Stock Based Compensation Plan effective January 1, 2017 (filed as Exhibit 10.4 to the</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60" w:type="dxa"/>
            <w:vAlign w:val="bottom"/>
            <w:tcBorders>
              <w:top w:val="single" w:sz="8" w:color="0000FF"/>
            </w:tcBorders>
            <w:gridSpan w:val="23"/>
          </w:tcPr>
          <w:p>
            <w:pPr>
              <w:spacing w:after="0" w:line="169" w:lineRule="exact"/>
              <w:rPr>
                <w:rFonts w:ascii="Arial" w:cs="Arial" w:eastAsia="Arial" w:hAnsi="Arial"/>
                <w:sz w:val="16"/>
                <w:szCs w:val="16"/>
                <w:color w:val="0000FF"/>
              </w:rPr>
            </w:pPr>
            <w:hyperlink r:id="rId485">
              <w:r>
                <w:rPr>
                  <w:rFonts w:ascii="Arial" w:cs="Arial" w:eastAsia="Arial" w:hAnsi="Arial"/>
                  <w:sz w:val="16"/>
                  <w:szCs w:val="16"/>
                  <w:color w:val="0000FF"/>
                </w:rPr>
                <w:t>Registrant’s Form 10-Q for the quarterly period ended September 30, 2016).</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10.19-5†</w:t>
            </w:r>
          </w:p>
        </w:tc>
        <w:tc>
          <w:tcPr>
            <w:tcW w:w="40" w:type="dxa"/>
            <w:vAlign w:val="bottom"/>
            <w:shd w:val="clear" w:color="auto" w:fill="CFF0FC"/>
          </w:tcPr>
          <w:p>
            <w:pPr>
              <w:spacing w:after="0"/>
              <w:rPr>
                <w:sz w:val="19"/>
                <w:szCs w:val="19"/>
                <w:color w:val="auto"/>
              </w:rPr>
            </w:pPr>
          </w:p>
        </w:tc>
        <w:tc>
          <w:tcPr>
            <w:tcW w:w="9800" w:type="dxa"/>
            <w:vAlign w:val="bottom"/>
            <w:gridSpan w:val="32"/>
            <w:shd w:val="clear" w:color="auto" w:fill="CFF0FC"/>
          </w:tcPr>
          <w:p>
            <w:pPr>
              <w:ind w:left="120"/>
              <w:spacing w:after="0"/>
              <w:rPr>
                <w:rFonts w:ascii="Arial" w:cs="Arial" w:eastAsia="Arial" w:hAnsi="Arial"/>
                <w:sz w:val="16"/>
                <w:szCs w:val="16"/>
                <w:color w:val="0000FF"/>
              </w:rPr>
            </w:pPr>
            <w:hyperlink r:id="rId486">
              <w:r>
                <w:rPr>
                  <w:rFonts w:ascii="Arial" w:cs="Arial" w:eastAsia="Arial" w:hAnsi="Arial"/>
                  <w:sz w:val="16"/>
                  <w:szCs w:val="16"/>
                  <w:color w:val="0000FF"/>
                </w:rPr>
                <w:t>Fifth Amendment to the Outside Director’s Stock Based Compensation Plan effective January 1, 2018 (filed as Exhibit 10.16 to the</w:t>
              </w:r>
            </w:hyperlink>
          </w:p>
        </w:tc>
      </w:tr>
      <w:tr>
        <w:trPr>
          <w:trHeight w:val="217"/>
        </w:trPr>
        <w:tc>
          <w:tcPr>
            <w:tcW w:w="13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400" w:type="dxa"/>
            <w:vAlign w:val="bottom"/>
            <w:tcBorders>
              <w:top w:val="single" w:sz="8" w:color="0000FF"/>
              <w:bottom w:val="single" w:sz="8" w:color="0000FF"/>
            </w:tcBorders>
            <w:gridSpan w:val="3"/>
            <w:shd w:val="clear" w:color="auto" w:fill="CFF0FC"/>
          </w:tcPr>
          <w:p>
            <w:pPr>
              <w:spacing w:after="0" w:line="169" w:lineRule="exact"/>
              <w:rPr>
                <w:rFonts w:ascii="Arial" w:cs="Arial" w:eastAsia="Arial" w:hAnsi="Arial"/>
                <w:sz w:val="16"/>
                <w:szCs w:val="16"/>
                <w:color w:val="0000FF"/>
              </w:rPr>
            </w:pPr>
            <w:hyperlink r:id="rId486">
              <w:r>
                <w:rPr>
                  <w:rFonts w:ascii="Arial" w:cs="Arial" w:eastAsia="Arial" w:hAnsi="Arial"/>
                  <w:sz w:val="16"/>
                  <w:szCs w:val="16"/>
                  <w:color w:val="0000FF"/>
                </w:rPr>
                <w:t>Registrant’s Form 10-K for 2017).</w:t>
              </w:r>
            </w:hyperlink>
          </w:p>
        </w:tc>
        <w:tc>
          <w:tcPr>
            <w:tcW w:w="6980" w:type="dxa"/>
            <w:vAlign w:val="bottom"/>
            <w:tcBorders>
              <w:top w:val="single" w:sz="8" w:color="0000FF"/>
              <w:bottom w:val="single" w:sz="8" w:color="CFF0FC"/>
            </w:tcBorders>
            <w:gridSpan w:val="17"/>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3"/>
            <w:shd w:val="clear" w:color="auto" w:fill="CFF0FC"/>
          </w:tcPr>
          <w:p>
            <w:pPr>
              <w:spacing w:after="0"/>
              <w:rPr>
                <w:sz w:val="18"/>
                <w:szCs w:val="18"/>
                <w:color w:val="auto"/>
              </w:rPr>
            </w:pPr>
          </w:p>
        </w:tc>
        <w:tc>
          <w:tcPr>
            <w:tcW w:w="4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gridSpan w:val="4"/>
            <w:shd w:val="clear" w:color="auto" w:fill="CFF0FC"/>
          </w:tcPr>
          <w:p>
            <w:pPr>
              <w:spacing w:after="0"/>
              <w:rPr>
                <w:sz w:val="18"/>
                <w:szCs w:val="18"/>
                <w:color w:val="auto"/>
              </w:rPr>
            </w:pPr>
          </w:p>
        </w:tc>
      </w:tr>
      <w:tr>
        <w:trPr>
          <w:trHeight w:val="229"/>
        </w:trPr>
        <w:tc>
          <w:tcPr>
            <w:tcW w:w="1400" w:type="dxa"/>
            <w:vAlign w:val="bottom"/>
            <w:gridSpan w:val="2"/>
          </w:tcPr>
          <w:p>
            <w:pPr>
              <w:ind w:left="220"/>
              <w:spacing w:after="0"/>
              <w:rPr>
                <w:sz w:val="20"/>
                <w:szCs w:val="20"/>
                <w:color w:val="auto"/>
              </w:rPr>
            </w:pPr>
            <w:r>
              <w:rPr>
                <w:rFonts w:ascii="Arial" w:cs="Arial" w:eastAsia="Arial" w:hAnsi="Arial"/>
                <w:sz w:val="16"/>
                <w:szCs w:val="16"/>
                <w:color w:val="auto"/>
              </w:rPr>
              <w:t>10.19-6†</w:t>
            </w:r>
          </w:p>
        </w:tc>
        <w:tc>
          <w:tcPr>
            <w:tcW w:w="40" w:type="dxa"/>
            <w:vAlign w:val="bottom"/>
          </w:tcPr>
          <w:p>
            <w:pPr>
              <w:spacing w:after="0"/>
              <w:rPr>
                <w:sz w:val="19"/>
                <w:szCs w:val="19"/>
                <w:color w:val="auto"/>
              </w:rPr>
            </w:pPr>
          </w:p>
        </w:tc>
        <w:tc>
          <w:tcPr>
            <w:tcW w:w="9800" w:type="dxa"/>
            <w:vAlign w:val="bottom"/>
            <w:gridSpan w:val="32"/>
          </w:tcPr>
          <w:p>
            <w:pPr>
              <w:ind w:left="120"/>
              <w:spacing w:after="0"/>
              <w:rPr>
                <w:rFonts w:ascii="Arial" w:cs="Arial" w:eastAsia="Arial" w:hAnsi="Arial"/>
                <w:sz w:val="16"/>
                <w:szCs w:val="16"/>
                <w:color w:val="0000FF"/>
              </w:rPr>
            </w:pPr>
            <w:hyperlink r:id="rId487">
              <w:r>
                <w:rPr>
                  <w:rFonts w:ascii="Arial" w:cs="Arial" w:eastAsia="Arial" w:hAnsi="Arial"/>
                  <w:sz w:val="16"/>
                  <w:szCs w:val="16"/>
                  <w:color w:val="0000FF"/>
                </w:rPr>
                <w:t>Sixth Amendment to the Outside Director’s Stock Based Compensation Plan effective January 1, 2019 (filed as Exhibit 10.18 to the</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20" w:type="dxa"/>
            <w:vAlign w:val="bottom"/>
            <w:tcBorders>
              <w:top w:val="single" w:sz="8" w:color="0000FF"/>
            </w:tcBorders>
            <w:gridSpan w:val="21"/>
          </w:tcPr>
          <w:p>
            <w:pPr>
              <w:spacing w:after="0" w:line="169" w:lineRule="exact"/>
              <w:rPr>
                <w:rFonts w:ascii="Arial" w:cs="Arial" w:eastAsia="Arial" w:hAnsi="Arial"/>
                <w:sz w:val="16"/>
                <w:szCs w:val="16"/>
                <w:color w:val="0000FF"/>
              </w:rPr>
            </w:pPr>
            <w:hyperlink r:id="rId487">
              <w:r>
                <w:rPr>
                  <w:rFonts w:ascii="Arial" w:cs="Arial" w:eastAsia="Arial" w:hAnsi="Arial"/>
                  <w:sz w:val="16"/>
                  <w:szCs w:val="16"/>
                  <w:color w:val="0000FF"/>
                </w:rPr>
                <w:t>Registrant’s Form 10-K for 2018).</w:t>
              </w:r>
            </w:hyperlink>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4"/>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40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10.20†</w:t>
            </w:r>
          </w:p>
        </w:tc>
        <w:tc>
          <w:tcPr>
            <w:tcW w:w="9840" w:type="dxa"/>
            <w:vAlign w:val="bottom"/>
            <w:gridSpan w:val="33"/>
            <w:shd w:val="clear" w:color="auto" w:fill="CFF0FC"/>
          </w:tcPr>
          <w:p>
            <w:pPr>
              <w:ind w:left="40"/>
              <w:spacing w:after="0"/>
              <w:rPr>
                <w:rFonts w:ascii="Arial" w:cs="Arial" w:eastAsia="Arial" w:hAnsi="Arial"/>
                <w:sz w:val="16"/>
                <w:szCs w:val="16"/>
                <w:color w:val="0000FF"/>
              </w:rPr>
            </w:pPr>
            <w:hyperlink r:id="rId488">
              <w:r>
                <w:rPr>
                  <w:rFonts w:ascii="Arial" w:cs="Arial" w:eastAsia="Arial" w:hAnsi="Arial"/>
                  <w:sz w:val="16"/>
                  <w:szCs w:val="16"/>
                  <w:color w:val="0000FF"/>
                </w:rPr>
                <w:t>Form of Non-Disclosure and Non-Solicitation Agreement for Certain Employees (filed as Exhibit 10.8 to the Registrant’s Form 10-Q for</w:t>
              </w:r>
            </w:hyperlink>
          </w:p>
        </w:tc>
      </w:tr>
      <w:tr>
        <w:trPr>
          <w:trHeight w:val="169"/>
        </w:trPr>
        <w:tc>
          <w:tcPr>
            <w:tcW w:w="13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9660" w:type="dxa"/>
            <w:vAlign w:val="bottom"/>
            <w:tcBorders>
              <w:top w:val="single" w:sz="8" w:color="0000FF"/>
            </w:tcBorders>
            <w:gridSpan w:val="28"/>
            <w:shd w:val="clear" w:color="auto" w:fill="CFF0FC"/>
          </w:tcPr>
          <w:p>
            <w:pPr>
              <w:spacing w:after="0" w:line="169" w:lineRule="exact"/>
              <w:rPr>
                <w:rFonts w:ascii="Arial" w:cs="Arial" w:eastAsia="Arial" w:hAnsi="Arial"/>
                <w:sz w:val="16"/>
                <w:szCs w:val="16"/>
                <w:color w:val="0000FF"/>
              </w:rPr>
            </w:pPr>
            <w:hyperlink r:id="rId488">
              <w:r>
                <w:rPr>
                  <w:rFonts w:ascii="Arial" w:cs="Arial" w:eastAsia="Arial" w:hAnsi="Arial"/>
                  <w:sz w:val="16"/>
                  <w:szCs w:val="16"/>
                  <w:color w:val="0000FF"/>
                </w:rPr>
                <w:t>the quarterly period ended March 31, 2016).</w:t>
              </w:r>
            </w:hyperlink>
          </w:p>
        </w:tc>
        <w:tc>
          <w:tcPr>
            <w:tcW w:w="140" w:type="dxa"/>
            <w:vAlign w:val="bottom"/>
            <w:tcBorders>
              <w:top w:val="single" w:sz="8" w:color="CFF0FC"/>
            </w:tcBorders>
            <w:gridSpan w:val="4"/>
            <w:shd w:val="clear" w:color="auto" w:fill="CFF0FC"/>
          </w:tcPr>
          <w:p>
            <w:pPr>
              <w:spacing w:after="0"/>
              <w:rPr>
                <w:sz w:val="14"/>
                <w:szCs w:val="14"/>
                <w:color w:val="auto"/>
              </w:rPr>
            </w:pPr>
          </w:p>
        </w:tc>
      </w:tr>
      <w:tr>
        <w:trPr>
          <w:trHeight w:val="48"/>
        </w:trPr>
        <w:tc>
          <w:tcPr>
            <w:tcW w:w="13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1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380" w:type="dxa"/>
            <w:vAlign w:val="bottom"/>
            <w:tcBorders>
              <w:top w:val="single" w:sz="8" w:color="CFF0FC"/>
            </w:tcBorders>
            <w:shd w:val="clear" w:color="auto" w:fill="CFF0FC"/>
          </w:tcPr>
          <w:p>
            <w:pPr>
              <w:spacing w:after="0"/>
              <w:rPr>
                <w:sz w:val="4"/>
                <w:szCs w:val="4"/>
                <w:color w:val="auto"/>
              </w:rPr>
            </w:pPr>
          </w:p>
        </w:tc>
        <w:tc>
          <w:tcPr>
            <w:tcW w:w="340" w:type="dxa"/>
            <w:vAlign w:val="bottom"/>
            <w:tcBorders>
              <w:top w:val="single" w:sz="8" w:color="CFF0FC"/>
            </w:tcBorders>
            <w:shd w:val="clear" w:color="auto" w:fill="CFF0FC"/>
          </w:tcPr>
          <w:p>
            <w:pPr>
              <w:spacing w:after="0"/>
              <w:rPr>
                <w:sz w:val="4"/>
                <w:szCs w:val="4"/>
                <w:color w:val="auto"/>
              </w:rPr>
            </w:pPr>
          </w:p>
        </w:tc>
        <w:tc>
          <w:tcPr>
            <w:tcW w:w="460" w:type="dxa"/>
            <w:vAlign w:val="bottom"/>
            <w:tcBorders>
              <w:top w:val="single" w:sz="8" w:color="CFF0FC"/>
            </w:tcBorders>
            <w:shd w:val="clear" w:color="auto" w:fill="CFF0FC"/>
          </w:tcPr>
          <w:p>
            <w:pPr>
              <w:spacing w:after="0"/>
              <w:rPr>
                <w:sz w:val="4"/>
                <w:szCs w:val="4"/>
                <w:color w:val="auto"/>
              </w:rPr>
            </w:pPr>
          </w:p>
        </w:tc>
        <w:tc>
          <w:tcPr>
            <w:tcW w:w="1160" w:type="dxa"/>
            <w:vAlign w:val="bottom"/>
            <w:tcBorders>
              <w:top w:val="single" w:sz="8" w:color="CFF0FC"/>
            </w:tcBorders>
            <w:shd w:val="clear" w:color="auto" w:fill="CFF0FC"/>
          </w:tcPr>
          <w:p>
            <w:pPr>
              <w:spacing w:after="0"/>
              <w:rPr>
                <w:sz w:val="4"/>
                <w:szCs w:val="4"/>
                <w:color w:val="auto"/>
              </w:rPr>
            </w:pPr>
          </w:p>
        </w:tc>
        <w:tc>
          <w:tcPr>
            <w:tcW w:w="12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r>
      <w:tr>
        <w:trPr>
          <w:trHeight w:val="230"/>
        </w:trPr>
        <w:tc>
          <w:tcPr>
            <w:tcW w:w="1360" w:type="dxa"/>
            <w:vAlign w:val="bottom"/>
          </w:tcPr>
          <w:p>
            <w:pPr>
              <w:ind w:left="120"/>
              <w:spacing w:after="0"/>
              <w:rPr>
                <w:sz w:val="20"/>
                <w:szCs w:val="20"/>
                <w:color w:val="auto"/>
              </w:rPr>
            </w:pPr>
            <w:r>
              <w:rPr>
                <w:rFonts w:ascii="Arial" w:cs="Arial" w:eastAsia="Arial" w:hAnsi="Arial"/>
                <w:sz w:val="16"/>
                <w:szCs w:val="16"/>
                <w:color w:val="auto"/>
              </w:rPr>
              <w:t>10.21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0" w:type="dxa"/>
            <w:vAlign w:val="bottom"/>
            <w:gridSpan w:val="32"/>
          </w:tcPr>
          <w:p>
            <w:pPr>
              <w:spacing w:after="0"/>
              <w:rPr>
                <w:rFonts w:ascii="Arial" w:cs="Arial" w:eastAsia="Arial" w:hAnsi="Arial"/>
                <w:sz w:val="16"/>
                <w:szCs w:val="16"/>
                <w:color w:val="0000FF"/>
              </w:rPr>
            </w:pPr>
            <w:hyperlink r:id="rId489">
              <w:r>
                <w:rPr>
                  <w:rFonts w:ascii="Arial" w:cs="Arial" w:eastAsia="Arial" w:hAnsi="Arial"/>
                  <w:sz w:val="16"/>
                  <w:szCs w:val="16"/>
                  <w:color w:val="0000FF"/>
                </w:rPr>
                <w:t>Equity Distribution Sales Agreement dated June 16, 2023 among Black Hills Corporation and the several Agents named therein (filed</w:t>
              </w:r>
            </w:hyperlink>
          </w:p>
        </w:tc>
      </w:tr>
      <w:tr>
        <w:trPr>
          <w:trHeight w:val="169"/>
        </w:trPr>
        <w:tc>
          <w:tcPr>
            <w:tcW w:w="1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489">
              <w:r>
                <w:rPr>
                  <w:rFonts w:ascii="Arial" w:cs="Arial" w:eastAsia="Arial" w:hAnsi="Arial"/>
                  <w:sz w:val="16"/>
                  <w:szCs w:val="16"/>
                  <w:color w:val="0000FF"/>
                </w:rPr>
                <w:t>as Exhibit 1.1 to the Registrant’s Form 8-K filed on June 20, 2023).</w:t>
              </w:r>
            </w:hyperlink>
          </w:p>
        </w:tc>
        <w:tc>
          <w:tcPr>
            <w:tcW w:w="40" w:type="dxa"/>
            <w:vAlign w:val="bottom"/>
            <w:gridSpan w:val="2"/>
          </w:tcPr>
          <w:p>
            <w:pPr>
              <w:spacing w:after="0"/>
              <w:rPr>
                <w:sz w:val="14"/>
                <w:szCs w:val="14"/>
                <w:color w:val="auto"/>
              </w:rPr>
            </w:pPr>
          </w:p>
        </w:tc>
        <w:tc>
          <w:tcPr>
            <w:tcW w:w="160" w:type="dxa"/>
            <w:vAlign w:val="bottom"/>
            <w:gridSpan w:val="5"/>
          </w:tcPr>
          <w:p>
            <w:pPr>
              <w:spacing w:after="0"/>
              <w:rPr>
                <w:sz w:val="14"/>
                <w:szCs w:val="14"/>
                <w:color w:val="auto"/>
              </w:rPr>
            </w:pPr>
          </w:p>
        </w:tc>
      </w:tr>
      <w:tr>
        <w:trPr>
          <w:trHeight w:val="48"/>
        </w:trPr>
        <w:tc>
          <w:tcPr>
            <w:tcW w:w="13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70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4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3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10.22</w:t>
            </w:r>
          </w:p>
        </w:tc>
        <w:tc>
          <w:tcPr>
            <w:tcW w:w="40" w:type="dxa"/>
            <w:vAlign w:val="bottom"/>
            <w:shd w:val="clear" w:color="auto" w:fill="CFF0FC"/>
          </w:tcPr>
          <w:p>
            <w:pPr>
              <w:spacing w:after="0"/>
              <w:rPr>
                <w:sz w:val="19"/>
                <w:szCs w:val="19"/>
                <w:color w:val="auto"/>
              </w:rPr>
            </w:pPr>
          </w:p>
        </w:tc>
        <w:tc>
          <w:tcPr>
            <w:tcW w:w="9840" w:type="dxa"/>
            <w:vAlign w:val="bottom"/>
            <w:gridSpan w:val="33"/>
            <w:shd w:val="clear" w:color="auto" w:fill="CFF0FC"/>
          </w:tcPr>
          <w:p>
            <w:pPr>
              <w:ind w:left="40"/>
              <w:spacing w:after="0"/>
              <w:rPr>
                <w:rFonts w:ascii="Arial" w:cs="Arial" w:eastAsia="Arial" w:hAnsi="Arial"/>
                <w:sz w:val="16"/>
                <w:szCs w:val="16"/>
                <w:color w:val="0000FF"/>
              </w:rPr>
            </w:pPr>
            <w:hyperlink r:id="rId490">
              <w:r>
                <w:rPr>
                  <w:rFonts w:ascii="Arial" w:cs="Arial" w:eastAsia="Arial" w:hAnsi="Arial"/>
                  <w:sz w:val="16"/>
                  <w:szCs w:val="16"/>
                  <w:color w:val="0000FF"/>
                </w:rPr>
                <w:t xml:space="preserve">Fourth Amended and Restated Credit Agreement dated as of July 19, 2021 (relating to </w:t>
              </w:r>
              <w:r>
                <w:rPr>
                  <w:rFonts w:ascii="Arial" w:cs="Arial" w:eastAsia="Arial" w:hAnsi="Arial"/>
                  <w:sz w:val="16"/>
                  <w:szCs w:val="16"/>
                  <w:u w:val="single" w:color="auto"/>
                  <w:color w:val="0000FF"/>
                </w:rPr>
                <w:t>$</w:t>
              </w:r>
              <w:r>
                <w:rPr>
                  <w:rFonts w:ascii="Arial" w:cs="Arial" w:eastAsia="Arial" w:hAnsi="Arial"/>
                  <w:sz w:val="16"/>
                  <w:szCs w:val="16"/>
                  <w:color w:val="0000FF"/>
                </w:rPr>
                <w:t>750 million Revolving Credit Facility), among</w:t>
              </w:r>
            </w:hyperlink>
          </w:p>
        </w:tc>
      </w:tr>
      <w:tr>
        <w:trPr>
          <w:trHeight w:val="169"/>
        </w:trPr>
        <w:tc>
          <w:tcPr>
            <w:tcW w:w="13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9640" w:type="dxa"/>
            <w:vAlign w:val="bottom"/>
            <w:tcBorders>
              <w:top w:val="single" w:sz="8" w:color="0000FF"/>
            </w:tcBorders>
            <w:gridSpan w:val="27"/>
            <w:shd w:val="clear" w:color="auto" w:fill="CFF0FC"/>
          </w:tcPr>
          <w:p>
            <w:pPr>
              <w:spacing w:after="0" w:line="169" w:lineRule="exact"/>
              <w:rPr>
                <w:rFonts w:ascii="Arial" w:cs="Arial" w:eastAsia="Arial" w:hAnsi="Arial"/>
                <w:sz w:val="16"/>
                <w:szCs w:val="16"/>
                <w:color w:val="0000FF"/>
              </w:rPr>
            </w:pPr>
            <w:hyperlink r:id="rId490">
              <w:r>
                <w:rPr>
                  <w:rFonts w:ascii="Arial" w:cs="Arial" w:eastAsia="Arial" w:hAnsi="Arial"/>
                  <w:sz w:val="16"/>
                  <w:szCs w:val="16"/>
                  <w:color w:val="0000FF"/>
                </w:rPr>
                <w:t>Black Hills Corporation, as Borrower, the financial institutions party thereto, as Banks, and U.S. Bank, National Association, as</w:t>
              </w:r>
            </w:hyperlink>
          </w:p>
        </w:tc>
        <w:tc>
          <w:tcPr>
            <w:tcW w:w="160" w:type="dxa"/>
            <w:vAlign w:val="bottom"/>
            <w:tcBorders>
              <w:top w:val="single" w:sz="8" w:color="CFF0FC"/>
            </w:tcBorders>
            <w:gridSpan w:val="5"/>
            <w:shd w:val="clear" w:color="auto" w:fill="CFF0FC"/>
          </w:tcPr>
          <w:p>
            <w:pPr>
              <w:spacing w:after="0"/>
              <w:rPr>
                <w:sz w:val="14"/>
                <w:szCs w:val="14"/>
                <w:color w:val="auto"/>
              </w:rPr>
            </w:pPr>
          </w:p>
        </w:tc>
      </w:tr>
      <w:tr>
        <w:trPr>
          <w:trHeight w:val="169"/>
        </w:trPr>
        <w:tc>
          <w:tcPr>
            <w:tcW w:w="136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40" w:type="dxa"/>
            <w:vAlign w:val="bottom"/>
            <w:tcBorders>
              <w:top w:val="single" w:sz="8" w:color="CFF0FC"/>
            </w:tcBorders>
            <w:shd w:val="clear" w:color="auto" w:fill="CFF0FC"/>
          </w:tcPr>
          <w:p>
            <w:pPr>
              <w:spacing w:after="0"/>
              <w:rPr>
                <w:sz w:val="14"/>
                <w:szCs w:val="14"/>
                <w:color w:val="auto"/>
              </w:rPr>
            </w:pPr>
          </w:p>
        </w:tc>
        <w:tc>
          <w:tcPr>
            <w:tcW w:w="9080" w:type="dxa"/>
            <w:vAlign w:val="bottom"/>
            <w:tcBorders>
              <w:top w:val="single" w:sz="8" w:color="0000FF"/>
            </w:tcBorders>
            <w:gridSpan w:val="15"/>
            <w:shd w:val="clear" w:color="auto" w:fill="CFF0FC"/>
          </w:tcPr>
          <w:p>
            <w:pPr>
              <w:spacing w:after="0" w:line="169" w:lineRule="exact"/>
              <w:rPr>
                <w:rFonts w:ascii="Arial" w:cs="Arial" w:eastAsia="Arial" w:hAnsi="Arial"/>
                <w:sz w:val="16"/>
                <w:szCs w:val="16"/>
                <w:color w:val="0000FF"/>
              </w:rPr>
            </w:pPr>
            <w:hyperlink r:id="rId490">
              <w:r>
                <w:rPr>
                  <w:rFonts w:ascii="Arial" w:cs="Arial" w:eastAsia="Arial" w:hAnsi="Arial"/>
                  <w:sz w:val="16"/>
                  <w:szCs w:val="16"/>
                  <w:color w:val="0000FF"/>
                </w:rPr>
                <w:t>Administrative Agent (filed as Exhibit 10.1 to the Registrant’s Form 8-K filed on July 19, 2021).</w:t>
              </w:r>
            </w:hyperlink>
          </w:p>
        </w:tc>
        <w:tc>
          <w:tcPr>
            <w:tcW w:w="720" w:type="dxa"/>
            <w:vAlign w:val="bottom"/>
            <w:tcBorders>
              <w:top w:val="single" w:sz="8" w:color="CFF0FC"/>
            </w:tcBorders>
            <w:gridSpan w:val="17"/>
            <w:shd w:val="clear" w:color="auto" w:fill="CFF0FC"/>
          </w:tcPr>
          <w:p>
            <w:pPr>
              <w:spacing w:after="0"/>
              <w:rPr>
                <w:sz w:val="14"/>
                <w:szCs w:val="14"/>
                <w:color w:val="auto"/>
              </w:rPr>
            </w:pPr>
          </w:p>
        </w:tc>
      </w:tr>
      <w:tr>
        <w:trPr>
          <w:trHeight w:val="48"/>
        </w:trPr>
        <w:tc>
          <w:tcPr>
            <w:tcW w:w="136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1700" w:type="dxa"/>
            <w:vAlign w:val="bottom"/>
            <w:tcBorders>
              <w:top w:val="single" w:sz="8" w:color="0000FF"/>
            </w:tcBorders>
            <w:shd w:val="clear" w:color="auto" w:fill="CFF0FC"/>
          </w:tcPr>
          <w:p>
            <w:pPr>
              <w:spacing w:after="0"/>
              <w:rPr>
                <w:sz w:val="4"/>
                <w:szCs w:val="4"/>
                <w:color w:val="auto"/>
              </w:rPr>
            </w:pPr>
          </w:p>
        </w:tc>
        <w:tc>
          <w:tcPr>
            <w:tcW w:w="120" w:type="dxa"/>
            <w:vAlign w:val="bottom"/>
            <w:tcBorders>
              <w:top w:val="single" w:sz="8" w:color="0000FF"/>
            </w:tcBorders>
            <w:shd w:val="clear" w:color="auto" w:fill="CFF0FC"/>
          </w:tcPr>
          <w:p>
            <w:pPr>
              <w:spacing w:after="0"/>
              <w:rPr>
                <w:sz w:val="4"/>
                <w:szCs w:val="4"/>
                <w:color w:val="auto"/>
              </w:rPr>
            </w:pPr>
          </w:p>
        </w:tc>
        <w:tc>
          <w:tcPr>
            <w:tcW w:w="64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220" w:type="dxa"/>
            <w:vAlign w:val="bottom"/>
            <w:tcBorders>
              <w:top w:val="single" w:sz="8" w:color="0000FF"/>
            </w:tcBorders>
            <w:shd w:val="clear" w:color="auto" w:fill="CFF0FC"/>
          </w:tcPr>
          <w:p>
            <w:pPr>
              <w:spacing w:after="0"/>
              <w:rPr>
                <w:sz w:val="4"/>
                <w:szCs w:val="4"/>
                <w:color w:val="auto"/>
              </w:rPr>
            </w:pPr>
          </w:p>
        </w:tc>
        <w:tc>
          <w:tcPr>
            <w:tcW w:w="380" w:type="dxa"/>
            <w:vAlign w:val="bottom"/>
            <w:tcBorders>
              <w:top w:val="single" w:sz="8" w:color="0000FF"/>
            </w:tcBorders>
            <w:shd w:val="clear" w:color="auto" w:fill="CFF0FC"/>
          </w:tcPr>
          <w:p>
            <w:pPr>
              <w:spacing w:after="0"/>
              <w:rPr>
                <w:sz w:val="4"/>
                <w:szCs w:val="4"/>
                <w:color w:val="auto"/>
              </w:rPr>
            </w:pPr>
          </w:p>
        </w:tc>
        <w:tc>
          <w:tcPr>
            <w:tcW w:w="340" w:type="dxa"/>
            <w:vAlign w:val="bottom"/>
            <w:tcBorders>
              <w:top w:val="single" w:sz="8" w:color="0000FF"/>
            </w:tcBorders>
            <w:shd w:val="clear" w:color="auto" w:fill="CFF0FC"/>
          </w:tcPr>
          <w:p>
            <w:pPr>
              <w:spacing w:after="0"/>
              <w:rPr>
                <w:sz w:val="4"/>
                <w:szCs w:val="4"/>
                <w:color w:val="auto"/>
              </w:rPr>
            </w:pPr>
          </w:p>
        </w:tc>
        <w:tc>
          <w:tcPr>
            <w:tcW w:w="460" w:type="dxa"/>
            <w:vAlign w:val="bottom"/>
            <w:tcBorders>
              <w:top w:val="single" w:sz="8" w:color="0000FF"/>
            </w:tcBorders>
            <w:shd w:val="clear" w:color="auto" w:fill="CFF0FC"/>
          </w:tcPr>
          <w:p>
            <w:pPr>
              <w:spacing w:after="0"/>
              <w:rPr>
                <w:sz w:val="4"/>
                <w:szCs w:val="4"/>
                <w:color w:val="auto"/>
              </w:rPr>
            </w:pPr>
          </w:p>
        </w:tc>
        <w:tc>
          <w:tcPr>
            <w:tcW w:w="1160" w:type="dxa"/>
            <w:vAlign w:val="bottom"/>
            <w:tcBorders>
              <w:top w:val="single" w:sz="8" w:color="0000FF"/>
            </w:tcBorders>
            <w:shd w:val="clear" w:color="auto" w:fill="CFF0FC"/>
          </w:tcPr>
          <w:p>
            <w:pPr>
              <w:spacing w:after="0"/>
              <w:rPr>
                <w:sz w:val="4"/>
                <w:szCs w:val="4"/>
                <w:color w:val="auto"/>
              </w:rPr>
            </w:pPr>
          </w:p>
        </w:tc>
        <w:tc>
          <w:tcPr>
            <w:tcW w:w="1260" w:type="dxa"/>
            <w:vAlign w:val="bottom"/>
            <w:tcBorders>
              <w:top w:val="single" w:sz="8" w:color="CFF0FC"/>
            </w:tcBorders>
            <w:shd w:val="clear" w:color="auto" w:fill="CFF0FC"/>
          </w:tcPr>
          <w:p>
            <w:pPr>
              <w:spacing w:after="0"/>
              <w:rPr>
                <w:sz w:val="4"/>
                <w:szCs w:val="4"/>
                <w:color w:val="auto"/>
              </w:rPr>
            </w:pPr>
          </w:p>
        </w:tc>
        <w:tc>
          <w:tcPr>
            <w:tcW w:w="2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CFF0FC"/>
            </w:tcBorders>
            <w:shd w:val="clear" w:color="auto" w:fill="CFF0FC"/>
          </w:tcPr>
          <w:p>
            <w:pPr>
              <w:spacing w:after="0"/>
              <w:rPr>
                <w:sz w:val="4"/>
                <w:szCs w:val="4"/>
                <w:color w:val="auto"/>
              </w:rPr>
            </w:pPr>
          </w:p>
        </w:tc>
        <w:tc>
          <w:tcPr>
            <w:tcW w:w="2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c>
          <w:tcPr>
            <w:tcW w:w="6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r>
    </w:tbl>
    <w:p>
      <w:pPr>
        <w:spacing w:after="0" w:line="53" w:lineRule="exact"/>
        <w:rPr>
          <w:sz w:val="20"/>
          <w:szCs w:val="20"/>
          <w:color w:val="auto"/>
        </w:rPr>
      </w:pPr>
    </w:p>
    <w:p>
      <w:pPr>
        <w:sectPr>
          <w:pgSz w:w="11900" w:h="16838" w:orient="portrait"/>
          <w:cols w:equalWidth="0" w:num="1">
            <w:col w:w="11240"/>
          </w:cols>
          <w:pgMar w:left="320" w:top="766" w:right="339" w:bottom="1440" w:gutter="0" w:footer="0" w:header="0"/>
        </w:sectPr>
      </w:pPr>
    </w:p>
    <w:p>
      <w:pPr>
        <w:ind w:left="120"/>
        <w:spacing w:after="0"/>
        <w:rPr>
          <w:sz w:val="20"/>
          <w:szCs w:val="20"/>
          <w:color w:val="auto"/>
        </w:rPr>
      </w:pPr>
      <w:r>
        <w:rPr>
          <w:rFonts w:ascii="Arial" w:cs="Arial" w:eastAsia="Arial" w:hAnsi="Arial"/>
          <w:sz w:val="15"/>
          <w:szCs w:val="15"/>
          <w:color w:val="auto"/>
        </w:rPr>
        <w:t>10.22-1</w:t>
      </w:r>
    </w:p>
    <w:p>
      <w:pPr>
        <w:spacing w:after="0" w:line="200" w:lineRule="exact"/>
        <w:rPr>
          <w:sz w:val="20"/>
          <w:szCs w:val="20"/>
          <w:color w:val="auto"/>
        </w:rPr>
      </w:pPr>
    </w:p>
    <w:p>
      <w:pPr>
        <w:spacing w:after="0" w:line="30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10.23†</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10.24†</w:t>
      </w:r>
    </w:p>
    <w:p>
      <w:pPr>
        <w:spacing w:after="0" w:line="20" w:lineRule="exact"/>
        <w:rPr>
          <w:sz w:val="20"/>
          <w:szCs w:val="20"/>
          <w:color w:val="auto"/>
        </w:rPr>
      </w:pPr>
      <w:r>
        <w:rPr>
          <w:sz w:val="20"/>
          <w:szCs w:val="20"/>
          <w:color w:val="auto"/>
        </w:rPr>
        <w:br w:type="column"/>
      </w:r>
    </w:p>
    <w:p>
      <w:pPr>
        <w:ind w:right="240"/>
        <w:spacing w:after="0" w:line="266" w:lineRule="auto"/>
        <w:rPr>
          <w:rFonts w:ascii="Arial" w:cs="Arial" w:eastAsia="Arial" w:hAnsi="Arial"/>
          <w:sz w:val="16"/>
          <w:szCs w:val="16"/>
          <w:u w:val="single" w:color="auto"/>
          <w:color w:val="0000FF"/>
        </w:rPr>
      </w:pPr>
      <w:hyperlink r:id="rId491">
        <w:r>
          <w:rPr>
            <w:rFonts w:ascii="Arial" w:cs="Arial" w:eastAsia="Arial" w:hAnsi="Arial"/>
            <w:sz w:val="16"/>
            <w:szCs w:val="16"/>
            <w:u w:val="single" w:color="auto"/>
            <w:color w:val="0000FF"/>
          </w:rPr>
          <w:t>First Amendment to Fourth Amended and Restated Credit Agreement dated as of May 9, 2023 (relating to $750 million Revolving</w:t>
        </w:r>
      </w:hyperlink>
      <w:r>
        <w:rPr>
          <w:rFonts w:ascii="Arial" w:cs="Arial" w:eastAsia="Arial" w:hAnsi="Arial"/>
          <w:sz w:val="16"/>
          <w:szCs w:val="16"/>
          <w:u w:val="single" w:color="auto"/>
          <w:color w:val="0000FF"/>
        </w:rPr>
        <w:t xml:space="preserve"> </w:t>
      </w:r>
      <w:hyperlink r:id="rId491">
        <w:r>
          <w:rPr>
            <w:rFonts w:ascii="Arial" w:cs="Arial" w:eastAsia="Arial" w:hAnsi="Arial"/>
            <w:sz w:val="16"/>
            <w:szCs w:val="16"/>
            <w:u w:val="single" w:color="auto"/>
            <w:color w:val="0000FF"/>
          </w:rPr>
          <w:t>Credit Facility), among Black Hills Corporation, as Borrower, the financial institutions party thereto, as Banks, and U.S. Bank, National</w:t>
        </w:r>
      </w:hyperlink>
      <w:r>
        <w:rPr>
          <w:rFonts w:ascii="Arial" w:cs="Arial" w:eastAsia="Arial" w:hAnsi="Arial"/>
          <w:sz w:val="16"/>
          <w:szCs w:val="16"/>
          <w:u w:val="single" w:color="auto"/>
          <w:color w:val="0000FF"/>
        </w:rPr>
        <w:t xml:space="preserve"> </w:t>
      </w:r>
      <w:hyperlink r:id="rId491">
        <w:r>
          <w:rPr>
            <w:rFonts w:ascii="Arial" w:cs="Arial" w:eastAsia="Arial" w:hAnsi="Arial"/>
            <w:sz w:val="16"/>
            <w:szCs w:val="16"/>
            <w:u w:val="single" w:color="auto"/>
            <w:color w:val="0000FF"/>
          </w:rPr>
          <w:t>Association, as Administrative Agent (filed as Exhibit 10.1 to the Registrant's Form 10-Q filed on August 3, 2023).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590105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92">
                      <a:extLst>
                        <a:ext uri="{28A0092B-C50C-407E-A947-70E740481C1C}"/>
                      </a:extLst>
                    </a:blip>
                    <a:srcRect/>
                    <a:stretch>
                      <a:fillRect/>
                    </a:stretch>
                  </pic:blipFill>
                  <pic:spPr bwMode="auto">
                    <a:xfrm>
                      <a:off x="0" y="0"/>
                      <a:ext cx="5901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60947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93">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-36195</wp:posOffset>
            </wp:positionV>
            <wp:extent cx="514286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94">
                      <a:extLst>
                        <a:ext uri="{28A0092B-C50C-407E-A947-70E740481C1C}"/>
                      </a:extLst>
                    </a:blip>
                    <a:srcRect/>
                    <a:stretch>
                      <a:fillRect/>
                    </a:stretch>
                  </pic:blipFill>
                  <pic:spPr bwMode="auto">
                    <a:xfrm>
                      <a:off x="0" y="0"/>
                      <a:ext cx="5142865" cy="8890"/>
                    </a:xfrm>
                    <a:prstGeom prst="rect">
                      <a:avLst/>
                    </a:prstGeom>
                    <a:noFill/>
                  </pic:spPr>
                </pic:pic>
              </a:graphicData>
            </a:graphic>
          </wp:anchor>
        </w:drawing>
      </w:r>
    </w:p>
    <w:p>
      <w:pPr>
        <w:spacing w:after="0"/>
        <w:rPr>
          <w:rFonts w:ascii="Arial" w:cs="Arial" w:eastAsia="Arial" w:hAnsi="Arial"/>
          <w:sz w:val="16"/>
          <w:szCs w:val="16"/>
          <w:u w:val="single" w:color="auto"/>
          <w:color w:val="0000FF"/>
        </w:rPr>
      </w:pPr>
      <w:hyperlink r:id="rId495">
        <w:r>
          <w:rPr>
            <w:rFonts w:ascii="Arial" w:cs="Arial" w:eastAsia="Arial" w:hAnsi="Arial"/>
            <w:sz w:val="16"/>
            <w:szCs w:val="16"/>
            <w:u w:val="single" w:color="auto"/>
            <w:color w:val="0000FF"/>
          </w:rPr>
          <w:t>Letter Agreement between Black Hills Corporation and Jennifer C. Landis (filed as Exhibit 10.1 to Form 10-Q filed May 4, 2023).</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-908685</wp:posOffset>
            </wp:positionH>
            <wp:positionV relativeFrom="paragraph">
              <wp:posOffset>-115570</wp:posOffset>
            </wp:positionV>
            <wp:extent cx="7132320"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9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47" w:lineRule="exact"/>
        <w:rPr>
          <w:rFonts w:ascii="Arial" w:cs="Arial" w:eastAsia="Arial" w:hAnsi="Arial"/>
          <w:sz w:val="16"/>
          <w:szCs w:val="16"/>
          <w:u w:val="single" w:color="auto"/>
          <w:color w:val="0000FF"/>
        </w:rPr>
      </w:pPr>
    </w:p>
    <w:p>
      <w:pPr>
        <w:ind w:right="220"/>
        <w:spacing w:after="0" w:line="272" w:lineRule="auto"/>
        <w:rPr>
          <w:rFonts w:ascii="Arial" w:cs="Arial" w:eastAsia="Arial" w:hAnsi="Arial"/>
          <w:sz w:val="16"/>
          <w:szCs w:val="16"/>
          <w:u w:val="single" w:color="auto"/>
          <w:color w:val="0000FF"/>
        </w:rPr>
      </w:pPr>
      <w:hyperlink r:id="rId497">
        <w:r>
          <w:rPr>
            <w:rFonts w:ascii="Arial" w:cs="Arial" w:eastAsia="Arial" w:hAnsi="Arial"/>
            <w:sz w:val="16"/>
            <w:szCs w:val="16"/>
            <w:u w:val="single" w:color="auto"/>
            <w:color w:val="0000FF"/>
          </w:rPr>
          <w:t>Non-Employee Director Equity Compensation Plan effective January 1, 2022 (filed as Exhibit 10.25 to the Registrant's Form 10-K filed</w:t>
        </w:r>
      </w:hyperlink>
      <w:r>
        <w:rPr>
          <w:rFonts w:ascii="Arial" w:cs="Arial" w:eastAsia="Arial" w:hAnsi="Arial"/>
          <w:sz w:val="16"/>
          <w:szCs w:val="16"/>
          <w:u w:val="single" w:color="auto"/>
          <w:color w:val="0000FF"/>
        </w:rPr>
        <w:t xml:space="preserve"> </w:t>
      </w:r>
      <w:hyperlink r:id="rId497">
        <w:r>
          <w:rPr>
            <w:rFonts w:ascii="Arial" w:cs="Arial" w:eastAsia="Arial" w:hAnsi="Arial"/>
            <w:sz w:val="16"/>
            <w:szCs w:val="16"/>
            <w:u w:val="single" w:color="auto"/>
            <w:color w:val="0000FF"/>
          </w:rPr>
          <w:t>on February 15,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1131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98">
                      <a:extLst>
                        <a:ext uri="{28A0092B-C50C-407E-A947-70E740481C1C}"/>
                      </a:extLst>
                    </a:blip>
                    <a:srcRect/>
                    <a:stretch>
                      <a:fillRect/>
                    </a:stretch>
                  </pic:blipFill>
                  <pic:spPr bwMode="auto">
                    <a:xfrm>
                      <a:off x="0" y="0"/>
                      <a:ext cx="6113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wp:posOffset>
            </wp:positionV>
            <wp:extent cx="10464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479425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20" w:space="720"/>
            <w:col w:w="9800"/>
          </w:cols>
          <w:pgMar w:left="320" w:top="766" w:right="33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501">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10.25†</w:t>
            </w:r>
          </w:p>
        </w:tc>
        <w:tc>
          <w:tcPr>
            <w:tcW w:w="10100" w:type="dxa"/>
            <w:vAlign w:val="bottom"/>
            <w:gridSpan w:val="22"/>
            <w:shd w:val="clear" w:color="auto" w:fill="CFF0FC"/>
          </w:tcPr>
          <w:p>
            <w:pPr>
              <w:ind w:left="300"/>
              <w:spacing w:after="0"/>
              <w:rPr>
                <w:rFonts w:ascii="Arial" w:cs="Arial" w:eastAsia="Arial" w:hAnsi="Arial"/>
                <w:sz w:val="16"/>
                <w:szCs w:val="16"/>
                <w:color w:val="0000FF"/>
              </w:rPr>
            </w:pPr>
            <w:hyperlink r:id="rId502">
              <w:r>
                <w:rPr>
                  <w:rFonts w:ascii="Arial" w:cs="Arial" w:eastAsia="Arial" w:hAnsi="Arial"/>
                  <w:sz w:val="16"/>
                  <w:szCs w:val="16"/>
                  <w:color w:val="0000FF"/>
                </w:rPr>
                <w:t>Form of Restricted Stock Unit Award Agreement (Non-Employee Director) effective for awards granted on or after January 1, 2022</w:t>
              </w:r>
            </w:hyperlink>
          </w:p>
        </w:tc>
      </w:tr>
      <w:tr>
        <w:trPr>
          <w:trHeight w:val="217"/>
        </w:trPr>
        <w:tc>
          <w:tcPr>
            <w:tcW w:w="1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9380" w:type="dxa"/>
            <w:vAlign w:val="bottom"/>
            <w:tcBorders>
              <w:top w:val="single" w:sz="8" w:color="0000FF"/>
            </w:tcBorders>
            <w:gridSpan w:val="13"/>
            <w:shd w:val="clear" w:color="auto" w:fill="CFF0FC"/>
          </w:tcPr>
          <w:p>
            <w:pPr>
              <w:spacing w:after="0" w:line="169" w:lineRule="exact"/>
              <w:rPr>
                <w:rFonts w:ascii="Arial" w:cs="Arial" w:eastAsia="Arial" w:hAnsi="Arial"/>
                <w:sz w:val="16"/>
                <w:szCs w:val="16"/>
                <w:color w:val="0000FF"/>
              </w:rPr>
            </w:pPr>
            <w:hyperlink r:id="rId502">
              <w:r>
                <w:rPr>
                  <w:rFonts w:ascii="Arial" w:cs="Arial" w:eastAsia="Arial" w:hAnsi="Arial"/>
                  <w:sz w:val="16"/>
                  <w:szCs w:val="16"/>
                  <w:color w:val="0000FF"/>
                </w:rPr>
                <w:t>(filed as Exhibit 10.26 to the Registrant's Form 10-K filed on February 15, 2022).</w:t>
              </w:r>
            </w:hyperlink>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1140" w:type="dxa"/>
            <w:vAlign w:val="bottom"/>
            <w:tcBorders>
              <w:top w:val="single" w:sz="8" w:color="CFF0FC"/>
            </w:tcBorders>
          </w:tcPr>
          <w:p>
            <w:pPr>
              <w:ind w:left="120"/>
              <w:spacing w:after="0"/>
              <w:rPr>
                <w:sz w:val="20"/>
                <w:szCs w:val="20"/>
                <w:color w:val="auto"/>
              </w:rPr>
            </w:pPr>
            <w:r>
              <w:rPr>
                <w:rFonts w:ascii="Arial" w:cs="Arial" w:eastAsia="Arial" w:hAnsi="Arial"/>
                <w:sz w:val="16"/>
                <w:szCs w:val="16"/>
                <w:color w:val="auto"/>
              </w:rPr>
              <w:t>10.26</w:t>
            </w:r>
          </w:p>
        </w:tc>
        <w:tc>
          <w:tcPr>
            <w:tcW w:w="300" w:type="dxa"/>
            <w:vAlign w:val="bottom"/>
            <w:tcBorders>
              <w:top w:val="single" w:sz="8" w:color="CFF0FC"/>
            </w:tcBorders>
          </w:tcPr>
          <w:p>
            <w:pPr>
              <w:spacing w:after="0"/>
              <w:rPr>
                <w:sz w:val="18"/>
                <w:szCs w:val="18"/>
                <w:color w:val="auto"/>
              </w:rPr>
            </w:pPr>
          </w:p>
        </w:tc>
        <w:tc>
          <w:tcPr>
            <w:tcW w:w="574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Coal Leases between WRDC and the Federal Government</w:t>
            </w:r>
          </w:p>
        </w:tc>
        <w:tc>
          <w:tcPr>
            <w:tcW w:w="4060" w:type="dxa"/>
            <w:vAlign w:val="bottom"/>
            <w:tcBorders>
              <w:top w:val="single" w:sz="8" w:color="CFF0FC"/>
            </w:tcBorders>
            <w:gridSpan w:val="11"/>
          </w:tcPr>
          <w:p>
            <w:pPr>
              <w:spacing w:after="0"/>
              <w:rPr>
                <w:sz w:val="18"/>
                <w:szCs w:val="18"/>
                <w:color w:val="auto"/>
              </w:rPr>
            </w:pP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21"/>
          </w:tcPr>
          <w:p>
            <w:pPr>
              <w:ind w:left="240"/>
              <w:spacing w:after="0" w:line="184" w:lineRule="exact"/>
              <w:rPr>
                <w:sz w:val="20"/>
                <w:szCs w:val="20"/>
                <w:color w:val="auto"/>
              </w:rPr>
            </w:pPr>
            <w:r>
              <w:rPr>
                <w:rFonts w:ascii="Arial" w:cs="Arial" w:eastAsia="Arial" w:hAnsi="Arial"/>
                <w:sz w:val="16"/>
                <w:szCs w:val="16"/>
                <w:color w:val="auto"/>
              </w:rPr>
              <w:t>-Dated May 1, 1959 (filed as Exhibit 5(i)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21"/>
          </w:tcPr>
          <w:p>
            <w:pPr>
              <w:ind w:left="360"/>
              <w:spacing w:after="0" w:line="184" w:lineRule="exact"/>
              <w:rPr>
                <w:sz w:val="20"/>
                <w:szCs w:val="20"/>
                <w:color w:val="auto"/>
              </w:rPr>
            </w:pPr>
            <w:r>
              <w:rPr>
                <w:rFonts w:ascii="Arial" w:cs="Arial" w:eastAsia="Arial" w:hAnsi="Arial"/>
                <w:sz w:val="16"/>
                <w:szCs w:val="16"/>
                <w:color w:val="auto"/>
              </w:rPr>
              <w:t>-Modified January 22, 1990 (filed as Exhibit 10(h)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21"/>
          </w:tcPr>
          <w:p>
            <w:pPr>
              <w:ind w:left="240"/>
              <w:spacing w:after="0" w:line="184" w:lineRule="exact"/>
              <w:rPr>
                <w:sz w:val="20"/>
                <w:szCs w:val="20"/>
                <w:color w:val="auto"/>
              </w:rPr>
            </w:pPr>
            <w:r>
              <w:rPr>
                <w:rFonts w:ascii="Arial" w:cs="Arial" w:eastAsia="Arial" w:hAnsi="Arial"/>
                <w:sz w:val="16"/>
                <w:szCs w:val="16"/>
                <w:color w:val="auto"/>
              </w:rPr>
              <w:t>-Dated April 1, 1961 (filed as Exhibit 5(j)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21"/>
          </w:tcPr>
          <w:p>
            <w:pPr>
              <w:ind w:left="360"/>
              <w:spacing w:after="0" w:line="184" w:lineRule="exact"/>
              <w:rPr>
                <w:sz w:val="20"/>
                <w:szCs w:val="20"/>
                <w:color w:val="auto"/>
              </w:rPr>
            </w:pPr>
            <w:r>
              <w:rPr>
                <w:rFonts w:ascii="Arial" w:cs="Arial" w:eastAsia="Arial" w:hAnsi="Arial"/>
                <w:sz w:val="16"/>
                <w:szCs w:val="16"/>
                <w:color w:val="auto"/>
              </w:rPr>
              <w:t>-Modified January 22, 1990 (filed as Exhibit 10(i) to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189"/>
        </w:trPr>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0" w:type="dxa"/>
            <w:vAlign w:val="bottom"/>
            <w:gridSpan w:val="21"/>
          </w:tcPr>
          <w:p>
            <w:pPr>
              <w:ind w:left="240"/>
              <w:spacing w:after="0" w:line="184" w:lineRule="exact"/>
              <w:rPr>
                <w:sz w:val="20"/>
                <w:szCs w:val="20"/>
                <w:color w:val="auto"/>
              </w:rPr>
            </w:pPr>
            <w:r>
              <w:rPr>
                <w:rFonts w:ascii="Arial" w:cs="Arial" w:eastAsia="Arial" w:hAnsi="Arial"/>
                <w:sz w:val="16"/>
                <w:szCs w:val="16"/>
                <w:color w:val="auto"/>
              </w:rPr>
              <w:t>-Dated October 1, 1965 (filed as Exhibit 5(k) to the Registrant’s Form S</w:t>
            </w:r>
            <w:r>
              <w:rPr>
                <w:rFonts w:ascii="MS PGothic" w:cs="MS PGothic" w:eastAsia="MS PGothic" w:hAnsi="MS PGothic"/>
                <w:sz w:val="16"/>
                <w:szCs w:val="16"/>
                <w:color w:val="auto"/>
              </w:rPr>
              <w:t>‑</w:t>
            </w:r>
            <w:r>
              <w:rPr>
                <w:rFonts w:ascii="Arial" w:cs="Arial" w:eastAsia="Arial" w:hAnsi="Arial"/>
                <w:sz w:val="16"/>
                <w:szCs w:val="16"/>
                <w:color w:val="auto"/>
              </w:rPr>
              <w:t>7, File No. 2</w:t>
            </w:r>
            <w:r>
              <w:rPr>
                <w:rFonts w:ascii="MS PGothic" w:cs="MS PGothic" w:eastAsia="MS PGothic" w:hAnsi="MS PGothic"/>
                <w:sz w:val="16"/>
                <w:szCs w:val="16"/>
                <w:color w:val="auto"/>
              </w:rPr>
              <w:t>‑</w:t>
            </w:r>
            <w:r>
              <w:rPr>
                <w:rFonts w:ascii="Arial" w:cs="Arial" w:eastAsia="Arial" w:hAnsi="Arial"/>
                <w:sz w:val="16"/>
                <w:szCs w:val="16"/>
                <w:color w:val="auto"/>
              </w:rPr>
              <w:t>60755)</w:t>
            </w:r>
          </w:p>
        </w:tc>
      </w:tr>
      <w:tr>
        <w:trPr>
          <w:trHeight w:val="270"/>
        </w:trPr>
        <w:tc>
          <w:tcPr>
            <w:tcW w:w="1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0" w:type="dxa"/>
            <w:vAlign w:val="bottom"/>
            <w:gridSpan w:val="21"/>
          </w:tcPr>
          <w:p>
            <w:pPr>
              <w:ind w:left="360"/>
              <w:spacing w:after="0" w:line="184" w:lineRule="exact"/>
              <w:rPr>
                <w:sz w:val="20"/>
                <w:szCs w:val="20"/>
                <w:color w:val="auto"/>
              </w:rPr>
            </w:pPr>
            <w:r>
              <w:rPr>
                <w:rFonts w:ascii="Arial" w:cs="Arial" w:eastAsia="Arial" w:hAnsi="Arial"/>
                <w:sz w:val="16"/>
                <w:szCs w:val="16"/>
                <w:color w:val="auto"/>
              </w:rPr>
              <w:t>-Modified January 22, 1990 (filed as Exhibit 10(j) to the Registrant’s Form 10</w:t>
            </w:r>
            <w:r>
              <w:rPr>
                <w:rFonts w:ascii="MS PGothic" w:cs="MS PGothic" w:eastAsia="MS PGothic" w:hAnsi="MS PGothic"/>
                <w:sz w:val="16"/>
                <w:szCs w:val="16"/>
                <w:color w:val="auto"/>
              </w:rPr>
              <w:t>‑</w:t>
            </w:r>
            <w:r>
              <w:rPr>
                <w:rFonts w:ascii="Arial" w:cs="Arial" w:eastAsia="Arial" w:hAnsi="Arial"/>
                <w:sz w:val="16"/>
                <w:szCs w:val="16"/>
                <w:color w:val="auto"/>
              </w:rPr>
              <w:t>K for 1989).</w:t>
            </w:r>
          </w:p>
        </w:tc>
      </w:tr>
      <w:tr>
        <w:trPr>
          <w:trHeight w:val="242"/>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10.27</w:t>
            </w:r>
          </w:p>
        </w:tc>
        <w:tc>
          <w:tcPr>
            <w:tcW w:w="10100" w:type="dxa"/>
            <w:vAlign w:val="bottom"/>
            <w:gridSpan w:val="22"/>
            <w:shd w:val="clear" w:color="auto" w:fill="CFF0FC"/>
          </w:tcPr>
          <w:p>
            <w:pPr>
              <w:ind w:left="300"/>
              <w:spacing w:after="0"/>
              <w:rPr>
                <w:sz w:val="20"/>
                <w:szCs w:val="20"/>
                <w:color w:val="auto"/>
              </w:rPr>
            </w:pPr>
            <w:r>
              <w:rPr>
                <w:rFonts w:ascii="Arial" w:cs="Arial" w:eastAsia="Arial" w:hAnsi="Arial"/>
                <w:sz w:val="16"/>
                <w:szCs w:val="16"/>
                <w:color w:val="auto"/>
              </w:rPr>
              <w:t>Assignment of Mining Leases and Related Agreement effective May 27, 1997, between WRDC and Kerr-McGee Coal Corporation</w:t>
            </w:r>
          </w:p>
        </w:tc>
      </w:tr>
      <w:tr>
        <w:trPr>
          <w:trHeight w:val="224"/>
        </w:trPr>
        <w:tc>
          <w:tcPr>
            <w:tcW w:w="1140" w:type="dxa"/>
            <w:vAlign w:val="bottom"/>
            <w:tcBorders>
              <w:bottom w:val="single" w:sz="8" w:color="CFF0FC"/>
            </w:tcBorders>
            <w:shd w:val="clear" w:color="auto" w:fill="CFF0FC"/>
          </w:tcPr>
          <w:p>
            <w:pPr>
              <w:spacing w:after="0"/>
              <w:rPr>
                <w:sz w:val="19"/>
                <w:szCs w:val="19"/>
                <w:color w:val="auto"/>
              </w:rPr>
            </w:pPr>
          </w:p>
        </w:tc>
        <w:tc>
          <w:tcPr>
            <w:tcW w:w="10100" w:type="dxa"/>
            <w:vAlign w:val="bottom"/>
            <w:tcBorders>
              <w:bottom w:val="single" w:sz="8" w:color="CFF0FC"/>
            </w:tcBorders>
            <w:gridSpan w:val="22"/>
            <w:shd w:val="clear" w:color="auto" w:fill="CFF0FC"/>
          </w:tcPr>
          <w:p>
            <w:pPr>
              <w:ind w:left="300"/>
              <w:spacing w:after="0"/>
              <w:rPr>
                <w:sz w:val="20"/>
                <w:szCs w:val="20"/>
                <w:color w:val="auto"/>
              </w:rPr>
            </w:pPr>
            <w:r>
              <w:rPr>
                <w:rFonts w:ascii="Arial" w:cs="Arial" w:eastAsia="Arial" w:hAnsi="Arial"/>
                <w:sz w:val="16"/>
                <w:szCs w:val="16"/>
                <w:color w:val="auto"/>
              </w:rPr>
              <w:t>(filed as Exhibit 10(u) to the Registrant’s Form 10-K for 1997).</w:t>
            </w: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10.28†</w:t>
            </w:r>
          </w:p>
        </w:tc>
        <w:tc>
          <w:tcPr>
            <w:tcW w:w="10100" w:type="dxa"/>
            <w:vAlign w:val="bottom"/>
            <w:gridSpan w:val="22"/>
          </w:tcPr>
          <w:p>
            <w:pPr>
              <w:ind w:left="300"/>
              <w:spacing w:after="0"/>
              <w:rPr>
                <w:rFonts w:ascii="Arial" w:cs="Arial" w:eastAsia="Arial" w:hAnsi="Arial"/>
                <w:sz w:val="16"/>
                <w:szCs w:val="16"/>
                <w:color w:val="0000FF"/>
              </w:rPr>
            </w:pPr>
            <w:hyperlink r:id="rId503">
              <w:r>
                <w:rPr>
                  <w:rFonts w:ascii="Arial" w:cs="Arial" w:eastAsia="Arial" w:hAnsi="Arial"/>
                  <w:sz w:val="16"/>
                  <w:szCs w:val="16"/>
                  <w:color w:val="0000FF"/>
                </w:rPr>
                <w:t>Form of Restricted Stock Award Agreement for the Amended and Restated 2015 Omnibus Incentive Plan effective for awards granted</w:t>
              </w:r>
            </w:hyperlink>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4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503">
              <w:r>
                <w:rPr>
                  <w:rFonts w:ascii="Arial" w:cs="Arial" w:eastAsia="Arial" w:hAnsi="Arial"/>
                  <w:sz w:val="16"/>
                  <w:szCs w:val="16"/>
                  <w:color w:val="0000FF"/>
                </w:rPr>
                <w:t>on or after January 24, 2023 (filed as Exhibit 10.30 to the Registrant's Form 10-K for 2022).</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10.29†</w:t>
            </w:r>
          </w:p>
        </w:tc>
        <w:tc>
          <w:tcPr>
            <w:tcW w:w="10100" w:type="dxa"/>
            <w:vAlign w:val="bottom"/>
            <w:gridSpan w:val="22"/>
            <w:shd w:val="clear" w:color="auto" w:fill="CFF0FC"/>
          </w:tcPr>
          <w:p>
            <w:pPr>
              <w:ind w:left="300"/>
              <w:spacing w:after="0"/>
              <w:rPr>
                <w:rFonts w:ascii="Arial" w:cs="Arial" w:eastAsia="Arial" w:hAnsi="Arial"/>
                <w:sz w:val="16"/>
                <w:szCs w:val="16"/>
                <w:color w:val="0000FF"/>
              </w:rPr>
            </w:pPr>
            <w:hyperlink r:id="rId504">
              <w:r>
                <w:rPr>
                  <w:rFonts w:ascii="Arial" w:cs="Arial" w:eastAsia="Arial" w:hAnsi="Arial"/>
                  <w:sz w:val="16"/>
                  <w:szCs w:val="16"/>
                  <w:color w:val="0000FF"/>
                </w:rPr>
                <w:t>Form of Performance Unit Award Agreement for the Amended and Restated 2015 Omnibus Incentive Plan effective for awards granted</w:t>
              </w:r>
            </w:hyperlink>
          </w:p>
        </w:tc>
      </w:tr>
      <w:tr>
        <w:trPr>
          <w:trHeight w:val="169"/>
        </w:trPr>
        <w:tc>
          <w:tcPr>
            <w:tcW w:w="1140" w:type="dxa"/>
            <w:vAlign w:val="bottom"/>
            <w:tcBorders>
              <w:top w:val="single" w:sz="8" w:color="CFF0FC"/>
            </w:tcBorders>
            <w:shd w:val="clear" w:color="auto" w:fill="CFF0FC"/>
          </w:tcPr>
          <w:p>
            <w:pPr>
              <w:spacing w:after="0"/>
              <w:rPr>
                <w:sz w:val="14"/>
                <w:szCs w:val="14"/>
                <w:color w:val="auto"/>
              </w:rPr>
            </w:pPr>
          </w:p>
        </w:tc>
        <w:tc>
          <w:tcPr>
            <w:tcW w:w="300" w:type="dxa"/>
            <w:vAlign w:val="bottom"/>
            <w:tcBorders>
              <w:top w:val="single" w:sz="8" w:color="CFF0FC"/>
            </w:tcBorders>
            <w:shd w:val="clear" w:color="auto" w:fill="CFF0FC"/>
          </w:tcPr>
          <w:p>
            <w:pPr>
              <w:spacing w:after="0"/>
              <w:rPr>
                <w:sz w:val="14"/>
                <w:szCs w:val="14"/>
                <w:color w:val="auto"/>
              </w:rPr>
            </w:pPr>
          </w:p>
        </w:tc>
        <w:tc>
          <w:tcPr>
            <w:tcW w:w="9720" w:type="dxa"/>
            <w:vAlign w:val="bottom"/>
            <w:tcBorders>
              <w:top w:val="single" w:sz="8" w:color="0000FF"/>
            </w:tcBorders>
            <w:gridSpan w:val="20"/>
            <w:shd w:val="clear" w:color="auto" w:fill="CFF0FC"/>
          </w:tcPr>
          <w:p>
            <w:pPr>
              <w:spacing w:after="0" w:line="169" w:lineRule="exact"/>
              <w:rPr>
                <w:rFonts w:ascii="Arial" w:cs="Arial" w:eastAsia="Arial" w:hAnsi="Arial"/>
                <w:sz w:val="16"/>
                <w:szCs w:val="16"/>
                <w:color w:val="0000FF"/>
              </w:rPr>
            </w:pPr>
            <w:hyperlink r:id="rId504">
              <w:r>
                <w:rPr>
                  <w:rFonts w:ascii="Arial" w:cs="Arial" w:eastAsia="Arial" w:hAnsi="Arial"/>
                  <w:sz w:val="16"/>
                  <w:szCs w:val="16"/>
                  <w:color w:val="0000FF"/>
                </w:rPr>
                <w:t>on or after January 1, 2023 (filed as Exhibit 10.29 to the Registrant's Form 10-K for 2022).</w:t>
              </w:r>
            </w:hyperlink>
          </w:p>
        </w:tc>
        <w:tc>
          <w:tcPr>
            <w:tcW w:w="80" w:type="dxa"/>
            <w:vAlign w:val="bottom"/>
            <w:tcBorders>
              <w:top w:val="single" w:sz="8" w:color="CFF0FC"/>
            </w:tcBorders>
            <w:shd w:val="clear" w:color="auto" w:fill="CFF0FC"/>
          </w:tcPr>
          <w:p>
            <w:pPr>
              <w:spacing w:after="0"/>
              <w:rPr>
                <w:sz w:val="14"/>
                <w:szCs w:val="14"/>
                <w:color w:val="auto"/>
              </w:rPr>
            </w:pPr>
          </w:p>
        </w:tc>
      </w:tr>
      <w:tr>
        <w:trPr>
          <w:trHeight w:val="48"/>
        </w:trPr>
        <w:tc>
          <w:tcPr>
            <w:tcW w:w="1140" w:type="dxa"/>
            <w:vAlign w:val="bottom"/>
            <w:tcBorders>
              <w:top w:val="single" w:sz="8" w:color="CFF0FC"/>
            </w:tcBorders>
            <w:shd w:val="clear" w:color="auto" w:fill="CFF0FC"/>
          </w:tcPr>
          <w:p>
            <w:pPr>
              <w:spacing w:after="0"/>
              <w:rPr>
                <w:sz w:val="4"/>
                <w:szCs w:val="4"/>
                <w:color w:val="auto"/>
              </w:rPr>
            </w:pPr>
          </w:p>
        </w:tc>
        <w:tc>
          <w:tcPr>
            <w:tcW w:w="300" w:type="dxa"/>
            <w:vAlign w:val="bottom"/>
            <w:tcBorders>
              <w:top w:val="single" w:sz="8" w:color="CFF0FC"/>
            </w:tcBorders>
            <w:shd w:val="clear" w:color="auto" w:fill="CFF0FC"/>
          </w:tcPr>
          <w:p>
            <w:pPr>
              <w:spacing w:after="0"/>
              <w:rPr>
                <w:sz w:val="4"/>
                <w:szCs w:val="4"/>
                <w:color w:val="auto"/>
              </w:rPr>
            </w:pPr>
          </w:p>
        </w:tc>
        <w:tc>
          <w:tcPr>
            <w:tcW w:w="88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440" w:type="dxa"/>
            <w:vAlign w:val="bottom"/>
            <w:tcBorders>
              <w:top w:val="single" w:sz="8" w:color="0000FF"/>
            </w:tcBorders>
            <w:shd w:val="clear" w:color="auto" w:fill="CFF0FC"/>
          </w:tcPr>
          <w:p>
            <w:pPr>
              <w:spacing w:after="0"/>
              <w:rPr>
                <w:sz w:val="4"/>
                <w:szCs w:val="4"/>
                <w:color w:val="auto"/>
              </w:rPr>
            </w:pPr>
          </w:p>
        </w:tc>
        <w:tc>
          <w:tcPr>
            <w:tcW w:w="600" w:type="dxa"/>
            <w:vAlign w:val="bottom"/>
            <w:tcBorders>
              <w:top w:val="single" w:sz="8" w:color="0000FF"/>
            </w:tcBorders>
            <w:shd w:val="clear" w:color="auto" w:fill="CFF0FC"/>
          </w:tcPr>
          <w:p>
            <w:pPr>
              <w:spacing w:after="0"/>
              <w:rPr>
                <w:sz w:val="4"/>
                <w:szCs w:val="4"/>
                <w:color w:val="auto"/>
              </w:rPr>
            </w:pPr>
          </w:p>
        </w:tc>
        <w:tc>
          <w:tcPr>
            <w:tcW w:w="680" w:type="dxa"/>
            <w:vAlign w:val="bottom"/>
            <w:tcBorders>
              <w:top w:val="single" w:sz="8" w:color="0000FF"/>
            </w:tcBorders>
            <w:shd w:val="clear" w:color="auto" w:fill="CFF0FC"/>
          </w:tcPr>
          <w:p>
            <w:pPr>
              <w:spacing w:after="0"/>
              <w:rPr>
                <w:sz w:val="4"/>
                <w:szCs w:val="4"/>
                <w:color w:val="auto"/>
              </w:rPr>
            </w:pPr>
          </w:p>
        </w:tc>
        <w:tc>
          <w:tcPr>
            <w:tcW w:w="240" w:type="dxa"/>
            <w:vAlign w:val="bottom"/>
            <w:tcBorders>
              <w:top w:val="single" w:sz="8" w:color="0000FF"/>
            </w:tcBorders>
            <w:shd w:val="clear" w:color="auto" w:fill="CFF0FC"/>
          </w:tcPr>
          <w:p>
            <w:pPr>
              <w:spacing w:after="0"/>
              <w:rPr>
                <w:sz w:val="4"/>
                <w:szCs w:val="4"/>
                <w:color w:val="auto"/>
              </w:rPr>
            </w:pPr>
          </w:p>
        </w:tc>
        <w:tc>
          <w:tcPr>
            <w:tcW w:w="140" w:type="dxa"/>
            <w:vAlign w:val="bottom"/>
            <w:tcBorders>
              <w:top w:val="single" w:sz="8" w:color="0000FF"/>
            </w:tcBorders>
            <w:shd w:val="clear" w:color="auto" w:fill="CFF0FC"/>
          </w:tcPr>
          <w:p>
            <w:pPr>
              <w:spacing w:after="0"/>
              <w:rPr>
                <w:sz w:val="4"/>
                <w:szCs w:val="4"/>
                <w:color w:val="auto"/>
              </w:rPr>
            </w:pPr>
          </w:p>
        </w:tc>
        <w:tc>
          <w:tcPr>
            <w:tcW w:w="660" w:type="dxa"/>
            <w:vAlign w:val="bottom"/>
            <w:tcBorders>
              <w:top w:val="single" w:sz="8" w:color="0000FF"/>
            </w:tcBorders>
            <w:shd w:val="clear" w:color="auto" w:fill="CFF0FC"/>
          </w:tcPr>
          <w:p>
            <w:pPr>
              <w:spacing w:after="0"/>
              <w:rPr>
                <w:sz w:val="4"/>
                <w:szCs w:val="4"/>
                <w:color w:val="auto"/>
              </w:rPr>
            </w:pPr>
          </w:p>
        </w:tc>
        <w:tc>
          <w:tcPr>
            <w:tcW w:w="580" w:type="dxa"/>
            <w:vAlign w:val="bottom"/>
            <w:tcBorders>
              <w:top w:val="single" w:sz="8" w:color="0000FF"/>
            </w:tcBorders>
            <w:shd w:val="clear" w:color="auto" w:fill="CFF0FC"/>
          </w:tcPr>
          <w:p>
            <w:pPr>
              <w:spacing w:after="0"/>
              <w:rPr>
                <w:sz w:val="4"/>
                <w:szCs w:val="4"/>
                <w:color w:val="auto"/>
              </w:rPr>
            </w:pPr>
          </w:p>
        </w:tc>
        <w:tc>
          <w:tcPr>
            <w:tcW w:w="840" w:type="dxa"/>
            <w:vAlign w:val="bottom"/>
            <w:tcBorders>
              <w:top w:val="single" w:sz="8" w:color="0000FF"/>
            </w:tcBorders>
            <w:shd w:val="clear" w:color="auto" w:fill="CFF0FC"/>
          </w:tcPr>
          <w:p>
            <w:pPr>
              <w:spacing w:after="0"/>
              <w:rPr>
                <w:sz w:val="4"/>
                <w:szCs w:val="4"/>
                <w:color w:val="auto"/>
              </w:rPr>
            </w:pPr>
          </w:p>
        </w:tc>
        <w:tc>
          <w:tcPr>
            <w:tcW w:w="700" w:type="dxa"/>
            <w:vAlign w:val="bottom"/>
            <w:tcBorders>
              <w:top w:val="single" w:sz="8" w:color="0000FF"/>
            </w:tcBorders>
            <w:shd w:val="clear" w:color="auto" w:fill="CFF0FC"/>
          </w:tcPr>
          <w:p>
            <w:pPr>
              <w:spacing w:after="0"/>
              <w:rPr>
                <w:sz w:val="4"/>
                <w:szCs w:val="4"/>
                <w:color w:val="auto"/>
              </w:rPr>
            </w:pPr>
          </w:p>
        </w:tc>
        <w:tc>
          <w:tcPr>
            <w:tcW w:w="100" w:type="dxa"/>
            <w:vAlign w:val="bottom"/>
            <w:tcBorders>
              <w:top w:val="single" w:sz="8" w:color="CFF0FC"/>
            </w:tcBorders>
            <w:shd w:val="clear" w:color="auto" w:fill="CFF0FC"/>
          </w:tcPr>
          <w:p>
            <w:pPr>
              <w:spacing w:after="0"/>
              <w:rPr>
                <w:sz w:val="4"/>
                <w:szCs w:val="4"/>
                <w:color w:val="auto"/>
              </w:rPr>
            </w:pPr>
          </w:p>
        </w:tc>
        <w:tc>
          <w:tcPr>
            <w:tcW w:w="28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18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4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20" w:type="dxa"/>
            <w:vAlign w:val="bottom"/>
            <w:tcBorders>
              <w:top w:val="single" w:sz="8" w:color="CFF0FC"/>
            </w:tcBorders>
            <w:shd w:val="clear" w:color="auto" w:fill="CFF0FC"/>
          </w:tcPr>
          <w:p>
            <w:pPr>
              <w:spacing w:after="0"/>
              <w:rPr>
                <w:sz w:val="4"/>
                <w:szCs w:val="4"/>
                <w:color w:val="auto"/>
              </w:rPr>
            </w:pPr>
          </w:p>
        </w:tc>
        <w:tc>
          <w:tcPr>
            <w:tcW w:w="80" w:type="dxa"/>
            <w:vAlign w:val="bottom"/>
            <w:tcBorders>
              <w:top w:val="single" w:sz="8" w:color="CFF0FC"/>
            </w:tcBorders>
            <w:shd w:val="clear" w:color="auto" w:fill="CFF0FC"/>
          </w:tcPr>
          <w:p>
            <w:pPr>
              <w:spacing w:after="0"/>
              <w:rPr>
                <w:sz w:val="4"/>
                <w:szCs w:val="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10.30*†</w:t>
            </w:r>
          </w:p>
        </w:tc>
        <w:tc>
          <w:tcPr>
            <w:tcW w:w="300" w:type="dxa"/>
            <w:vAlign w:val="bottom"/>
          </w:tcPr>
          <w:p>
            <w:pPr>
              <w:spacing w:after="0"/>
              <w:rPr>
                <w:sz w:val="19"/>
                <w:szCs w:val="19"/>
                <w:color w:val="auto"/>
              </w:rPr>
            </w:pPr>
          </w:p>
        </w:tc>
        <w:tc>
          <w:tcPr>
            <w:tcW w:w="9800" w:type="dxa"/>
            <w:vAlign w:val="bottom"/>
            <w:gridSpan w:val="21"/>
          </w:tcPr>
          <w:p>
            <w:pPr>
              <w:spacing w:after="0"/>
              <w:rPr>
                <w:sz w:val="20"/>
                <w:szCs w:val="20"/>
                <w:color w:val="auto"/>
              </w:rPr>
            </w:pPr>
            <w:r>
              <w:rPr>
                <w:rFonts w:ascii="Arial" w:cs="Arial" w:eastAsia="Arial" w:hAnsi="Arial"/>
                <w:sz w:val="16"/>
                <w:szCs w:val="16"/>
                <w:color w:val="0000FF"/>
              </w:rPr>
              <w:t>Form of Short-term Incentive Plan Award Agreement for the Amended and Restated 2015 Omnibus Incentive Plan effective for awards</w:t>
            </w: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700" w:type="dxa"/>
            <w:vAlign w:val="bottom"/>
            <w:tcBorders>
              <w:top w:val="single" w:sz="8" w:color="0000FF"/>
            </w:tcBorders>
            <w:gridSpan w:val="19"/>
          </w:tcPr>
          <w:p>
            <w:pPr>
              <w:spacing w:after="0" w:line="169" w:lineRule="exact"/>
              <w:rPr>
                <w:sz w:val="20"/>
                <w:szCs w:val="20"/>
                <w:color w:val="auto"/>
              </w:rPr>
            </w:pPr>
            <w:r>
              <w:rPr>
                <w:rFonts w:ascii="Arial" w:cs="Arial" w:eastAsia="Arial" w:hAnsi="Arial"/>
                <w:sz w:val="16"/>
                <w:szCs w:val="16"/>
                <w:color w:val="0000FF"/>
              </w:rPr>
              <w:t>granted on or after January 1, 2024.</w:t>
            </w:r>
          </w:p>
        </w:tc>
        <w:tc>
          <w:tcPr>
            <w:tcW w:w="100" w:type="dxa"/>
            <w:vAlign w:val="bottom"/>
            <w:gridSpan w:val="2"/>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10.31*†</w:t>
            </w:r>
          </w:p>
        </w:tc>
        <w:tc>
          <w:tcPr>
            <w:tcW w:w="10100" w:type="dxa"/>
            <w:vAlign w:val="bottom"/>
            <w:gridSpan w:val="22"/>
            <w:shd w:val="clear" w:color="auto" w:fill="CFF0FC"/>
          </w:tcPr>
          <w:p>
            <w:pPr>
              <w:ind w:left="300"/>
              <w:spacing w:after="0"/>
              <w:rPr>
                <w:sz w:val="20"/>
                <w:szCs w:val="20"/>
                <w:color w:val="auto"/>
              </w:rPr>
            </w:pPr>
            <w:r>
              <w:rPr>
                <w:rFonts w:ascii="Arial" w:cs="Arial" w:eastAsia="Arial" w:hAnsi="Arial"/>
                <w:sz w:val="16"/>
                <w:szCs w:val="16"/>
                <w:color w:val="0000FF"/>
              </w:rPr>
              <w:t>Form of Performance Unit Award Agreement for the Amended and Restated 2015 Omnibus Incentive Plan effective for awards granted</w:t>
            </w:r>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2000" w:type="dxa"/>
            <w:vAlign w:val="bottom"/>
            <w:tcBorders>
              <w:top w:val="single" w:sz="8" w:color="0000FF"/>
              <w:bottom w:val="single" w:sz="8" w:color="0000FF"/>
            </w:tcBorders>
            <w:gridSpan w:val="3"/>
            <w:shd w:val="clear" w:color="auto" w:fill="CFF0FC"/>
          </w:tcPr>
          <w:p>
            <w:pPr>
              <w:spacing w:after="0" w:line="169" w:lineRule="exact"/>
              <w:rPr>
                <w:sz w:val="20"/>
                <w:szCs w:val="20"/>
                <w:color w:val="auto"/>
              </w:rPr>
            </w:pPr>
            <w:r>
              <w:rPr>
                <w:rFonts w:ascii="Arial" w:cs="Arial" w:eastAsia="Arial" w:hAnsi="Arial"/>
                <w:sz w:val="16"/>
                <w:szCs w:val="16"/>
                <w:color w:val="0000FF"/>
              </w:rPr>
              <w:t>on or after January 1, 2024.</w:t>
            </w:r>
          </w:p>
        </w:tc>
        <w:tc>
          <w:tcPr>
            <w:tcW w:w="7720" w:type="dxa"/>
            <w:vAlign w:val="bottom"/>
            <w:tcBorders>
              <w:top w:val="single" w:sz="8" w:color="0000FF"/>
              <w:bottom w:val="single" w:sz="8" w:color="CFF0FC"/>
            </w:tcBorders>
            <w:gridSpan w:val="17"/>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19*</w:t>
            </w:r>
          </w:p>
        </w:tc>
        <w:tc>
          <w:tcPr>
            <w:tcW w:w="10100" w:type="dxa"/>
            <w:vAlign w:val="bottom"/>
            <w:gridSpan w:val="22"/>
          </w:tcPr>
          <w:p>
            <w:pPr>
              <w:ind w:left="300"/>
              <w:spacing w:after="0"/>
              <w:rPr>
                <w:sz w:val="20"/>
                <w:szCs w:val="20"/>
                <w:color w:val="auto"/>
              </w:rPr>
            </w:pPr>
            <w:r>
              <w:rPr>
                <w:rFonts w:ascii="Arial" w:cs="Arial" w:eastAsia="Arial" w:hAnsi="Arial"/>
                <w:sz w:val="16"/>
                <w:szCs w:val="16"/>
                <w:color w:val="0000FF"/>
              </w:rPr>
              <w:t>Insider Trading Policy</w:t>
            </w: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21*</w:t>
            </w:r>
          </w:p>
        </w:tc>
        <w:tc>
          <w:tcPr>
            <w:tcW w:w="300" w:type="dxa"/>
            <w:vAlign w:val="bottom"/>
            <w:tcBorders>
              <w:bottom w:val="single" w:sz="8" w:color="CFF0FC"/>
            </w:tcBorders>
            <w:shd w:val="clear" w:color="auto" w:fill="CFF0FC"/>
          </w:tcPr>
          <w:p>
            <w:pPr>
              <w:spacing w:after="0"/>
              <w:rPr>
                <w:sz w:val="24"/>
                <w:szCs w:val="24"/>
                <w:color w:val="auto"/>
              </w:rPr>
            </w:pPr>
          </w:p>
        </w:tc>
        <w:tc>
          <w:tcPr>
            <w:tcW w:w="3280" w:type="dxa"/>
            <w:vAlign w:val="bottom"/>
            <w:tcBorders>
              <w:bottom w:val="single" w:sz="8" w:color="0000FF"/>
            </w:tcBorders>
            <w:gridSpan w:val="5"/>
            <w:shd w:val="clear" w:color="auto" w:fill="CFF0FC"/>
          </w:tcPr>
          <w:p>
            <w:pPr>
              <w:spacing w:after="0"/>
              <w:rPr>
                <w:sz w:val="20"/>
                <w:szCs w:val="20"/>
                <w:color w:val="auto"/>
              </w:rPr>
            </w:pPr>
            <w:r>
              <w:rPr>
                <w:rFonts w:ascii="Arial" w:cs="Arial" w:eastAsia="Arial" w:hAnsi="Arial"/>
                <w:sz w:val="16"/>
                <w:szCs w:val="16"/>
                <w:color w:val="0000FF"/>
              </w:rPr>
              <w:t>List of Subsidiaries of Black Hills Corporation.</w:t>
            </w:r>
          </w:p>
        </w:tc>
        <w:tc>
          <w:tcPr>
            <w:tcW w:w="6520" w:type="dxa"/>
            <w:vAlign w:val="bottom"/>
            <w:tcBorders>
              <w:bottom w:val="single" w:sz="8" w:color="CFF0FC"/>
            </w:tcBorders>
            <w:gridSpan w:val="16"/>
            <w:shd w:val="clear" w:color="auto" w:fill="CFF0FC"/>
          </w:tcPr>
          <w:p>
            <w:pPr>
              <w:spacing w:after="0"/>
              <w:rPr>
                <w:sz w:val="24"/>
                <w:szCs w:val="24"/>
                <w:color w:val="auto"/>
              </w:rPr>
            </w:pPr>
          </w:p>
        </w:tc>
      </w:tr>
      <w:tr>
        <w:trPr>
          <w:trHeight w:val="229"/>
        </w:trPr>
        <w:tc>
          <w:tcPr>
            <w:tcW w:w="1140" w:type="dxa"/>
            <w:vAlign w:val="bottom"/>
          </w:tcPr>
          <w:p>
            <w:pPr>
              <w:ind w:left="120"/>
              <w:spacing w:after="0"/>
              <w:rPr>
                <w:sz w:val="20"/>
                <w:szCs w:val="20"/>
                <w:color w:val="auto"/>
              </w:rPr>
            </w:pPr>
            <w:r>
              <w:rPr>
                <w:rFonts w:ascii="Arial" w:cs="Arial" w:eastAsia="Arial" w:hAnsi="Arial"/>
                <w:sz w:val="16"/>
                <w:szCs w:val="16"/>
                <w:color w:val="auto"/>
              </w:rPr>
              <w:t>23.1*</w:t>
            </w:r>
          </w:p>
        </w:tc>
        <w:tc>
          <w:tcPr>
            <w:tcW w:w="10100" w:type="dxa"/>
            <w:vAlign w:val="bottom"/>
            <w:gridSpan w:val="22"/>
          </w:tcPr>
          <w:p>
            <w:pPr>
              <w:ind w:left="300"/>
              <w:spacing w:after="0"/>
              <w:rPr>
                <w:sz w:val="20"/>
                <w:szCs w:val="20"/>
                <w:color w:val="auto"/>
              </w:rPr>
            </w:pPr>
            <w:r>
              <w:rPr>
                <w:rFonts w:ascii="Arial" w:cs="Arial" w:eastAsia="Arial" w:hAnsi="Arial"/>
                <w:sz w:val="16"/>
                <w:szCs w:val="16"/>
                <w:color w:val="0000FF"/>
              </w:rPr>
              <w:t>Consent of Independent Registered Public Accounting Firm.</w:t>
            </w: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30"/>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31.1*</w:t>
            </w:r>
          </w:p>
        </w:tc>
        <w:tc>
          <w:tcPr>
            <w:tcW w:w="10100" w:type="dxa"/>
            <w:vAlign w:val="bottom"/>
            <w:gridSpan w:val="22"/>
            <w:shd w:val="clear" w:color="auto" w:fill="CFF0FC"/>
          </w:tcPr>
          <w:p>
            <w:pPr>
              <w:ind w:left="300"/>
              <w:spacing w:after="0"/>
              <w:rPr>
                <w:sz w:val="20"/>
                <w:szCs w:val="20"/>
                <w:color w:val="auto"/>
              </w:rPr>
            </w:pPr>
            <w:r>
              <w:rPr>
                <w:rFonts w:ascii="Arial" w:cs="Arial" w:eastAsia="Arial" w:hAnsi="Arial"/>
                <w:sz w:val="16"/>
                <w:szCs w:val="16"/>
                <w:color w:val="0000FF"/>
              </w:rPr>
              <w:t>Certification of Chief Executive Officer pursuant to Rule 13a - 14(a) of the Securities Exchange Act of 1934, as adopted pursuant to</w:t>
            </w:r>
          </w:p>
        </w:tc>
      </w:tr>
      <w:tr>
        <w:trPr>
          <w:trHeight w:val="216"/>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520" w:type="dxa"/>
            <w:vAlign w:val="bottom"/>
            <w:tcBorders>
              <w:top w:val="single" w:sz="8" w:color="0000FF"/>
              <w:bottom w:val="single" w:sz="8" w:color="0000FF"/>
            </w:tcBorders>
            <w:gridSpan w:val="6"/>
            <w:shd w:val="clear" w:color="auto" w:fill="CFF0FC"/>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5920" w:type="dxa"/>
            <w:vAlign w:val="bottom"/>
            <w:tcBorders>
              <w:top w:val="single" w:sz="8" w:color="0000FF"/>
              <w:bottom w:val="single" w:sz="8" w:color="CFF0FC"/>
            </w:tcBorders>
            <w:gridSpan w:val="9"/>
            <w:shd w:val="clear" w:color="auto" w:fill="CFF0FC"/>
          </w:tcPr>
          <w:p>
            <w:pPr>
              <w:spacing w:after="0"/>
              <w:rPr>
                <w:sz w:val="18"/>
                <w:szCs w:val="18"/>
                <w:color w:val="auto"/>
              </w:rPr>
            </w:pP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gridSpan w:val="2"/>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3"/>
            <w:shd w:val="clear" w:color="auto" w:fill="CFF0FC"/>
          </w:tcPr>
          <w:p>
            <w:pPr>
              <w:spacing w:after="0"/>
              <w:rPr>
                <w:sz w:val="18"/>
                <w:szCs w:val="18"/>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31.2*</w:t>
            </w:r>
          </w:p>
        </w:tc>
        <w:tc>
          <w:tcPr>
            <w:tcW w:w="10100" w:type="dxa"/>
            <w:vAlign w:val="bottom"/>
            <w:gridSpan w:val="22"/>
          </w:tcPr>
          <w:p>
            <w:pPr>
              <w:ind w:left="300"/>
              <w:spacing w:after="0"/>
              <w:rPr>
                <w:sz w:val="20"/>
                <w:szCs w:val="20"/>
                <w:color w:val="auto"/>
              </w:rPr>
            </w:pPr>
            <w:r>
              <w:rPr>
                <w:rFonts w:ascii="Arial" w:cs="Arial" w:eastAsia="Arial" w:hAnsi="Arial"/>
                <w:sz w:val="16"/>
                <w:szCs w:val="16"/>
                <w:color w:val="0000FF"/>
              </w:rPr>
              <w:t>Certification of Chief Financial Officer pursuant to Rule 13a - 14(a) of the Securities Exchange Act of 1934, as adopted pursuant to</w:t>
            </w: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0" w:type="dxa"/>
            <w:vAlign w:val="bottom"/>
            <w:tcBorders>
              <w:top w:val="single" w:sz="8" w:color="0000FF"/>
            </w:tcBorders>
            <w:gridSpan w:val="14"/>
          </w:tcPr>
          <w:p>
            <w:pPr>
              <w:spacing w:after="0" w:line="169" w:lineRule="exact"/>
              <w:rPr>
                <w:sz w:val="20"/>
                <w:szCs w:val="20"/>
                <w:color w:val="auto"/>
              </w:rPr>
            </w:pPr>
            <w:r>
              <w:rPr>
                <w:rFonts w:ascii="Arial" w:cs="Arial" w:eastAsia="Arial" w:hAnsi="Arial"/>
                <w:sz w:val="16"/>
                <w:szCs w:val="16"/>
                <w:color w:val="0000FF"/>
              </w:rPr>
              <w:t>Section 302 of the Sarbanes - Oxley Act of 2002.</w:t>
            </w:r>
          </w:p>
        </w:tc>
        <w:tc>
          <w:tcPr>
            <w:tcW w:w="22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120" w:type="dxa"/>
            <w:vAlign w:val="bottom"/>
            <w:gridSpan w:val="3"/>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29"/>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32.1*</w:t>
            </w:r>
          </w:p>
        </w:tc>
        <w:tc>
          <w:tcPr>
            <w:tcW w:w="10100" w:type="dxa"/>
            <w:vAlign w:val="bottom"/>
            <w:gridSpan w:val="22"/>
            <w:shd w:val="clear" w:color="auto" w:fill="CFF0FC"/>
          </w:tcPr>
          <w:p>
            <w:pPr>
              <w:ind w:left="300"/>
              <w:spacing w:after="0"/>
              <w:rPr>
                <w:sz w:val="20"/>
                <w:szCs w:val="20"/>
                <w:color w:val="auto"/>
              </w:rPr>
            </w:pPr>
            <w:r>
              <w:rPr>
                <w:rFonts w:ascii="Arial" w:cs="Arial" w:eastAsia="Arial" w:hAnsi="Arial"/>
                <w:sz w:val="16"/>
                <w:szCs w:val="16"/>
                <w:color w:val="0000FF"/>
              </w:rPr>
              <w:t>Certification of Chief Executive Officer pursuant to 18 U.S.C. Section 1350, as adopted pursuant to Section 906 of the Sarbanes-Oxley</w:t>
            </w:r>
          </w:p>
        </w:tc>
      </w:tr>
      <w:tr>
        <w:trPr>
          <w:trHeight w:val="217"/>
        </w:trPr>
        <w:tc>
          <w:tcPr>
            <w:tcW w:w="1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880" w:type="dxa"/>
            <w:vAlign w:val="bottom"/>
            <w:tcBorders>
              <w:top w:val="single" w:sz="8" w:color="0000FF"/>
              <w:bottom w:val="single" w:sz="8" w:color="0000FF"/>
            </w:tcBorders>
            <w:shd w:val="clear" w:color="auto" w:fill="CFF0FC"/>
          </w:tcPr>
          <w:p>
            <w:pPr>
              <w:spacing w:after="0" w:line="169" w:lineRule="exact"/>
              <w:rPr>
                <w:sz w:val="20"/>
                <w:szCs w:val="20"/>
                <w:color w:val="auto"/>
              </w:rPr>
            </w:pPr>
            <w:r>
              <w:rPr>
                <w:rFonts w:ascii="Arial" w:cs="Arial" w:eastAsia="Arial" w:hAnsi="Arial"/>
                <w:sz w:val="16"/>
                <w:szCs w:val="16"/>
                <w:color w:val="0000FF"/>
              </w:rPr>
              <w:t>Act of 2002.</w:t>
            </w:r>
          </w:p>
        </w:tc>
        <w:tc>
          <w:tcPr>
            <w:tcW w:w="8800" w:type="dxa"/>
            <w:vAlign w:val="bottom"/>
            <w:tcBorders>
              <w:top w:val="single" w:sz="8" w:color="0000FF"/>
              <w:bottom w:val="single" w:sz="8" w:color="CFF0FC"/>
            </w:tcBorders>
            <w:gridSpan w:val="17"/>
            <w:shd w:val="clear" w:color="auto" w:fill="CFF0FC"/>
          </w:tcPr>
          <w:p>
            <w:pPr>
              <w:spacing w:after="0"/>
              <w:rPr>
                <w:sz w:val="18"/>
                <w:szCs w:val="18"/>
                <w:color w:val="auto"/>
              </w:rPr>
            </w:pPr>
          </w:p>
        </w:tc>
        <w:tc>
          <w:tcPr>
            <w:tcW w:w="120" w:type="dxa"/>
            <w:vAlign w:val="bottom"/>
            <w:tcBorders>
              <w:top w:val="single" w:sz="8" w:color="CFF0FC"/>
              <w:bottom w:val="single" w:sz="8" w:color="CFF0FC"/>
            </w:tcBorders>
            <w:gridSpan w:val="3"/>
            <w:shd w:val="clear" w:color="auto" w:fill="CFF0FC"/>
          </w:tcPr>
          <w:p>
            <w:pPr>
              <w:spacing w:after="0"/>
              <w:rPr>
                <w:sz w:val="18"/>
                <w:szCs w:val="18"/>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32.2*</w:t>
            </w:r>
          </w:p>
        </w:tc>
        <w:tc>
          <w:tcPr>
            <w:tcW w:w="10100" w:type="dxa"/>
            <w:vAlign w:val="bottom"/>
            <w:gridSpan w:val="22"/>
          </w:tcPr>
          <w:p>
            <w:pPr>
              <w:ind w:left="300"/>
              <w:spacing w:after="0"/>
              <w:rPr>
                <w:sz w:val="20"/>
                <w:szCs w:val="20"/>
                <w:color w:val="auto"/>
              </w:rPr>
            </w:pPr>
            <w:r>
              <w:rPr>
                <w:rFonts w:ascii="Arial" w:cs="Arial" w:eastAsia="Arial" w:hAnsi="Arial"/>
                <w:sz w:val="16"/>
                <w:szCs w:val="16"/>
                <w:color w:val="0000FF"/>
              </w:rPr>
              <w:t>Certification of Chief Financial Officer pursuant to 18 U.S.C. Section 1350, as adopted pursuant to Section 906 of the Sarbanes-Oxley</w:t>
            </w:r>
          </w:p>
        </w:tc>
      </w:tr>
      <w:tr>
        <w:trPr>
          <w:trHeight w:val="169"/>
        </w:trPr>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20" w:type="dxa"/>
            <w:vAlign w:val="bottom"/>
            <w:tcBorders>
              <w:top w:val="single" w:sz="8" w:color="0000FF"/>
            </w:tcBorders>
            <w:gridSpan w:val="16"/>
          </w:tcPr>
          <w:p>
            <w:pPr>
              <w:spacing w:after="0" w:line="169" w:lineRule="exact"/>
              <w:rPr>
                <w:sz w:val="20"/>
                <w:szCs w:val="20"/>
                <w:color w:val="auto"/>
              </w:rPr>
            </w:pPr>
            <w:r>
              <w:rPr>
                <w:rFonts w:ascii="Arial" w:cs="Arial" w:eastAsia="Arial" w:hAnsi="Arial"/>
                <w:sz w:val="16"/>
                <w:szCs w:val="16"/>
                <w:color w:val="0000FF"/>
              </w:rPr>
              <w:t>Act of 2002.</w:t>
            </w:r>
          </w:p>
        </w:tc>
        <w:tc>
          <w:tcPr>
            <w:tcW w:w="180" w:type="dxa"/>
            <w:vAlign w:val="bottom"/>
            <w:gridSpan w:val="5"/>
          </w:tcPr>
          <w:p>
            <w:pPr>
              <w:spacing w:after="0"/>
              <w:rPr>
                <w:sz w:val="14"/>
                <w:szCs w:val="14"/>
                <w:color w:val="auto"/>
              </w:rPr>
            </w:pP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77"/>
        </w:trPr>
        <w:tc>
          <w:tcPr>
            <w:tcW w:w="11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95*</w:t>
            </w:r>
          </w:p>
        </w:tc>
        <w:tc>
          <w:tcPr>
            <w:tcW w:w="300" w:type="dxa"/>
            <w:vAlign w:val="bottom"/>
            <w:tcBorders>
              <w:bottom w:val="single" w:sz="8" w:color="CFF0FC"/>
            </w:tcBorders>
            <w:shd w:val="clear" w:color="auto" w:fill="CFF0FC"/>
          </w:tcPr>
          <w:p>
            <w:pPr>
              <w:spacing w:after="0"/>
              <w:rPr>
                <w:sz w:val="24"/>
                <w:szCs w:val="24"/>
                <w:color w:val="auto"/>
              </w:rPr>
            </w:pPr>
          </w:p>
        </w:tc>
        <w:tc>
          <w:tcPr>
            <w:tcW w:w="3660" w:type="dxa"/>
            <w:vAlign w:val="bottom"/>
            <w:tcBorders>
              <w:bottom w:val="single" w:sz="8" w:color="0000FF"/>
            </w:tcBorders>
            <w:gridSpan w:val="7"/>
            <w:shd w:val="clear" w:color="auto" w:fill="CFF0FC"/>
          </w:tcPr>
          <w:p>
            <w:pPr>
              <w:spacing w:after="0"/>
              <w:rPr>
                <w:sz w:val="20"/>
                <w:szCs w:val="20"/>
                <w:color w:val="auto"/>
              </w:rPr>
            </w:pPr>
            <w:r>
              <w:rPr>
                <w:rFonts w:ascii="Arial" w:cs="Arial" w:eastAsia="Arial" w:hAnsi="Arial"/>
                <w:sz w:val="16"/>
                <w:szCs w:val="16"/>
                <w:color w:val="0000FF"/>
              </w:rPr>
              <w:t>Mine Safety and Health Administration Safety Data</w:t>
            </w:r>
          </w:p>
        </w:tc>
        <w:tc>
          <w:tcPr>
            <w:tcW w:w="6140" w:type="dxa"/>
            <w:vAlign w:val="bottom"/>
            <w:tcBorders>
              <w:bottom w:val="single" w:sz="8" w:color="CFF0FC"/>
            </w:tcBorders>
            <w:gridSpan w:val="14"/>
            <w:shd w:val="clear" w:color="auto" w:fill="CFF0FC"/>
          </w:tcPr>
          <w:p>
            <w:pPr>
              <w:spacing w:after="0"/>
              <w:rPr>
                <w:sz w:val="24"/>
                <w:szCs w:val="24"/>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6"/>
                <w:szCs w:val="16"/>
                <w:color w:val="auto"/>
              </w:rPr>
              <w:t>97*†</w:t>
            </w:r>
          </w:p>
        </w:tc>
        <w:tc>
          <w:tcPr>
            <w:tcW w:w="10100" w:type="dxa"/>
            <w:vAlign w:val="bottom"/>
            <w:gridSpan w:val="22"/>
          </w:tcPr>
          <w:p>
            <w:pPr>
              <w:ind w:left="300"/>
              <w:spacing w:after="0"/>
              <w:rPr>
                <w:sz w:val="20"/>
                <w:szCs w:val="20"/>
                <w:color w:val="auto"/>
              </w:rPr>
            </w:pPr>
            <w:r>
              <w:rPr>
                <w:rFonts w:ascii="Arial" w:cs="Arial" w:eastAsia="Arial" w:hAnsi="Arial"/>
                <w:sz w:val="16"/>
                <w:szCs w:val="16"/>
                <w:color w:val="0000FF"/>
              </w:rPr>
              <w:t>Mandatory Compensation Recovery Policy dated December 1, 2023</w:t>
            </w:r>
          </w:p>
        </w:tc>
      </w:tr>
      <w:tr>
        <w:trPr>
          <w:trHeight w:val="48"/>
        </w:trPr>
        <w:tc>
          <w:tcPr>
            <w:tcW w:w="1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42"/>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101.INS*</w:t>
            </w:r>
          </w:p>
        </w:tc>
        <w:tc>
          <w:tcPr>
            <w:tcW w:w="10100" w:type="dxa"/>
            <w:vAlign w:val="bottom"/>
            <w:gridSpan w:val="22"/>
            <w:shd w:val="clear" w:color="auto" w:fill="CFF0FC"/>
          </w:tcPr>
          <w:p>
            <w:pPr>
              <w:ind w:left="300"/>
              <w:spacing w:after="0"/>
              <w:rPr>
                <w:sz w:val="20"/>
                <w:szCs w:val="20"/>
                <w:color w:val="auto"/>
              </w:rPr>
            </w:pPr>
            <w:r>
              <w:rPr>
                <w:rFonts w:ascii="Arial" w:cs="Arial" w:eastAsia="Arial" w:hAnsi="Arial"/>
                <w:sz w:val="16"/>
                <w:szCs w:val="16"/>
                <w:color w:val="auto"/>
              </w:rPr>
              <w:t>Inline XBRL Instance Document - the instance document does not appear in the Interactive Data File because its XBRL tags are</w:t>
            </w:r>
          </w:p>
        </w:tc>
      </w:tr>
      <w:tr>
        <w:trPr>
          <w:trHeight w:val="224"/>
        </w:trPr>
        <w:tc>
          <w:tcPr>
            <w:tcW w:w="1140" w:type="dxa"/>
            <w:vAlign w:val="bottom"/>
            <w:tcBorders>
              <w:bottom w:val="single" w:sz="8" w:color="CFF0FC"/>
            </w:tcBorders>
            <w:shd w:val="clear" w:color="auto" w:fill="CFF0FC"/>
          </w:tcPr>
          <w:p>
            <w:pPr>
              <w:spacing w:after="0"/>
              <w:rPr>
                <w:sz w:val="19"/>
                <w:szCs w:val="19"/>
                <w:color w:val="auto"/>
              </w:rPr>
            </w:pPr>
          </w:p>
        </w:tc>
        <w:tc>
          <w:tcPr>
            <w:tcW w:w="10100" w:type="dxa"/>
            <w:vAlign w:val="bottom"/>
            <w:tcBorders>
              <w:bottom w:val="single" w:sz="8" w:color="CFF0FC"/>
            </w:tcBorders>
            <w:gridSpan w:val="22"/>
            <w:shd w:val="clear" w:color="auto" w:fill="CFF0FC"/>
          </w:tcPr>
          <w:p>
            <w:pPr>
              <w:ind w:left="300"/>
              <w:spacing w:after="0"/>
              <w:rPr>
                <w:sz w:val="20"/>
                <w:szCs w:val="20"/>
                <w:color w:val="auto"/>
              </w:rPr>
            </w:pPr>
            <w:r>
              <w:rPr>
                <w:rFonts w:ascii="Arial" w:cs="Arial" w:eastAsia="Arial" w:hAnsi="Arial"/>
                <w:sz w:val="16"/>
                <w:szCs w:val="16"/>
                <w:color w:val="auto"/>
              </w:rPr>
              <w:t>embedded within the Inline XBRL document</w:t>
            </w:r>
          </w:p>
        </w:tc>
      </w:tr>
      <w:tr>
        <w:trPr>
          <w:trHeight w:val="268"/>
        </w:trPr>
        <w:tc>
          <w:tcPr>
            <w:tcW w:w="1140" w:type="dxa"/>
            <w:vAlign w:val="bottom"/>
          </w:tcPr>
          <w:p>
            <w:pPr>
              <w:ind w:left="120"/>
              <w:spacing w:after="0"/>
              <w:rPr>
                <w:sz w:val="20"/>
                <w:szCs w:val="20"/>
                <w:color w:val="auto"/>
              </w:rPr>
            </w:pPr>
            <w:r>
              <w:rPr>
                <w:rFonts w:ascii="Arial" w:cs="Arial" w:eastAsia="Arial" w:hAnsi="Arial"/>
                <w:sz w:val="16"/>
                <w:szCs w:val="16"/>
                <w:color w:val="auto"/>
              </w:rPr>
              <w:t>101.SCH*</w:t>
            </w:r>
          </w:p>
        </w:tc>
        <w:tc>
          <w:tcPr>
            <w:tcW w:w="10100" w:type="dxa"/>
            <w:vAlign w:val="bottom"/>
            <w:gridSpan w:val="22"/>
          </w:tcPr>
          <w:p>
            <w:pPr>
              <w:ind w:left="300"/>
              <w:spacing w:after="0"/>
              <w:rPr>
                <w:sz w:val="20"/>
                <w:szCs w:val="20"/>
                <w:color w:val="auto"/>
              </w:rPr>
            </w:pPr>
            <w:r>
              <w:rPr>
                <w:rFonts w:ascii="Arial" w:cs="Arial" w:eastAsia="Arial" w:hAnsi="Arial"/>
                <w:sz w:val="16"/>
                <w:szCs w:val="16"/>
                <w:color w:val="auto"/>
              </w:rPr>
              <w:t>Inline XBRL Taxonomy Extension Schema with Embedded Linkbases Document</w:t>
            </w:r>
          </w:p>
        </w:tc>
      </w:tr>
      <w:tr>
        <w:trPr>
          <w:trHeight w:val="29"/>
        </w:trPr>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68"/>
        </w:trPr>
        <w:tc>
          <w:tcPr>
            <w:tcW w:w="11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104*</w:t>
            </w:r>
          </w:p>
        </w:tc>
        <w:tc>
          <w:tcPr>
            <w:tcW w:w="10100" w:type="dxa"/>
            <w:vAlign w:val="bottom"/>
            <w:gridSpan w:val="22"/>
            <w:shd w:val="clear" w:color="auto" w:fill="CFF0FC"/>
          </w:tcPr>
          <w:p>
            <w:pPr>
              <w:ind w:left="30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r>
      <w:tr>
        <w:trPr>
          <w:trHeight w:val="29"/>
        </w:trPr>
        <w:tc>
          <w:tcPr>
            <w:tcW w:w="11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66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8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r>
    </w:tbl>
    <w:p>
      <w:pPr>
        <w:spacing w:after="0" w:line="391" w:lineRule="exact"/>
        <w:rPr>
          <w:sz w:val="20"/>
          <w:szCs w:val="20"/>
          <w:color w:val="auto"/>
        </w:rPr>
      </w:pPr>
    </w:p>
    <w:p>
      <w:pPr>
        <w:spacing w:after="0"/>
        <w:tabs>
          <w:tab w:leader="none" w:pos="92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7" w:name="page108"/>
    <w:bookmarkEnd w:id="107"/>
    <w:p>
      <w:pPr>
        <w:spacing w:after="0"/>
        <w:rPr>
          <w:sz w:val="20"/>
          <w:szCs w:val="20"/>
          <w:color w:val="auto"/>
        </w:rPr>
      </w:pPr>
      <w:r>
        <w:rPr>
          <w:rFonts w:ascii="Arial" w:cs="Arial" w:eastAsia="Arial" w:hAnsi="Arial"/>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8610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506">
                      <a:extLst>
                        <a:ext uri="{28A0092B-C50C-407E-A947-70E740481C1C}"/>
                      </a:extLst>
                    </a:blip>
                    <a:srcRect/>
                    <a:stretch>
                      <a:fillRect/>
                    </a:stretch>
                  </pic:blipFill>
                  <pic:spPr bwMode="auto">
                    <a:xfrm>
                      <a:off x="0" y="0"/>
                      <a:ext cx="861060" cy="8890"/>
                    </a:xfrm>
                    <a:prstGeom prst="rect">
                      <a:avLst/>
                    </a:prstGeom>
                    <a:noFill/>
                  </pic:spPr>
                </pic:pic>
              </a:graphicData>
            </a:graphic>
          </wp:anchor>
        </w:drawing>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pacing w:after="0" w:line="221"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w:t>
      </w:r>
    </w:p>
    <w:p>
      <w:pPr>
        <w:spacing w:after="0" w:line="196"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BLACK HILLS CORPORATION</w:t>
      </w:r>
    </w:p>
    <w:p>
      <w:pPr>
        <w:spacing w:after="0" w:line="343" w:lineRule="exact"/>
        <w:rPr>
          <w:sz w:val="20"/>
          <w:szCs w:val="20"/>
          <w:color w:val="auto"/>
        </w:rPr>
      </w:pPr>
    </w:p>
    <w:p>
      <w:pPr>
        <w:ind w:left="5140"/>
        <w:spacing w:after="0"/>
        <w:tabs>
          <w:tab w:leader="none" w:pos="59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38100</wp:posOffset>
            </wp:positionV>
            <wp:extent cx="3411855"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50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80" w:lineRule="exact"/>
        <w:rPr>
          <w:sz w:val="20"/>
          <w:szCs w:val="20"/>
          <w:color w:val="auto"/>
        </w:rPr>
      </w:pPr>
    </w:p>
    <w:p>
      <w:pPr>
        <w:ind w:left="5140"/>
        <w:spacing w:after="0"/>
        <w:rPr>
          <w:sz w:val="20"/>
          <w:szCs w:val="20"/>
          <w:color w:val="auto"/>
        </w:rPr>
      </w:pPr>
      <w:r>
        <w:rPr>
          <w:rFonts w:ascii="Arial" w:cs="Arial" w:eastAsia="Arial" w:hAnsi="Arial"/>
          <w:sz w:val="16"/>
          <w:szCs w:val="16"/>
          <w:color w:val="auto"/>
        </w:rPr>
        <w:t>Linden R. Evans, President and Chief Executive Officer</w:t>
      </w:r>
    </w:p>
    <w:p>
      <w:pPr>
        <w:spacing w:after="0" w:line="113" w:lineRule="exact"/>
        <w:rPr>
          <w:sz w:val="20"/>
          <w:szCs w:val="20"/>
          <w:color w:val="auto"/>
        </w:rPr>
      </w:pPr>
    </w:p>
    <w:p>
      <w:pPr>
        <w:ind w:left="640"/>
        <w:spacing w:after="0"/>
        <w:tabs>
          <w:tab w:leader="none" w:pos="1300" w:val="left"/>
        </w:tabs>
        <w:rPr>
          <w:sz w:val="20"/>
          <w:szCs w:val="20"/>
          <w:color w:val="auto"/>
        </w:rPr>
      </w:pPr>
      <w:r>
        <w:rPr>
          <w:rFonts w:ascii="Arial" w:cs="Arial" w:eastAsia="Arial" w:hAnsi="Arial"/>
          <w:sz w:val="16"/>
          <w:szCs w:val="16"/>
          <w:color w:val="auto"/>
        </w:rPr>
        <w:t>Dated:</w:t>
        <w:tab/>
        <w:t>February 14, 2024</w:t>
      </w:r>
    </w:p>
    <w:p>
      <w:pPr>
        <w:spacing w:after="0" w:line="23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80"/>
          </w:cols>
          <w:pgMar w:left="320" w:top="773" w:right="399" w:bottom="1440" w:gutter="0" w:footer="0" w:header="0"/>
        </w:sectPr>
      </w:pP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ind w:left="120"/>
              <w:spacing w:after="0"/>
              <w:rPr>
                <w:sz w:val="20"/>
                <w:szCs w:val="20"/>
                <w:color w:val="auto"/>
              </w:rPr>
            </w:pPr>
            <w:r>
              <w:rPr>
                <w:rFonts w:ascii="Arial" w:cs="Arial" w:eastAsia="Arial" w:hAnsi="Arial"/>
                <w:sz w:val="16"/>
                <w:szCs w:val="16"/>
                <w:color w:val="auto"/>
              </w:rPr>
              <w:t>/S/ 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color w:val="auto"/>
              </w:rPr>
              <w:t>Steven R. Mills</w:t>
            </w:r>
          </w:p>
        </w:tc>
        <w:tc>
          <w:tcPr>
            <w:tcW w:w="1980" w:type="dxa"/>
            <w:vAlign w:val="bottom"/>
          </w:tcPr>
          <w:p>
            <w:pPr>
              <w:ind w:left="100"/>
              <w:spacing w:after="0"/>
              <w:rPr>
                <w:sz w:val="20"/>
                <w:szCs w:val="20"/>
                <w:color w:val="auto"/>
              </w:rPr>
            </w:pPr>
            <w:r>
              <w:rPr>
                <w:rFonts w:ascii="Arial" w:cs="Arial" w:eastAsia="Arial" w:hAnsi="Arial"/>
                <w:sz w:val="16"/>
                <w:szCs w:val="16"/>
                <w:color w:val="auto"/>
              </w:rPr>
              <w:t>Chairman</w:t>
            </w: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LINDEN R. EVANS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 and</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color w:val="auto"/>
              </w:rPr>
              <w:t>Linden R. Evans, President</w:t>
            </w:r>
          </w:p>
        </w:tc>
        <w:tc>
          <w:tcPr>
            <w:tcW w:w="1980" w:type="dxa"/>
            <w:vAlign w:val="bottom"/>
          </w:tcPr>
          <w:p>
            <w:pPr>
              <w:ind w:left="100"/>
              <w:spacing w:after="0"/>
              <w:rPr>
                <w:sz w:val="20"/>
                <w:szCs w:val="20"/>
                <w:color w:val="auto"/>
              </w:rPr>
            </w:pPr>
            <w:r>
              <w:rPr>
                <w:rFonts w:ascii="Arial" w:cs="Arial" w:eastAsia="Arial" w:hAnsi="Arial"/>
                <w:sz w:val="16"/>
                <w:szCs w:val="16"/>
                <w:color w:val="auto"/>
                <w:w w:val="99"/>
              </w:rPr>
              <w:t>Principal Executive Officer</w:t>
            </w:r>
          </w:p>
        </w:tc>
      </w:tr>
      <w:tr>
        <w:trPr>
          <w:trHeight w:val="297"/>
        </w:trPr>
        <w:tc>
          <w:tcPr>
            <w:tcW w:w="4540" w:type="dxa"/>
            <w:vAlign w:val="bottom"/>
          </w:tcPr>
          <w:p>
            <w:pPr>
              <w:ind w:left="120"/>
              <w:spacing w:after="0"/>
              <w:rPr>
                <w:sz w:val="20"/>
                <w:szCs w:val="20"/>
                <w:color w:val="auto"/>
              </w:rPr>
            </w:pPr>
            <w:r>
              <w:rPr>
                <w:rFonts w:ascii="Arial" w:cs="Arial" w:eastAsia="Arial" w:hAnsi="Arial"/>
                <w:sz w:val="16"/>
                <w:szCs w:val="16"/>
                <w:color w:val="auto"/>
              </w:rPr>
              <w:t>and Chief Executive Officer</w:t>
            </w:r>
          </w:p>
        </w:tc>
        <w:tc>
          <w:tcPr>
            <w:tcW w:w="1980" w:type="dxa"/>
            <w:vAlign w:val="bottom"/>
          </w:tcPr>
          <w:p>
            <w:pPr>
              <w:spacing w:after="0"/>
              <w:rPr>
                <w:sz w:val="24"/>
                <w:szCs w:val="24"/>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KIMBERLY F. NOONEY</w:t>
            </w:r>
          </w:p>
        </w:tc>
        <w:tc>
          <w:tcPr>
            <w:tcW w:w="1980" w:type="dxa"/>
            <w:vAlign w:val="bottom"/>
          </w:tcPr>
          <w:p>
            <w:pPr>
              <w:ind w:left="100"/>
              <w:spacing w:after="0"/>
              <w:rPr>
                <w:sz w:val="20"/>
                <w:szCs w:val="20"/>
                <w:color w:val="auto"/>
              </w:rPr>
            </w:pPr>
            <w:r>
              <w:rPr>
                <w:rFonts w:ascii="Arial" w:cs="Arial" w:eastAsia="Arial" w:hAnsi="Arial"/>
                <w:sz w:val="16"/>
                <w:szCs w:val="16"/>
                <w:color w:val="auto"/>
              </w:rPr>
              <w:t>Principal Financial and</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4"/>
        </w:trPr>
        <w:tc>
          <w:tcPr>
            <w:tcW w:w="4540" w:type="dxa"/>
            <w:vAlign w:val="bottom"/>
          </w:tcPr>
          <w:p>
            <w:pPr>
              <w:ind w:left="120"/>
              <w:spacing w:after="0"/>
              <w:rPr>
                <w:sz w:val="20"/>
                <w:szCs w:val="20"/>
                <w:color w:val="auto"/>
              </w:rPr>
            </w:pPr>
            <w:r>
              <w:rPr>
                <w:rFonts w:ascii="Arial" w:cs="Arial" w:eastAsia="Arial" w:hAnsi="Arial"/>
                <w:sz w:val="16"/>
                <w:szCs w:val="16"/>
                <w:color w:val="auto"/>
              </w:rPr>
              <w:t>Kimberly F. Nooney, Senior Vice President</w:t>
            </w:r>
          </w:p>
        </w:tc>
        <w:tc>
          <w:tcPr>
            <w:tcW w:w="1980" w:type="dxa"/>
            <w:vAlign w:val="bottom"/>
          </w:tcPr>
          <w:p>
            <w:pPr>
              <w:ind w:left="100"/>
              <w:spacing w:after="0"/>
              <w:rPr>
                <w:sz w:val="20"/>
                <w:szCs w:val="20"/>
                <w:color w:val="auto"/>
              </w:rPr>
            </w:pPr>
            <w:r>
              <w:rPr>
                <w:rFonts w:ascii="Arial" w:cs="Arial" w:eastAsia="Arial" w:hAnsi="Arial"/>
                <w:sz w:val="16"/>
                <w:szCs w:val="16"/>
                <w:color w:val="auto"/>
              </w:rPr>
              <w:t>Accounting Officer</w:t>
            </w:r>
          </w:p>
        </w:tc>
      </w:tr>
      <w:tr>
        <w:trPr>
          <w:trHeight w:val="297"/>
        </w:trPr>
        <w:tc>
          <w:tcPr>
            <w:tcW w:w="4540" w:type="dxa"/>
            <w:vAlign w:val="bottom"/>
          </w:tcPr>
          <w:p>
            <w:pPr>
              <w:ind w:left="120"/>
              <w:spacing w:after="0"/>
              <w:rPr>
                <w:sz w:val="20"/>
                <w:szCs w:val="20"/>
                <w:color w:val="auto"/>
              </w:rPr>
            </w:pPr>
            <w:r>
              <w:rPr>
                <w:rFonts w:ascii="Arial" w:cs="Arial" w:eastAsia="Arial" w:hAnsi="Arial"/>
                <w:sz w:val="16"/>
                <w:szCs w:val="16"/>
                <w:color w:val="auto"/>
              </w:rPr>
              <w:t>and Chief Financial Officer</w:t>
            </w:r>
          </w:p>
        </w:tc>
        <w:tc>
          <w:tcPr>
            <w:tcW w:w="1980" w:type="dxa"/>
            <w:vAlign w:val="bottom"/>
          </w:tcPr>
          <w:p>
            <w:pPr>
              <w:spacing w:after="0"/>
              <w:rPr>
                <w:sz w:val="24"/>
                <w:szCs w:val="24"/>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BARRY M. GRANGER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Barry M. Granger</w:t>
            </w:r>
          </w:p>
        </w:tc>
        <w:tc>
          <w:tcPr>
            <w:tcW w:w="1980" w:type="dxa"/>
            <w:vAlign w:val="bottom"/>
          </w:tcPr>
          <w:p>
            <w:pPr>
              <w:spacing w:after="0"/>
              <w:rPr>
                <w:sz w:val="20"/>
                <w:szCs w:val="20"/>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TONY A. JENSEN</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Tony A. Jensen</w:t>
            </w:r>
          </w:p>
        </w:tc>
        <w:tc>
          <w:tcPr>
            <w:tcW w:w="1980" w:type="dxa"/>
            <w:vAlign w:val="bottom"/>
          </w:tcPr>
          <w:p>
            <w:pPr>
              <w:spacing w:after="0"/>
              <w:rPr>
                <w:sz w:val="20"/>
                <w:szCs w:val="20"/>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KATHLEEN S. MCALLISTER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61"/>
        </w:trPr>
        <w:tc>
          <w:tcPr>
            <w:tcW w:w="4540" w:type="dxa"/>
            <w:vAlign w:val="bottom"/>
          </w:tcPr>
          <w:p>
            <w:pPr>
              <w:ind w:left="120"/>
              <w:spacing w:after="0"/>
              <w:rPr>
                <w:sz w:val="20"/>
                <w:szCs w:val="20"/>
                <w:color w:val="auto"/>
              </w:rPr>
            </w:pPr>
            <w:r>
              <w:rPr>
                <w:rFonts w:ascii="Arial" w:cs="Arial" w:eastAsia="Arial" w:hAnsi="Arial"/>
                <w:sz w:val="16"/>
                <w:szCs w:val="16"/>
                <w:color w:val="auto"/>
              </w:rPr>
              <w:t>Kathleen S. McAllister</w:t>
            </w:r>
          </w:p>
        </w:tc>
        <w:tc>
          <w:tcPr>
            <w:tcW w:w="1980" w:type="dxa"/>
            <w:vAlign w:val="bottom"/>
          </w:tcPr>
          <w:p>
            <w:pPr>
              <w:spacing w:after="0"/>
              <w:rPr>
                <w:sz w:val="22"/>
                <w:szCs w:val="22"/>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ROBERT P. OTTO</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Robert P. Otto</w:t>
            </w:r>
          </w:p>
        </w:tc>
        <w:tc>
          <w:tcPr>
            <w:tcW w:w="1980" w:type="dxa"/>
            <w:vAlign w:val="bottom"/>
          </w:tcPr>
          <w:p>
            <w:pPr>
              <w:spacing w:after="0"/>
              <w:rPr>
                <w:sz w:val="20"/>
                <w:szCs w:val="20"/>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SCOTT M. PROCHAZKA</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Scott M. Prochazka</w:t>
            </w:r>
          </w:p>
        </w:tc>
        <w:tc>
          <w:tcPr>
            <w:tcW w:w="1980" w:type="dxa"/>
            <w:vAlign w:val="bottom"/>
          </w:tcPr>
          <w:p>
            <w:pPr>
              <w:spacing w:after="0"/>
              <w:rPr>
                <w:sz w:val="20"/>
                <w:szCs w:val="20"/>
                <w:color w:val="auto"/>
              </w:rPr>
            </w:pPr>
          </w:p>
        </w:tc>
      </w:tr>
      <w:tr>
        <w:trPr>
          <w:trHeight w:val="527"/>
        </w:trPr>
        <w:tc>
          <w:tcPr>
            <w:tcW w:w="4540" w:type="dxa"/>
            <w:vAlign w:val="bottom"/>
          </w:tcPr>
          <w:p>
            <w:pPr>
              <w:ind w:left="120"/>
              <w:spacing w:after="0"/>
              <w:rPr>
                <w:sz w:val="20"/>
                <w:szCs w:val="20"/>
                <w:color w:val="auto"/>
              </w:rPr>
            </w:pPr>
            <w:r>
              <w:rPr>
                <w:rFonts w:ascii="Arial" w:cs="Arial" w:eastAsia="Arial" w:hAnsi="Arial"/>
                <w:sz w:val="16"/>
                <w:szCs w:val="16"/>
                <w:color w:val="auto"/>
              </w:rPr>
              <w:t>/S/ REBECCA B. ROBERTS</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Rebecca B. Roberts</w:t>
            </w:r>
          </w:p>
        </w:tc>
        <w:tc>
          <w:tcPr>
            <w:tcW w:w="1980" w:type="dxa"/>
            <w:vAlign w:val="bottom"/>
          </w:tcPr>
          <w:p>
            <w:pPr>
              <w:spacing w:after="0"/>
              <w:rPr>
                <w:sz w:val="20"/>
                <w:szCs w:val="20"/>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MARK A. SCHOBER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Mark A. Schober</w:t>
            </w:r>
          </w:p>
        </w:tc>
        <w:tc>
          <w:tcPr>
            <w:tcW w:w="1980" w:type="dxa"/>
            <w:vAlign w:val="bottom"/>
          </w:tcPr>
          <w:p>
            <w:pPr>
              <w:spacing w:after="0"/>
              <w:rPr>
                <w:sz w:val="20"/>
                <w:szCs w:val="20"/>
                <w:color w:val="auto"/>
              </w:rPr>
            </w:pPr>
          </w:p>
        </w:tc>
      </w:tr>
      <w:tr>
        <w:trPr>
          <w:trHeight w:val="526"/>
        </w:trPr>
        <w:tc>
          <w:tcPr>
            <w:tcW w:w="4540" w:type="dxa"/>
            <w:vAlign w:val="bottom"/>
          </w:tcPr>
          <w:p>
            <w:pPr>
              <w:ind w:left="120"/>
              <w:spacing w:after="0"/>
              <w:rPr>
                <w:sz w:val="20"/>
                <w:szCs w:val="20"/>
                <w:color w:val="auto"/>
              </w:rPr>
            </w:pPr>
            <w:r>
              <w:rPr>
                <w:rFonts w:ascii="Arial" w:cs="Arial" w:eastAsia="Arial" w:hAnsi="Arial"/>
                <w:sz w:val="16"/>
                <w:szCs w:val="16"/>
                <w:color w:val="auto"/>
              </w:rPr>
              <w:t>/S/ TERESA A. TAYLOR</w:t>
            </w:r>
          </w:p>
        </w:tc>
        <w:tc>
          <w:tcPr>
            <w:tcW w:w="1980" w:type="dxa"/>
            <w:vAlign w:val="bottom"/>
          </w:tcPr>
          <w:p>
            <w:pPr>
              <w:ind w:left="100"/>
              <w:spacing w:after="0"/>
              <w:rPr>
                <w:sz w:val="20"/>
                <w:szCs w:val="20"/>
                <w:color w:val="auto"/>
              </w:rPr>
            </w:pPr>
            <w:r>
              <w:rPr>
                <w:rFonts w:ascii="Arial" w:cs="Arial" w:eastAsia="Arial" w:hAnsi="Arial"/>
                <w:sz w:val="16"/>
                <w:szCs w:val="16"/>
                <w:color w:val="auto"/>
              </w:rPr>
              <w:t>Director</w:t>
            </w:r>
          </w:p>
        </w:tc>
      </w:tr>
      <w:tr>
        <w:trPr>
          <w:trHeight w:val="29"/>
        </w:trPr>
        <w:tc>
          <w:tcPr>
            <w:tcW w:w="4540" w:type="dxa"/>
            <w:vAlign w:val="bottom"/>
            <w:tcBorders>
              <w:bottom w:val="single" w:sz="8" w:color="auto"/>
            </w:tcBorders>
          </w:tcPr>
          <w:p>
            <w:pPr>
              <w:spacing w:after="0"/>
              <w:rPr>
                <w:sz w:val="2"/>
                <w:szCs w:val="2"/>
                <w:color w:val="auto"/>
              </w:rPr>
            </w:pPr>
          </w:p>
        </w:tc>
        <w:tc>
          <w:tcPr>
            <w:tcW w:w="1980" w:type="dxa"/>
            <w:vAlign w:val="bottom"/>
          </w:tcPr>
          <w:p>
            <w:pPr>
              <w:spacing w:after="0"/>
              <w:rPr>
                <w:sz w:val="2"/>
                <w:szCs w:val="2"/>
                <w:color w:val="auto"/>
              </w:rPr>
            </w:pPr>
          </w:p>
        </w:tc>
      </w:tr>
      <w:tr>
        <w:trPr>
          <w:trHeight w:val="235"/>
        </w:trPr>
        <w:tc>
          <w:tcPr>
            <w:tcW w:w="4540" w:type="dxa"/>
            <w:vAlign w:val="bottom"/>
          </w:tcPr>
          <w:p>
            <w:pPr>
              <w:ind w:left="120"/>
              <w:spacing w:after="0"/>
              <w:rPr>
                <w:sz w:val="20"/>
                <w:szCs w:val="20"/>
                <w:color w:val="auto"/>
              </w:rPr>
            </w:pPr>
            <w:r>
              <w:rPr>
                <w:rFonts w:ascii="Arial" w:cs="Arial" w:eastAsia="Arial" w:hAnsi="Arial"/>
                <w:sz w:val="16"/>
                <w:szCs w:val="16"/>
                <w:color w:val="auto"/>
              </w:rPr>
              <w:t>Teresa A. Taylor</w:t>
            </w:r>
          </w:p>
        </w:tc>
        <w:tc>
          <w:tcPr>
            <w:tcW w:w="19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500" w:lineRule="exact"/>
        <w:rPr>
          <w:sz w:val="20"/>
          <w:szCs w:val="20"/>
          <w:color w:val="auto"/>
        </w:rPr>
      </w:pPr>
    </w:p>
    <w:p>
      <w:pPr>
        <w:sectPr>
          <w:pgSz w:w="11900" w:h="16838" w:orient="portrait"/>
          <w:cols w:equalWidth="0" w:num="2">
            <w:col w:w="7740" w:space="720"/>
            <w:col w:w="2720"/>
          </w:cols>
          <w:pgMar w:left="320" w:top="773" w:right="399" w:bottom="1440" w:gutter="0" w:footer="0" w:header="0"/>
          <w:type w:val="continuous"/>
        </w:sect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73" w:right="399" w:bottom="1440" w:gutter="0" w:footer="0" w:header="0"/>
          <w:type w:val="continuous"/>
        </w:sectPr>
      </w:pPr>
    </w:p>
    <w:bookmarkStart w:id="108" w:name="page109"/>
    <w:bookmarkEnd w:id="108"/>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Black Hills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Short-Term Incentive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Award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(Effective for Plan Years Beginning on or after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5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You have been selected to be a Participant in the Black Hills Corporation Short-Term Incentive</w:t>
      </w:r>
    </w:p>
    <w:p>
      <w:pPr>
        <w:spacing w:after="0" w:line="2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1"/>
          <w:szCs w:val="21"/>
          <w:color w:val="auto"/>
        </w:rPr>
        <w:t>Plan (the “STIP”). The STIP is granted under the cash-based awards provisions of the Black Hills Corporation Amended and Restated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 of Your Award</w:t>
      </w:r>
    </w:p>
    <w:p>
      <w:pPr>
        <w:spacing w:after="0" w:line="314"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1"/>
          <w:szCs w:val="21"/>
          <w:b w:val="1"/>
          <w:bCs w:val="1"/>
          <w:color w:val="auto"/>
        </w:rPr>
        <w:t>Participant:</w:t>
      </w:r>
      <w:r>
        <w:rPr>
          <w:sz w:val="20"/>
          <w:szCs w:val="20"/>
          <w:color w:val="auto"/>
        </w:rPr>
        <w:tab/>
      </w: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u w:val="single" w:color="auto"/>
          <w:color w:val="auto"/>
        </w:rPr>
        <w:t>______________________</w:t>
      </w:r>
    </w:p>
    <w:p>
      <w:pPr>
        <w:spacing w:after="0" w:line="24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21"/>
          <w:szCs w:val="21"/>
          <w:b w:val="1"/>
          <w:bCs w:val="1"/>
          <w:color w:val="auto"/>
        </w:rPr>
        <w:t>Target STIP Award:</w:t>
      </w:r>
      <w:r>
        <w:rPr>
          <w:sz w:val="20"/>
          <w:szCs w:val="20"/>
          <w:color w:val="auto"/>
        </w:rPr>
        <w:tab/>
      </w:r>
      <w:r>
        <w:rPr>
          <w:rFonts w:ascii="Times New Roman" w:cs="Times New Roman" w:eastAsia="Times New Roman" w:hAnsi="Times New Roman"/>
          <w:sz w:val="20"/>
          <w:szCs w:val="20"/>
          <w:color w:val="auto"/>
        </w:rPr>
        <w:t>X (XX) percent of Eligible Earnings</w:t>
      </w:r>
    </w:p>
    <w:p>
      <w:pPr>
        <w:spacing w:after="0" w:line="245" w:lineRule="exact"/>
        <w:rPr>
          <w:sz w:val="20"/>
          <w:szCs w:val="20"/>
          <w:color w:val="auto"/>
        </w:rPr>
      </w:pPr>
    </w:p>
    <w:p>
      <w:pPr>
        <w:spacing w:after="0"/>
        <w:tabs>
          <w:tab w:leader="none" w:pos="2060" w:val="left"/>
        </w:tabs>
        <w:rPr>
          <w:sz w:val="20"/>
          <w:szCs w:val="20"/>
          <w:color w:val="auto"/>
        </w:rPr>
      </w:pPr>
      <w:r>
        <w:rPr>
          <w:rFonts w:ascii="Times New Roman" w:cs="Times New Roman" w:eastAsia="Times New Roman" w:hAnsi="Times New Roman"/>
          <w:sz w:val="21"/>
          <w:szCs w:val="21"/>
          <w:b w:val="1"/>
          <w:bCs w:val="1"/>
          <w:color w:val="auto"/>
        </w:rPr>
        <w:t>Performance Period:</w:t>
      </w:r>
      <w:r>
        <w:rPr>
          <w:sz w:val="20"/>
          <w:szCs w:val="20"/>
          <w:color w:val="auto"/>
        </w:rPr>
        <w:tab/>
      </w:r>
      <w:r>
        <w:rPr>
          <w:rFonts w:ascii="Times New Roman" w:cs="Times New Roman" w:eastAsia="Times New Roman" w:hAnsi="Times New Roman"/>
          <w:sz w:val="20"/>
          <w:szCs w:val="20"/>
          <w:color w:val="auto"/>
        </w:rPr>
        <w:t>January 1, 2024 to December 31, 2024</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Performance Measure: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shd w:val="clear" w:color="auto" w:fill="4472C4"/>
          </w:tcPr>
          <w:p>
            <w:pPr>
              <w:ind w:left="20"/>
              <w:spacing w:after="0"/>
              <w:rPr>
                <w:sz w:val="20"/>
                <w:szCs w:val="20"/>
                <w:color w:val="auto"/>
              </w:rPr>
            </w:pPr>
            <w:r>
              <w:rPr>
                <w:rFonts w:ascii="Times New Roman" w:cs="Times New Roman" w:eastAsia="Times New Roman" w:hAnsi="Times New Roman"/>
                <w:sz w:val="18"/>
                <w:szCs w:val="18"/>
                <w:b w:val="1"/>
                <w:bCs w:val="1"/>
                <w:color w:val="FFFFFF"/>
              </w:rPr>
              <w:t>Category</w:t>
            </w:r>
          </w:p>
        </w:tc>
        <w:tc>
          <w:tcPr>
            <w:tcW w:w="1160" w:type="dxa"/>
            <w:vAlign w:val="bottom"/>
            <w:shd w:val="clear" w:color="auto" w:fill="4472C4"/>
          </w:tcPr>
          <w:p>
            <w:pPr>
              <w:ind w:left="20"/>
              <w:spacing w:after="0"/>
              <w:rPr>
                <w:sz w:val="20"/>
                <w:szCs w:val="20"/>
                <w:color w:val="auto"/>
              </w:rPr>
            </w:pPr>
            <w:r>
              <w:rPr>
                <w:rFonts w:ascii="Times New Roman" w:cs="Times New Roman" w:eastAsia="Times New Roman" w:hAnsi="Times New Roman"/>
                <w:sz w:val="18"/>
                <w:szCs w:val="18"/>
                <w:b w:val="1"/>
                <w:bCs w:val="1"/>
                <w:color w:val="FFFFFF"/>
              </w:rPr>
              <w:t>Weight</w:t>
            </w:r>
          </w:p>
        </w:tc>
        <w:tc>
          <w:tcPr>
            <w:tcW w:w="820" w:type="dxa"/>
            <w:vAlign w:val="bottom"/>
            <w:shd w:val="clear" w:color="auto" w:fill="4472C4"/>
          </w:tcPr>
          <w:p>
            <w:pPr>
              <w:spacing w:after="0"/>
              <w:rPr>
                <w:sz w:val="19"/>
                <w:szCs w:val="19"/>
                <w:color w:val="auto"/>
              </w:rPr>
            </w:pPr>
          </w:p>
        </w:tc>
        <w:tc>
          <w:tcPr>
            <w:tcW w:w="3600" w:type="dxa"/>
            <w:vAlign w:val="bottom"/>
            <w:shd w:val="clear" w:color="auto" w:fill="4472C4"/>
          </w:tcPr>
          <w:p>
            <w:pPr>
              <w:ind w:left="340"/>
              <w:spacing w:after="0"/>
              <w:rPr>
                <w:sz w:val="20"/>
                <w:szCs w:val="20"/>
                <w:color w:val="auto"/>
              </w:rPr>
            </w:pPr>
            <w:r>
              <w:rPr>
                <w:rFonts w:ascii="Times New Roman" w:cs="Times New Roman" w:eastAsia="Times New Roman" w:hAnsi="Times New Roman"/>
                <w:sz w:val="18"/>
                <w:szCs w:val="18"/>
                <w:b w:val="1"/>
                <w:bCs w:val="1"/>
                <w:color w:val="FFFFFF"/>
              </w:rPr>
              <w:t>2024 Metrics</w:t>
            </w:r>
          </w:p>
        </w:tc>
        <w:tc>
          <w:tcPr>
            <w:tcW w:w="0" w:type="dxa"/>
            <w:vAlign w:val="bottom"/>
          </w:tcPr>
          <w:p>
            <w:pPr>
              <w:spacing w:after="0"/>
              <w:rPr>
                <w:sz w:val="1"/>
                <w:szCs w:val="1"/>
                <w:color w:val="auto"/>
              </w:rPr>
            </w:pPr>
          </w:p>
        </w:tc>
      </w:tr>
      <w:tr>
        <w:trPr>
          <w:trHeight w:val="230"/>
        </w:trPr>
        <w:tc>
          <w:tcPr>
            <w:tcW w:w="1500" w:type="dxa"/>
            <w:vAlign w:val="bottom"/>
            <w:shd w:val="clear" w:color="auto" w:fill="B4C6E7"/>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w:t>
            </w:r>
          </w:p>
        </w:tc>
        <w:tc>
          <w:tcPr>
            <w:tcW w:w="1160" w:type="dxa"/>
            <w:vAlign w:val="bottom"/>
            <w:shd w:val="clear" w:color="auto" w:fill="B4C6E7"/>
          </w:tcPr>
          <w:p>
            <w:pPr>
              <w:ind w:left="20"/>
              <w:spacing w:after="0"/>
              <w:rPr>
                <w:sz w:val="20"/>
                <w:szCs w:val="20"/>
                <w:color w:val="auto"/>
              </w:rPr>
            </w:pPr>
            <w:r>
              <w:rPr>
                <w:rFonts w:ascii="Times New Roman" w:cs="Times New Roman" w:eastAsia="Times New Roman" w:hAnsi="Times New Roman"/>
                <w:sz w:val="18"/>
                <w:szCs w:val="18"/>
                <w:color w:val="auto"/>
              </w:rPr>
              <w:t>70%</w:t>
            </w:r>
          </w:p>
        </w:tc>
        <w:tc>
          <w:tcPr>
            <w:tcW w:w="820" w:type="dxa"/>
            <w:vAlign w:val="bottom"/>
            <w:shd w:val="clear" w:color="auto" w:fill="B4C6E7"/>
          </w:tcPr>
          <w:p>
            <w:pPr>
              <w:spacing w:after="0"/>
              <w:rPr>
                <w:sz w:val="19"/>
                <w:szCs w:val="19"/>
                <w:color w:val="auto"/>
              </w:rPr>
            </w:pPr>
          </w:p>
        </w:tc>
        <w:tc>
          <w:tcPr>
            <w:tcW w:w="3600" w:type="dxa"/>
            <w:vAlign w:val="bottom"/>
            <w:shd w:val="clear" w:color="auto" w:fill="B4C6E7"/>
          </w:tcPr>
          <w:p>
            <w:pPr>
              <w:ind w:left="340"/>
              <w:spacing w:after="0"/>
              <w:rPr>
                <w:sz w:val="20"/>
                <w:szCs w:val="20"/>
                <w:color w:val="auto"/>
              </w:rPr>
            </w:pPr>
            <w:r>
              <w:rPr>
                <w:rFonts w:ascii="Times New Roman" w:cs="Times New Roman" w:eastAsia="Times New Roman" w:hAnsi="Times New Roman"/>
                <w:sz w:val="18"/>
                <w:szCs w:val="18"/>
                <w:color w:val="auto"/>
              </w:rPr>
              <w:t>EPS</w:t>
            </w:r>
          </w:p>
        </w:tc>
        <w:tc>
          <w:tcPr>
            <w:tcW w:w="0" w:type="dxa"/>
            <w:vAlign w:val="bottom"/>
          </w:tcPr>
          <w:p>
            <w:pPr>
              <w:spacing w:after="0"/>
              <w:rPr>
                <w:sz w:val="1"/>
                <w:szCs w:val="1"/>
                <w:color w:val="auto"/>
              </w:rPr>
            </w:pPr>
          </w:p>
        </w:tc>
      </w:tr>
      <w:tr>
        <w:trPr>
          <w:trHeight w:val="229"/>
        </w:trPr>
        <w:tc>
          <w:tcPr>
            <w:tcW w:w="150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8"/>
                <w:szCs w:val="18"/>
                <w:b w:val="1"/>
                <w:bCs w:val="1"/>
                <w:color w:val="auto"/>
              </w:rPr>
              <w:t>Safety Index</w:t>
            </w:r>
          </w:p>
        </w:tc>
        <w:tc>
          <w:tcPr>
            <w:tcW w:w="116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3600" w:type="dxa"/>
            <w:vAlign w:val="bottom"/>
            <w:shd w:val="clear" w:color="auto" w:fill="D9E1F2"/>
          </w:tcPr>
          <w:p>
            <w:pPr>
              <w:ind w:left="340"/>
              <w:spacing w:after="0"/>
              <w:rPr>
                <w:sz w:val="20"/>
                <w:szCs w:val="20"/>
                <w:color w:val="auto"/>
              </w:rPr>
            </w:pPr>
            <w:r>
              <w:rPr>
                <w:rFonts w:ascii="Times New Roman" w:cs="Times New Roman" w:eastAsia="Times New Roman" w:hAnsi="Times New Roman"/>
                <w:sz w:val="18"/>
                <w:szCs w:val="18"/>
                <w:color w:val="auto"/>
              </w:rPr>
              <w:t>Timeliness of Incident Reporting</w:t>
            </w:r>
          </w:p>
        </w:tc>
        <w:tc>
          <w:tcPr>
            <w:tcW w:w="0" w:type="dxa"/>
            <w:vAlign w:val="bottom"/>
          </w:tcPr>
          <w:p>
            <w:pPr>
              <w:spacing w:after="0"/>
              <w:rPr>
                <w:sz w:val="1"/>
                <w:szCs w:val="1"/>
                <w:color w:val="auto"/>
              </w:rPr>
            </w:pPr>
          </w:p>
        </w:tc>
      </w:tr>
      <w:tr>
        <w:trPr>
          <w:trHeight w:val="230"/>
        </w:trPr>
        <w:tc>
          <w:tcPr>
            <w:tcW w:w="1500" w:type="dxa"/>
            <w:vAlign w:val="bottom"/>
            <w:shd w:val="clear" w:color="auto" w:fill="D9E1F2"/>
          </w:tcPr>
          <w:p>
            <w:pPr>
              <w:spacing w:after="0"/>
              <w:rPr>
                <w:sz w:val="19"/>
                <w:szCs w:val="19"/>
                <w:color w:val="auto"/>
              </w:rPr>
            </w:pPr>
          </w:p>
        </w:tc>
        <w:tc>
          <w:tcPr>
            <w:tcW w:w="1160" w:type="dxa"/>
            <w:vAlign w:val="bottom"/>
            <w:shd w:val="clear" w:color="auto" w:fill="D9E1F2"/>
          </w:tcPr>
          <w:p>
            <w:pPr>
              <w:spacing w:after="0"/>
              <w:rPr>
                <w:sz w:val="19"/>
                <w:szCs w:val="19"/>
                <w:color w:val="auto"/>
              </w:rPr>
            </w:pPr>
          </w:p>
        </w:tc>
        <w:tc>
          <w:tcPr>
            <w:tcW w:w="820" w:type="dxa"/>
            <w:vAlign w:val="bottom"/>
            <w:shd w:val="clear" w:color="auto" w:fill="B4C6E7"/>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3600" w:type="dxa"/>
            <w:vAlign w:val="bottom"/>
            <w:shd w:val="clear" w:color="auto" w:fill="B4C6E7"/>
          </w:tcPr>
          <w:p>
            <w:pPr>
              <w:ind w:left="340"/>
              <w:spacing w:after="0"/>
              <w:rPr>
                <w:sz w:val="20"/>
                <w:szCs w:val="20"/>
                <w:color w:val="auto"/>
              </w:rPr>
            </w:pPr>
            <w:r>
              <w:rPr>
                <w:rFonts w:ascii="Times New Roman" w:cs="Times New Roman" w:eastAsia="Times New Roman" w:hAnsi="Times New Roman"/>
                <w:sz w:val="18"/>
                <w:szCs w:val="18"/>
                <w:color w:val="auto"/>
              </w:rPr>
              <w:t>Average Safety Events/Employee</w:t>
            </w:r>
          </w:p>
        </w:tc>
        <w:tc>
          <w:tcPr>
            <w:tcW w:w="0" w:type="dxa"/>
            <w:vAlign w:val="bottom"/>
          </w:tcPr>
          <w:p>
            <w:pPr>
              <w:spacing w:after="0"/>
              <w:rPr>
                <w:sz w:val="1"/>
                <w:szCs w:val="1"/>
                <w:color w:val="auto"/>
              </w:rPr>
            </w:pPr>
          </w:p>
        </w:tc>
      </w:tr>
      <w:tr>
        <w:trPr>
          <w:trHeight w:val="198"/>
        </w:trPr>
        <w:tc>
          <w:tcPr>
            <w:tcW w:w="1500" w:type="dxa"/>
            <w:vAlign w:val="bottom"/>
            <w:shd w:val="clear" w:color="auto" w:fill="D9E1F2"/>
          </w:tcPr>
          <w:p>
            <w:pPr>
              <w:spacing w:after="0"/>
              <w:rPr>
                <w:sz w:val="17"/>
                <w:szCs w:val="17"/>
                <w:color w:val="auto"/>
              </w:rPr>
            </w:pPr>
          </w:p>
        </w:tc>
        <w:tc>
          <w:tcPr>
            <w:tcW w:w="1160" w:type="dxa"/>
            <w:vAlign w:val="bottom"/>
            <w:shd w:val="clear" w:color="auto" w:fill="D9E1F2"/>
          </w:tcPr>
          <w:p>
            <w:pPr>
              <w:spacing w:after="0"/>
              <w:rPr>
                <w:sz w:val="17"/>
                <w:szCs w:val="17"/>
                <w:color w:val="auto"/>
              </w:rPr>
            </w:pPr>
          </w:p>
        </w:tc>
        <w:tc>
          <w:tcPr>
            <w:tcW w:w="820" w:type="dxa"/>
            <w:vAlign w:val="bottom"/>
            <w:shd w:val="clear" w:color="auto" w:fill="D9E1F2"/>
          </w:tcPr>
          <w:p>
            <w:pPr>
              <w:ind w:left="20"/>
              <w:spacing w:after="0" w:line="198" w:lineRule="exact"/>
              <w:rPr>
                <w:sz w:val="20"/>
                <w:szCs w:val="20"/>
                <w:color w:val="auto"/>
              </w:rPr>
            </w:pPr>
            <w:r>
              <w:rPr>
                <w:rFonts w:ascii="Times New Roman" w:cs="Times New Roman" w:eastAsia="Times New Roman" w:hAnsi="Times New Roman"/>
                <w:sz w:val="18"/>
                <w:szCs w:val="18"/>
                <w:color w:val="auto"/>
              </w:rPr>
              <w:t>2.5%</w:t>
            </w:r>
          </w:p>
        </w:tc>
        <w:tc>
          <w:tcPr>
            <w:tcW w:w="3600" w:type="dxa"/>
            <w:vAlign w:val="bottom"/>
            <w:shd w:val="clear" w:color="auto" w:fill="D9E1F2"/>
          </w:tcPr>
          <w:p>
            <w:pPr>
              <w:ind w:left="340"/>
              <w:spacing w:after="0" w:line="198" w:lineRule="exact"/>
              <w:rPr>
                <w:sz w:val="20"/>
                <w:szCs w:val="20"/>
                <w:color w:val="auto"/>
              </w:rPr>
            </w:pPr>
            <w:r>
              <w:rPr>
                <w:rFonts w:ascii="Times New Roman" w:cs="Times New Roman" w:eastAsia="Times New Roman" w:hAnsi="Times New Roman"/>
                <w:sz w:val="18"/>
                <w:szCs w:val="18"/>
                <w:color w:val="auto"/>
              </w:rPr>
              <w:t>Days Away, Restricted, or Transferred</w:t>
            </w:r>
          </w:p>
        </w:tc>
        <w:tc>
          <w:tcPr>
            <w:tcW w:w="0" w:type="dxa"/>
            <w:vAlign w:val="bottom"/>
          </w:tcPr>
          <w:p>
            <w:pPr>
              <w:spacing w:after="0"/>
              <w:rPr>
                <w:sz w:val="1"/>
                <w:szCs w:val="1"/>
                <w:color w:val="auto"/>
              </w:rPr>
            </w:pPr>
          </w:p>
        </w:tc>
      </w:tr>
      <w:tr>
        <w:trPr>
          <w:trHeight w:val="241"/>
        </w:trPr>
        <w:tc>
          <w:tcPr>
            <w:tcW w:w="1500" w:type="dxa"/>
            <w:vAlign w:val="bottom"/>
            <w:tcBorders>
              <w:bottom w:val="single" w:sz="8" w:color="D9E1F2"/>
            </w:tcBorders>
            <w:shd w:val="clear" w:color="auto" w:fill="D9E1F2"/>
          </w:tcPr>
          <w:p>
            <w:pPr>
              <w:spacing w:after="0"/>
              <w:rPr>
                <w:sz w:val="20"/>
                <w:szCs w:val="20"/>
                <w:color w:val="auto"/>
              </w:rPr>
            </w:pPr>
          </w:p>
        </w:tc>
        <w:tc>
          <w:tcPr>
            <w:tcW w:w="1160" w:type="dxa"/>
            <w:vAlign w:val="bottom"/>
            <w:tcBorders>
              <w:bottom w:val="single" w:sz="8" w:color="D9E1F2"/>
            </w:tcBorders>
            <w:shd w:val="clear" w:color="auto" w:fill="D9E1F2"/>
          </w:tcPr>
          <w:p>
            <w:pPr>
              <w:spacing w:after="0"/>
              <w:rPr>
                <w:sz w:val="20"/>
                <w:szCs w:val="20"/>
                <w:color w:val="auto"/>
              </w:rPr>
            </w:pPr>
          </w:p>
        </w:tc>
        <w:tc>
          <w:tcPr>
            <w:tcW w:w="820" w:type="dxa"/>
            <w:vAlign w:val="bottom"/>
            <w:tcBorders>
              <w:bottom w:val="single" w:sz="8" w:color="D9E1F2"/>
            </w:tcBorders>
            <w:shd w:val="clear" w:color="auto" w:fill="D9E1F2"/>
          </w:tcPr>
          <w:p>
            <w:pPr>
              <w:spacing w:after="0"/>
              <w:rPr>
                <w:sz w:val="20"/>
                <w:szCs w:val="20"/>
                <w:color w:val="auto"/>
              </w:rPr>
            </w:pPr>
          </w:p>
        </w:tc>
        <w:tc>
          <w:tcPr>
            <w:tcW w:w="3600" w:type="dxa"/>
            <w:vAlign w:val="bottom"/>
            <w:tcBorders>
              <w:bottom w:val="single" w:sz="8" w:color="D9E1F2"/>
            </w:tcBorders>
            <w:shd w:val="clear" w:color="auto" w:fill="D9E1F2"/>
          </w:tcPr>
          <w:p>
            <w:pPr>
              <w:ind w:left="340"/>
              <w:spacing w:after="0"/>
              <w:rPr>
                <w:sz w:val="20"/>
                <w:szCs w:val="20"/>
                <w:color w:val="auto"/>
              </w:rPr>
            </w:pPr>
            <w:r>
              <w:rPr>
                <w:rFonts w:ascii="Times New Roman" w:cs="Times New Roman" w:eastAsia="Times New Roman" w:hAnsi="Times New Roman"/>
                <w:sz w:val="18"/>
                <w:szCs w:val="18"/>
                <w:color w:val="auto"/>
              </w:rPr>
              <w:t>(DART)</w:t>
            </w:r>
          </w:p>
        </w:tc>
        <w:tc>
          <w:tcPr>
            <w:tcW w:w="0" w:type="dxa"/>
            <w:vAlign w:val="bottom"/>
          </w:tcPr>
          <w:p>
            <w:pPr>
              <w:spacing w:after="0"/>
              <w:rPr>
                <w:sz w:val="1"/>
                <w:szCs w:val="1"/>
                <w:color w:val="auto"/>
              </w:rPr>
            </w:pPr>
          </w:p>
        </w:tc>
      </w:tr>
      <w:tr>
        <w:trPr>
          <w:trHeight w:val="209"/>
        </w:trPr>
        <w:tc>
          <w:tcPr>
            <w:tcW w:w="1500" w:type="dxa"/>
            <w:vAlign w:val="bottom"/>
            <w:tcBorders>
              <w:bottom w:val="single" w:sz="8" w:color="B4C6E7"/>
            </w:tcBorders>
            <w:shd w:val="clear" w:color="auto" w:fill="B4C6E7"/>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System Safety &amp;</w:t>
            </w:r>
          </w:p>
        </w:tc>
        <w:tc>
          <w:tcPr>
            <w:tcW w:w="1160" w:type="dxa"/>
            <w:vAlign w:val="bottom"/>
            <w:tcBorders>
              <w:bottom w:val="single" w:sz="8" w:color="B4C6E7"/>
            </w:tcBorders>
            <w:shd w:val="clear" w:color="auto" w:fill="B4C6E7"/>
          </w:tcPr>
          <w:p>
            <w:pPr>
              <w:ind w:left="20"/>
              <w:spacing w:after="0" w:line="194" w:lineRule="exact"/>
              <w:rPr>
                <w:sz w:val="20"/>
                <w:szCs w:val="20"/>
                <w:color w:val="auto"/>
              </w:rPr>
            </w:pPr>
            <w:r>
              <w:rPr>
                <w:rFonts w:ascii="Times New Roman" w:cs="Times New Roman" w:eastAsia="Times New Roman" w:hAnsi="Times New Roman"/>
                <w:sz w:val="18"/>
                <w:szCs w:val="18"/>
                <w:color w:val="auto"/>
              </w:rPr>
              <w:t>7.5%</w:t>
            </w:r>
          </w:p>
        </w:tc>
        <w:tc>
          <w:tcPr>
            <w:tcW w:w="820" w:type="dxa"/>
            <w:vAlign w:val="bottom"/>
            <w:tcBorders>
              <w:bottom w:val="single" w:sz="8" w:color="B4C6E7"/>
            </w:tcBorders>
            <w:shd w:val="clear" w:color="auto" w:fill="B4C6E7"/>
          </w:tcPr>
          <w:p>
            <w:pPr>
              <w:ind w:left="20"/>
              <w:spacing w:after="0" w:line="194" w:lineRule="exact"/>
              <w:rPr>
                <w:sz w:val="20"/>
                <w:szCs w:val="20"/>
                <w:color w:val="auto"/>
              </w:rPr>
            </w:pPr>
            <w:r>
              <w:rPr>
                <w:rFonts w:ascii="Times New Roman" w:cs="Times New Roman" w:eastAsia="Times New Roman" w:hAnsi="Times New Roman"/>
                <w:sz w:val="18"/>
                <w:szCs w:val="18"/>
                <w:color w:val="auto"/>
              </w:rPr>
              <w:t>3.75%</w:t>
            </w:r>
          </w:p>
        </w:tc>
        <w:tc>
          <w:tcPr>
            <w:tcW w:w="3600" w:type="dxa"/>
            <w:vAlign w:val="bottom"/>
            <w:tcBorders>
              <w:bottom w:val="single" w:sz="8" w:color="B4C6E7"/>
            </w:tcBorders>
            <w:shd w:val="clear" w:color="auto" w:fill="B4C6E7"/>
          </w:tcPr>
          <w:p>
            <w:pPr>
              <w:ind w:left="340"/>
              <w:spacing w:after="0" w:line="194" w:lineRule="exact"/>
              <w:rPr>
                <w:sz w:val="20"/>
                <w:szCs w:val="20"/>
                <w:color w:val="auto"/>
              </w:rPr>
            </w:pPr>
            <w:r>
              <w:rPr>
                <w:rFonts w:ascii="Times New Roman" w:cs="Times New Roman" w:eastAsia="Times New Roman" w:hAnsi="Times New Roman"/>
                <w:sz w:val="18"/>
                <w:szCs w:val="18"/>
                <w:color w:val="auto"/>
              </w:rPr>
              <w:t>Hits per Thousand (HPT)</w:t>
            </w:r>
          </w:p>
        </w:tc>
        <w:tc>
          <w:tcPr>
            <w:tcW w:w="0" w:type="dxa"/>
            <w:vAlign w:val="bottom"/>
          </w:tcPr>
          <w:p>
            <w:pPr>
              <w:spacing w:after="0"/>
              <w:rPr>
                <w:sz w:val="1"/>
                <w:szCs w:val="1"/>
                <w:color w:val="auto"/>
              </w:rPr>
            </w:pPr>
          </w:p>
        </w:tc>
      </w:tr>
      <w:tr>
        <w:trPr>
          <w:trHeight w:val="198"/>
        </w:trPr>
        <w:tc>
          <w:tcPr>
            <w:tcW w:w="1500" w:type="dxa"/>
            <w:vAlign w:val="bottom"/>
            <w:shd w:val="clear" w:color="auto" w:fill="B4C6E7"/>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Reliability</w:t>
            </w:r>
          </w:p>
        </w:tc>
        <w:tc>
          <w:tcPr>
            <w:tcW w:w="1160" w:type="dxa"/>
            <w:vAlign w:val="bottom"/>
            <w:shd w:val="clear" w:color="auto" w:fill="B4C6E7"/>
          </w:tcPr>
          <w:p>
            <w:pPr>
              <w:spacing w:after="0"/>
              <w:rPr>
                <w:sz w:val="17"/>
                <w:szCs w:val="17"/>
                <w:color w:val="auto"/>
              </w:rPr>
            </w:pPr>
          </w:p>
        </w:tc>
        <w:tc>
          <w:tcPr>
            <w:tcW w:w="820" w:type="dxa"/>
            <w:vAlign w:val="bottom"/>
            <w:shd w:val="clear" w:color="auto" w:fill="D9E1F2"/>
          </w:tcPr>
          <w:p>
            <w:pPr>
              <w:ind w:left="20"/>
              <w:spacing w:after="0" w:line="198" w:lineRule="exact"/>
              <w:rPr>
                <w:sz w:val="20"/>
                <w:szCs w:val="20"/>
                <w:color w:val="auto"/>
              </w:rPr>
            </w:pPr>
            <w:r>
              <w:rPr>
                <w:rFonts w:ascii="Times New Roman" w:cs="Times New Roman" w:eastAsia="Times New Roman" w:hAnsi="Times New Roman"/>
                <w:sz w:val="18"/>
                <w:szCs w:val="18"/>
                <w:color w:val="auto"/>
              </w:rPr>
              <w:t>3.75%</w:t>
            </w:r>
          </w:p>
        </w:tc>
        <w:tc>
          <w:tcPr>
            <w:tcW w:w="3600" w:type="dxa"/>
            <w:vAlign w:val="bottom"/>
            <w:shd w:val="clear" w:color="auto" w:fill="D9E1F2"/>
          </w:tcPr>
          <w:p>
            <w:pPr>
              <w:ind w:left="340"/>
              <w:spacing w:after="0" w:line="198" w:lineRule="exact"/>
              <w:rPr>
                <w:sz w:val="20"/>
                <w:szCs w:val="20"/>
                <w:color w:val="auto"/>
              </w:rPr>
            </w:pPr>
            <w:r>
              <w:rPr>
                <w:rFonts w:ascii="Times New Roman" w:cs="Times New Roman" w:eastAsia="Times New Roman" w:hAnsi="Times New Roman"/>
                <w:sz w:val="18"/>
                <w:szCs w:val="18"/>
                <w:color w:val="auto"/>
              </w:rPr>
              <w:t>System Average Interruption Duration Index</w:t>
            </w:r>
          </w:p>
        </w:tc>
        <w:tc>
          <w:tcPr>
            <w:tcW w:w="0" w:type="dxa"/>
            <w:vAlign w:val="bottom"/>
          </w:tcPr>
          <w:p>
            <w:pPr>
              <w:spacing w:after="0"/>
              <w:rPr>
                <w:sz w:val="1"/>
                <w:szCs w:val="1"/>
                <w:color w:val="auto"/>
              </w:rPr>
            </w:pPr>
          </w:p>
        </w:tc>
      </w:tr>
      <w:tr>
        <w:trPr>
          <w:trHeight w:val="241"/>
        </w:trPr>
        <w:tc>
          <w:tcPr>
            <w:tcW w:w="1500" w:type="dxa"/>
            <w:vAlign w:val="bottom"/>
            <w:vMerge w:val="restart"/>
            <w:shd w:val="clear" w:color="auto" w:fill="B4C6E7"/>
          </w:tcPr>
          <w:p>
            <w:pPr>
              <w:ind w:left="20"/>
              <w:spacing w:after="0"/>
              <w:rPr>
                <w:sz w:val="20"/>
                <w:szCs w:val="20"/>
                <w:color w:val="auto"/>
              </w:rPr>
            </w:pPr>
            <w:r>
              <w:rPr>
                <w:rFonts w:ascii="Times New Roman" w:cs="Times New Roman" w:eastAsia="Times New Roman" w:hAnsi="Times New Roman"/>
                <w:sz w:val="18"/>
                <w:szCs w:val="18"/>
                <w:b w:val="1"/>
                <w:bCs w:val="1"/>
                <w:color w:val="auto"/>
              </w:rPr>
              <w:t>Customer</w:t>
            </w:r>
          </w:p>
        </w:tc>
        <w:tc>
          <w:tcPr>
            <w:tcW w:w="1160" w:type="dxa"/>
            <w:vAlign w:val="bottom"/>
            <w:vMerge w:val="restart"/>
            <w:shd w:val="clear" w:color="auto" w:fill="B4C6E7"/>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shd w:val="clear" w:color="auto" w:fill="D9E1F2"/>
          </w:tcPr>
          <w:p>
            <w:pPr>
              <w:spacing w:after="0"/>
              <w:rPr>
                <w:sz w:val="20"/>
                <w:szCs w:val="20"/>
                <w:color w:val="auto"/>
              </w:rPr>
            </w:pPr>
          </w:p>
        </w:tc>
        <w:tc>
          <w:tcPr>
            <w:tcW w:w="3600" w:type="dxa"/>
            <w:vAlign w:val="bottom"/>
            <w:shd w:val="clear" w:color="auto" w:fill="D9E1F2"/>
          </w:tcPr>
          <w:p>
            <w:pPr>
              <w:ind w:left="340"/>
              <w:spacing w:after="0"/>
              <w:rPr>
                <w:sz w:val="20"/>
                <w:szCs w:val="20"/>
                <w:color w:val="auto"/>
              </w:rPr>
            </w:pPr>
            <w:r>
              <w:rPr>
                <w:rFonts w:ascii="Times New Roman" w:cs="Times New Roman" w:eastAsia="Times New Roman" w:hAnsi="Times New Roman"/>
                <w:sz w:val="18"/>
                <w:szCs w:val="18"/>
                <w:color w:val="auto"/>
              </w:rPr>
              <w:t>(SAIDI)</w:t>
            </w:r>
          </w:p>
        </w:tc>
        <w:tc>
          <w:tcPr>
            <w:tcW w:w="0" w:type="dxa"/>
            <w:vAlign w:val="bottom"/>
          </w:tcPr>
          <w:p>
            <w:pPr>
              <w:spacing w:after="0"/>
              <w:rPr>
                <w:sz w:val="1"/>
                <w:szCs w:val="1"/>
                <w:color w:val="auto"/>
              </w:rPr>
            </w:pPr>
          </w:p>
        </w:tc>
      </w:tr>
      <w:tr>
        <w:trPr>
          <w:trHeight w:val="216"/>
        </w:trPr>
        <w:tc>
          <w:tcPr>
            <w:tcW w:w="1500" w:type="dxa"/>
            <w:vAlign w:val="bottom"/>
            <w:tcBorders>
              <w:bottom w:val="single" w:sz="8" w:color="B4C6E7"/>
            </w:tcBorders>
            <w:vMerge w:val="continue"/>
            <w:shd w:val="clear" w:color="auto" w:fill="B4C6E7"/>
          </w:tcPr>
          <w:p>
            <w:pPr>
              <w:spacing w:after="0"/>
              <w:rPr>
                <w:sz w:val="18"/>
                <w:szCs w:val="18"/>
                <w:color w:val="auto"/>
              </w:rPr>
            </w:pPr>
          </w:p>
        </w:tc>
        <w:tc>
          <w:tcPr>
            <w:tcW w:w="1160" w:type="dxa"/>
            <w:vAlign w:val="bottom"/>
            <w:tcBorders>
              <w:bottom w:val="single" w:sz="8" w:color="B4C6E7"/>
            </w:tcBorders>
            <w:vMerge w:val="continue"/>
            <w:shd w:val="clear" w:color="auto" w:fill="B4C6E7"/>
          </w:tcPr>
          <w:p>
            <w:pPr>
              <w:spacing w:after="0"/>
              <w:rPr>
                <w:sz w:val="18"/>
                <w:szCs w:val="18"/>
                <w:color w:val="auto"/>
              </w:rPr>
            </w:pPr>
          </w:p>
        </w:tc>
        <w:tc>
          <w:tcPr>
            <w:tcW w:w="820" w:type="dxa"/>
            <w:vAlign w:val="bottom"/>
            <w:tcBorders>
              <w:bottom w:val="single" w:sz="8" w:color="B4C6E7"/>
            </w:tcBorders>
            <w:shd w:val="clear" w:color="auto" w:fill="B4C6E7"/>
          </w:tcPr>
          <w:p>
            <w:pPr>
              <w:ind w:left="20"/>
              <w:spacing w:after="0" w:line="201" w:lineRule="exact"/>
              <w:rPr>
                <w:sz w:val="20"/>
                <w:szCs w:val="20"/>
                <w:color w:val="auto"/>
              </w:rPr>
            </w:pPr>
            <w:r>
              <w:rPr>
                <w:rFonts w:ascii="Times New Roman" w:cs="Times New Roman" w:eastAsia="Times New Roman" w:hAnsi="Times New Roman"/>
                <w:sz w:val="18"/>
                <w:szCs w:val="18"/>
                <w:color w:val="auto"/>
              </w:rPr>
              <w:t>3.75%</w:t>
            </w:r>
          </w:p>
        </w:tc>
        <w:tc>
          <w:tcPr>
            <w:tcW w:w="3600" w:type="dxa"/>
            <w:vAlign w:val="bottom"/>
            <w:tcBorders>
              <w:bottom w:val="single" w:sz="8" w:color="B4C6E7"/>
            </w:tcBorders>
            <w:shd w:val="clear" w:color="auto" w:fill="B4C6E7"/>
          </w:tcPr>
          <w:p>
            <w:pPr>
              <w:ind w:left="340"/>
              <w:spacing w:after="0" w:line="201" w:lineRule="exact"/>
              <w:rPr>
                <w:sz w:val="20"/>
                <w:szCs w:val="20"/>
                <w:color w:val="auto"/>
              </w:rPr>
            </w:pPr>
            <w:r>
              <w:rPr>
                <w:rFonts w:ascii="Times New Roman" w:cs="Times New Roman" w:eastAsia="Times New Roman" w:hAnsi="Times New Roman"/>
                <w:sz w:val="18"/>
                <w:szCs w:val="18"/>
                <w:color w:val="auto"/>
              </w:rPr>
              <w:t>Customer Satisfaction</w:t>
            </w:r>
          </w:p>
        </w:tc>
        <w:tc>
          <w:tcPr>
            <w:tcW w:w="0" w:type="dxa"/>
            <w:vAlign w:val="bottom"/>
          </w:tcPr>
          <w:p>
            <w:pPr>
              <w:spacing w:after="0"/>
              <w:rPr>
                <w:sz w:val="1"/>
                <w:szCs w:val="1"/>
                <w:color w:val="auto"/>
              </w:rPr>
            </w:pPr>
          </w:p>
        </w:tc>
      </w:tr>
      <w:tr>
        <w:trPr>
          <w:trHeight w:val="234"/>
        </w:trPr>
        <w:tc>
          <w:tcPr>
            <w:tcW w:w="1500" w:type="dxa"/>
            <w:vAlign w:val="bottom"/>
            <w:shd w:val="clear" w:color="auto" w:fill="B4C6E7"/>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Experience Index</w:t>
            </w:r>
          </w:p>
        </w:tc>
        <w:tc>
          <w:tcPr>
            <w:tcW w:w="1160" w:type="dxa"/>
            <w:vAlign w:val="bottom"/>
            <w:shd w:val="clear" w:color="auto" w:fill="B4C6E7"/>
          </w:tcPr>
          <w:p>
            <w:pPr>
              <w:spacing w:after="0"/>
              <w:rPr>
                <w:sz w:val="20"/>
                <w:szCs w:val="20"/>
                <w:color w:val="auto"/>
              </w:rPr>
            </w:pPr>
          </w:p>
        </w:tc>
        <w:tc>
          <w:tcPr>
            <w:tcW w:w="820" w:type="dxa"/>
            <w:vAlign w:val="bottom"/>
            <w:shd w:val="clear" w:color="auto" w:fill="D9E1F2"/>
          </w:tcPr>
          <w:p>
            <w:pPr>
              <w:ind w:left="20"/>
              <w:spacing w:after="0"/>
              <w:rPr>
                <w:sz w:val="20"/>
                <w:szCs w:val="20"/>
                <w:color w:val="auto"/>
              </w:rPr>
            </w:pPr>
            <w:r>
              <w:rPr>
                <w:rFonts w:ascii="Times New Roman" w:cs="Times New Roman" w:eastAsia="Times New Roman" w:hAnsi="Times New Roman"/>
                <w:sz w:val="18"/>
                <w:szCs w:val="18"/>
                <w:color w:val="auto"/>
              </w:rPr>
              <w:t>3.75%</w:t>
            </w:r>
          </w:p>
        </w:tc>
        <w:tc>
          <w:tcPr>
            <w:tcW w:w="3600" w:type="dxa"/>
            <w:vAlign w:val="bottom"/>
            <w:shd w:val="clear" w:color="auto" w:fill="D9E1F2"/>
          </w:tcPr>
          <w:p>
            <w:pPr>
              <w:ind w:left="340"/>
              <w:spacing w:after="0"/>
              <w:rPr>
                <w:sz w:val="20"/>
                <w:szCs w:val="20"/>
                <w:color w:val="auto"/>
              </w:rPr>
            </w:pPr>
            <w:r>
              <w:rPr>
                <w:rFonts w:ascii="Times New Roman" w:cs="Times New Roman" w:eastAsia="Times New Roman" w:hAnsi="Times New Roman"/>
                <w:sz w:val="18"/>
                <w:szCs w:val="18"/>
                <w:color w:val="auto"/>
              </w:rPr>
              <w:t>Customer Effort</w:t>
            </w:r>
          </w:p>
        </w:tc>
        <w:tc>
          <w:tcPr>
            <w:tcW w:w="0" w:type="dxa"/>
            <w:vAlign w:val="bottom"/>
          </w:tcPr>
          <w:p>
            <w:pPr>
              <w:spacing w:after="0"/>
              <w:rPr>
                <w:sz w:val="1"/>
                <w:szCs w:val="1"/>
                <w:color w:val="auto"/>
              </w:rPr>
            </w:pPr>
          </w:p>
        </w:tc>
      </w:tr>
      <w:tr>
        <w:trPr>
          <w:trHeight w:val="238"/>
        </w:trPr>
        <w:tc>
          <w:tcPr>
            <w:tcW w:w="1500" w:type="dxa"/>
            <w:vAlign w:val="bottom"/>
            <w:vMerge w:val="restart"/>
            <w:shd w:val="clear" w:color="auto" w:fill="B4C6E7"/>
          </w:tcPr>
          <w:p>
            <w:pPr>
              <w:ind w:left="20"/>
              <w:spacing w:after="0"/>
              <w:rPr>
                <w:sz w:val="20"/>
                <w:szCs w:val="20"/>
                <w:color w:val="auto"/>
              </w:rPr>
            </w:pPr>
            <w:r>
              <w:rPr>
                <w:rFonts w:ascii="Times New Roman" w:cs="Times New Roman" w:eastAsia="Times New Roman" w:hAnsi="Times New Roman"/>
                <w:sz w:val="18"/>
                <w:szCs w:val="18"/>
                <w:b w:val="1"/>
                <w:bCs w:val="1"/>
                <w:color w:val="auto"/>
              </w:rPr>
              <w:t>Diversity Index</w:t>
            </w:r>
          </w:p>
        </w:tc>
        <w:tc>
          <w:tcPr>
            <w:tcW w:w="1160" w:type="dxa"/>
            <w:vAlign w:val="bottom"/>
            <w:vMerge w:val="restart"/>
            <w:shd w:val="clear" w:color="auto" w:fill="B4C6E7"/>
          </w:tcPr>
          <w:p>
            <w:pPr>
              <w:ind w:left="20"/>
              <w:spacing w:after="0"/>
              <w:rPr>
                <w:sz w:val="20"/>
                <w:szCs w:val="20"/>
                <w:color w:val="auto"/>
              </w:rPr>
            </w:pPr>
            <w:r>
              <w:rPr>
                <w:rFonts w:ascii="Times New Roman" w:cs="Times New Roman" w:eastAsia="Times New Roman" w:hAnsi="Times New Roman"/>
                <w:sz w:val="18"/>
                <w:szCs w:val="18"/>
                <w:color w:val="auto"/>
              </w:rPr>
              <w:t>7.5%</w:t>
            </w:r>
          </w:p>
        </w:tc>
        <w:tc>
          <w:tcPr>
            <w:tcW w:w="820" w:type="dxa"/>
            <w:vAlign w:val="bottom"/>
            <w:shd w:val="clear" w:color="auto" w:fill="D9E1F2"/>
          </w:tcPr>
          <w:p>
            <w:pPr>
              <w:spacing w:after="0"/>
              <w:rPr>
                <w:sz w:val="20"/>
                <w:szCs w:val="20"/>
                <w:color w:val="auto"/>
              </w:rPr>
            </w:pPr>
          </w:p>
        </w:tc>
        <w:tc>
          <w:tcPr>
            <w:tcW w:w="3600" w:type="dxa"/>
            <w:vAlign w:val="bottom"/>
            <w:shd w:val="clear" w:color="auto" w:fill="D9E1F2"/>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500" w:type="dxa"/>
            <w:vAlign w:val="bottom"/>
            <w:vMerge w:val="continue"/>
            <w:shd w:val="clear" w:color="auto" w:fill="B4C6E7"/>
          </w:tcPr>
          <w:p>
            <w:pPr>
              <w:spacing w:after="0"/>
              <w:rPr>
                <w:sz w:val="17"/>
                <w:szCs w:val="17"/>
                <w:color w:val="auto"/>
              </w:rPr>
            </w:pPr>
          </w:p>
        </w:tc>
        <w:tc>
          <w:tcPr>
            <w:tcW w:w="1160" w:type="dxa"/>
            <w:vAlign w:val="bottom"/>
            <w:vMerge w:val="continue"/>
            <w:shd w:val="clear" w:color="auto" w:fill="B4C6E7"/>
          </w:tcPr>
          <w:p>
            <w:pPr>
              <w:spacing w:after="0"/>
              <w:rPr>
                <w:sz w:val="17"/>
                <w:szCs w:val="17"/>
                <w:color w:val="auto"/>
              </w:rPr>
            </w:pPr>
          </w:p>
        </w:tc>
        <w:tc>
          <w:tcPr>
            <w:tcW w:w="820" w:type="dxa"/>
            <w:vAlign w:val="bottom"/>
            <w:shd w:val="clear" w:color="auto" w:fill="B4C6E7"/>
          </w:tcPr>
          <w:p>
            <w:pPr>
              <w:spacing w:after="0"/>
              <w:rPr>
                <w:sz w:val="17"/>
                <w:szCs w:val="17"/>
                <w:color w:val="auto"/>
              </w:rPr>
            </w:pPr>
          </w:p>
        </w:tc>
        <w:tc>
          <w:tcPr>
            <w:tcW w:w="3600" w:type="dxa"/>
            <w:vAlign w:val="bottom"/>
            <w:shd w:val="clear" w:color="auto" w:fill="B4C6E7"/>
          </w:tcPr>
          <w:p>
            <w:pPr>
              <w:ind w:left="340"/>
              <w:spacing w:after="0" w:line="198" w:lineRule="exact"/>
              <w:rPr>
                <w:sz w:val="20"/>
                <w:szCs w:val="20"/>
                <w:color w:val="auto"/>
              </w:rPr>
            </w:pPr>
            <w:r>
              <w:rPr>
                <w:rFonts w:ascii="Times New Roman" w:cs="Times New Roman" w:eastAsia="Times New Roman" w:hAnsi="Times New Roman"/>
                <w:sz w:val="18"/>
                <w:szCs w:val="18"/>
                <w:color w:val="auto"/>
              </w:rPr>
              <w:t>% Prof/Tech Positions with 2 or more</w:t>
            </w:r>
          </w:p>
        </w:tc>
        <w:tc>
          <w:tcPr>
            <w:tcW w:w="0" w:type="dxa"/>
            <w:vAlign w:val="bottom"/>
          </w:tcPr>
          <w:p>
            <w:pPr>
              <w:spacing w:after="0"/>
              <w:rPr>
                <w:sz w:val="1"/>
                <w:szCs w:val="1"/>
                <w:color w:val="auto"/>
              </w:rPr>
            </w:pPr>
          </w:p>
        </w:tc>
      </w:tr>
      <w:tr>
        <w:trPr>
          <w:trHeight w:val="234"/>
        </w:trPr>
        <w:tc>
          <w:tcPr>
            <w:tcW w:w="1500" w:type="dxa"/>
            <w:vAlign w:val="bottom"/>
            <w:shd w:val="clear" w:color="auto" w:fill="B4C6E7"/>
          </w:tcPr>
          <w:p>
            <w:pPr>
              <w:spacing w:after="0"/>
              <w:rPr>
                <w:sz w:val="20"/>
                <w:szCs w:val="20"/>
                <w:color w:val="auto"/>
              </w:rPr>
            </w:pPr>
          </w:p>
        </w:tc>
        <w:tc>
          <w:tcPr>
            <w:tcW w:w="1160" w:type="dxa"/>
            <w:vAlign w:val="bottom"/>
            <w:shd w:val="clear" w:color="auto" w:fill="B4C6E7"/>
          </w:tcPr>
          <w:p>
            <w:pPr>
              <w:spacing w:after="0"/>
              <w:rPr>
                <w:sz w:val="20"/>
                <w:szCs w:val="20"/>
                <w:color w:val="auto"/>
              </w:rPr>
            </w:pPr>
          </w:p>
        </w:tc>
        <w:tc>
          <w:tcPr>
            <w:tcW w:w="820" w:type="dxa"/>
            <w:vAlign w:val="bottom"/>
            <w:shd w:val="clear" w:color="auto" w:fill="B4C6E7"/>
          </w:tcPr>
          <w:p>
            <w:pPr>
              <w:spacing w:after="0"/>
              <w:rPr>
                <w:sz w:val="20"/>
                <w:szCs w:val="20"/>
                <w:color w:val="auto"/>
              </w:rPr>
            </w:pPr>
          </w:p>
        </w:tc>
        <w:tc>
          <w:tcPr>
            <w:tcW w:w="3600" w:type="dxa"/>
            <w:vAlign w:val="bottom"/>
            <w:shd w:val="clear" w:color="auto" w:fill="B4C6E7"/>
          </w:tcPr>
          <w:p>
            <w:pPr>
              <w:ind w:left="340"/>
              <w:spacing w:after="0"/>
              <w:rPr>
                <w:sz w:val="20"/>
                <w:szCs w:val="20"/>
                <w:color w:val="auto"/>
              </w:rPr>
            </w:pPr>
            <w:r>
              <w:rPr>
                <w:rFonts w:ascii="Times New Roman" w:cs="Times New Roman" w:eastAsia="Times New Roman" w:hAnsi="Times New Roman"/>
                <w:sz w:val="18"/>
                <w:szCs w:val="18"/>
                <w:color w:val="auto"/>
              </w:rPr>
              <w:t>Diverse Candidates</w:t>
            </w:r>
          </w:p>
        </w:tc>
        <w:tc>
          <w:tcPr>
            <w:tcW w:w="0" w:type="dxa"/>
            <w:vAlign w:val="bottom"/>
          </w:tcPr>
          <w:p>
            <w:pPr>
              <w:spacing w:after="0"/>
              <w:rPr>
                <w:sz w:val="1"/>
                <w:szCs w:val="1"/>
                <w:color w:val="auto"/>
              </w:rPr>
            </w:pPr>
          </w:p>
        </w:tc>
      </w:tr>
      <w:tr>
        <w:trPr>
          <w:trHeight w:val="27"/>
        </w:trPr>
        <w:tc>
          <w:tcPr>
            <w:tcW w:w="1500" w:type="dxa"/>
            <w:vAlign w:val="bottom"/>
            <w:shd w:val="clear" w:color="auto" w:fill="B4C6E7"/>
          </w:tcPr>
          <w:p>
            <w:pPr>
              <w:spacing w:after="0"/>
              <w:rPr>
                <w:sz w:val="2"/>
                <w:szCs w:val="2"/>
                <w:color w:val="auto"/>
              </w:rPr>
            </w:pPr>
          </w:p>
        </w:tc>
        <w:tc>
          <w:tcPr>
            <w:tcW w:w="1160" w:type="dxa"/>
            <w:vAlign w:val="bottom"/>
            <w:shd w:val="clear" w:color="auto" w:fill="B4C6E7"/>
          </w:tcPr>
          <w:p>
            <w:pPr>
              <w:spacing w:after="0"/>
              <w:rPr>
                <w:sz w:val="2"/>
                <w:szCs w:val="2"/>
                <w:color w:val="auto"/>
              </w:rPr>
            </w:pPr>
          </w:p>
        </w:tc>
        <w:tc>
          <w:tcPr>
            <w:tcW w:w="820" w:type="dxa"/>
            <w:vAlign w:val="bottom"/>
            <w:shd w:val="clear" w:color="auto" w:fill="B4C6E7"/>
          </w:tcPr>
          <w:p>
            <w:pPr>
              <w:spacing w:after="0"/>
              <w:rPr>
                <w:sz w:val="2"/>
                <w:szCs w:val="2"/>
                <w:color w:val="auto"/>
              </w:rPr>
            </w:pPr>
          </w:p>
        </w:tc>
        <w:tc>
          <w:tcPr>
            <w:tcW w:w="3600" w:type="dxa"/>
            <w:vAlign w:val="bottom"/>
            <w:shd w:val="clear" w:color="auto" w:fill="B4C6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 Effective Date and Purpose of Plan</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Performance Period commences on January 1, 2024 and ends on December 31, 2024.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2. Definitions</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9" w:name="page110"/>
    <w:bookmarkEnd w:id="109"/>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Unless the context otherwise specifically requires, the following words as used herein shall have the following meanings:</w:t>
      </w:r>
    </w:p>
    <w:p>
      <w:pPr>
        <w:spacing w:after="0" w:line="243"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Eligible Earnings </w:t>
      </w:r>
      <w:r>
        <w:rPr>
          <w:rFonts w:ascii="Times New Roman" w:cs="Times New Roman" w:eastAsia="Times New Roman" w:hAnsi="Times New Roman"/>
          <w:sz w:val="21"/>
          <w:szCs w:val="21"/>
          <w:color w:val="auto"/>
        </w:rPr>
        <w:t>means the Participant’s regular compensation such as base salary and lump sum in lieu of merit increase.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Eligible Earnings exclude, but are not limited to, non-cash compensation, payments-in-kind, incentive compensation, bonus payments, allowances, and deferred compensation.</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Board </w:t>
      </w:r>
      <w:r>
        <w:rPr>
          <w:rFonts w:ascii="Times New Roman" w:cs="Times New Roman" w:eastAsia="Times New Roman" w:hAnsi="Times New Roman"/>
          <w:sz w:val="21"/>
          <w:szCs w:val="21"/>
          <w:color w:val="auto"/>
        </w:rPr>
        <w:t>means the Board of Directors of the Company.</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Committee </w:t>
      </w:r>
      <w:r>
        <w:rPr>
          <w:rFonts w:ascii="Times New Roman" w:cs="Times New Roman" w:eastAsia="Times New Roman" w:hAnsi="Times New Roman"/>
          <w:sz w:val="21"/>
          <w:szCs w:val="21"/>
          <w:color w:val="auto"/>
        </w:rPr>
        <w:t>means the Compensation Committee of the Board.</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Company </w:t>
      </w:r>
      <w:r>
        <w:rPr>
          <w:rFonts w:ascii="Times New Roman" w:cs="Times New Roman" w:eastAsia="Times New Roman" w:hAnsi="Times New Roman"/>
          <w:sz w:val="21"/>
          <w:szCs w:val="21"/>
          <w:color w:val="auto"/>
        </w:rPr>
        <w:t>means Black Hills Corporation, a South Dakota corporation with principal offices in the state of South Dakota.</w:t>
      </w:r>
    </w:p>
    <w:p>
      <w:pPr>
        <w:spacing w:after="0" w:line="245" w:lineRule="exact"/>
        <w:rPr>
          <w:sz w:val="20"/>
          <w:szCs w:val="20"/>
          <w:color w:val="auto"/>
        </w:rPr>
      </w:pPr>
    </w:p>
    <w:p>
      <w:pPr>
        <w:ind w:firstLine="852"/>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Employee </w:t>
      </w:r>
      <w:r>
        <w:rPr>
          <w:rFonts w:ascii="Times New Roman" w:cs="Times New Roman" w:eastAsia="Times New Roman" w:hAnsi="Times New Roman"/>
          <w:sz w:val="21"/>
          <w:szCs w:val="21"/>
          <w:color w:val="auto"/>
        </w:rPr>
        <w:t>means any person who is in the regular full-time employment of the Company or a Subsidiary, as determined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personnel rules and practices of the Company or a Subsidiary. The term does not include persons who are retained by the Company or a Subsidiary solely as consultants.</w:t>
      </w:r>
    </w:p>
    <w:p>
      <w:pPr>
        <w:spacing w:after="0" w:line="19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Incentive Award </w:t>
      </w:r>
      <w:r>
        <w:rPr>
          <w:rFonts w:ascii="Times New Roman" w:cs="Times New Roman" w:eastAsia="Times New Roman" w:hAnsi="Times New Roman"/>
          <w:sz w:val="21"/>
          <w:szCs w:val="21"/>
          <w:color w:val="auto"/>
        </w:rPr>
        <w:t>means the incentive compensation to be awarded to a Participant as determined under Article 5.</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Participants </w:t>
      </w:r>
      <w:r>
        <w:rPr>
          <w:rFonts w:ascii="Times New Roman" w:cs="Times New Roman" w:eastAsia="Times New Roman" w:hAnsi="Times New Roman"/>
          <w:sz w:val="21"/>
          <w:szCs w:val="21"/>
          <w:color w:val="auto"/>
        </w:rPr>
        <w:t>means those eligible Employees to whom an Incentive Award is granted.</w:t>
      </w:r>
    </w:p>
    <w:p>
      <w:pPr>
        <w:spacing w:after="0" w:line="245" w:lineRule="exact"/>
        <w:rPr>
          <w:sz w:val="20"/>
          <w:szCs w:val="20"/>
          <w:color w:val="auto"/>
        </w:rPr>
      </w:pPr>
    </w:p>
    <w:p>
      <w:pPr>
        <w:ind w:right="800" w:firstLine="801"/>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Performance Period </w:t>
      </w:r>
      <w:r>
        <w:rPr>
          <w:rFonts w:ascii="Times New Roman" w:cs="Times New Roman" w:eastAsia="Times New Roman" w:hAnsi="Times New Roman"/>
          <w:sz w:val="21"/>
          <w:szCs w:val="21"/>
          <w:color w:val="auto"/>
        </w:rPr>
        <w:t>means the period of time selected by the Committee over which the attainment of one or more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performance goals will be measured.</w:t>
      </w:r>
    </w:p>
    <w:p>
      <w:pPr>
        <w:spacing w:after="0" w:line="182"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b w:val="1"/>
          <w:bCs w:val="1"/>
          <w:color w:val="auto"/>
        </w:rPr>
        <w:t xml:space="preserve">Plan </w:t>
      </w:r>
      <w:r>
        <w:rPr>
          <w:rFonts w:ascii="Times New Roman" w:cs="Times New Roman" w:eastAsia="Times New Roman" w:hAnsi="Times New Roman"/>
          <w:sz w:val="21"/>
          <w:szCs w:val="21"/>
          <w:color w:val="auto"/>
        </w:rPr>
        <w:t>means the 2015 Amended and Restated Omnibus Incentive Plan.</w:t>
      </w:r>
    </w:p>
    <w:p>
      <w:pPr>
        <w:spacing w:after="0" w:line="24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b w:val="1"/>
          <w:bCs w:val="1"/>
          <w:color w:val="auto"/>
        </w:rPr>
        <w:t xml:space="preserve">Plan Year </w:t>
      </w:r>
      <w:r>
        <w:rPr>
          <w:rFonts w:ascii="Times New Roman" w:cs="Times New Roman" w:eastAsia="Times New Roman" w:hAnsi="Times New Roman"/>
          <w:sz w:val="21"/>
          <w:szCs w:val="21"/>
          <w:color w:val="auto"/>
        </w:rPr>
        <w:t>means the 12 months beginning on January 1 and ending on the following December 31.</w:t>
      </w:r>
    </w:p>
    <w:p>
      <w:pPr>
        <w:spacing w:after="0" w:line="245" w:lineRule="exact"/>
        <w:rPr>
          <w:sz w:val="20"/>
          <w:szCs w:val="20"/>
          <w:color w:val="auto"/>
        </w:rPr>
      </w:pPr>
    </w:p>
    <w:p>
      <w:pPr>
        <w:ind w:right="180" w:firstLine="749"/>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Retirement </w:t>
      </w:r>
      <w:r>
        <w:rPr>
          <w:rFonts w:ascii="Times New Roman" w:cs="Times New Roman" w:eastAsia="Times New Roman" w:hAnsi="Times New Roman"/>
          <w:sz w:val="21"/>
          <w:szCs w:val="21"/>
          <w:color w:val="auto"/>
        </w:rPr>
        <w:t>or</w:t>
      </w:r>
      <w:r>
        <w:rPr>
          <w:rFonts w:ascii="Times New Roman" w:cs="Times New Roman" w:eastAsia="Times New Roman" w:hAnsi="Times New Roman"/>
          <w:sz w:val="21"/>
          <w:szCs w:val="21"/>
          <w:b w:val="1"/>
          <w:bCs w:val="1"/>
          <w:color w:val="auto"/>
        </w:rPr>
        <w:t xml:space="preserve"> Retires </w:t>
      </w:r>
      <w:r>
        <w:rPr>
          <w:rFonts w:ascii="Times New Roman" w:cs="Times New Roman" w:eastAsia="Times New Roman" w:hAnsi="Times New Roman"/>
          <w:sz w:val="21"/>
          <w:szCs w:val="21"/>
          <w:color w:val="auto"/>
        </w:rPr>
        <w:t>means a Separation from Service by a Participant on or after (i) attaining the age of 55 with at least 5</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years of service, or (ii) attaining the age of 65.</w:t>
      </w:r>
    </w:p>
    <w:p>
      <w:pPr>
        <w:spacing w:after="0" w:line="182"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Separation of Service </w:t>
      </w:r>
      <w:r>
        <w:rPr>
          <w:rFonts w:ascii="Times New Roman" w:cs="Times New Roman" w:eastAsia="Times New Roman" w:hAnsi="Times New Roman"/>
          <w:sz w:val="21"/>
          <w:szCs w:val="21"/>
          <w:color w:val="auto"/>
        </w:rPr>
        <w:t>(as defined in Treasury Regulation Section 1.409A-1(h)) during the Performance Period other than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due to Retirement, disability or death, or (ii) following a change in control shall require forfeiture of this entire award, with no payment to the Participant.</w:t>
      </w:r>
    </w:p>
    <w:p>
      <w:pPr>
        <w:spacing w:after="0" w:line="199" w:lineRule="exact"/>
        <w:rPr>
          <w:sz w:val="20"/>
          <w:szCs w:val="20"/>
          <w:color w:val="auto"/>
        </w:rPr>
      </w:pPr>
    </w:p>
    <w:p>
      <w:pPr>
        <w:ind w:right="460" w:firstLine="801"/>
        <w:spacing w:after="0" w:line="272" w:lineRule="auto"/>
        <w:rPr>
          <w:sz w:val="20"/>
          <w:szCs w:val="20"/>
          <w:color w:val="auto"/>
        </w:rPr>
      </w:pPr>
      <w:r>
        <w:rPr>
          <w:rFonts w:ascii="Times New Roman" w:cs="Times New Roman" w:eastAsia="Times New Roman" w:hAnsi="Times New Roman"/>
          <w:sz w:val="21"/>
          <w:szCs w:val="21"/>
          <w:b w:val="1"/>
          <w:bCs w:val="1"/>
          <w:color w:val="auto"/>
        </w:rPr>
        <w:t xml:space="preserve">Subsidiary </w:t>
      </w:r>
      <w:r>
        <w:rPr>
          <w:rFonts w:ascii="Times New Roman" w:cs="Times New Roman" w:eastAsia="Times New Roman" w:hAnsi="Times New Roman"/>
          <w:sz w:val="21"/>
          <w:szCs w:val="21"/>
          <w:color w:val="auto"/>
        </w:rPr>
        <w:t>shall mean any business organization in which Company, directly or indirectly, owns a majority of its voting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power or voting equity securities or equity interest.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3. Eligibility and Participants</w:t>
      </w:r>
    </w:p>
    <w:p>
      <w:pPr>
        <w:spacing w:after="0" w:line="2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1"/>
          <w:szCs w:val="21"/>
          <w:color w:val="auto"/>
        </w:rPr>
        <w:t>Employees eligible to participate under this Agreement will be designated by the Committee.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4. Administration of the Plan</w:t>
      </w:r>
    </w:p>
    <w:p>
      <w:pPr>
        <w:spacing w:after="0" w:line="247"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inconsistency between the Agreement and the Plan shall be resolved in favor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5. Target Incentive Award and Performance Measures</w:t>
      </w:r>
    </w:p>
    <w:p>
      <w:pPr>
        <w:spacing w:after="0" w:line="247" w:lineRule="exact"/>
        <w:rPr>
          <w:sz w:val="20"/>
          <w:szCs w:val="20"/>
          <w:color w:val="auto"/>
        </w:rPr>
      </w:pPr>
    </w:p>
    <w:p>
      <w:pPr>
        <w:ind w:right="200" w:firstLine="749"/>
        <w:spacing w:after="0" w:line="248" w:lineRule="auto"/>
        <w:rPr>
          <w:sz w:val="20"/>
          <w:szCs w:val="20"/>
          <w:color w:val="auto"/>
        </w:rPr>
      </w:pPr>
      <w:r>
        <w:rPr>
          <w:rFonts w:ascii="Times New Roman" w:cs="Times New Roman" w:eastAsia="Times New Roman" w:hAnsi="Times New Roman"/>
          <w:sz w:val="21"/>
          <w:szCs w:val="21"/>
          <w:color w:val="auto"/>
        </w:rPr>
        <w:t>Participant was assigned a target Incentive Award determined as a percent of a Participant's Eligible Earnings. Participant shall have the opportunity to earn various percentages of the target Incentive Award. The percentage of the target Incentive Award to be earned by the Participant shall be determined by the application of objective performance measurements determined by the Committee, such as earnings per share. The application of the Participant's target Incentive Award to actual performance results creates the actual award for each Participant ("Incentive Award").</w:t>
      </w:r>
    </w:p>
    <w:p>
      <w:pPr>
        <w:spacing w:after="0" w:line="210" w:lineRule="exact"/>
        <w:rPr>
          <w:sz w:val="20"/>
          <w:szCs w:val="20"/>
          <w:color w:val="auto"/>
        </w:rPr>
      </w:pPr>
    </w:p>
    <w:p>
      <w:pPr>
        <w:ind w:right="180" w:firstLine="414"/>
        <w:spacing w:after="0" w:line="255" w:lineRule="auto"/>
        <w:rPr>
          <w:sz w:val="20"/>
          <w:szCs w:val="20"/>
          <w:color w:val="auto"/>
        </w:rPr>
      </w:pPr>
      <w:r>
        <w:rPr>
          <w:rFonts w:ascii="Times New Roman" w:cs="Times New Roman" w:eastAsia="Times New Roman" w:hAnsi="Times New Roman"/>
          <w:sz w:val="21"/>
          <w:szCs w:val="21"/>
          <w:color w:val="auto"/>
        </w:rPr>
        <w:t>If Participant has a change during the Plan Year that impacts their target Incentive Award, determination of the target Incentive Award and performance measures are based on the target Incentive Award and performance measures in place for the Employee as of September 30 or their termination date for eligible Participants as described in Article 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6. Termination Provisions</w:t>
      </w:r>
    </w:p>
    <w:p>
      <w:pPr>
        <w:spacing w:after="0" w:line="247" w:lineRule="exact"/>
        <w:rPr>
          <w:sz w:val="20"/>
          <w:szCs w:val="20"/>
          <w:color w:val="auto"/>
        </w:rPr>
      </w:pPr>
    </w:p>
    <w:p>
      <w:pPr>
        <w:jc w:val="both"/>
        <w:ind w:right="80" w:firstLine="749"/>
        <w:spacing w:after="0" w:line="255" w:lineRule="auto"/>
        <w:rPr>
          <w:sz w:val="20"/>
          <w:szCs w:val="20"/>
          <w:color w:val="auto"/>
        </w:rPr>
      </w:pPr>
      <w:r>
        <w:rPr>
          <w:rFonts w:ascii="Times New Roman" w:cs="Times New Roman" w:eastAsia="Times New Roman" w:hAnsi="Times New Roman"/>
          <w:sz w:val="21"/>
          <w:szCs w:val="21"/>
          <w:color w:val="auto"/>
        </w:rPr>
        <w:t>Except as provided below in this Article 6 and in Article 7, a Participant shall be eligible for payment of the Incentive Award, as determined in Article 5, only if the Participant’s employment with the Company or a Subsidiary continues through the last working day of the Performance Period.</w:t>
      </w:r>
    </w:p>
    <w:p>
      <w:pPr>
        <w:spacing w:after="0" w:line="202"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1"/>
          <w:szCs w:val="21"/>
          <w:color w:val="auto"/>
        </w:rPr>
        <w:t>If Participant Retires, suffers a disability, or dies during the Performance Period, the Participant (or the Participant’s estate) shall be entitled to that proportion of the Incentive Award as such Participant is entitled to under Article 5 for such Performance Period. The form and timing of the payment of such Performance Shares shall be as set forth in Article 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7. Change in Control</w:t>
      </w:r>
    </w:p>
    <w:p>
      <w:pPr>
        <w:spacing w:after="0" w:line="247" w:lineRule="exact"/>
        <w:rPr>
          <w:sz w:val="20"/>
          <w:szCs w:val="20"/>
          <w:color w:val="auto"/>
        </w:rPr>
      </w:pPr>
    </w:p>
    <w:p>
      <w:pPr>
        <w:jc w:val="both"/>
        <w:ind w:right="180" w:firstLine="749"/>
        <w:spacing w:after="0" w:line="255" w:lineRule="auto"/>
        <w:rPr>
          <w:sz w:val="20"/>
          <w:szCs w:val="20"/>
          <w:color w:val="auto"/>
        </w:rPr>
      </w:pPr>
      <w:r>
        <w:rPr>
          <w:rFonts w:ascii="Times New Roman" w:cs="Times New Roman" w:eastAsia="Times New Roman" w:hAnsi="Times New Roman"/>
          <w:sz w:val="21"/>
          <w:szCs w:val="21"/>
          <w:color w:val="auto"/>
        </w:rPr>
        <w:t>Notwithstanding anything herein to the contrary, in the event of a Change in Control, the Participant shall be entitled to that proportionate target Incentive Award as such Participant is entitled to under Article 5 for such Performance Period (as of the effective date of the Change in Control).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8. Forfeiture and Repayment.</w:t>
      </w:r>
    </w:p>
    <w:p>
      <w:pPr>
        <w:spacing w:after="0" w:line="247" w:lineRule="exact"/>
        <w:rPr>
          <w:sz w:val="20"/>
          <w:szCs w:val="20"/>
          <w:color w:val="auto"/>
        </w:rPr>
      </w:pPr>
    </w:p>
    <w:p>
      <w:pPr>
        <w:ind w:left="1500" w:hanging="743"/>
        <w:spacing w:after="0" w:line="270" w:lineRule="auto"/>
        <w:tabs>
          <w:tab w:leader="none" w:pos="1500" w:val="left"/>
        </w:tabs>
        <w:numPr>
          <w:ilvl w:val="0"/>
          <w:numId w:val="7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Participant incurs a separation from service for a reason other than those described in Article 6 herein during the Performance Period this entire award will be forfeited.</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jc w:val="both"/>
        <w:ind w:left="743" w:right="520" w:hanging="743"/>
        <w:spacing w:after="0" w:line="274" w:lineRule="auto"/>
        <w:tabs>
          <w:tab w:leader="none" w:pos="743"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generality of Article 8(a), the Committee reserves the right to cancel the Incentive Award awarded hereunder, whether or not earned, and require the Participant to repay all income or gains previously realized in respect of such Incentive Award, in the event of the occurrence of any of the following events:</w:t>
      </w:r>
    </w:p>
    <w:p>
      <w:pPr>
        <w:spacing w:after="0" w:line="157" w:lineRule="exact"/>
        <w:rPr>
          <w:rFonts w:ascii="Times New Roman" w:cs="Times New Roman" w:eastAsia="Times New Roman" w:hAnsi="Times New Roman"/>
          <w:sz w:val="20"/>
          <w:szCs w:val="20"/>
          <w:color w:val="auto"/>
        </w:rPr>
      </w:pPr>
    </w:p>
    <w:p>
      <w:pPr>
        <w:ind w:left="1503" w:hanging="755"/>
        <w:spacing w:after="0"/>
        <w:tabs>
          <w:tab w:leader="none" w:pos="150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of Participant’s employment for Cause;</w:t>
      </w:r>
    </w:p>
    <w:p>
      <w:pPr>
        <w:spacing w:after="0" w:line="206" w:lineRule="exact"/>
        <w:rPr>
          <w:rFonts w:ascii="Times New Roman" w:cs="Times New Roman" w:eastAsia="Times New Roman" w:hAnsi="Times New Roman"/>
          <w:sz w:val="22"/>
          <w:szCs w:val="22"/>
          <w:color w:val="auto"/>
        </w:rPr>
      </w:pPr>
    </w:p>
    <w:p>
      <w:pPr>
        <w:ind w:left="1503" w:right="40" w:hanging="755"/>
        <w:spacing w:after="0" w:line="249" w:lineRule="auto"/>
        <w:tabs>
          <w:tab w:leader="none" w:pos="150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181" w:lineRule="exact"/>
        <w:rPr>
          <w:rFonts w:ascii="Times New Roman" w:cs="Times New Roman" w:eastAsia="Times New Roman" w:hAnsi="Times New Roman"/>
          <w:sz w:val="22"/>
          <w:szCs w:val="22"/>
          <w:color w:val="auto"/>
        </w:rPr>
      </w:pPr>
    </w:p>
    <w:p>
      <w:pPr>
        <w:ind w:left="1503" w:right="300" w:hanging="755"/>
        <w:spacing w:after="0" w:line="258" w:lineRule="auto"/>
        <w:tabs>
          <w:tab w:leader="none" w:pos="150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 any time during the Participant’s employment or the twelve-month period immediately following any termination of employment, Participant:</w:t>
      </w:r>
    </w:p>
    <w:p>
      <w:pPr>
        <w:spacing w:after="0" w:line="170" w:lineRule="exact"/>
        <w:rPr>
          <w:rFonts w:ascii="Times New Roman" w:cs="Times New Roman" w:eastAsia="Times New Roman" w:hAnsi="Times New Roman"/>
          <w:sz w:val="22"/>
          <w:szCs w:val="22"/>
          <w:color w:val="auto"/>
        </w:rPr>
      </w:pPr>
    </w:p>
    <w:p>
      <w:pPr>
        <w:ind w:left="2243" w:right="20" w:hanging="746"/>
        <w:spacing w:after="0" w:line="274" w:lineRule="auto"/>
        <w:tabs>
          <w:tab w:leader="none" w:pos="1908"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57" w:lineRule="exact"/>
        <w:rPr>
          <w:rFonts w:ascii="Times New Roman" w:cs="Times New Roman" w:eastAsia="Times New Roman" w:hAnsi="Times New Roman"/>
          <w:sz w:val="20"/>
          <w:szCs w:val="20"/>
          <w:color w:val="auto"/>
        </w:rPr>
      </w:pPr>
    </w:p>
    <w:p>
      <w:pPr>
        <w:ind w:left="2243" w:right="20" w:hanging="746"/>
        <w:spacing w:after="0" w:line="247" w:lineRule="auto"/>
        <w:tabs>
          <w:tab w:leader="none" w:pos="1908" w:val="left"/>
        </w:tabs>
        <w:numPr>
          <w:ilvl w:val="2"/>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violates in any material respect any policy or any code of ethics or standard of behavior or conduct generally applicable to Participant, including the Code of Conduct (defined to include any code of ethics or code of conduct now or hereafter adopted by the Company or any of its Affiliates, including to the extent applicable the Code of Business Conduct, as amended or supplemented from time to time, and the Company’s or subsidiary Risk Management Policies, as amended, supplemented or replaced from time to time); or</w:t>
      </w:r>
    </w:p>
    <w:p>
      <w:pPr>
        <w:spacing w:after="0" w:line="182" w:lineRule="exact"/>
        <w:rPr>
          <w:rFonts w:ascii="Times New Roman" w:cs="Times New Roman" w:eastAsia="Times New Roman" w:hAnsi="Times New Roman"/>
          <w:sz w:val="21"/>
          <w:szCs w:val="21"/>
          <w:color w:val="auto"/>
        </w:rPr>
      </w:pPr>
    </w:p>
    <w:p>
      <w:pPr>
        <w:ind w:left="1503" w:right="420" w:hanging="755"/>
        <w:spacing w:after="0" w:line="249" w:lineRule="auto"/>
        <w:tabs>
          <w:tab w:leader="none" w:pos="150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181" w:lineRule="exact"/>
        <w:rPr>
          <w:rFonts w:ascii="Times New Roman" w:cs="Times New Roman" w:eastAsia="Times New Roman" w:hAnsi="Times New Roman"/>
          <w:sz w:val="22"/>
          <w:szCs w:val="22"/>
          <w:color w:val="auto"/>
        </w:rPr>
      </w:pPr>
    </w:p>
    <w:p>
      <w:pPr>
        <w:ind w:left="743" w:hanging="743"/>
        <w:spacing w:after="0" w:line="255" w:lineRule="auto"/>
        <w:tabs>
          <w:tab w:leader="none" w:pos="743"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Committee determines that the Participant’s conduct, activities or circumstances constitute events described in Article 8(b), in addition to any other remedies the Company has available to it, the Committee may in its sole discretion:</w:t>
      </w:r>
    </w:p>
    <w:p>
      <w:pPr>
        <w:spacing w:after="0" w:line="175" w:lineRule="exact"/>
        <w:rPr>
          <w:rFonts w:ascii="Times New Roman" w:cs="Times New Roman" w:eastAsia="Times New Roman" w:hAnsi="Times New Roman"/>
          <w:sz w:val="21"/>
          <w:szCs w:val="21"/>
          <w:color w:val="auto"/>
        </w:rPr>
      </w:pPr>
    </w:p>
    <w:p>
      <w:pPr>
        <w:ind w:left="1503" w:hanging="755"/>
        <w:spacing w:after="0"/>
        <w:tabs>
          <w:tab w:leader="none" w:pos="150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cancel any Incentive Award, whether or not issued; and/or</w:t>
      </w:r>
    </w:p>
    <w:p>
      <w:pPr>
        <w:spacing w:after="0" w:line="206" w:lineRule="exact"/>
        <w:rPr>
          <w:rFonts w:ascii="Times New Roman" w:cs="Times New Roman" w:eastAsia="Times New Roman" w:hAnsi="Times New Roman"/>
          <w:sz w:val="22"/>
          <w:szCs w:val="22"/>
          <w:color w:val="auto"/>
        </w:rPr>
      </w:pPr>
    </w:p>
    <w:p>
      <w:pPr>
        <w:ind w:left="1503" w:right="660" w:hanging="755"/>
        <w:spacing w:after="0" w:line="258" w:lineRule="auto"/>
        <w:tabs>
          <w:tab w:leader="none" w:pos="1503"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 amount equal to all income or gain realized in respect of all such Incentive Award.</w:t>
      </w:r>
    </w:p>
    <w:p>
      <w:pPr>
        <w:spacing w:after="0" w:line="170" w:lineRule="exact"/>
        <w:rPr>
          <w:sz w:val="20"/>
          <w:szCs w:val="20"/>
          <w:color w:val="auto"/>
        </w:rPr>
      </w:pPr>
    </w:p>
    <w:p>
      <w:pPr>
        <w:ind w:left="743"/>
        <w:spacing w:after="0"/>
        <w:rPr>
          <w:sz w:val="20"/>
          <w:szCs w:val="20"/>
          <w:color w:val="auto"/>
        </w:rPr>
      </w:pPr>
      <w:r>
        <w:rPr>
          <w:rFonts w:ascii="Times New Roman" w:cs="Times New Roman" w:eastAsia="Times New Roman" w:hAnsi="Times New Roman"/>
          <w:sz w:val="21"/>
          <w:szCs w:val="21"/>
          <w:color w:val="auto"/>
        </w:rPr>
        <w:t>There shall be no forfeiture or repayment under Article 8(b) following a Change in Control.</w:t>
      </w:r>
    </w:p>
    <w:p>
      <w:pPr>
        <w:spacing w:after="0" w:line="218" w:lineRule="exact"/>
        <w:rPr>
          <w:sz w:val="20"/>
          <w:szCs w:val="20"/>
          <w:color w:val="auto"/>
        </w:rPr>
      </w:pPr>
    </w:p>
    <w:p>
      <w:pPr>
        <w:ind w:left="743" w:right="640" w:hanging="743"/>
        <w:spacing w:after="0" w:line="270" w:lineRule="auto"/>
        <w:tabs>
          <w:tab w:leader="none" w:pos="743"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shall determine whether a Participant’s conduct, activities or circumstances constitute events described in Article 8(b) and whether</w:t>
      </w:r>
    </w:p>
    <w:p>
      <w:pPr>
        <w:spacing w:after="0" w:line="349" w:lineRule="exact"/>
        <w:rPr>
          <w:sz w:val="20"/>
          <w:szCs w:val="20"/>
          <w:color w:val="auto"/>
        </w:rPr>
      </w:pPr>
    </w:p>
    <w:p>
      <w:pPr>
        <w:ind w:left="4823"/>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638810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83"/>
          </w:cols>
          <w:pgMar w:left="1077" w:top="1416" w:right="439" w:bottom="1440" w:gutter="0" w:footer="0" w:header="0"/>
        </w:sectPr>
      </w:pPr>
    </w:p>
    <w:bookmarkStart w:id="112" w:name="page113"/>
    <w:bookmarkEnd w:id="112"/>
    <w:p>
      <w:pPr>
        <w:ind w:left="1500"/>
        <w:spacing w:after="0" w:line="248" w:lineRule="auto"/>
        <w:rPr>
          <w:sz w:val="20"/>
          <w:szCs w:val="20"/>
          <w:color w:val="auto"/>
        </w:rPr>
      </w:pPr>
      <w:r>
        <w:rPr>
          <w:rFonts w:ascii="Times New Roman" w:cs="Times New Roman" w:eastAsia="Times New Roman" w:hAnsi="Times New Roman"/>
          <w:sz w:val="21"/>
          <w:szCs w:val="21"/>
          <w:color w:val="auto"/>
        </w:rPr>
        <w:t>and to what extent the Incentive Award shall be forfeited by Participant and/or a Participant shall be required to repay an amount pursuant to Article 8(c). The Committee shall have the authority to suspend the payment, delivery or settlement of all or any portion of such Participant’s outstanding Incentive Award pending an investigation of a bona fide dispute regarding Participant’s eligibility to receive a payment under the terms of this Agreement as determined by the Committee in good faith.</w:t>
      </w:r>
    </w:p>
    <w:p>
      <w:pPr>
        <w:spacing w:after="0" w:line="183" w:lineRule="exact"/>
        <w:rPr>
          <w:sz w:val="20"/>
          <w:szCs w:val="20"/>
          <w:color w:val="auto"/>
        </w:rPr>
      </w:pPr>
    </w:p>
    <w:p>
      <w:pPr>
        <w:ind w:left="1500" w:right="60" w:hanging="743"/>
        <w:spacing w:after="0" w:line="251" w:lineRule="auto"/>
        <w:tabs>
          <w:tab w:leader="none" w:pos="1500"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agrees that the provisions of this Article 8 are entered into in consideration of, and as a material inducement to, the agreements herein as well as an inducement for the Company to enter into this Agreement, and that, but for Participant’s agreement to the provisions of this Article 8, the Company would not have entered into this Agreement.</w:t>
      </w:r>
    </w:p>
    <w:p>
      <w:pPr>
        <w:spacing w:after="0" w:line="178" w:lineRule="exact"/>
        <w:rPr>
          <w:sz w:val="20"/>
          <w:szCs w:val="20"/>
          <w:color w:val="auto"/>
        </w:rPr>
      </w:pPr>
    </w:p>
    <w:p>
      <w:pPr>
        <w:ind w:right="1080"/>
        <w:spacing w:after="0" w:line="469" w:lineRule="auto"/>
        <w:rPr>
          <w:sz w:val="20"/>
          <w:szCs w:val="20"/>
          <w:color w:val="auto"/>
        </w:rPr>
      </w:pPr>
      <w:r>
        <w:rPr>
          <w:rFonts w:ascii="Times New Roman" w:cs="Times New Roman" w:eastAsia="Times New Roman" w:hAnsi="Times New Roman"/>
          <w:sz w:val="21"/>
          <w:szCs w:val="21"/>
          <w:color w:val="auto"/>
        </w:rPr>
        <w:t xml:space="preserve">The Incentive Award is also subject to the provisions on forfeiture events and clawbacks set forth in Article 21 of the Plan. </w:t>
      </w:r>
      <w:r>
        <w:rPr>
          <w:rFonts w:ascii="Times New Roman" w:cs="Times New Roman" w:eastAsia="Times New Roman" w:hAnsi="Times New Roman"/>
          <w:sz w:val="21"/>
          <w:szCs w:val="21"/>
          <w:b w:val="1"/>
          <w:bCs w:val="1"/>
          <w:color w:val="auto"/>
        </w:rPr>
        <w:t>Article 9. Payment of Incentive Award</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The Incentive Award shall be paid to the Participant in the form of cash after required tax and applicable deductions are withheld.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Assignability</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No right to receive payments under this Agreement shall be subject to voluntary or involuntary alienation, assignment 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transfer.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11. Right to Incentive Award</w:t>
      </w:r>
    </w:p>
    <w:p>
      <w:pPr>
        <w:spacing w:after="0" w:line="247"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1"/>
          <w:szCs w:val="21"/>
          <w:color w:val="auto"/>
        </w:rPr>
        <w:t>The Committee determines the amount of the Incentive Award for the senior executive officers, and management determines the amount of the award for other participants, which determinations are to be made in January of each Plan Year based on the application of the target incentives and performance measures to the preceding year and no Participant shall be considered to have earned any portion of any Incentive Award until determination by the Committee. Notwithstanding anything contained herein, no Participant shall have any right to receive any Incentive Award unless he/she is an Employee of the Company through the last working day of each Plan Year. In the event of a Change in Control, a Participant's Incentive Award shall be determined as of the date of the Change in Control and shall be paid 30 days after the day of the Change in Control.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12. Miscellaneous</w:t>
      </w:r>
    </w:p>
    <w:p>
      <w:pPr>
        <w:spacing w:after="0" w:line="247" w:lineRule="exact"/>
        <w:rPr>
          <w:sz w:val="20"/>
          <w:szCs w:val="20"/>
          <w:color w:val="auto"/>
        </w:rPr>
      </w:pPr>
    </w:p>
    <w:p>
      <w:pPr>
        <w:ind w:left="1320" w:right="100" w:hanging="563"/>
        <w:spacing w:after="0" w:line="248" w:lineRule="auto"/>
        <w:tabs>
          <w:tab w:leader="none" w:pos="1172"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any employee for participation in the Plan shall not give such Participant any right to be retained in the 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3" w:name="page114"/>
    <w:bookmarkEnd w:id="113"/>
    <w:p>
      <w:pPr>
        <w:spacing w:after="0" w:line="220" w:lineRule="exact"/>
        <w:rPr>
          <w:sz w:val="20"/>
          <w:szCs w:val="20"/>
          <w:color w:val="auto"/>
        </w:rPr>
      </w:pPr>
    </w:p>
    <w:p>
      <w:pPr>
        <w:ind w:left="1320" w:right="120" w:hanging="563"/>
        <w:spacing w:after="0" w:line="255" w:lineRule="auto"/>
        <w:tabs>
          <w:tab w:leader="none" w:pos="158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202" w:lineRule="exact"/>
        <w:rPr>
          <w:rFonts w:ascii="Times New Roman" w:cs="Times New Roman" w:eastAsia="Times New Roman" w:hAnsi="Times New Roman"/>
          <w:sz w:val="21"/>
          <w:szCs w:val="21"/>
          <w:color w:val="auto"/>
        </w:rPr>
      </w:pPr>
    </w:p>
    <w:p>
      <w:pPr>
        <w:ind w:left="1320" w:hanging="563"/>
        <w:spacing w:after="0" w:line="270" w:lineRule="auto"/>
        <w:tabs>
          <w:tab w:leader="none" w:pos="117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subject to all applicable laws, rules, and regulations, and to such approvals by any governmental agencies or national securities exchanges as may be required.</w:t>
      </w:r>
    </w:p>
    <w:p>
      <w:pPr>
        <w:spacing w:after="0" w:line="185" w:lineRule="exact"/>
        <w:rPr>
          <w:rFonts w:ascii="Times New Roman" w:cs="Times New Roman" w:eastAsia="Times New Roman" w:hAnsi="Times New Roman"/>
          <w:sz w:val="21"/>
          <w:szCs w:val="21"/>
          <w:color w:val="auto"/>
        </w:rPr>
      </w:pPr>
    </w:p>
    <w:p>
      <w:pPr>
        <w:ind w:left="1320" w:right="40" w:hanging="563"/>
        <w:spacing w:after="0" w:line="270" w:lineRule="auto"/>
        <w:tabs>
          <w:tab w:leader="none" w:pos="1586"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preempted by federal law, this Agreement shall be governed by, and construed in accordance with, the laws of the State of South Dakota.</w:t>
      </w:r>
    </w:p>
    <w:p>
      <w:pPr>
        <w:spacing w:after="0" w:line="185" w:lineRule="exact"/>
        <w:rPr>
          <w:rFonts w:ascii="Times New Roman" w:cs="Times New Roman" w:eastAsia="Times New Roman" w:hAnsi="Times New Roman"/>
          <w:sz w:val="21"/>
          <w:szCs w:val="21"/>
          <w:color w:val="auto"/>
        </w:rPr>
      </w:pPr>
    </w:p>
    <w:p>
      <w:pPr>
        <w:ind w:left="1320" w:right="560" w:hanging="563"/>
        <w:spacing w:after="0" w:line="270" w:lineRule="auto"/>
        <w:tabs>
          <w:tab w:leader="none" w:pos="117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and Modification. The provisions of this Agreement may not be waived or modified unless such waiver or modification is in writing and signed by the Company.</w:t>
      </w:r>
    </w:p>
    <w:p>
      <w:pPr>
        <w:spacing w:after="0" w:line="185" w:lineRule="exact"/>
        <w:rPr>
          <w:rFonts w:ascii="Times New Roman" w:cs="Times New Roman" w:eastAsia="Times New Roman" w:hAnsi="Times New Roman"/>
          <w:sz w:val="21"/>
          <w:szCs w:val="21"/>
          <w:color w:val="auto"/>
        </w:rPr>
      </w:pPr>
    </w:p>
    <w:p>
      <w:pPr>
        <w:ind w:left="1320" w:right="60" w:hanging="563"/>
        <w:spacing w:after="0" w:line="255" w:lineRule="auto"/>
        <w:tabs>
          <w:tab w:leader="none" w:pos="1172" w:val="left"/>
        </w:tabs>
        <w:numPr>
          <w:ilvl w:val="0"/>
          <w:numId w:val="8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In the event any provision of this Agreement shall be held to be illegal or invalid for any reason, the illegality or invalidity shall not affect the remaining parts of this Agreement, and the Agreement shall be construed and enforced as if the illegal or invalid provision had not been included.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13. No Tax Qualified or ERISA Plan</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This is not intended to be a tax qualified Plan nor a Plan for the purposes of ERISA.</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ectPr>
          <w:pgSz w:w="11900" w:h="16838" w:orient="portrait"/>
          <w:cols w:equalWidth="0" w:num="2">
            <w:col w:w="3020" w:space="720"/>
            <w:col w:w="7480"/>
          </w:cols>
          <w:pgMar w:left="320" w:top="1440" w:right="359" w:bottom="1440" w:gutter="0" w:footer="0" w:header="0"/>
          <w:type w:val="continuous"/>
        </w:sectPr>
      </w:pPr>
    </w:p>
    <w:p>
      <w:pPr>
        <w:spacing w:after="0" w:line="299" w:lineRule="exact"/>
        <w:rPr>
          <w:sz w:val="20"/>
          <w:szCs w:val="20"/>
          <w:color w:val="auto"/>
        </w:rPr>
      </w:pPr>
    </w:p>
    <w:p>
      <w:pPr>
        <w:ind w:right="520"/>
        <w:spacing w:after="0" w:line="267" w:lineRule="auto"/>
        <w:rPr>
          <w:sz w:val="20"/>
          <w:szCs w:val="20"/>
          <w:color w:val="auto"/>
        </w:rPr>
      </w:pPr>
      <w:r>
        <w:rPr>
          <w:rFonts w:ascii="Times New Roman" w:cs="Times New Roman" w:eastAsia="Times New Roman" w:hAnsi="Times New Roman"/>
          <w:sz w:val="20"/>
          <w:szCs w:val="20"/>
          <w:color w:val="auto"/>
        </w:rPr>
        <w:t>____________________________________ Amy K. Koenig</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82" w:lineRule="exact"/>
        <w:rPr>
          <w:sz w:val="20"/>
          <w:szCs w:val="20"/>
          <w:color w:val="auto"/>
        </w:rPr>
      </w:pPr>
    </w:p>
    <w:p>
      <w:pPr>
        <w:sectPr>
          <w:pgSz w:w="11900" w:h="16838" w:orient="portrait"/>
          <w:cols w:equalWidth="0" w:num="2">
            <w:col w:w="4260" w:space="720"/>
            <w:col w:w="624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Vice President – Governance, Corporate Secretary</w:t>
      </w:r>
    </w:p>
    <w:p>
      <w:pPr>
        <w:spacing w:after="0"/>
        <w:rPr>
          <w:sz w:val="20"/>
          <w:szCs w:val="20"/>
          <w:color w:val="auto"/>
        </w:rPr>
      </w:pPr>
      <w:r>
        <w:rPr>
          <w:rFonts w:ascii="Times New Roman" w:cs="Times New Roman" w:eastAsia="Times New Roman" w:hAnsi="Times New Roman"/>
          <w:sz w:val="21"/>
          <w:szCs w:val="21"/>
          <w:color w:val="auto"/>
        </w:rPr>
        <w:t>and Deputy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653415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9"/>
          <w:szCs w:val="29"/>
          <w:b w:val="1"/>
          <w:bCs w:val="1"/>
          <w:color w:val="auto"/>
        </w:rPr>
        <w:t>Black Hills Corporation</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Long-Term Incentive Plan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auto"/>
        </w:rPr>
        <w:t>Performance Unit Award Agreement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 xml:space="preserve">Performance Period </w:t>
      </w:r>
      <w:r>
        <w:rPr>
          <w:rFonts w:ascii="Times New Roman" w:cs="Times New Roman" w:eastAsia="Times New Roman" w:hAnsi="Times New Roman"/>
          <w:sz w:val="29"/>
          <w:szCs w:val="29"/>
          <w:b w:val="1"/>
          <w:bCs w:val="1"/>
          <w:color w:val="auto"/>
        </w:rPr>
        <w:t>-</w:t>
      </w:r>
      <w:r>
        <w:rPr>
          <w:rFonts w:ascii="Times New Roman" w:cs="Times New Roman" w:eastAsia="Times New Roman" w:hAnsi="Times New Roman"/>
          <w:sz w:val="29"/>
          <w:szCs w:val="29"/>
          <w:color w:val="auto"/>
        </w:rPr>
        <w:t xml:space="preserve"> January 1, 2024 – December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6660515" cy="171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16">
                      <a:extLst>
                        <a:ext uri="{28A0092B-C50C-407E-A947-70E740481C1C}"/>
                      </a:extLst>
                    </a:blip>
                    <a:srcRect/>
                    <a:stretch>
                      <a:fillRect/>
                    </a:stretch>
                  </pic:blipFill>
                  <pic:spPr bwMode="auto">
                    <a:xfrm>
                      <a:off x="0" y="0"/>
                      <a:ext cx="666051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1"/>
          <w:szCs w:val="21"/>
          <w:color w:val="auto"/>
        </w:rPr>
        <w:t>You have been selected to be a Participant in the Black Hills Corporation Long-Term Incentive Plan (the “LTIP”). This LTIP award is granted under the performance units and performance shares provisions of the Amended and Restated 2015 Omnibus Incentive Plan (the “Plan”). This Agreement and the Plan together govern your rights to the Award and set forth all of the conditions and limitations affecting such rights. All capitalized terms shall have the meanings ascribed to them in the Plan unless specifically set forth otherwise herein. If there is any inconsistency between the terms of this Agreement and the terms of the Plan, the Plan’s terms shall supersede and replace the conflicting terms of this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Overview of Your Award</w:t>
      </w:r>
    </w:p>
    <w:p>
      <w:pPr>
        <w:sectPr>
          <w:pgSz w:w="11900" w:h="16838" w:orient="portrait"/>
          <w:cols w:equalWidth="0" w:num="1">
            <w:col w:w="11140"/>
          </w:cols>
          <w:pgMar w:left="320" w:top="1397" w:right="439" w:bottom="1440" w:gutter="0" w:footer="0" w:header="0"/>
        </w:sect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_____________________</w:t>
      </w:r>
    </w:p>
    <w:p>
      <w:pPr>
        <w:spacing w:after="0" w:line="200" w:lineRule="exact"/>
        <w:rPr>
          <w:sz w:val="20"/>
          <w:szCs w:val="20"/>
          <w:color w:val="auto"/>
        </w:rPr>
      </w:pPr>
    </w:p>
    <w:p>
      <w:pPr>
        <w:sectPr>
          <w:pgSz w:w="11900" w:h="16838" w:orient="portrait"/>
          <w:cols w:equalWidth="0" w:num="2">
            <w:col w:w="1780" w:space="720"/>
            <w:col w:w="8640"/>
          </w:cols>
          <w:pgMar w:left="320" w:top="1397" w:right="4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Target Number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Units:</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w:t>
      </w:r>
    </w:p>
    <w:p>
      <w:pPr>
        <w:spacing w:after="0" w:line="224" w:lineRule="exact"/>
        <w:rPr>
          <w:sz w:val="20"/>
          <w:szCs w:val="20"/>
          <w:color w:val="auto"/>
        </w:rPr>
      </w:pPr>
    </w:p>
    <w:p>
      <w:pPr>
        <w:sectPr>
          <w:pgSz w:w="11900" w:h="16838" w:orient="portrait"/>
          <w:cols w:equalWidth="0" w:num="2">
            <w:col w:w="2180" w:space="720"/>
            <w:col w:w="8240"/>
          </w:cols>
          <w:pgMar w:left="320" w:top="1397" w:right="4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Period:</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January 1, 2024 to December 31, 2026</w:t>
      </w:r>
    </w:p>
    <w:p>
      <w:pPr>
        <w:spacing w:after="0" w:line="200" w:lineRule="exact"/>
        <w:rPr>
          <w:sz w:val="20"/>
          <w:szCs w:val="20"/>
          <w:color w:val="auto"/>
        </w:rPr>
      </w:pPr>
    </w:p>
    <w:p>
      <w:pPr>
        <w:sectPr>
          <w:pgSz w:w="11900" w:h="16838" w:orient="portrait"/>
          <w:cols w:equalWidth="0" w:num="2">
            <w:col w:w="1860" w:space="640"/>
            <w:col w:w="8640"/>
          </w:cols>
          <w:pgMar w:left="320" w:top="1397" w:right="4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Measures: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Appendix A</w:t>
      </w:r>
    </w:p>
    <w:p>
      <w:pPr>
        <w:spacing w:after="0" w:line="200" w:lineRule="exact"/>
        <w:rPr>
          <w:sz w:val="20"/>
          <w:szCs w:val="20"/>
          <w:color w:val="auto"/>
        </w:rPr>
      </w:pPr>
    </w:p>
    <w:p>
      <w:pPr>
        <w:sectPr>
          <w:pgSz w:w="11900" w:h="16838" w:orient="portrait"/>
          <w:cols w:equalWidth="0" w:num="2">
            <w:col w:w="2180" w:space="720"/>
            <w:col w:w="8240"/>
          </w:cols>
          <w:pgMar w:left="320" w:top="1397" w:right="439" w:bottom="1440" w:gutter="0" w:footer="0" w:header="0"/>
          <w:type w:val="continuous"/>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 Performance Period</w:t>
      </w:r>
    </w:p>
    <w:p>
      <w:pPr>
        <w:spacing w:after="0" w:line="2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The Performance Period commences on January 1, 2024 and ends on December 31, 2026.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2. Award of Performance Units</w:t>
      </w:r>
    </w:p>
    <w:p>
      <w:pPr>
        <w:spacing w:after="0" w:line="247"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20"/>
          <w:szCs w:val="20"/>
          <w:color w:val="auto"/>
        </w:rPr>
        <w:t xml:space="preserve">Subject to the terms and conditions of this Agreement, the Company grants to the Participant a Performance Unit Award consisting of the Target Number of Performance Units set forth above, with the actual number of Performance Units earned depending on the degree to which the Company satisfies the Performance Goals specified in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to this Agreement during the Performance Period. Each Performance Unit that vests in accordance with Article 3 represents the right to receive one Share. The Performance Units granted under this Agreement (the “Units”) will be credited to an account in the Participant’s name maintained by the Company. This account shall be unfunded and maintained for bookkeeping purposes only, with each Unit representing an unfunded and unsecured promise by the Company to issue to the Participant one Share in settlement of a vested Unit.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3. Scheduled Vesting of Performance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97" w:right="439" w:bottom="1440" w:gutter="0" w:footer="0" w:header="0"/>
          <w:type w:val="continuous"/>
        </w:sectPr>
      </w:pPr>
    </w:p>
    <w:bookmarkStart w:id="115" w:name="page116"/>
    <w:bookmarkEnd w:id="115"/>
    <w:p>
      <w:pPr>
        <w:ind w:right="60" w:firstLine="414"/>
        <w:spacing w:after="0" w:line="246" w:lineRule="auto"/>
        <w:rPr>
          <w:sz w:val="20"/>
          <w:szCs w:val="20"/>
          <w:color w:val="auto"/>
        </w:rPr>
      </w:pPr>
      <w:r>
        <w:rPr>
          <w:rFonts w:ascii="Times New Roman" w:cs="Times New Roman" w:eastAsia="Times New Roman" w:hAnsi="Times New Roman"/>
          <w:sz w:val="21"/>
          <w:szCs w:val="21"/>
          <w:color w:val="auto"/>
        </w:rPr>
        <w:t>For purposes of this Agreement, “Vesting Date” means any date, including the Scheduled Vesting Date (defined below), on which Units vest as provided in this Article 3 or in Article 4 or 5. For these purposes, the “Scheduled Vesting Date” means the date the Committee certifies the degree to which the applicable Performance Goals for the Performance Period have been satisfied, provided that such certification shall occur no later than February 1 of the calendar year immediately following the calendar year during which the Performance Period ended. The Units will vest on the Scheduled Vesting Date (i) if the Participant has not experienced a Separation from Service on or before the Scheduled Vesting Date, and (ii) only to the extent that the Units have been earned as provided below.</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4. Termination Provisions</w:t>
      </w:r>
    </w:p>
    <w:p>
      <w:pPr>
        <w:spacing w:after="0" w:line="247" w:lineRule="exact"/>
        <w:rPr>
          <w:sz w:val="20"/>
          <w:szCs w:val="20"/>
          <w:color w:val="auto"/>
        </w:rPr>
      </w:pPr>
    </w:p>
    <w:p>
      <w:pPr>
        <w:ind w:right="180" w:firstLine="749"/>
        <w:spacing w:after="0" w:line="251" w:lineRule="auto"/>
        <w:rPr>
          <w:sz w:val="20"/>
          <w:szCs w:val="20"/>
          <w:color w:val="auto"/>
        </w:rPr>
      </w:pPr>
      <w:r>
        <w:rPr>
          <w:rFonts w:ascii="Times New Roman" w:cs="Times New Roman" w:eastAsia="Times New Roman" w:hAnsi="Times New Roman"/>
          <w:sz w:val="21"/>
          <w:szCs w:val="21"/>
          <w:color w:val="auto"/>
        </w:rPr>
        <w:t>If the Participant Retires, has a Separation of Service due to Disability, or dies during the Performance Period, then a portion of the Units subject to this Award will vest as of the Scheduled Vesting Date. That portion shall be equal to the number of Units as such Participant is entitled to under Article 3 for such Performance Period multiplied by a fraction, the numerator of which is the number of full months of participation during the Performance Period and the denominator is 36.</w:t>
      </w:r>
    </w:p>
    <w:p>
      <w:pPr>
        <w:spacing w:after="0" w:line="205" w:lineRule="exact"/>
        <w:rPr>
          <w:sz w:val="20"/>
          <w:szCs w:val="20"/>
          <w:color w:val="auto"/>
        </w:rPr>
      </w:pPr>
    </w:p>
    <w:p>
      <w:pPr>
        <w:ind w:right="80" w:firstLine="749"/>
        <w:spacing w:after="0" w:line="270" w:lineRule="auto"/>
        <w:rPr>
          <w:sz w:val="20"/>
          <w:szCs w:val="20"/>
          <w:color w:val="auto"/>
        </w:rPr>
      </w:pPr>
      <w:r>
        <w:rPr>
          <w:rFonts w:ascii="Times New Roman" w:cs="Times New Roman" w:eastAsia="Times New Roman" w:hAnsi="Times New Roman"/>
          <w:sz w:val="21"/>
          <w:szCs w:val="21"/>
          <w:color w:val="auto"/>
        </w:rPr>
        <w:t>“Retirement” or “Retires” means a Separation from Service by a Participant on or after (i) attaining the age of 55 with at least 5 years of service, or (ii) attaining the age of 65.</w:t>
      </w:r>
    </w:p>
    <w:p>
      <w:pPr>
        <w:spacing w:after="0" w:line="186" w:lineRule="exact"/>
        <w:rPr>
          <w:sz w:val="20"/>
          <w:szCs w:val="20"/>
          <w:color w:val="auto"/>
        </w:rPr>
      </w:pPr>
    </w:p>
    <w:p>
      <w:pPr>
        <w:ind w:right="80" w:firstLine="749"/>
        <w:spacing w:after="0" w:line="270" w:lineRule="auto"/>
        <w:rPr>
          <w:sz w:val="20"/>
          <w:szCs w:val="20"/>
          <w:color w:val="auto"/>
        </w:rPr>
      </w:pPr>
      <w:r>
        <w:rPr>
          <w:rFonts w:ascii="Times New Roman" w:cs="Times New Roman" w:eastAsia="Times New Roman" w:hAnsi="Times New Roman"/>
          <w:sz w:val="21"/>
          <w:szCs w:val="21"/>
          <w:color w:val="auto"/>
        </w:rPr>
        <w:t>Separation from Service during the Performance Period other than (i) due to Retirement, Disability, or death, or (ii) following a Change in Control shall require forfeiture of this entire award, with no payment to the Participant.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5. Change in Control</w:t>
      </w:r>
    </w:p>
    <w:p>
      <w:pPr>
        <w:spacing w:after="0" w:line="24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The provisions of Article 17 of the Plan shall govern in the event of a Change in Control.</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6. Earned Units</w:t>
      </w:r>
    </w:p>
    <w:p>
      <w:pPr>
        <w:spacing w:after="0" w:line="24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 xml:space="preserve">The number of Units that the Participant will be deemed to have earned (the “Earned Units”) and that are eligible for vesting as of the Scheduled Vesting Date will be determined by the extent to which the Company has satisfied the Performance Goals for the Performance Period as set forth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xml:space="preserve"> to this Agreement. The portion of the Units subject to this Award that will be deemed Earned Units as of the Scheduled Vesting Date will be determined in accordance with the formula specified in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1"/>
          <w:szCs w:val="21"/>
          <w:color w:val="auto"/>
        </w:rPr>
        <w:t>, and in no event will the number of Units that are deemed Earned Units exceed 200% of the Target Number of Performance Units. Any Units subject to this Agreement that are not earned and do not vest as of the Scheduled Vesting Date will be forfeited.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7. Settlement of Units</w:t>
      </w:r>
    </w:p>
    <w:p>
      <w:pPr>
        <w:spacing w:after="0" w:line="247"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color w:val="auto"/>
        </w:rPr>
        <w:t>After any Units vest pursuant to Article 3, 4 or 5, the Company will promptly, but in no event later than the next dividend payment date, cause to be issued and delivered to the Participant (or to the Participant’s estate in the event of the Participant’s death) one Share in payment and settlement of each vested Unit. Delivery of the Shares shall be effected by the delivery of a stock certificate evidencing the Shares, by an appropriate entry in the stock register maintained by the Company’s transfer agent with a notice of issuance provided to the Participant, or by the electronic delivery of the Shares to a brokerage account designated by the Participant, and shall be subject to the tax withholding provisions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6" w:name="page117"/>
    <w:bookmarkEnd w:id="116"/>
    <w:p>
      <w:pPr>
        <w:jc w:val="both"/>
        <w:spacing w:after="0" w:line="264" w:lineRule="auto"/>
        <w:rPr>
          <w:sz w:val="20"/>
          <w:szCs w:val="20"/>
          <w:color w:val="auto"/>
        </w:rPr>
      </w:pPr>
      <w:r>
        <w:rPr>
          <w:rFonts w:ascii="Times New Roman" w:cs="Times New Roman" w:eastAsia="Times New Roman" w:hAnsi="Times New Roman"/>
          <w:sz w:val="20"/>
          <w:szCs w:val="20"/>
          <w:color w:val="auto"/>
        </w:rPr>
        <w:t>of Article 10 and compliance with all applicable legal requirements, including compliance with the requirements of applicable federal and state securities laws, and shall be in complete satisfaction and settlement of such vested Units. Upon settlement of the Units, the Participant will obtain, with respect to the Shares received in such settlement, full voting and other rights as a shareholder of the Company. If the Committee determines, in its sole discretion, that a Participant at any time has willfully engaged in any activity that the Committee determines was or is harmful to the Company, any unpaid or unsettled Unit will be forfeited by such Participant.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8. Forfeiture and Repayment.</w:t>
      </w:r>
    </w:p>
    <w:p>
      <w:pPr>
        <w:spacing w:after="0" w:line="247" w:lineRule="exact"/>
        <w:rPr>
          <w:sz w:val="20"/>
          <w:szCs w:val="20"/>
          <w:color w:val="auto"/>
        </w:rPr>
      </w:pPr>
    </w:p>
    <w:p>
      <w:pPr>
        <w:ind w:left="1500" w:right="220" w:hanging="690"/>
        <w:spacing w:after="0" w:line="295" w:lineRule="auto"/>
        <w:tabs>
          <w:tab w:leader="none" w:pos="1219"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Participant incurs a Separation from Service for a reason other than those described in Article 4 herein during the Performance Period this entire award will be forfeited, except as otherwise provided in the Plan.</w:t>
      </w:r>
    </w:p>
    <w:p>
      <w:pPr>
        <w:spacing w:after="0" w:line="136" w:lineRule="exact"/>
        <w:rPr>
          <w:rFonts w:ascii="Times New Roman" w:cs="Times New Roman" w:eastAsia="Times New Roman" w:hAnsi="Times New Roman"/>
          <w:sz w:val="20"/>
          <w:szCs w:val="20"/>
          <w:color w:val="auto"/>
        </w:rPr>
      </w:pPr>
    </w:p>
    <w:p>
      <w:pPr>
        <w:ind w:left="1500" w:right="80" w:hanging="690"/>
        <w:spacing w:after="0" w:line="251" w:lineRule="auto"/>
        <w:tabs>
          <w:tab w:leader="none" w:pos="1219"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Without limiting the generality of Article 8(a), the Company reserves the right to cancel all Units awarded hereunder, whether or not vested, and require the Participant to forfeit any Shares issued in settlement of the Units and repay all income or gains previously realized upon sale of any such Shares in the event of the occurrence of any of the following events:</w:t>
      </w:r>
    </w:p>
    <w:p>
      <w:pPr>
        <w:spacing w:after="0" w:line="177" w:lineRule="exact"/>
        <w:rPr>
          <w:rFonts w:ascii="Times New Roman" w:cs="Times New Roman" w:eastAsia="Times New Roman" w:hAnsi="Times New Roman"/>
          <w:sz w:val="21"/>
          <w:szCs w:val="21"/>
          <w:color w:val="auto"/>
        </w:rPr>
      </w:pPr>
    </w:p>
    <w:p>
      <w:pPr>
        <w:ind w:left="1940" w:hanging="434"/>
        <w:spacing w:after="0"/>
        <w:tabs>
          <w:tab w:leader="none" w:pos="1940"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termination of Participant’s employment for Cause;</w:t>
      </w:r>
    </w:p>
    <w:p>
      <w:pPr>
        <w:spacing w:after="0" w:line="206" w:lineRule="exact"/>
        <w:rPr>
          <w:rFonts w:ascii="Times New Roman" w:cs="Times New Roman" w:eastAsia="Times New Roman" w:hAnsi="Times New Roman"/>
          <w:sz w:val="22"/>
          <w:szCs w:val="22"/>
          <w:color w:val="auto"/>
        </w:rPr>
      </w:pPr>
    </w:p>
    <w:p>
      <w:pPr>
        <w:ind w:left="2260" w:right="420" w:hanging="754"/>
        <w:spacing w:after="0" w:line="249" w:lineRule="auto"/>
        <w:tabs>
          <w:tab w:leader="none" w:pos="194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within one year following any termination of Participant’s employment, the Committee determines that the Participant engaged in conduct before the Participant’s termination date that would have constituted the basis for a termination of employment for Cause;</w:t>
      </w:r>
    </w:p>
    <w:p>
      <w:pPr>
        <w:spacing w:after="0" w:line="181" w:lineRule="exact"/>
        <w:rPr>
          <w:rFonts w:ascii="Times New Roman" w:cs="Times New Roman" w:eastAsia="Times New Roman" w:hAnsi="Times New Roman"/>
          <w:sz w:val="22"/>
          <w:szCs w:val="22"/>
          <w:color w:val="auto"/>
        </w:rPr>
      </w:pPr>
    </w:p>
    <w:p>
      <w:pPr>
        <w:ind w:left="2260" w:right="720" w:hanging="754"/>
        <w:spacing w:after="0" w:line="258" w:lineRule="auto"/>
        <w:tabs>
          <w:tab w:leader="none" w:pos="194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at any time during the Participant’s employment or the twelve month period immediately following any termination of employment, Participant:</w:t>
      </w:r>
    </w:p>
    <w:p>
      <w:pPr>
        <w:spacing w:after="0" w:line="170" w:lineRule="exact"/>
        <w:rPr>
          <w:rFonts w:ascii="Times New Roman" w:cs="Times New Roman" w:eastAsia="Times New Roman" w:hAnsi="Times New Roman"/>
          <w:sz w:val="22"/>
          <w:szCs w:val="22"/>
          <w:color w:val="auto"/>
        </w:rPr>
      </w:pPr>
    </w:p>
    <w:p>
      <w:pPr>
        <w:ind w:left="3000" w:right="120" w:hanging="746"/>
        <w:spacing w:after="0" w:line="274" w:lineRule="auto"/>
        <w:tabs>
          <w:tab w:leader="none" w:pos="2665" w:val="left"/>
        </w:tabs>
        <w:numPr>
          <w:ilvl w:val="2"/>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157" w:lineRule="exact"/>
        <w:rPr>
          <w:rFonts w:ascii="Times New Roman" w:cs="Times New Roman" w:eastAsia="Times New Roman" w:hAnsi="Times New Roman"/>
          <w:sz w:val="20"/>
          <w:szCs w:val="20"/>
          <w:color w:val="auto"/>
        </w:rPr>
      </w:pPr>
    </w:p>
    <w:p>
      <w:pPr>
        <w:ind w:left="3000" w:right="120" w:hanging="746"/>
        <w:spacing w:after="0" w:line="247" w:lineRule="auto"/>
        <w:tabs>
          <w:tab w:leader="none" w:pos="2665" w:val="left"/>
        </w:tabs>
        <w:numPr>
          <w:ilvl w:val="2"/>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violates in any material respect any policy or any code of ethics or standard of behavior or conduct generally applicable to Participant, including the Code of Conduct (defined to include any code of ethics or code of conduct now or hereafter adopted by the Company or any of its Affiliates, including to the extent applicable the Code of Business Conduct, as amended or supplemented from time to time, and the Company’s or subsidiary Risk Management Policies, as amended, supplemented or replaced from time to time); or</w:t>
      </w:r>
    </w:p>
    <w:p>
      <w:pPr>
        <w:spacing w:after="0" w:line="182" w:lineRule="exact"/>
        <w:rPr>
          <w:rFonts w:ascii="Times New Roman" w:cs="Times New Roman" w:eastAsia="Times New Roman" w:hAnsi="Times New Roman"/>
          <w:sz w:val="21"/>
          <w:szCs w:val="21"/>
          <w:color w:val="auto"/>
        </w:rPr>
      </w:pPr>
    </w:p>
    <w:p>
      <w:pPr>
        <w:ind w:left="2260" w:right="840" w:hanging="754"/>
        <w:spacing w:after="0" w:line="249" w:lineRule="auto"/>
        <w:tabs>
          <w:tab w:leader="none" w:pos="1943" w:val="left"/>
        </w:tabs>
        <w:numPr>
          <w:ilvl w:val="1"/>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7" w:name="page118"/>
    <w:bookmarkEnd w:id="117"/>
    <w:p>
      <w:pPr>
        <w:ind w:left="1500" w:right="400" w:hanging="690"/>
        <w:spacing w:after="0" w:line="255" w:lineRule="auto"/>
        <w:tabs>
          <w:tab w:leader="none" w:pos="1219"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Committee determines that the Participant’s conduct, activities or circumstances constitute events described in Article 8(b), in addition to any other remedies the Company has available to it, the Company may in its sole discretion:</w:t>
      </w:r>
    </w:p>
    <w:p>
      <w:pPr>
        <w:spacing w:after="0" w:line="175" w:lineRule="exact"/>
        <w:rPr>
          <w:rFonts w:ascii="Times New Roman" w:cs="Times New Roman" w:eastAsia="Times New Roman" w:hAnsi="Times New Roman"/>
          <w:sz w:val="21"/>
          <w:szCs w:val="21"/>
          <w:color w:val="auto"/>
        </w:rPr>
      </w:pPr>
    </w:p>
    <w:p>
      <w:pPr>
        <w:ind w:left="1940" w:hanging="434"/>
        <w:spacing w:after="0"/>
        <w:tabs>
          <w:tab w:leader="none" w:pos="194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cancel any Units awarded hereby, whether or not issued;</w:t>
      </w:r>
    </w:p>
    <w:p>
      <w:pPr>
        <w:spacing w:after="0" w:line="206" w:lineRule="exact"/>
        <w:rPr>
          <w:rFonts w:ascii="Times New Roman" w:cs="Times New Roman" w:eastAsia="Times New Roman" w:hAnsi="Times New Roman"/>
          <w:sz w:val="22"/>
          <w:szCs w:val="22"/>
          <w:color w:val="auto"/>
        </w:rPr>
      </w:pPr>
    </w:p>
    <w:p>
      <w:pPr>
        <w:ind w:left="1940" w:hanging="434"/>
        <w:spacing w:after="0"/>
        <w:tabs>
          <w:tab w:leader="none" w:pos="1940"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any Shares issued upon settlement of the Units; and/or</w:t>
      </w:r>
    </w:p>
    <w:p>
      <w:pPr>
        <w:spacing w:after="0" w:line="206" w:lineRule="exact"/>
        <w:rPr>
          <w:rFonts w:ascii="Times New Roman" w:cs="Times New Roman" w:eastAsia="Times New Roman" w:hAnsi="Times New Roman"/>
          <w:sz w:val="22"/>
          <w:szCs w:val="22"/>
          <w:color w:val="auto"/>
        </w:rPr>
      </w:pPr>
    </w:p>
    <w:p>
      <w:pPr>
        <w:ind w:left="2260" w:right="340" w:hanging="754"/>
        <w:spacing w:after="0" w:line="258" w:lineRule="auto"/>
        <w:tabs>
          <w:tab w:leader="none" w:pos="194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require the Participant to repay an amount equal to all income or gain realized in respect of all Shares issued upon settlement of the Units.</w:t>
      </w:r>
    </w:p>
    <w:p>
      <w:pPr>
        <w:spacing w:after="0" w:line="17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color w:val="auto"/>
        </w:rPr>
        <w:t>There shall be no forfeiture or repayment under Article 8(b) following a Change in Control.</w:t>
      </w:r>
    </w:p>
    <w:p>
      <w:pPr>
        <w:spacing w:after="0" w:line="218" w:lineRule="exact"/>
        <w:rPr>
          <w:sz w:val="20"/>
          <w:szCs w:val="20"/>
          <w:color w:val="auto"/>
        </w:rPr>
      </w:pPr>
    </w:p>
    <w:p>
      <w:pPr>
        <w:ind w:left="1500" w:right="160" w:hanging="690"/>
        <w:spacing w:after="0" w:line="247" w:lineRule="auto"/>
        <w:tabs>
          <w:tab w:leader="none" w:pos="121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Committee, in its discretion, shall determine whether a Participant’s conduct, activities or circumstances constitute events described in Article 8(b) and whether and to what extent the Units awarded hereby shall be forfeited by Participant and/or a Participant shall be required to repay an amount pursuant to Article 8(c). The Committee shall have the authority to suspend the payment, delivery or settlement of all or any portion of such Participant’s outstanding Units pending an investigation of a bona fide dispute regarding Participant’s eligibility to receive a payment under the terms of this Agreement as determined by the Committee in good faith.</w:t>
      </w:r>
    </w:p>
    <w:p>
      <w:pPr>
        <w:spacing w:after="0" w:line="182" w:lineRule="exact"/>
        <w:rPr>
          <w:rFonts w:ascii="Times New Roman" w:cs="Times New Roman" w:eastAsia="Times New Roman" w:hAnsi="Times New Roman"/>
          <w:sz w:val="21"/>
          <w:szCs w:val="21"/>
          <w:color w:val="auto"/>
        </w:rPr>
      </w:pPr>
    </w:p>
    <w:p>
      <w:pPr>
        <w:ind w:left="1500" w:right="60" w:hanging="690"/>
        <w:spacing w:after="0" w:line="251" w:lineRule="auto"/>
        <w:tabs>
          <w:tab w:leader="none" w:pos="1219"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agrees that the provisions of this Article 8 are entered into in consideration of, and as a material inducement to, the agreements by the Company herein as well as an inducement for the Company to enter into this Agreement, and that, but for Participant’s agreement to the provisions of this Article 8, the Company would not have entered into this Agreement.</w:t>
      </w:r>
    </w:p>
    <w:p>
      <w:pPr>
        <w:spacing w:after="0" w:line="178" w:lineRule="exact"/>
        <w:rPr>
          <w:sz w:val="20"/>
          <w:szCs w:val="20"/>
          <w:color w:val="auto"/>
        </w:rPr>
      </w:pPr>
    </w:p>
    <w:p>
      <w:pPr>
        <w:ind w:right="1080"/>
        <w:spacing w:after="0" w:line="469" w:lineRule="auto"/>
        <w:rPr>
          <w:sz w:val="20"/>
          <w:szCs w:val="20"/>
          <w:color w:val="auto"/>
        </w:rPr>
      </w:pPr>
      <w:r>
        <w:rPr>
          <w:rFonts w:ascii="Times New Roman" w:cs="Times New Roman" w:eastAsia="Times New Roman" w:hAnsi="Times New Roman"/>
          <w:sz w:val="21"/>
          <w:szCs w:val="21"/>
          <w:color w:val="auto"/>
        </w:rPr>
        <w:t xml:space="preserve">The Incentive Award is also subject to the provisions on forfeiture events and clawbacks set forth in Article 21 of the Plan. </w:t>
      </w:r>
      <w:r>
        <w:rPr>
          <w:rFonts w:ascii="Times New Roman" w:cs="Times New Roman" w:eastAsia="Times New Roman" w:hAnsi="Times New Roman"/>
          <w:sz w:val="21"/>
          <w:szCs w:val="21"/>
          <w:b w:val="1"/>
          <w:bCs w:val="1"/>
          <w:color w:val="auto"/>
        </w:rPr>
        <w:t>Article 9. Dividends</w:t>
      </w:r>
    </w:p>
    <w:p>
      <w:pPr>
        <w:spacing w:after="0" w:line="1"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1"/>
          <w:szCs w:val="21"/>
          <w:color w:val="auto"/>
        </w:rPr>
        <w:t>If, during the Performance Period, a cash dividend is declared and paid by the Company with respect to its Shares, the Participant will be credited as of the applicable dividend payment date with an additional number of Units (the “Dividend Units”) equal to (i) the total cash dividend the Participant would have received if the Target Number of Performance Units credited to the Participant under this Agreement as of the related dividend payment record date (including any previously credited Dividend Units) had been actual Shares, divided by (ii) the Fair Market Value of a Share as of the applicable dividend payment date (with the quotient rounded down to the nearest whole number). If, after the Performance Period but before the Scheduled Vesting Date, a cash dividend is declared and paid by the Company with respect to its Shares, the Participant will be credited as of the applicable dividend payment date a number of Dividend Units equal to (i) the total cash dividend the Participant would have received if the Earned Units under this Agreement as of the related dividend payment record date (including any previously credited Dividend Units) had been actual Shares, divided by (ii) the Fair Market Value of a Share as of the applicable dividend payment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8" w:name="page119"/>
    <w:bookmarkEnd w:id="118"/>
    <w:p>
      <w:pPr>
        <w:ind w:right="60"/>
        <w:spacing w:after="0" w:line="270" w:lineRule="auto"/>
        <w:rPr>
          <w:sz w:val="20"/>
          <w:szCs w:val="20"/>
          <w:color w:val="auto"/>
        </w:rPr>
      </w:pPr>
      <w:r>
        <w:rPr>
          <w:rFonts w:ascii="Times New Roman" w:cs="Times New Roman" w:eastAsia="Times New Roman" w:hAnsi="Times New Roman"/>
          <w:sz w:val="21"/>
          <w:szCs w:val="21"/>
          <w:color w:val="auto"/>
        </w:rPr>
        <w:t>date (with the quotient rounded down to the nearest whole number). Once credited to the Participant’s account, Dividend Units will be considered Units for all purposes of this Agreement.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10. Tax Withholding</w:t>
      </w:r>
    </w:p>
    <w:p>
      <w:pPr>
        <w:spacing w:after="0" w:line="247"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21"/>
          <w:szCs w:val="21"/>
          <w:color w:val="auto"/>
        </w:rPr>
        <w:t>Neither the Company nor any of its Affiliates shall be liable or responsible in any way for the tax consequences relating to the award of Units, their vesting and the settlement of vested Units in Shares. The Participant agrees to determine and be responsible for any and all tax consequences to the Participant relating to the award, vesting and settlement of Units hereunder. If the Company is obligated to withhold an amount on account of any tax imposed as a result of the grant, vesting or settlement of the Units, the provisions of Section 19.2 of the Plan regarding the satisfaction of tax withholding obligations shall apply (including any required payments by the Participant).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11. Transferability</w:t>
      </w:r>
    </w:p>
    <w:p>
      <w:pPr>
        <w:spacing w:after="0" w:line="24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The Units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or the Participant’s legal representative. The terms hereof shall be binding on the executors, administrators, heirs and successors of the Participant.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12. Administration</w:t>
      </w:r>
    </w:p>
    <w:p>
      <w:pPr>
        <w:spacing w:after="0" w:line="247" w:lineRule="exact"/>
        <w:rPr>
          <w:sz w:val="20"/>
          <w:szCs w:val="20"/>
          <w:color w:val="auto"/>
        </w:rPr>
      </w:pPr>
    </w:p>
    <w:p>
      <w:pPr>
        <w:ind w:right="120" w:firstLine="749"/>
        <w:spacing w:after="0" w:line="248" w:lineRule="auto"/>
        <w:rPr>
          <w:sz w:val="20"/>
          <w:szCs w:val="20"/>
          <w:color w:val="auto"/>
        </w:rPr>
      </w:pPr>
      <w:r>
        <w:rPr>
          <w:rFonts w:ascii="Times New Roman" w:cs="Times New Roman" w:eastAsia="Times New Roman" w:hAnsi="Times New Roman"/>
          <w:sz w:val="21"/>
          <w:szCs w:val="21"/>
          <w:color w:val="auto"/>
        </w:rPr>
        <w:t>This Agreement and the rights of the Participant hereunder are subject to all the terms and conditions of the Plan, as the same may be amended, modified, suspended or terminated from time to time by the Committee,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Any inconsistency between the Agreement and the Plan shall be resolved in favor of the Plan.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Article 13. Miscellaneous</w:t>
      </w:r>
    </w:p>
    <w:p>
      <w:pPr>
        <w:spacing w:after="0" w:line="247" w:lineRule="exact"/>
        <w:rPr>
          <w:sz w:val="20"/>
          <w:szCs w:val="20"/>
          <w:color w:val="auto"/>
        </w:rPr>
      </w:pPr>
    </w:p>
    <w:p>
      <w:pPr>
        <w:ind w:left="800" w:hanging="418"/>
        <w:spacing w:after="0"/>
        <w:tabs>
          <w:tab w:leader="none" w:pos="80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selection of any employee for participation in the Plan shall not give such Participant any right to be retained in the</w:t>
      </w:r>
    </w:p>
    <w:p>
      <w:pPr>
        <w:spacing w:after="0" w:line="25" w:lineRule="exact"/>
        <w:rPr>
          <w:rFonts w:ascii="Times New Roman" w:cs="Times New Roman" w:eastAsia="Times New Roman" w:hAnsi="Times New Roman"/>
          <w:sz w:val="21"/>
          <w:szCs w:val="21"/>
          <w:color w:val="auto"/>
        </w:rPr>
      </w:pPr>
    </w:p>
    <w:p>
      <w:pPr>
        <w:ind w:left="1140" w:right="60"/>
        <w:spacing w:after="0" w:line="243"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212" w:lineRule="exact"/>
        <w:rPr>
          <w:rFonts w:ascii="Times New Roman" w:cs="Times New Roman" w:eastAsia="Times New Roman" w:hAnsi="Times New Roman"/>
          <w:sz w:val="21"/>
          <w:szCs w:val="21"/>
          <w:color w:val="auto"/>
        </w:rPr>
      </w:pPr>
    </w:p>
    <w:p>
      <w:pPr>
        <w:ind w:left="1140" w:right="240" w:hanging="758"/>
        <w:spacing w:after="0" w:line="255" w:lineRule="auto"/>
        <w:tabs>
          <w:tab w:leader="none" w:pos="805"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119" w:name="page120"/>
    <w:bookmarkEnd w:id="119"/>
    <w:p>
      <w:pPr>
        <w:ind w:left="1140" w:right="420" w:hanging="758"/>
        <w:spacing w:after="0" w:line="270" w:lineRule="auto"/>
        <w:tabs>
          <w:tab w:leader="none" w:pos="8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Participant shall not have voting rights with respect to the Units. Participant shall obtain voting rights with respect to any Shares issued upon settlement of the Units.</w:t>
      </w:r>
    </w:p>
    <w:p>
      <w:pPr>
        <w:spacing w:after="0" w:line="185" w:lineRule="exact"/>
        <w:rPr>
          <w:rFonts w:ascii="Times New Roman" w:cs="Times New Roman" w:eastAsia="Times New Roman" w:hAnsi="Times New Roman"/>
          <w:sz w:val="21"/>
          <w:szCs w:val="21"/>
          <w:color w:val="auto"/>
        </w:rPr>
      </w:pPr>
    </w:p>
    <w:p>
      <w:pPr>
        <w:ind w:left="1140" w:right="380" w:hanging="758"/>
        <w:spacing w:after="0" w:line="270" w:lineRule="auto"/>
        <w:tabs>
          <w:tab w:leader="none" w:pos="8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shall be subject to all applicable laws, rules, and regulations, and to such approvals by any governmental agencies or national securities exchanges as may be required.</w:t>
      </w:r>
    </w:p>
    <w:p>
      <w:pPr>
        <w:spacing w:after="0" w:line="185" w:lineRule="exact"/>
        <w:rPr>
          <w:rFonts w:ascii="Times New Roman" w:cs="Times New Roman" w:eastAsia="Times New Roman" w:hAnsi="Times New Roman"/>
          <w:sz w:val="21"/>
          <w:szCs w:val="21"/>
          <w:color w:val="auto"/>
        </w:rPr>
      </w:pPr>
    </w:p>
    <w:p>
      <w:pPr>
        <w:ind w:left="1140" w:right="100" w:hanging="758"/>
        <w:spacing w:after="0" w:line="270" w:lineRule="auto"/>
        <w:tabs>
          <w:tab w:leader="none" w:pos="8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not preempted by federal law, this Agreement shall be governed by, and construed in accordance with, the laws of the State of South Dakota.</w:t>
      </w:r>
    </w:p>
    <w:p>
      <w:pPr>
        <w:spacing w:after="0" w:line="185" w:lineRule="exact"/>
        <w:rPr>
          <w:rFonts w:ascii="Times New Roman" w:cs="Times New Roman" w:eastAsia="Times New Roman" w:hAnsi="Times New Roman"/>
          <w:sz w:val="21"/>
          <w:szCs w:val="21"/>
          <w:color w:val="auto"/>
        </w:rPr>
      </w:pPr>
    </w:p>
    <w:p>
      <w:pPr>
        <w:ind w:left="1140" w:right="200" w:hanging="758"/>
        <w:spacing w:after="0" w:line="270" w:lineRule="auto"/>
        <w:tabs>
          <w:tab w:leader="none" w:pos="8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awards received by Participant are subject to the provisions of the Stock Ownership Guidelines approved by the Board of Directors.</w:t>
      </w:r>
    </w:p>
    <w:p>
      <w:pPr>
        <w:spacing w:after="0" w:line="185" w:lineRule="exact"/>
        <w:rPr>
          <w:rFonts w:ascii="Times New Roman" w:cs="Times New Roman" w:eastAsia="Times New Roman" w:hAnsi="Times New Roman"/>
          <w:sz w:val="21"/>
          <w:szCs w:val="21"/>
          <w:color w:val="auto"/>
        </w:rPr>
      </w:pPr>
    </w:p>
    <w:p>
      <w:pPr>
        <w:ind w:left="1140" w:right="920" w:hanging="758"/>
        <w:spacing w:after="0" w:line="270" w:lineRule="auto"/>
        <w:tabs>
          <w:tab w:leader="none" w:pos="8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Waiver and Modification. The provisions of this Agreement may not be waived or modified unless such waiver or modification is in writing and signed by the Company.</w:t>
      </w:r>
    </w:p>
    <w:p>
      <w:pPr>
        <w:spacing w:after="0" w:line="185" w:lineRule="exact"/>
        <w:rPr>
          <w:rFonts w:ascii="Times New Roman" w:cs="Times New Roman" w:eastAsia="Times New Roman" w:hAnsi="Times New Roman"/>
          <w:sz w:val="21"/>
          <w:szCs w:val="21"/>
          <w:color w:val="auto"/>
        </w:rPr>
      </w:pPr>
    </w:p>
    <w:p>
      <w:pPr>
        <w:ind w:left="1140" w:hanging="758"/>
        <w:spacing w:after="0" w:line="255" w:lineRule="auto"/>
        <w:tabs>
          <w:tab w:leader="none" w:pos="805"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Severability. In the event any provision of this Agreement shall be held to be illegal or invalid for any reason, the illegality or invalidity shall not affect the remaining parts of this Agreement, and the Agreement shall be construed and enforced as if the illegal or invalid provision had not been included.</w:t>
      </w:r>
    </w:p>
    <w:p>
      <w:pPr>
        <w:sectPr>
          <w:pgSz w:w="11900" w:h="16838" w:orient="portrait"/>
          <w:cols w:equalWidth="0" w:num="1">
            <w:col w:w="11220"/>
          </w:cols>
          <w:pgMar w:left="320" w:top="1416" w:right="35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Black Hills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0" w:lineRule="exact"/>
        <w:rPr>
          <w:sz w:val="20"/>
          <w:szCs w:val="20"/>
          <w:color w:val="auto"/>
        </w:rPr>
      </w:pPr>
    </w:p>
    <w:p>
      <w:pPr>
        <w:sectPr>
          <w:pgSz w:w="11900" w:h="16838" w:orient="portrait"/>
          <w:cols w:equalWidth="0" w:num="2">
            <w:col w:w="3020" w:space="720"/>
            <w:col w:w="7480"/>
          </w:cols>
          <w:pgMar w:left="320" w:top="1416" w:right="359"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w:t>
      </w:r>
    </w:p>
    <w:p>
      <w:pPr>
        <w:spacing w:after="0" w:line="39" w:lineRule="exact"/>
        <w:rPr>
          <w:sz w:val="20"/>
          <w:szCs w:val="20"/>
          <w:color w:val="auto"/>
        </w:rPr>
      </w:pPr>
    </w:p>
    <w:p>
      <w:pPr>
        <w:sectPr>
          <w:pgSz w:w="11900" w:h="16838" w:orient="portrait"/>
          <w:cols w:equalWidth="0" w:num="2">
            <w:col w:w="4260" w:space="720"/>
            <w:col w:w="6240"/>
          </w:cols>
          <w:pgMar w:left="320" w:top="1416"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1"/>
          <w:szCs w:val="21"/>
          <w:color w:val="auto"/>
        </w:rPr>
        <w:t>Amy K. Koenig, Vice President – Governance,</w:t>
      </w:r>
    </w:p>
    <w:p>
      <w:pPr>
        <w:spacing w:after="0"/>
        <w:rPr>
          <w:sz w:val="20"/>
          <w:szCs w:val="20"/>
          <w:color w:val="auto"/>
        </w:rPr>
      </w:pPr>
      <w:r>
        <w:rPr>
          <w:rFonts w:ascii="Times New Roman" w:cs="Times New Roman" w:eastAsia="Times New Roman" w:hAnsi="Times New Roman"/>
          <w:sz w:val="21"/>
          <w:szCs w:val="21"/>
          <w:color w:val="auto"/>
        </w:rPr>
        <w:t>Corporate Secretary and Deputy General Counsel</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6" w:right="359" w:bottom="1440" w:gutter="0" w:footer="0" w:header="0"/>
          <w:type w:val="continuous"/>
        </w:sectPr>
      </w:pPr>
    </w:p>
    <w:bookmarkStart w:id="120" w:name="page121"/>
    <w:bookmarkEnd w:id="120"/>
    <w:p>
      <w:pPr>
        <w:ind w:left="10120"/>
        <w:spacing w:after="0"/>
        <w:rPr>
          <w:sz w:val="20"/>
          <w:szCs w:val="20"/>
          <w:color w:val="auto"/>
        </w:rPr>
      </w:pPr>
      <w:r>
        <w:rPr>
          <w:rFonts w:ascii="Times New Roman" w:cs="Times New Roman" w:eastAsia="Times New Roman" w:hAnsi="Times New Roman"/>
          <w:sz w:val="21"/>
          <w:szCs w:val="21"/>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Earned Units and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42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2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18"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The determination of the number of Units that will be earned and vested as of the Scheduled Vesting Date specified above will be determined as follows:</w:t>
      </w:r>
    </w:p>
    <w:p>
      <w:pPr>
        <w:spacing w:after="0" w:line="186" w:lineRule="exact"/>
        <w:rPr>
          <w:sz w:val="20"/>
          <w:szCs w:val="20"/>
          <w:color w:val="auto"/>
        </w:rPr>
      </w:pPr>
    </w:p>
    <w:tbl>
      <w:tblPr>
        <w:tblLayout w:type="fixed"/>
        <w:tblInd w:w="10" w:type="dxa"/>
        <w:tblCellMar>
          <w:top w:w="0" w:type="dxa"/>
          <w:left w:w="0" w:type="dxa"/>
          <w:bottom w:w="0" w:type="dxa"/>
          <w:right w:w="0" w:type="dxa"/>
        </w:tblCellMar>
      </w:tblPr>
      <w:tr>
        <w:trPr>
          <w:trHeight w:val="975"/>
        </w:trPr>
        <w:tc>
          <w:tcPr>
            <w:tcW w:w="282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 Measure (each</w:t>
            </w:r>
          </w:p>
        </w:tc>
        <w:tc>
          <w:tcPr>
            <w:tcW w:w="13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480" w:type="dxa"/>
            <w:vAlign w:val="bottom"/>
            <w:tcBorders>
              <w:top w:val="single" w:sz="8" w:color="auto"/>
              <w:right w:val="single" w:sz="8" w:color="auto"/>
            </w:tcBorders>
          </w:tcPr>
          <w:p>
            <w:pPr>
              <w:spacing w:after="0"/>
              <w:rPr>
                <w:sz w:val="24"/>
                <w:szCs w:val="24"/>
                <w:color w:val="auto"/>
              </w:rPr>
            </w:pPr>
          </w:p>
        </w:tc>
        <w:tc>
          <w:tcPr>
            <w:tcW w:w="2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82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as defined below)</w:t>
            </w:r>
          </w:p>
        </w:tc>
        <w:tc>
          <w:tcPr>
            <w:tcW w:w="132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Weighting</w:t>
            </w:r>
          </w:p>
        </w:tc>
        <w:tc>
          <w:tcPr>
            <w:tcW w:w="4840" w:type="dxa"/>
            <w:vAlign w:val="bottom"/>
            <w:tcBorders>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Performance Goal</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Award Multiplier</w:t>
            </w:r>
          </w:p>
        </w:tc>
        <w:tc>
          <w:tcPr>
            <w:tcW w:w="0" w:type="dxa"/>
            <w:vAlign w:val="bottom"/>
          </w:tcPr>
          <w:p>
            <w:pPr>
              <w:spacing w:after="0"/>
              <w:rPr>
                <w:sz w:val="1"/>
                <w:szCs w:val="1"/>
                <w:color w:val="auto"/>
              </w:rPr>
            </w:pPr>
          </w:p>
        </w:tc>
      </w:tr>
      <w:tr>
        <w:trPr>
          <w:trHeight w:val="247"/>
        </w:trPr>
        <w:tc>
          <w:tcPr>
            <w:tcW w:w="28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Relative TSR</w:t>
            </w:r>
          </w:p>
        </w:tc>
        <w:tc>
          <w:tcPr>
            <w:tcW w:w="13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70%</w:t>
            </w:r>
          </w:p>
        </w:tc>
        <w:tc>
          <w:tcPr>
            <w:tcW w:w="1360" w:type="dxa"/>
            <w:vAlign w:val="bottom"/>
            <w:tcBorders>
              <w:bottom w:val="single" w:sz="8" w:color="auto"/>
              <w:right w:val="single" w:sz="8" w:color="auto"/>
            </w:tcBorders>
          </w:tcPr>
          <w:p>
            <w:pPr>
              <w:ind w:left="100"/>
              <w:spacing w:after="0" w:line="247" w:lineRule="exact"/>
              <w:rPr>
                <w:sz w:val="20"/>
                <w:szCs w:val="20"/>
                <w:color w:val="auto"/>
              </w:rPr>
            </w:pPr>
            <w:r>
              <w:rPr>
                <w:rFonts w:ascii="Times New Roman" w:cs="Times New Roman" w:eastAsia="Times New Roman" w:hAnsi="Times New Roman"/>
                <w:sz w:val="22"/>
                <w:szCs w:val="22"/>
                <w:color w:val="auto"/>
              </w:rPr>
              <w:t>Maximum</w:t>
            </w:r>
          </w:p>
        </w:tc>
        <w:tc>
          <w:tcPr>
            <w:tcW w:w="3480" w:type="dxa"/>
            <w:vAlign w:val="bottom"/>
            <w:tcBorders>
              <w:bottom w:val="single" w:sz="8" w:color="auto"/>
              <w:right w:val="single" w:sz="8" w:color="auto"/>
            </w:tcBorders>
          </w:tcPr>
          <w:p>
            <w:pPr>
              <w:ind w:left="100"/>
              <w:spacing w:after="0" w:line="246" w:lineRule="exact"/>
              <w:rPr>
                <w:sz w:val="20"/>
                <w:szCs w:val="20"/>
                <w:color w:val="auto"/>
              </w:rPr>
            </w:pPr>
            <w:r>
              <w:rPr>
                <w:rFonts w:ascii="Times New Roman" w:cs="Times New Roman" w:eastAsia="Times New Roman" w:hAnsi="Times New Roman"/>
                <w:sz w:val="22"/>
                <w:szCs w:val="22"/>
                <w:color w:val="auto"/>
              </w:rPr>
              <w:t>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2260" w:type="dxa"/>
            <w:vAlign w:val="bottom"/>
            <w:tcBorders>
              <w:bottom w:val="single" w:sz="8" w:color="auto"/>
              <w:right w:val="single" w:sz="8" w:color="auto"/>
            </w:tcBorders>
          </w:tcPr>
          <w:p>
            <w:pPr>
              <w:ind w:left="80"/>
              <w:spacing w:after="0" w:line="247" w:lineRule="exact"/>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right w:val="single" w:sz="8" w:color="auto"/>
            </w:tcBorders>
            <w:vMerge w:val="continue"/>
          </w:tcPr>
          <w:p>
            <w:pPr>
              <w:spacing w:after="0"/>
              <w:rPr>
                <w:sz w:val="22"/>
                <w:szCs w:val="22"/>
                <w:color w:val="auto"/>
              </w:rPr>
            </w:pPr>
          </w:p>
        </w:tc>
        <w:tc>
          <w:tcPr>
            <w:tcW w:w="1320" w:type="dxa"/>
            <w:vAlign w:val="bottom"/>
            <w:tcBorders>
              <w:right w:val="single" w:sz="8" w:color="auto"/>
            </w:tcBorders>
            <w:vMerge w:val="continue"/>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348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2"/>
                <w:szCs w:val="22"/>
                <w:color w:val="auto"/>
              </w:rPr>
              <w:t>50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3480" w:type="dxa"/>
            <w:vAlign w:val="bottom"/>
            <w:tcBorders>
              <w:bottom w:val="single" w:sz="8" w:color="auto"/>
              <w:right w:val="single" w:sz="8" w:color="auto"/>
            </w:tcBorders>
          </w:tcPr>
          <w:p>
            <w:pPr>
              <w:ind w:left="100"/>
              <w:spacing w:after="0" w:line="263" w:lineRule="exact"/>
              <w:rPr>
                <w:sz w:val="20"/>
                <w:szCs w:val="20"/>
                <w:color w:val="auto"/>
              </w:rPr>
            </w:pPr>
            <w:r>
              <w:rPr>
                <w:rFonts w:ascii="Times New Roman" w:cs="Times New Roman" w:eastAsia="Times New Roman" w:hAnsi="Times New Roman"/>
                <w:sz w:val="22"/>
                <w:szCs w:val="22"/>
                <w:color w:val="auto"/>
              </w:rPr>
              <w:t>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Percentile</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Maximum</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$4.516</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Average EPS as Adjusted</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w:t>
            </w: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$4.105</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4"/>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$3.695</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right w:val="single" w:sz="8" w:color="auto"/>
            </w:tcBorders>
          </w:tcPr>
          <w:p>
            <w:pPr>
              <w:spacing w:after="0"/>
              <w:rPr>
                <w:sz w:val="22"/>
                <w:szCs w:val="22"/>
                <w:color w:val="auto"/>
              </w:rPr>
            </w:pPr>
          </w:p>
        </w:tc>
        <w:tc>
          <w:tcPr>
            <w:tcW w:w="1320" w:type="dxa"/>
            <w:vAlign w:val="bottom"/>
            <w:tcBorders>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Maximum</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39.1%</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264"/>
        </w:trPr>
        <w:tc>
          <w:tcPr>
            <w:tcW w:w="28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Average Cost to Serve</w:t>
            </w:r>
          </w:p>
        </w:tc>
        <w:tc>
          <w:tcPr>
            <w:tcW w:w="13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10%</w:t>
            </w: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43.4%</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spacing w:after="0"/>
              <w:rPr>
                <w:sz w:val="22"/>
                <w:szCs w:val="22"/>
                <w:color w:val="auto"/>
              </w:rPr>
            </w:pP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47.7%</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263"/>
        </w:trPr>
        <w:tc>
          <w:tcPr>
            <w:tcW w:w="28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Natural Gas Emissions</w:t>
            </w:r>
          </w:p>
        </w:tc>
        <w:tc>
          <w:tcPr>
            <w:tcW w:w="132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22"/>
                <w:szCs w:val="22"/>
                <w:color w:val="auto"/>
              </w:rPr>
              <w:t>10%</w:t>
            </w:r>
          </w:p>
        </w:tc>
        <w:tc>
          <w:tcPr>
            <w:tcW w:w="13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Maximum</w:t>
            </w:r>
          </w:p>
        </w:tc>
        <w:tc>
          <w:tcPr>
            <w:tcW w:w="3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38 miles per average year</w:t>
            </w:r>
          </w:p>
        </w:tc>
        <w:tc>
          <w:tcPr>
            <w:tcW w:w="226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200%</w:t>
            </w:r>
          </w:p>
        </w:tc>
        <w:tc>
          <w:tcPr>
            <w:tcW w:w="0" w:type="dxa"/>
            <w:vAlign w:val="bottom"/>
          </w:tcPr>
          <w:p>
            <w:pPr>
              <w:spacing w:after="0"/>
              <w:rPr>
                <w:sz w:val="1"/>
                <w:szCs w:val="1"/>
                <w:color w:val="auto"/>
              </w:rPr>
            </w:pPr>
          </w:p>
        </w:tc>
      </w:tr>
      <w:tr>
        <w:trPr>
          <w:trHeight w:val="101"/>
        </w:trPr>
        <w:tc>
          <w:tcPr>
            <w:tcW w:w="28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vMerge w:val="continue"/>
          </w:tcPr>
          <w:p>
            <w:pPr>
              <w:spacing w:after="0"/>
              <w:rPr>
                <w:sz w:val="8"/>
                <w:szCs w:val="8"/>
                <w:color w:val="auto"/>
              </w:rPr>
            </w:pPr>
          </w:p>
        </w:tc>
        <w:tc>
          <w:tcPr>
            <w:tcW w:w="13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Target</w:t>
            </w:r>
          </w:p>
        </w:tc>
        <w:tc>
          <w:tcPr>
            <w:tcW w:w="3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29 miles per average year</w:t>
            </w:r>
          </w:p>
        </w:tc>
        <w:tc>
          <w:tcPr>
            <w:tcW w:w="2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100%</w:t>
            </w:r>
          </w:p>
        </w:tc>
        <w:tc>
          <w:tcPr>
            <w:tcW w:w="0" w:type="dxa"/>
            <w:vAlign w:val="bottom"/>
          </w:tcPr>
          <w:p>
            <w:pPr>
              <w:spacing w:after="0"/>
              <w:rPr>
                <w:sz w:val="1"/>
                <w:szCs w:val="1"/>
                <w:color w:val="auto"/>
              </w:rPr>
            </w:pPr>
          </w:p>
        </w:tc>
      </w:tr>
      <w:tr>
        <w:trPr>
          <w:trHeight w:val="167"/>
        </w:trPr>
        <w:tc>
          <w:tcPr>
            <w:tcW w:w="282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Reduction by 2035</w:t>
            </w:r>
          </w:p>
        </w:tc>
        <w:tc>
          <w:tcPr>
            <w:tcW w:w="1320" w:type="dxa"/>
            <w:vAlign w:val="bottom"/>
            <w:tcBorders>
              <w:right w:val="single" w:sz="8" w:color="auto"/>
            </w:tcBorders>
            <w:vMerge w:val="continue"/>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3480" w:type="dxa"/>
            <w:vAlign w:val="bottom"/>
            <w:tcBorders>
              <w:bottom w:val="single" w:sz="8" w:color="auto"/>
              <w:right w:val="single" w:sz="8" w:color="auto"/>
            </w:tcBorders>
            <w:vMerge w:val="continue"/>
          </w:tcPr>
          <w:p>
            <w:pPr>
              <w:spacing w:after="0"/>
              <w:rPr>
                <w:sz w:val="14"/>
                <w:szCs w:val="14"/>
                <w:color w:val="auto"/>
              </w:rPr>
            </w:pPr>
          </w:p>
        </w:tc>
        <w:tc>
          <w:tcPr>
            <w:tcW w:w="2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28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3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Threshold</w:t>
            </w:r>
          </w:p>
        </w:tc>
        <w:tc>
          <w:tcPr>
            <w:tcW w:w="3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22 miles per average year</w:t>
            </w:r>
          </w:p>
        </w:tc>
        <w:tc>
          <w:tcPr>
            <w:tcW w:w="22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22"/>
                <w:szCs w:val="22"/>
                <w:color w:val="auto"/>
              </w:rPr>
              <w:t>25%</w:t>
            </w:r>
          </w:p>
        </w:tc>
        <w:tc>
          <w:tcPr>
            <w:tcW w:w="0" w:type="dxa"/>
            <w:vAlign w:val="bottom"/>
          </w:tcPr>
          <w:p>
            <w:pPr>
              <w:spacing w:after="0"/>
              <w:rPr>
                <w:sz w:val="1"/>
                <w:szCs w:val="1"/>
                <w:color w:val="auto"/>
              </w:rPr>
            </w:pPr>
          </w:p>
        </w:tc>
      </w:tr>
      <w:tr>
        <w:trPr>
          <w:trHeight w:val="164"/>
        </w:trPr>
        <w:tc>
          <w:tcPr>
            <w:tcW w:w="2820" w:type="dxa"/>
            <w:vAlign w:val="bottom"/>
            <w:tcBorders>
              <w:left w:val="single" w:sz="8" w:color="auto"/>
              <w:bottom w:val="single" w:sz="8" w:color="auto"/>
              <w:right w:val="single" w:sz="8" w:color="auto"/>
            </w:tcBorders>
          </w:tcPr>
          <w:p>
            <w:pPr>
              <w:spacing w:after="0"/>
              <w:rPr>
                <w:sz w:val="14"/>
                <w:szCs w:val="14"/>
                <w:color w:val="auto"/>
              </w:rPr>
            </w:pPr>
          </w:p>
        </w:tc>
        <w:tc>
          <w:tcPr>
            <w:tcW w:w="1320" w:type="dxa"/>
            <w:vAlign w:val="bottom"/>
            <w:tcBorders>
              <w:bottom w:val="single" w:sz="8" w:color="auto"/>
              <w:right w:val="single" w:sz="8" w:color="auto"/>
            </w:tcBorders>
          </w:tcPr>
          <w:p>
            <w:pPr>
              <w:spacing w:after="0"/>
              <w:rPr>
                <w:sz w:val="14"/>
                <w:szCs w:val="14"/>
                <w:color w:val="auto"/>
              </w:rPr>
            </w:pPr>
          </w:p>
        </w:tc>
        <w:tc>
          <w:tcPr>
            <w:tcW w:w="1360" w:type="dxa"/>
            <w:vAlign w:val="bottom"/>
            <w:tcBorders>
              <w:bottom w:val="single" w:sz="8" w:color="auto"/>
              <w:right w:val="single" w:sz="8" w:color="auto"/>
            </w:tcBorders>
            <w:vMerge w:val="continue"/>
          </w:tcPr>
          <w:p>
            <w:pPr>
              <w:spacing w:after="0"/>
              <w:rPr>
                <w:sz w:val="14"/>
                <w:szCs w:val="14"/>
                <w:color w:val="auto"/>
              </w:rPr>
            </w:pPr>
          </w:p>
        </w:tc>
        <w:tc>
          <w:tcPr>
            <w:tcW w:w="3480" w:type="dxa"/>
            <w:vAlign w:val="bottom"/>
            <w:tcBorders>
              <w:bottom w:val="single" w:sz="8" w:color="auto"/>
              <w:right w:val="single" w:sz="8" w:color="auto"/>
            </w:tcBorders>
            <w:vMerge w:val="continue"/>
          </w:tcPr>
          <w:p>
            <w:pPr>
              <w:spacing w:after="0"/>
              <w:rPr>
                <w:sz w:val="14"/>
                <w:szCs w:val="14"/>
                <w:color w:val="auto"/>
              </w:rPr>
            </w:pPr>
          </w:p>
        </w:tc>
        <w:tc>
          <w:tcPr>
            <w:tcW w:w="2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1"/>
          <w:szCs w:val="21"/>
          <w:color w:val="auto"/>
        </w:rPr>
        <w:t xml:space="preserve">Based on the actual level of achievement of each Performance Measure, the applicable Award Multiplier will be calculated from the table above by determining where the Company’s actual performance falls relative to the Performance Goals specified in the applicable column of the table, and then selecting the corresponding Award Multiplier associated with each Performance Measure. </w:t>
      </w:r>
      <w:r>
        <w:rPr>
          <w:rFonts w:ascii="Times New Roman" w:cs="Times New Roman" w:eastAsia="Times New Roman" w:hAnsi="Times New Roman"/>
          <w:sz w:val="19"/>
          <w:szCs w:val="19"/>
          <w:color w:val="auto"/>
        </w:rPr>
        <w:t>If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the actual amount of any of these Performance Measures is between two Performance Goal amounts shown in the applicable column of the table, the corresponding Award Multiplier will be determined by linear interpolation between the two relevant Award Multipliers shown in the table. If the actual amount of any of the Performance Measures for the Performance Period is less than the corresponding Threshold Performance Goal specified in the table, the corresponding Award Multiplier is zero, and if it is greater than the corresponding Maximum Performance Goal specified in the table, the corresponding Award Multiplier will be equal to the percentage specified for the Maximum Performance Goal.</w:t>
      </w:r>
    </w:p>
    <w:p>
      <w:pPr>
        <w:spacing w:after="0" w:line="197" w:lineRule="exact"/>
        <w:rPr>
          <w:sz w:val="20"/>
          <w:szCs w:val="20"/>
          <w:color w:val="auto"/>
        </w:rPr>
      </w:pPr>
    </w:p>
    <w:p>
      <w:pPr>
        <w:jc w:val="both"/>
        <w:ind w:right="60" w:firstLine="749"/>
        <w:spacing w:after="0" w:line="254" w:lineRule="auto"/>
        <w:rPr>
          <w:sz w:val="20"/>
          <w:szCs w:val="20"/>
          <w:color w:val="auto"/>
        </w:rPr>
      </w:pPr>
      <w:r>
        <w:rPr>
          <w:rFonts w:ascii="Times New Roman" w:cs="Times New Roman" w:eastAsia="Times New Roman" w:hAnsi="Times New Roman"/>
          <w:sz w:val="20"/>
          <w:szCs w:val="20"/>
          <w:color w:val="auto"/>
        </w:rPr>
        <w:t>Notwithstanding the foregoing, (i) if absolute TSR is negative during the Performance Period, the total number of Earned Units for the achievement of the Relative TSR Performance Goal will not exceed Target and (ii) if Relative TSR is below Threshold, but absolute TSR is above 35%, the Relative TSR Performance Measure will be deemed to be satisfied at Threshold.</w:t>
      </w:r>
    </w:p>
    <w:p>
      <w:pPr>
        <w:spacing w:after="0" w:line="188"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The number of Performance Units earned during the Performance Period that will vest as of the Vesting Date will be calculated using the following formula:</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1" w:name="page122"/>
    <w:bookmarkEnd w:id="121"/>
    <w:p>
      <w:pPr>
        <w:jc w:val="center"/>
        <w:ind w:right="20"/>
        <w:spacing w:after="0"/>
        <w:rPr>
          <w:sz w:val="20"/>
          <w:szCs w:val="20"/>
          <w:color w:val="auto"/>
        </w:rPr>
      </w:pPr>
      <w:r>
        <w:rPr>
          <w:rFonts w:ascii="Times New Roman" w:cs="Times New Roman" w:eastAsia="Times New Roman" w:hAnsi="Times New Roman"/>
          <w:sz w:val="20"/>
          <w:szCs w:val="20"/>
          <w:color w:val="auto"/>
        </w:rPr>
        <w:t>[Relative TSR Weighting x (Target Number of Performance Units + Dividend Units credited during the Performance Period and before the</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Scheduled Vesting Date)] x Relative TSR Award Multiplier</w:t>
      </w: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jc w:val="center"/>
        <w:ind w:right="20"/>
        <w:spacing w:after="0"/>
        <w:rPr>
          <w:sz w:val="20"/>
          <w:szCs w:val="20"/>
          <w:color w:val="auto"/>
        </w:rPr>
      </w:pPr>
      <w:r>
        <w:rPr>
          <w:rFonts w:ascii="Times New Roman" w:cs="Times New Roman" w:eastAsia="Times New Roman" w:hAnsi="Times New Roman"/>
          <w:sz w:val="19"/>
          <w:szCs w:val="19"/>
          <w:color w:val="auto"/>
        </w:rPr>
        <w:t>[Average EPS as Adjusted Weighting x (Target Number of Performance Units + Dividend Units credited during the Performance Period and</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before the Scheduled Vesting Date)] x Average EPS as Adjusted Award Multiplier</w:t>
      </w: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jc w:val="center"/>
        <w:ind w:right="20"/>
        <w:spacing w:after="0"/>
        <w:rPr>
          <w:sz w:val="20"/>
          <w:szCs w:val="20"/>
          <w:color w:val="auto"/>
        </w:rPr>
      </w:pPr>
      <w:r>
        <w:rPr>
          <w:rFonts w:ascii="Times New Roman" w:cs="Times New Roman" w:eastAsia="Times New Roman" w:hAnsi="Times New Roman"/>
          <w:sz w:val="20"/>
          <w:szCs w:val="20"/>
          <w:color w:val="auto"/>
        </w:rPr>
        <w:t>[Average Cost to Serve Weighting x (Target Number of Performance Units + Dividend Units credited during the Performance Period and</w:t>
      </w:r>
    </w:p>
    <w:p>
      <w:pPr>
        <w:jc w:val="center"/>
        <w:ind w:right="-19"/>
        <w:spacing w:after="0"/>
        <w:rPr>
          <w:sz w:val="20"/>
          <w:szCs w:val="20"/>
          <w:color w:val="auto"/>
        </w:rPr>
      </w:pPr>
      <w:r>
        <w:rPr>
          <w:rFonts w:ascii="Times New Roman" w:cs="Times New Roman" w:eastAsia="Times New Roman" w:hAnsi="Times New Roman"/>
          <w:sz w:val="20"/>
          <w:szCs w:val="20"/>
          <w:color w:val="auto"/>
        </w:rPr>
        <w:t>before the Scheduled Vesting Date)] x Average Cost to Serve Award Multiplier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where:</w:t>
      </w:r>
    </w:p>
    <w:p>
      <w:pPr>
        <w:spacing w:after="0" w:line="229" w:lineRule="exact"/>
        <w:rPr>
          <w:sz w:val="20"/>
          <w:szCs w:val="20"/>
          <w:color w:val="auto"/>
        </w:rPr>
      </w:pPr>
    </w:p>
    <w:p>
      <w:pPr>
        <w:ind w:left="940" w:right="40" w:hanging="370"/>
        <w:spacing w:after="0" w:line="269" w:lineRule="auto"/>
        <w:tabs>
          <w:tab w:leader="none" w:pos="961"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“Relative TSR Weighting,” “Average EPS as Adjusted Weighting,” “Average EPS as Adjusted Weighting” and the applicable “Award Multiplier” are derived from the table above,</w:t>
      </w:r>
    </w:p>
    <w:p>
      <w:pPr>
        <w:spacing w:after="0" w:line="172" w:lineRule="exact"/>
        <w:rPr>
          <w:rFonts w:ascii="Times New Roman" w:cs="Times New Roman" w:eastAsia="Times New Roman" w:hAnsi="Times New Roman"/>
          <w:sz w:val="20"/>
          <w:szCs w:val="20"/>
          <w:color w:val="auto"/>
        </w:rPr>
      </w:pPr>
    </w:p>
    <w:p>
      <w:pPr>
        <w:ind w:left="960" w:hanging="390"/>
        <w:spacing w:after="0"/>
        <w:tabs>
          <w:tab w:leader="none" w:pos="9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“Target Number of Performance Units” is the number set forth at the beginning of this Agreement; and</w:t>
      </w:r>
    </w:p>
    <w:p>
      <w:pPr>
        <w:spacing w:after="0" w:line="229" w:lineRule="exact"/>
        <w:rPr>
          <w:rFonts w:ascii="Times New Roman" w:cs="Times New Roman" w:eastAsia="Times New Roman" w:hAnsi="Times New Roman"/>
          <w:sz w:val="20"/>
          <w:szCs w:val="20"/>
          <w:color w:val="auto"/>
        </w:rPr>
      </w:pPr>
    </w:p>
    <w:p>
      <w:pPr>
        <w:ind w:left="960" w:hanging="390"/>
        <w:spacing w:after="0"/>
        <w:tabs>
          <w:tab w:leader="none" w:pos="96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Dividend Units is defined in Section 8 of the Agreement.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Relative TSR Calculation</w:t>
      </w: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For this purpose, Total Shareholder Return (TSR) shall be determined as follows (rounded to nearest basis point):</w:t>
      </w:r>
    </w:p>
    <w:p>
      <w:pPr>
        <w:spacing w:after="0" w:line="238" w:lineRule="exact"/>
        <w:rPr>
          <w:sz w:val="20"/>
          <w:szCs w:val="20"/>
          <w:color w:val="auto"/>
        </w:rPr>
      </w:pPr>
    </w:p>
    <w:tbl>
      <w:tblPr>
        <w:tblLayout w:type="fixed"/>
        <w:tblInd w:w="1160" w:type="dxa"/>
        <w:tblCellMar>
          <w:top w:w="0" w:type="dxa"/>
          <w:left w:w="0" w:type="dxa"/>
          <w:bottom w:w="0" w:type="dxa"/>
          <w:right w:w="0" w:type="dxa"/>
        </w:tblCellMar>
      </w:tblPr>
      <w:tr>
        <w:trPr>
          <w:trHeight w:val="241"/>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Total Shareholder</w:t>
            </w:r>
          </w:p>
        </w:tc>
        <w:tc>
          <w:tcPr>
            <w:tcW w:w="1120" w:type="dxa"/>
            <w:vAlign w:val="bottom"/>
          </w:tcPr>
          <w:p>
            <w:pPr>
              <w:jc w:val="right"/>
              <w:ind w:right="437"/>
              <w:spacing w:after="0"/>
              <w:rPr>
                <w:sz w:val="20"/>
                <w:szCs w:val="20"/>
                <w:color w:val="auto"/>
              </w:rPr>
            </w:pPr>
            <w:r>
              <w:rPr>
                <w:rFonts w:ascii="Times New Roman" w:cs="Times New Roman" w:eastAsia="Times New Roman" w:hAnsi="Times New Roman"/>
                <w:sz w:val="21"/>
                <w:szCs w:val="21"/>
                <w:color w:val="auto"/>
              </w:rPr>
              <w:t>=</w:t>
            </w:r>
          </w:p>
        </w:tc>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1"/>
                <w:szCs w:val="21"/>
                <w:color w:val="auto"/>
                <w:w w:val="97"/>
              </w:rPr>
              <w:t>Change in Stock Price + Dividends Paid</w:t>
            </w:r>
          </w:p>
        </w:tc>
      </w:tr>
      <w:tr>
        <w:trPr>
          <w:trHeight w:val="272"/>
        </w:trPr>
        <w:tc>
          <w:tcPr>
            <w:tcW w:w="1920" w:type="dxa"/>
            <w:vAlign w:val="bottom"/>
          </w:tcPr>
          <w:p>
            <w:pPr>
              <w:spacing w:after="0"/>
              <w:rPr>
                <w:sz w:val="20"/>
                <w:szCs w:val="20"/>
                <w:color w:val="auto"/>
              </w:rPr>
            </w:pPr>
            <w:r>
              <w:rPr>
                <w:rFonts w:ascii="Times New Roman" w:cs="Times New Roman" w:eastAsia="Times New Roman" w:hAnsi="Times New Roman"/>
                <w:sz w:val="21"/>
                <w:szCs w:val="21"/>
                <w:color w:val="auto"/>
              </w:rPr>
              <w:t>Return</w:t>
            </w:r>
          </w:p>
        </w:tc>
        <w:tc>
          <w:tcPr>
            <w:tcW w:w="1120" w:type="dxa"/>
            <w:vAlign w:val="bottom"/>
          </w:tcPr>
          <w:p>
            <w:pPr>
              <w:spacing w:after="0"/>
              <w:rPr>
                <w:sz w:val="23"/>
                <w:szCs w:val="23"/>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21"/>
                <w:szCs w:val="21"/>
                <w:color w:val="auto"/>
              </w:rPr>
              <w:t>Beginning Stock Price</w:t>
            </w:r>
          </w:p>
        </w:tc>
      </w:tr>
    </w:tbl>
    <w:p>
      <w:pPr>
        <w:spacing w:after="0" w:line="229" w:lineRule="exact"/>
        <w:rPr>
          <w:sz w:val="20"/>
          <w:szCs w:val="20"/>
          <w:color w:val="auto"/>
        </w:rPr>
      </w:pPr>
    </w:p>
    <w:p>
      <w:pPr>
        <w:ind w:right="20" w:firstLine="749"/>
        <w:spacing w:after="0" w:line="262" w:lineRule="auto"/>
        <w:rPr>
          <w:sz w:val="20"/>
          <w:szCs w:val="20"/>
          <w:color w:val="auto"/>
        </w:rPr>
      </w:pPr>
      <w:r>
        <w:rPr>
          <w:rFonts w:ascii="Times New Roman" w:cs="Times New Roman" w:eastAsia="Times New Roman" w:hAnsi="Times New Roman"/>
          <w:sz w:val="20"/>
          <w:szCs w:val="20"/>
          <w:color w:val="auto"/>
        </w:rPr>
        <w:t>Beginning Stock Price shall mean the average closing price (rounded to nearest cent $xx.xx) on the applicable stock exchange of one share of Common Stock for the ten (10) trading days preceding the grant date; Ending Stock Price shall mean the average closing price (rounded to nearest cent $xx.xx) on the applicable stock exchange of one share of stock for the last ten (10) trading days of the Performance Period; Change in Stock Price shall mean the difference between the Beginning Stock Price and the Ending Stock Price; and Dividends Paid shall mean the total of all dividends (unrounded) on one (1) share of stock with Dividend Payable Dates during the Performance Period. Following the TSR determination, the Company’s Percentile Rank shall be determined as follows:</w:t>
      </w:r>
    </w:p>
    <w:p>
      <w:pPr>
        <w:spacing w:after="0" w:line="195"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0"/>
          <w:szCs w:val="20"/>
          <w:color w:val="auto"/>
        </w:rPr>
        <w:t xml:space="preserve">Percentile Rank shall be determined by listing from highest TSR to lowest TSR each company in the Peer Index (excluding the Company) as described on </w:t>
      </w:r>
      <w:r>
        <w:rPr>
          <w:rFonts w:ascii="Times New Roman" w:cs="Times New Roman" w:eastAsia="Times New Roman" w:hAnsi="Times New Roman"/>
          <w:sz w:val="20"/>
          <w:szCs w:val="20"/>
          <w:u w:val="single" w:color="auto"/>
          <w:color w:val="auto"/>
        </w:rPr>
        <w:t>Appendix B</w:t>
      </w:r>
      <w:r>
        <w:rPr>
          <w:rFonts w:ascii="Times New Roman" w:cs="Times New Roman" w:eastAsia="Times New Roman" w:hAnsi="Times New Roman"/>
          <w:sz w:val="20"/>
          <w:szCs w:val="20"/>
          <w:color w:val="auto"/>
        </w:rPr>
        <w:t>. The top company would have a one hundred percentile (100%) rank and the bottom company would have a zero percentile (0.0%) rank. Each company in between would be one hundred divided by n minus one (100/(n-1)) (rounded to nearest basis point - x.xx%) above the company below it, where “n” is the total number of companies in the Peer Index. The Company percentile rank would then be interpolated based on the Company TSR, resulting in the Company’s Relative TSR.</w:t>
      </w:r>
    </w:p>
    <w:p>
      <w:pPr>
        <w:spacing w:after="0" w:line="193" w:lineRule="exact"/>
        <w:rPr>
          <w:sz w:val="20"/>
          <w:szCs w:val="20"/>
          <w:color w:val="auto"/>
        </w:rPr>
      </w:pPr>
    </w:p>
    <w:p>
      <w:pPr>
        <w:ind w:right="640" w:firstLine="749"/>
        <w:spacing w:after="0" w:line="270" w:lineRule="auto"/>
        <w:rPr>
          <w:sz w:val="20"/>
          <w:szCs w:val="20"/>
          <w:color w:val="auto"/>
        </w:rPr>
      </w:pPr>
      <w:r>
        <w:rPr>
          <w:rFonts w:ascii="Times New Roman" w:cs="Times New Roman" w:eastAsia="Times New Roman" w:hAnsi="Times New Roman"/>
          <w:sz w:val="21"/>
          <w:szCs w:val="21"/>
          <w:color w:val="auto"/>
        </w:rPr>
        <w:t>If the Company’s or any Peer Index company’s stock splits (or if there are other similar subdivisions, consolidations or changes in such company’s stock or capitalization), such company’s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2" w:name="page123"/>
    <w:bookmarkEnd w:id="122"/>
    <w:p>
      <w:pPr>
        <w:ind w:right="40"/>
        <w:spacing w:after="0" w:line="270" w:lineRule="auto"/>
        <w:rPr>
          <w:sz w:val="20"/>
          <w:szCs w:val="20"/>
          <w:color w:val="auto"/>
        </w:rPr>
      </w:pPr>
      <w:r>
        <w:rPr>
          <w:rFonts w:ascii="Times New Roman" w:cs="Times New Roman" w:eastAsia="Times New Roman" w:hAnsi="Times New Roman"/>
          <w:sz w:val="21"/>
          <w:szCs w:val="21"/>
          <w:color w:val="auto"/>
        </w:rPr>
        <w:t>TSR performance will be proportionately adjusted for the stock split or other change so as not to give an advantage or disadvantage to such company by comparison to the other Peer Index companies.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Average EPS as Adjusted Calculation</w:t>
      </w:r>
    </w:p>
    <w:p>
      <w:pPr>
        <w:spacing w:after="0" w:line="233" w:lineRule="exact"/>
        <w:rPr>
          <w:sz w:val="20"/>
          <w:szCs w:val="20"/>
          <w:color w:val="auto"/>
        </w:rPr>
      </w:pPr>
    </w:p>
    <w:p>
      <w:pPr>
        <w:ind w:right="60" w:firstLine="749"/>
        <w:spacing w:after="0" w:line="295" w:lineRule="auto"/>
        <w:rPr>
          <w:sz w:val="20"/>
          <w:szCs w:val="20"/>
          <w:color w:val="auto"/>
        </w:rPr>
      </w:pPr>
      <w:r>
        <w:rPr>
          <w:rFonts w:ascii="Times New Roman" w:cs="Times New Roman" w:eastAsia="Times New Roman" w:hAnsi="Times New Roman"/>
          <w:sz w:val="20"/>
          <w:szCs w:val="20"/>
          <w:color w:val="auto"/>
        </w:rPr>
        <w:t>Average EPS as Adjusted is defined as diluted earnings per share calculated in accordance with GAAP, adjusted for material, non-recurring events (such as impairment charges, one-time events, external acquisition costs, changes to accounting rules, etc.).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Average Cost to Serve Calculation</w:t>
      </w:r>
    </w:p>
    <w:p>
      <w:pPr>
        <w:spacing w:after="0" w:line="233" w:lineRule="exact"/>
        <w:rPr>
          <w:sz w:val="20"/>
          <w:szCs w:val="20"/>
          <w:color w:val="auto"/>
        </w:rPr>
      </w:pPr>
    </w:p>
    <w:p>
      <w:pPr>
        <w:ind w:firstLine="749"/>
        <w:spacing w:after="0" w:line="251" w:lineRule="auto"/>
        <w:rPr>
          <w:sz w:val="20"/>
          <w:szCs w:val="20"/>
          <w:color w:val="auto"/>
        </w:rPr>
      </w:pPr>
      <w:r>
        <w:rPr>
          <w:rFonts w:ascii="Times New Roman" w:cs="Times New Roman" w:eastAsia="Times New Roman" w:hAnsi="Times New Roman"/>
          <w:sz w:val="21"/>
          <w:szCs w:val="21"/>
          <w:color w:val="auto"/>
        </w:rPr>
        <w:t>Average Cost to Serve is defined as non-fuel operations and maintenance (O&amp;M) expense divided by gross margin calculated in accordance with GAAP, adjusted for material, non-recurring events that are approved by the Company’s Audit Committee (such as impairment charges, one-time tax events, changes to accounting rules, etc.). No adjustment shall be made to normalize the impact of extreme weather.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641985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6" w:right="4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80" w:right="400"/>
        <w:spacing w:after="0" w:line="272" w:lineRule="auto"/>
        <w:rPr>
          <w:sz w:val="20"/>
          <w:szCs w:val="20"/>
          <w:color w:val="auto"/>
        </w:rPr>
      </w:pPr>
      <w:r>
        <w:rPr>
          <w:rFonts w:ascii="Times New Roman" w:cs="Times New Roman" w:eastAsia="Times New Roman" w:hAnsi="Times New Roman"/>
          <w:sz w:val="21"/>
          <w:szCs w:val="21"/>
          <w:b w:val="1"/>
          <w:bCs w:val="1"/>
          <w:color w:val="auto"/>
        </w:rPr>
        <w:t>Companies Included in the Performance Peer Group for Relative TSR Performance Purposes, Excluding Black Hills Corporation</w:t>
      </w:r>
    </w:p>
    <w:p>
      <w:pPr>
        <w:spacing w:after="0" w:line="200" w:lineRule="exact"/>
        <w:rPr>
          <w:sz w:val="20"/>
          <w:szCs w:val="20"/>
          <w:color w:val="auto"/>
        </w:rPr>
      </w:pPr>
    </w:p>
    <w:p>
      <w:pPr>
        <w:spacing w:after="0" w:line="227"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color w:val="auto"/>
        </w:rPr>
        <w:t>The Performance Peer Group for Relative TSR performance purposes consist of all companies approved by the Compensation Committee of Black Hills Corporation on January 25, 2024. In the event a member of the Performance Peer Group is impacted by M&amp;A activity during the performance period, the member shall be removed from the Performance Peer Group upon announcement of the transaction. If the Performance Peer Group drops below 12 members, the Compensation Committee of Black Hills Corporation may in its sole discretion modify the Performance Peer Group.</w:t>
      </w:r>
    </w:p>
    <w:p>
      <w:pPr>
        <w:spacing w:after="0" w:line="210"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21"/>
          <w:szCs w:val="21"/>
          <w:color w:val="auto"/>
        </w:rPr>
        <w:t>Companies included in the Performance Peer Group for Relative TSR performance purposes at the beginning of the Performance Period, excluding Black Hills Corporation, are listed below:</w:t>
      </w:r>
    </w:p>
    <w:p>
      <w:pPr>
        <w:sectPr>
          <w:pgSz w:w="11900" w:h="16838" w:orient="portrait"/>
          <w:cols w:equalWidth="0" w:num="1">
            <w:col w:w="11140"/>
          </w:cols>
          <w:pgMar w:left="320" w:top="1404" w:right="439" w:bottom="1440" w:gutter="0" w:footer="0" w:header="0"/>
        </w:sectPr>
      </w:pPr>
    </w:p>
    <w:p>
      <w:pPr>
        <w:spacing w:after="0" w:line="196"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ALLETE, Inc.</w:t>
      </w:r>
    </w:p>
    <w:p>
      <w:pPr>
        <w:spacing w:after="0" w:line="2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Alliant Energy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Ameren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Atmos Energy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Avista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CMS Energy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Hawaiian Electric Industries, Inc.</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IDACORP, Inc.</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MGE Energy, Inc.</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New Jersey Resources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NiSource Inc.</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9"/>
          <w:szCs w:val="19"/>
          <w:color w:val="auto"/>
        </w:rPr>
        <w:t>Northwest Natural Holding Company</w:t>
      </w:r>
    </w:p>
    <w:p>
      <w:pPr>
        <w:spacing w:after="0" w:line="38"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NorthWestern Energy Group, Inc.</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OGE Energy Corp.</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ONE Gas, Incl</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Pinnacle West Capital Corporation</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Portland General Electric Company</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PNM Resources, Inc.</w:t>
      </w:r>
    </w:p>
    <w:p>
      <w:pPr>
        <w:spacing w:after="0" w:line="2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20"/>
          <w:szCs w:val="20"/>
          <w:color w:val="auto"/>
        </w:rPr>
        <w:t>Spire, Inc.</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CMS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MGEE</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NWN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NWE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PNM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SR</w:t>
      </w:r>
    </w:p>
    <w:p>
      <w:pPr>
        <w:spacing w:after="0" w:line="200" w:lineRule="exact"/>
        <w:rPr>
          <w:sz w:val="20"/>
          <w:szCs w:val="20"/>
          <w:color w:val="auto"/>
        </w:rPr>
      </w:pPr>
    </w:p>
    <w:p>
      <w:pPr>
        <w:sectPr>
          <w:pgSz w:w="11900" w:h="16838" w:orient="portrait"/>
          <w:cols w:equalWidth="0" w:num="2">
            <w:col w:w="6280" w:space="720"/>
            <w:col w:w="4140"/>
          </w:cols>
          <w:pgMar w:left="320" w:top="1404"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4" w:right="439" w:bottom="1440" w:gutter="0" w:footer="0" w:header="0"/>
          <w:type w:val="continuous"/>
        </w:sectPr>
      </w:pPr>
    </w:p>
    <w:bookmarkStart w:id="124" w:name="page125"/>
    <w:bookmarkEnd w:id="124"/>
    <w:p>
      <w:pPr>
        <w:ind w:left="338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482600</wp:posOffset>
            </wp:positionH>
            <wp:positionV relativeFrom="page">
              <wp:posOffset>637540</wp:posOffset>
            </wp:positionV>
            <wp:extent cx="6858000" cy="77978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28">
                      <a:extLst>
                        <a:ext uri="{28A0092B-C50C-407E-A947-70E740481C1C}"/>
                      </a:extLst>
                    </a:blip>
                    <a:srcRect/>
                    <a:stretch>
                      <a:fillRect/>
                    </a:stretch>
                  </pic:blipFill>
                  <pic:spPr bwMode="auto">
                    <a:xfrm>
                      <a:off x="0" y="0"/>
                      <a:ext cx="6858000" cy="779780"/>
                    </a:xfrm>
                    <a:prstGeom prst="rect">
                      <a:avLst/>
                    </a:prstGeom>
                    <a:noFill/>
                  </pic:spPr>
                </pic:pic>
              </a:graphicData>
            </a:graphic>
          </wp:anchor>
        </w:drawing>
        <w:t>BLACK HILLS CORPORATION COMPANY POLICY</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45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Affected Business Unit(s):</w:t>
            </w:r>
          </w:p>
        </w:tc>
        <w:tc>
          <w:tcPr>
            <w:tcW w:w="6720" w:type="dxa"/>
            <w:vAlign w:val="bottom"/>
            <w:tcBorders>
              <w:top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 xml:space="preserve">Originating Department(s): </w:t>
            </w:r>
            <w:r>
              <w:rPr>
                <w:rFonts w:ascii="Arial" w:cs="Arial" w:eastAsia="Arial" w:hAnsi="Arial"/>
                <w:sz w:val="22"/>
                <w:szCs w:val="22"/>
                <w:color w:val="auto"/>
              </w:rPr>
              <w:t>Governance</w:t>
            </w:r>
          </w:p>
        </w:tc>
      </w:tr>
      <w:tr>
        <w:trPr>
          <w:trHeight w:val="94"/>
        </w:trPr>
        <w:tc>
          <w:tcPr>
            <w:tcW w:w="4520" w:type="dxa"/>
            <w:vAlign w:val="bottom"/>
            <w:tcBorders>
              <w:right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5060" w:type="dxa"/>
            <w:vAlign w:val="bottom"/>
            <w:tcBorders>
              <w:bottom w:val="single" w:sz="8" w:color="auto"/>
            </w:tcBorders>
          </w:tcPr>
          <w:p>
            <w:pPr>
              <w:spacing w:after="0"/>
              <w:rPr>
                <w:sz w:val="8"/>
                <w:szCs w:val="8"/>
                <w:color w:val="auto"/>
              </w:rPr>
            </w:pPr>
          </w:p>
        </w:tc>
      </w:tr>
      <w:tr>
        <w:trPr>
          <w:trHeight w:val="345"/>
        </w:trPr>
        <w:tc>
          <w:tcPr>
            <w:tcW w:w="4520" w:type="dxa"/>
            <w:vAlign w:val="bottom"/>
            <w:tcBorders>
              <w:right w:val="single" w:sz="8" w:color="auto"/>
            </w:tcBorders>
          </w:tcPr>
          <w:p>
            <w:pPr>
              <w:ind w:left="2160"/>
              <w:spacing w:after="0"/>
              <w:rPr>
                <w:sz w:val="20"/>
                <w:szCs w:val="20"/>
                <w:color w:val="auto"/>
              </w:rPr>
            </w:pPr>
            <w:r>
              <w:rPr>
                <w:rFonts w:ascii="Arial" w:cs="Arial" w:eastAsia="Arial" w:hAnsi="Arial"/>
                <w:sz w:val="22"/>
                <w:szCs w:val="22"/>
                <w:color w:val="auto"/>
              </w:rPr>
              <w:t>All</w:t>
            </w:r>
          </w:p>
        </w:tc>
        <w:tc>
          <w:tcPr>
            <w:tcW w:w="1660" w:type="dxa"/>
            <w:vAlign w:val="bottom"/>
          </w:tcPr>
          <w:p>
            <w:pPr>
              <w:ind w:left="100"/>
              <w:spacing w:after="0"/>
              <w:rPr>
                <w:sz w:val="20"/>
                <w:szCs w:val="20"/>
                <w:color w:val="auto"/>
              </w:rPr>
            </w:pPr>
            <w:r>
              <w:rPr>
                <w:rFonts w:ascii="Arial" w:cs="Arial" w:eastAsia="Arial" w:hAnsi="Arial"/>
                <w:sz w:val="22"/>
                <w:szCs w:val="22"/>
                <w:b w:val="1"/>
                <w:bCs w:val="1"/>
                <w:color w:val="auto"/>
              </w:rPr>
              <w:t>Effective Date:</w:t>
            </w:r>
          </w:p>
        </w:tc>
        <w:tc>
          <w:tcPr>
            <w:tcW w:w="5060" w:type="dxa"/>
            <w:vAlign w:val="bottom"/>
          </w:tcPr>
          <w:p>
            <w:pPr>
              <w:ind w:left="60"/>
              <w:spacing w:after="0"/>
              <w:rPr>
                <w:sz w:val="20"/>
                <w:szCs w:val="20"/>
                <w:color w:val="auto"/>
              </w:rPr>
            </w:pPr>
            <w:r>
              <w:rPr>
                <w:rFonts w:ascii="Arial" w:cs="Arial" w:eastAsia="Arial" w:hAnsi="Arial"/>
                <w:sz w:val="22"/>
                <w:szCs w:val="22"/>
                <w:color w:val="auto"/>
              </w:rPr>
              <w:t>12-07-2011</w:t>
            </w:r>
          </w:p>
        </w:tc>
      </w:tr>
      <w:tr>
        <w:trPr>
          <w:trHeight w:val="40"/>
        </w:trPr>
        <w:tc>
          <w:tcPr>
            <w:tcW w:w="4520" w:type="dxa"/>
            <w:vAlign w:val="bottom"/>
            <w:tcBorders>
              <w:bottom w:val="single" w:sz="8" w:color="auto"/>
              <w:right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5060" w:type="dxa"/>
            <w:vAlign w:val="bottom"/>
            <w:tcBorders>
              <w:bottom w:val="single" w:sz="8" w:color="auto"/>
            </w:tcBorders>
          </w:tcPr>
          <w:p>
            <w:pPr>
              <w:spacing w:after="0"/>
              <w:rPr>
                <w:sz w:val="3"/>
                <w:szCs w:val="3"/>
                <w:color w:val="auto"/>
              </w:rPr>
            </w:pPr>
          </w:p>
        </w:tc>
      </w:tr>
      <w:tr>
        <w:trPr>
          <w:trHeight w:val="277"/>
        </w:trPr>
        <w:tc>
          <w:tcPr>
            <w:tcW w:w="45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22"/>
                <w:szCs w:val="22"/>
                <w:b w:val="1"/>
                <w:bCs w:val="1"/>
                <w:color w:val="auto"/>
              </w:rPr>
              <w:t xml:space="preserve">Policy No.: </w:t>
            </w:r>
            <w:r>
              <w:rPr>
                <w:rFonts w:ascii="Arial" w:cs="Arial" w:eastAsia="Arial" w:hAnsi="Arial"/>
                <w:sz w:val="22"/>
                <w:szCs w:val="22"/>
                <w:color w:val="auto"/>
              </w:rPr>
              <w:t>Corp-Governance-01</w:t>
            </w:r>
          </w:p>
        </w:tc>
        <w:tc>
          <w:tcPr>
            <w:tcW w:w="1660" w:type="dxa"/>
            <w:vAlign w:val="bottom"/>
            <w:tcBorders>
              <w:bottom w:val="single" w:sz="8" w:color="auto"/>
            </w:tcBorders>
          </w:tcPr>
          <w:p>
            <w:pPr>
              <w:ind w:left="100"/>
              <w:spacing w:after="0"/>
              <w:rPr>
                <w:sz w:val="20"/>
                <w:szCs w:val="20"/>
                <w:color w:val="auto"/>
              </w:rPr>
            </w:pPr>
            <w:r>
              <w:rPr>
                <w:rFonts w:ascii="Arial" w:cs="Arial" w:eastAsia="Arial" w:hAnsi="Arial"/>
                <w:sz w:val="22"/>
                <w:szCs w:val="22"/>
                <w:b w:val="1"/>
                <w:bCs w:val="1"/>
                <w:color w:val="auto"/>
              </w:rPr>
              <w:t>Revision Date:</w:t>
            </w:r>
          </w:p>
        </w:tc>
        <w:tc>
          <w:tcPr>
            <w:tcW w:w="5060" w:type="dxa"/>
            <w:vAlign w:val="bottom"/>
            <w:tcBorders>
              <w:bottom w:val="single" w:sz="8" w:color="auto"/>
            </w:tcBorders>
          </w:tcPr>
          <w:p>
            <w:pPr>
              <w:ind w:left="60"/>
              <w:spacing w:after="0"/>
              <w:rPr>
                <w:sz w:val="20"/>
                <w:szCs w:val="20"/>
                <w:color w:val="auto"/>
              </w:rPr>
            </w:pPr>
            <w:r>
              <w:rPr>
                <w:rFonts w:ascii="Arial" w:cs="Arial" w:eastAsia="Arial" w:hAnsi="Arial"/>
                <w:sz w:val="22"/>
                <w:szCs w:val="22"/>
                <w:color w:val="auto"/>
              </w:rPr>
              <w:t>08-17-2023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7200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29">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Insider Trading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760" w:hanging="752"/>
        <w:spacing w:after="0"/>
        <w:tabs>
          <w:tab w:leader="none" w:pos="7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100" w:lineRule="exact"/>
        <w:rPr>
          <w:rFonts w:ascii="Arial" w:cs="Arial" w:eastAsia="Arial" w:hAnsi="Arial"/>
          <w:sz w:val="22"/>
          <w:szCs w:val="22"/>
          <w:b w:val="1"/>
          <w:bCs w:val="1"/>
          <w:color w:val="auto"/>
        </w:rPr>
      </w:pPr>
    </w:p>
    <w:p>
      <w:pPr>
        <w:ind w:left="760" w:right="12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The purchase or sale of securities while possessing material nonpublic (“insider”) information or the selective disclosure of such information to others who may trade is prohibited by Federal and state laws. As an essential part of your work, you may have access to material nonpublic information about Black Hills Corporation or its subsidiaries (collectively, the “Company”) or about the Company’s business (including information about other companies with which the Company does or may do business).</w:t>
      </w:r>
    </w:p>
    <w:p>
      <w:pPr>
        <w:spacing w:after="0" w:line="203" w:lineRule="exact"/>
        <w:rPr>
          <w:rFonts w:ascii="Arial" w:cs="Arial" w:eastAsia="Arial" w:hAnsi="Arial"/>
          <w:sz w:val="22"/>
          <w:szCs w:val="22"/>
          <w:b w:val="1"/>
          <w:bCs w:val="1"/>
          <w:color w:val="auto"/>
        </w:rPr>
      </w:pPr>
    </w:p>
    <w:p>
      <w:pPr>
        <w:ind w:left="760" w:right="220"/>
        <w:spacing w:after="0"/>
        <w:rPr>
          <w:rFonts w:ascii="Arial" w:cs="Arial" w:eastAsia="Arial" w:hAnsi="Arial"/>
          <w:sz w:val="22"/>
          <w:szCs w:val="22"/>
          <w:b w:val="1"/>
          <w:bCs w:val="1"/>
          <w:color w:val="auto"/>
        </w:rPr>
      </w:pPr>
      <w:r>
        <w:rPr>
          <w:rFonts w:ascii="Arial" w:cs="Arial" w:eastAsia="Arial" w:hAnsi="Arial"/>
          <w:sz w:val="22"/>
          <w:szCs w:val="22"/>
          <w:color w:val="auto"/>
        </w:rPr>
        <w:t>The Company has adopted this Policy to avoid even the appearance of improper conduct on the part of any Company employee. The Company has earned a reputation for conducting business with integrity and ethical conduct. This Policy is designed to further the reputation of the Company and each employee for integrity and good corporate citizenship.</w:t>
      </w:r>
    </w:p>
    <w:p>
      <w:pPr>
        <w:spacing w:after="0" w:line="174" w:lineRule="exact"/>
        <w:rPr>
          <w:rFonts w:ascii="Arial" w:cs="Arial" w:eastAsia="Arial" w:hAnsi="Arial"/>
          <w:sz w:val="22"/>
          <w:szCs w:val="22"/>
          <w:b w:val="1"/>
          <w:bCs w:val="1"/>
          <w:color w:val="auto"/>
        </w:rPr>
      </w:pPr>
    </w:p>
    <w:p>
      <w:pPr>
        <w:ind w:left="760" w:hanging="752"/>
        <w:spacing w:after="0"/>
        <w:tabs>
          <w:tab w:leader="none" w:pos="76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color w:val="auto"/>
        </w:rPr>
        <w:t>SCOPE</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22"/>
          <w:szCs w:val="22"/>
          <w:color w:val="auto"/>
        </w:rPr>
        <w:t>This Policy applies to all directors, officers and employees of the Company.</w:t>
      </w:r>
    </w:p>
    <w:p>
      <w:pPr>
        <w:spacing w:after="0" w:line="204" w:lineRule="exact"/>
        <w:rPr>
          <w:sz w:val="20"/>
          <w:szCs w:val="20"/>
          <w:color w:val="auto"/>
        </w:rPr>
      </w:pPr>
    </w:p>
    <w:p>
      <w:pPr>
        <w:ind w:left="760" w:hanging="752"/>
        <w:spacing w:after="0"/>
        <w:tabs>
          <w:tab w:leader="none" w:pos="76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color w:val="auto"/>
        </w:rPr>
        <w:t>POLICY</w:t>
      </w:r>
    </w:p>
    <w:p>
      <w:pPr>
        <w:spacing w:after="0" w:line="100" w:lineRule="exact"/>
        <w:rPr>
          <w:rFonts w:ascii="Arial" w:cs="Arial" w:eastAsia="Arial" w:hAnsi="Arial"/>
          <w:sz w:val="22"/>
          <w:szCs w:val="22"/>
          <w:b w:val="1"/>
          <w:bCs w:val="1"/>
          <w:color w:val="auto"/>
        </w:rPr>
      </w:pPr>
    </w:p>
    <w:p>
      <w:pPr>
        <w:ind w:left="760" w:right="60"/>
        <w:spacing w:after="0" w:line="245" w:lineRule="auto"/>
        <w:rPr>
          <w:rFonts w:ascii="Arial" w:cs="Arial" w:eastAsia="Arial" w:hAnsi="Arial"/>
          <w:sz w:val="22"/>
          <w:szCs w:val="22"/>
          <w:b w:val="1"/>
          <w:bCs w:val="1"/>
          <w:color w:val="auto"/>
        </w:rPr>
      </w:pPr>
      <w:r>
        <w:rPr>
          <w:rFonts w:ascii="Arial" w:cs="Arial" w:eastAsia="Arial" w:hAnsi="Arial"/>
          <w:sz w:val="22"/>
          <w:szCs w:val="22"/>
          <w:color w:val="auto"/>
        </w:rPr>
        <w:t>No director, officer or employee who has material nonpublic information relating to the Company nor any related or other person living in that person’s household may buy or sell securities of the Company or engage in any other action to take advantage of, or pass on to others, that information.</w:t>
      </w:r>
    </w:p>
    <w:p>
      <w:pPr>
        <w:spacing w:after="0" w:line="197" w:lineRule="exact"/>
        <w:rPr>
          <w:rFonts w:ascii="Arial" w:cs="Arial" w:eastAsia="Arial" w:hAnsi="Arial"/>
          <w:sz w:val="22"/>
          <w:szCs w:val="22"/>
          <w:b w:val="1"/>
          <w:bCs w:val="1"/>
          <w:color w:val="auto"/>
        </w:rPr>
      </w:pPr>
    </w:p>
    <w:p>
      <w:pPr>
        <w:ind w:left="760" w:right="4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This Policy applies to all transactions in the Company’s securities, including purchases and sales, as well as gifts of the Company’s securities, provided that this Policy shall not apply to bona fide gifts of the Company’s securities to persons subject to all the restrictions of this Policy (such as family members living in the person’s household) or others, unless the individual making the gift knows or is reckless in not knowing that the recipient intends to sell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25" w:name="page126"/>
    <w:bookmarkEnd w:id="125"/>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2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while the donor is in possession of material, non-public information about the Company.</w:t>
      </w:r>
    </w:p>
    <w:p>
      <w:pPr>
        <w:spacing w:after="0" w:line="233" w:lineRule="exact"/>
        <w:rPr>
          <w:sz w:val="20"/>
          <w:szCs w:val="20"/>
          <w:color w:val="auto"/>
        </w:rPr>
      </w:pPr>
    </w:p>
    <w:p>
      <w:pPr>
        <w:ind w:left="760" w:right="320"/>
        <w:spacing w:after="0" w:line="236" w:lineRule="auto"/>
        <w:rPr>
          <w:sz w:val="20"/>
          <w:szCs w:val="20"/>
          <w:color w:val="auto"/>
        </w:rPr>
      </w:pPr>
      <w:r>
        <w:rPr>
          <w:rFonts w:ascii="Arial" w:cs="Arial" w:eastAsia="Arial" w:hAnsi="Arial"/>
          <w:sz w:val="22"/>
          <w:szCs w:val="22"/>
          <w:color w:val="auto"/>
        </w:rPr>
        <w:t>This Policy also applies to the securities of any other company with respect to information relating to that company obtained in the course of employment with Black Hills Corporation or any of its subsidiaries. A director, officer or employee who learns of material, nonpublic information about a company with whom the Company does or may do business (including customers, suppliers or potential acquisition or strategic partners), as well as any competitor of the Company, should not trade in that company’s securities until the information becomes public.</w:t>
      </w:r>
    </w:p>
    <w:p>
      <w:pPr>
        <w:spacing w:after="0" w:line="209" w:lineRule="exact"/>
        <w:rPr>
          <w:sz w:val="20"/>
          <w:szCs w:val="20"/>
          <w:color w:val="auto"/>
        </w:rPr>
      </w:pPr>
    </w:p>
    <w:p>
      <w:pPr>
        <w:ind w:left="760" w:right="160"/>
        <w:spacing w:after="0"/>
        <w:rPr>
          <w:sz w:val="20"/>
          <w:szCs w:val="20"/>
          <w:color w:val="auto"/>
        </w:rPr>
      </w:pPr>
      <w:r>
        <w:rPr>
          <w:rFonts w:ascii="Arial" w:cs="Arial" w:eastAsia="Arial" w:hAnsi="Arial"/>
          <w:sz w:val="22"/>
          <w:szCs w:val="22"/>
          <w:color w:val="auto"/>
        </w:rPr>
        <w:t>Transactions that may be necessary or justifiable for independent reasons (such as the need to raise money for an emergency expenditure) are no exception. The securities laws do not recognize such mitigating circumstances and even the appearance of an improper transaction must be avoided to preserve the Company’s reputation for adhering to the highest standards of conduct.</w:t>
      </w:r>
    </w:p>
    <w:p>
      <w:pPr>
        <w:spacing w:after="0" w:line="174" w:lineRule="exact"/>
        <w:rPr>
          <w:sz w:val="20"/>
          <w:szCs w:val="20"/>
          <w:color w:val="auto"/>
        </w:rPr>
      </w:pPr>
    </w:p>
    <w:p>
      <w:pPr>
        <w:ind w:left="760" w:hanging="752"/>
        <w:spacing w:after="0"/>
        <w:tabs>
          <w:tab w:leader="none" w:pos="760"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 OF MATERIAL NONPUBLIC INFORMATION</w:t>
      </w:r>
    </w:p>
    <w:p>
      <w:pPr>
        <w:spacing w:after="0" w:line="20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4.1</w:t>
      </w:r>
      <w:r>
        <w:rPr>
          <w:sz w:val="20"/>
          <w:szCs w:val="20"/>
          <w:color w:val="auto"/>
        </w:rPr>
        <w:tab/>
      </w:r>
      <w:r>
        <w:rPr>
          <w:rFonts w:ascii="Arial" w:cs="Arial" w:eastAsia="Arial" w:hAnsi="Arial"/>
          <w:sz w:val="21"/>
          <w:szCs w:val="21"/>
          <w:b w:val="1"/>
          <w:bCs w:val="1"/>
          <w:color w:val="auto"/>
        </w:rPr>
        <w:t>“Material” Information</w:t>
      </w:r>
    </w:p>
    <w:p>
      <w:pPr>
        <w:spacing w:after="0" w:line="100" w:lineRule="exact"/>
        <w:rPr>
          <w:sz w:val="20"/>
          <w:szCs w:val="20"/>
          <w:color w:val="auto"/>
        </w:rPr>
      </w:pPr>
    </w:p>
    <w:p>
      <w:pPr>
        <w:ind w:left="1500" w:right="320" w:hanging="214"/>
        <w:spacing w:after="0"/>
        <w:rPr>
          <w:sz w:val="20"/>
          <w:szCs w:val="20"/>
          <w:color w:val="auto"/>
        </w:rPr>
      </w:pPr>
      <w:r>
        <w:rPr>
          <w:rFonts w:ascii="Arial" w:cs="Arial" w:eastAsia="Arial" w:hAnsi="Arial"/>
          <w:sz w:val="22"/>
          <w:szCs w:val="22"/>
          <w:color w:val="auto"/>
        </w:rPr>
        <w:t>Any information that a reasonable investor would consider important in a decision to buy, hold or sell securities. Either positive or negative information may be material. In short, any information which could reasonably be expected to affect trading in the Company’s stock or other securities is considered material.</w:t>
      </w:r>
    </w:p>
    <w:p>
      <w:pPr>
        <w:spacing w:after="0" w:line="20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Common examples of information that will frequently be regarded as material are:</w:t>
      </w:r>
    </w:p>
    <w:p>
      <w:pPr>
        <w:spacing w:after="0" w:line="204" w:lineRule="exact"/>
        <w:rPr>
          <w:sz w:val="20"/>
          <w:szCs w:val="20"/>
          <w:color w:val="auto"/>
        </w:rPr>
      </w:pPr>
    </w:p>
    <w:p>
      <w:pPr>
        <w:ind w:left="1500"/>
        <w:spacing w:after="0"/>
        <w:tabs>
          <w:tab w:leader="none" w:pos="2300" w:val="left"/>
        </w:tabs>
        <w:rPr>
          <w:sz w:val="20"/>
          <w:szCs w:val="20"/>
          <w:color w:val="auto"/>
        </w:rPr>
      </w:pPr>
      <w:r>
        <w:rPr>
          <w:rFonts w:ascii="Arial" w:cs="Arial" w:eastAsia="Arial" w:hAnsi="Arial"/>
          <w:sz w:val="22"/>
          <w:szCs w:val="22"/>
          <w:b w:val="1"/>
          <w:bCs w:val="1"/>
          <w:color w:val="auto"/>
        </w:rPr>
        <w:t>4.1.1</w:t>
      </w:r>
      <w:r>
        <w:rPr>
          <w:sz w:val="20"/>
          <w:szCs w:val="20"/>
          <w:color w:val="auto"/>
        </w:rPr>
        <w:tab/>
      </w:r>
      <w:r>
        <w:rPr>
          <w:rFonts w:ascii="Arial" w:cs="Arial" w:eastAsia="Arial" w:hAnsi="Arial"/>
          <w:sz w:val="21"/>
          <w:szCs w:val="21"/>
          <w:color w:val="auto"/>
        </w:rPr>
        <w:t>Financial performance, earnings information and quarterly results;</w:t>
      </w:r>
    </w:p>
    <w:p>
      <w:pPr>
        <w:spacing w:after="0" w:line="20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4.1.2</w:t>
      </w:r>
      <w:r>
        <w:rPr>
          <w:sz w:val="20"/>
          <w:szCs w:val="20"/>
          <w:color w:val="auto"/>
        </w:rPr>
        <w:tab/>
      </w:r>
      <w:r>
        <w:rPr>
          <w:rFonts w:ascii="Arial" w:cs="Arial" w:eastAsia="Arial" w:hAnsi="Arial"/>
          <w:sz w:val="21"/>
          <w:szCs w:val="21"/>
          <w:color w:val="auto"/>
        </w:rPr>
        <w:t>Guidance on earnings estimates;</w:t>
      </w:r>
    </w:p>
    <w:p>
      <w:pPr>
        <w:spacing w:after="0" w:line="20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4.1.3</w:t>
      </w:r>
      <w:r>
        <w:rPr>
          <w:sz w:val="20"/>
          <w:szCs w:val="20"/>
          <w:color w:val="auto"/>
        </w:rPr>
        <w:tab/>
      </w:r>
      <w:r>
        <w:rPr>
          <w:rFonts w:ascii="Arial" w:cs="Arial" w:eastAsia="Arial" w:hAnsi="Arial"/>
          <w:sz w:val="21"/>
          <w:szCs w:val="21"/>
          <w:color w:val="auto"/>
        </w:rPr>
        <w:t>Mergers and acquisitions or the sale of significant assets;</w:t>
      </w:r>
    </w:p>
    <w:p>
      <w:pPr>
        <w:spacing w:after="0" w:line="20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4.1.4</w:t>
      </w:r>
      <w:r>
        <w:rPr>
          <w:sz w:val="20"/>
          <w:szCs w:val="20"/>
          <w:color w:val="auto"/>
        </w:rPr>
        <w:tab/>
      </w:r>
      <w:r>
        <w:rPr>
          <w:rFonts w:ascii="Arial" w:cs="Arial" w:eastAsia="Arial" w:hAnsi="Arial"/>
          <w:sz w:val="21"/>
          <w:szCs w:val="21"/>
          <w:color w:val="auto"/>
        </w:rPr>
        <w:t>Significant accounting matters, including the impairment or changes in asset values;</w:t>
      </w:r>
    </w:p>
    <w:p>
      <w:pPr>
        <w:spacing w:after="0" w:line="206" w:lineRule="exact"/>
        <w:rPr>
          <w:sz w:val="20"/>
          <w:szCs w:val="20"/>
          <w:color w:val="auto"/>
        </w:rPr>
      </w:pPr>
    </w:p>
    <w:p>
      <w:pPr>
        <w:ind w:left="2260" w:right="700" w:hanging="748"/>
        <w:spacing w:after="0" w:line="259" w:lineRule="auto"/>
        <w:tabs>
          <w:tab w:leader="none" w:pos="2240" w:val="left"/>
        </w:tabs>
        <w:rPr>
          <w:sz w:val="20"/>
          <w:szCs w:val="20"/>
          <w:color w:val="auto"/>
        </w:rPr>
      </w:pPr>
      <w:r>
        <w:rPr>
          <w:rFonts w:ascii="Arial" w:cs="Arial" w:eastAsia="Arial" w:hAnsi="Arial"/>
          <w:sz w:val="22"/>
          <w:szCs w:val="22"/>
          <w:b w:val="1"/>
          <w:bCs w:val="1"/>
          <w:color w:val="auto"/>
        </w:rPr>
        <w:t>4.1.5</w:t>
      </w:r>
      <w:r>
        <w:rPr>
          <w:sz w:val="20"/>
          <w:szCs w:val="20"/>
          <w:color w:val="auto"/>
        </w:rPr>
        <w:tab/>
      </w:r>
      <w:r>
        <w:rPr>
          <w:rFonts w:ascii="Arial" w:cs="Arial" w:eastAsia="Arial" w:hAnsi="Arial"/>
          <w:sz w:val="22"/>
          <w:szCs w:val="22"/>
          <w:color w:val="auto"/>
        </w:rPr>
        <w:t>New products, contracts with suppliers, or developments regarding major customers or suppliers (e.g., the acquisition or loss of a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6" w:name="page127"/>
    <w:bookmarkEnd w:id="126"/>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3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00" w:lineRule="exact"/>
        <w:rPr>
          <w:sz w:val="20"/>
          <w:szCs w:val="20"/>
          <w:color w:val="auto"/>
        </w:rPr>
      </w:pPr>
    </w:p>
    <w:p>
      <w:pPr>
        <w:spacing w:after="0" w:line="227" w:lineRule="exact"/>
        <w:rPr>
          <w:sz w:val="20"/>
          <w:szCs w:val="20"/>
          <w:color w:val="auto"/>
        </w:rPr>
      </w:pPr>
    </w:p>
    <w:p>
      <w:pPr>
        <w:ind w:left="2260" w:hanging="748"/>
        <w:spacing w:after="0" w:line="259" w:lineRule="auto"/>
        <w:tabs>
          <w:tab w:leader="none" w:pos="2240" w:val="left"/>
        </w:tabs>
        <w:rPr>
          <w:sz w:val="20"/>
          <w:szCs w:val="20"/>
          <w:color w:val="auto"/>
        </w:rPr>
      </w:pPr>
      <w:r>
        <w:rPr>
          <w:rFonts w:ascii="Arial" w:cs="Arial" w:eastAsia="Arial" w:hAnsi="Arial"/>
          <w:sz w:val="22"/>
          <w:szCs w:val="22"/>
          <w:b w:val="1"/>
          <w:bCs w:val="1"/>
          <w:color w:val="auto"/>
        </w:rPr>
        <w:t>4.1.6</w:t>
      </w:r>
      <w:r>
        <w:rPr>
          <w:sz w:val="20"/>
          <w:szCs w:val="20"/>
          <w:color w:val="auto"/>
        </w:rPr>
        <w:tab/>
      </w:r>
      <w:r>
        <w:rPr>
          <w:rFonts w:ascii="Arial" w:cs="Arial" w:eastAsia="Arial" w:hAnsi="Arial"/>
          <w:sz w:val="22"/>
          <w:szCs w:val="22"/>
          <w:color w:val="auto"/>
        </w:rPr>
        <w:t>Changes in auditors or a determination that the Company’s financial statements can no longer be relied upon;</w:t>
      </w:r>
    </w:p>
    <w:p>
      <w:pPr>
        <w:spacing w:after="0" w:line="156" w:lineRule="exact"/>
        <w:rPr>
          <w:sz w:val="20"/>
          <w:szCs w:val="20"/>
          <w:color w:val="auto"/>
        </w:rPr>
      </w:pPr>
    </w:p>
    <w:p>
      <w:pPr>
        <w:jc w:val="center"/>
        <w:ind w:left="1420"/>
        <w:spacing w:after="0"/>
        <w:tabs>
          <w:tab w:leader="none" w:pos="260" w:val="left"/>
        </w:tabs>
        <w:rPr>
          <w:sz w:val="20"/>
          <w:szCs w:val="20"/>
          <w:color w:val="auto"/>
        </w:rPr>
      </w:pPr>
      <w:r>
        <w:rPr>
          <w:rFonts w:ascii="Arial" w:cs="Arial" w:eastAsia="Arial" w:hAnsi="Arial"/>
          <w:sz w:val="22"/>
          <w:szCs w:val="22"/>
          <w:b w:val="1"/>
          <w:bCs w:val="1"/>
          <w:color w:val="auto"/>
        </w:rPr>
        <w:t>4.1.7</w:t>
      </w:r>
      <w:r>
        <w:rPr>
          <w:sz w:val="20"/>
          <w:szCs w:val="20"/>
          <w:color w:val="auto"/>
        </w:rPr>
        <w:tab/>
      </w:r>
      <w:r>
        <w:rPr>
          <w:rFonts w:ascii="Arial" w:cs="Arial" w:eastAsia="Arial" w:hAnsi="Arial"/>
          <w:sz w:val="21"/>
          <w:szCs w:val="21"/>
          <w:color w:val="auto"/>
        </w:rPr>
        <w:t>Events regarding the Company’s securities (e.g., defaults on senior securities, change in debt</w:t>
      </w:r>
    </w:p>
    <w:p>
      <w:pPr>
        <w:spacing w:after="0" w:line="12" w:lineRule="exact"/>
        <w:rPr>
          <w:sz w:val="20"/>
          <w:szCs w:val="20"/>
          <w:color w:val="auto"/>
        </w:rPr>
      </w:pPr>
    </w:p>
    <w:p>
      <w:pPr>
        <w:jc w:val="both"/>
        <w:ind w:left="2260" w:right="760"/>
        <w:spacing w:after="0" w:line="237" w:lineRule="auto"/>
        <w:rPr>
          <w:sz w:val="20"/>
          <w:szCs w:val="20"/>
          <w:color w:val="auto"/>
        </w:rPr>
      </w:pPr>
      <w:r>
        <w:rPr>
          <w:rFonts w:ascii="Arial" w:cs="Arial" w:eastAsia="Arial" w:hAnsi="Arial"/>
          <w:sz w:val="22"/>
          <w:szCs w:val="22"/>
          <w:color w:val="auto"/>
        </w:rPr>
        <w:t>ratings, calls of securities for redemption, repurchase plans, stock splits or changes in dividends, changes to the rights of securityholders, public or private sales of additional securities or information related to any additional funding);</w:t>
      </w:r>
    </w:p>
    <w:p>
      <w:pPr>
        <w:spacing w:after="0" w:line="174"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4.1.8</w:t>
      </w:r>
      <w:r>
        <w:rPr>
          <w:sz w:val="20"/>
          <w:szCs w:val="20"/>
          <w:color w:val="auto"/>
        </w:rPr>
        <w:tab/>
      </w:r>
      <w:r>
        <w:rPr>
          <w:rFonts w:ascii="Arial" w:cs="Arial" w:eastAsia="Arial" w:hAnsi="Arial"/>
          <w:sz w:val="21"/>
          <w:szCs w:val="21"/>
          <w:color w:val="auto"/>
        </w:rPr>
        <w:t>Significant changes in senior management or the board of directors;</w:t>
      </w:r>
    </w:p>
    <w:p>
      <w:pPr>
        <w:spacing w:after="0" w:line="20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4.1.9</w:t>
      </w:r>
      <w:r>
        <w:rPr>
          <w:sz w:val="20"/>
          <w:szCs w:val="20"/>
          <w:color w:val="auto"/>
        </w:rPr>
        <w:tab/>
      </w:r>
      <w:r>
        <w:rPr>
          <w:rFonts w:ascii="Arial" w:cs="Arial" w:eastAsia="Arial" w:hAnsi="Arial"/>
          <w:sz w:val="21"/>
          <w:szCs w:val="21"/>
          <w:color w:val="auto"/>
        </w:rPr>
        <w:t>Significant changes in operations;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4.1.10  </w:t>
      </w:r>
      <w:r>
        <w:rPr>
          <w:rFonts w:ascii="Arial" w:cs="Arial" w:eastAsia="Arial" w:hAnsi="Arial"/>
          <w:sz w:val="22"/>
          <w:szCs w:val="22"/>
          <w:color w:val="auto"/>
        </w:rPr>
        <w:t>Significant litigation or government investigations;</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b w:val="1"/>
          <w:bCs w:val="1"/>
          <w:color w:val="auto"/>
        </w:rPr>
        <w:t xml:space="preserve">4.1.11  </w:t>
      </w:r>
      <w:r>
        <w:rPr>
          <w:rFonts w:ascii="Arial" w:cs="Arial" w:eastAsia="Arial" w:hAnsi="Arial"/>
          <w:sz w:val="22"/>
          <w:szCs w:val="22"/>
          <w:color w:val="auto"/>
        </w:rPr>
        <w:t>Bankruptcies, receiverships or financial liquidity problems; and</w:t>
      </w:r>
    </w:p>
    <w:p>
      <w:pPr>
        <w:spacing w:after="0" w:line="206" w:lineRule="exact"/>
        <w:rPr>
          <w:sz w:val="20"/>
          <w:szCs w:val="20"/>
          <w:color w:val="auto"/>
        </w:rPr>
      </w:pPr>
    </w:p>
    <w:p>
      <w:pPr>
        <w:ind w:left="2260" w:right="700" w:hanging="748"/>
        <w:spacing w:after="0" w:line="261" w:lineRule="auto"/>
        <w:rPr>
          <w:sz w:val="20"/>
          <w:szCs w:val="20"/>
          <w:color w:val="auto"/>
        </w:rPr>
      </w:pPr>
      <w:r>
        <w:rPr>
          <w:rFonts w:ascii="Arial" w:cs="Arial" w:eastAsia="Arial" w:hAnsi="Arial"/>
          <w:sz w:val="22"/>
          <w:szCs w:val="22"/>
          <w:b w:val="1"/>
          <w:bCs w:val="1"/>
          <w:color w:val="auto"/>
        </w:rPr>
        <w:t xml:space="preserve">4.1.12 </w:t>
      </w:r>
      <w:r>
        <w:rPr>
          <w:rFonts w:ascii="Arial" w:cs="Arial" w:eastAsia="Arial" w:hAnsi="Arial"/>
          <w:sz w:val="22"/>
          <w:szCs w:val="22"/>
          <w:color w:val="auto"/>
        </w:rPr>
        <w:t>Regulatory approvals or changes in regulations and any analysis of how they affect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w:t>
      </w:r>
    </w:p>
    <w:p>
      <w:pPr>
        <w:spacing w:after="0" w:line="46" w:lineRule="exact"/>
        <w:rPr>
          <w:sz w:val="20"/>
          <w:szCs w:val="20"/>
          <w:color w:val="auto"/>
        </w:rPr>
      </w:pPr>
    </w:p>
    <w:p>
      <w:pPr>
        <w:ind w:left="1500" w:right="100"/>
        <w:spacing w:after="0" w:line="245" w:lineRule="auto"/>
        <w:rPr>
          <w:sz w:val="20"/>
          <w:szCs w:val="20"/>
          <w:color w:val="auto"/>
        </w:rPr>
      </w:pPr>
      <w:r>
        <w:rPr>
          <w:rFonts w:ascii="Arial" w:cs="Arial" w:eastAsia="Arial" w:hAnsi="Arial"/>
          <w:sz w:val="22"/>
          <w:szCs w:val="22"/>
          <w:color w:val="auto"/>
        </w:rPr>
        <w:t>The above list is only illustrative; many other types of information may be considered “material,” depending on the circumstances. The materiality of particular information is subject to reassessment on a regular basis.</w:t>
      </w:r>
    </w:p>
    <w:p>
      <w:pPr>
        <w:spacing w:after="0" w:line="16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1"/>
          <w:szCs w:val="21"/>
          <w:b w:val="1"/>
          <w:bCs w:val="1"/>
          <w:color w:val="auto"/>
        </w:rPr>
        <w:t>“Nonpublic” Information</w:t>
      </w:r>
    </w:p>
    <w:p>
      <w:pPr>
        <w:spacing w:after="0" w:line="100" w:lineRule="exact"/>
        <w:rPr>
          <w:sz w:val="20"/>
          <w:szCs w:val="20"/>
          <w:color w:val="auto"/>
        </w:rPr>
      </w:pPr>
    </w:p>
    <w:p>
      <w:pPr>
        <w:ind w:left="1500" w:right="60"/>
        <w:spacing w:after="0" w:line="235" w:lineRule="auto"/>
        <w:rPr>
          <w:sz w:val="20"/>
          <w:szCs w:val="20"/>
          <w:color w:val="auto"/>
        </w:rPr>
      </w:pPr>
      <w:r>
        <w:rPr>
          <w:rFonts w:ascii="Arial" w:cs="Arial" w:eastAsia="Arial" w:hAnsi="Arial"/>
          <w:sz w:val="22"/>
          <w:szCs w:val="22"/>
          <w:color w:val="auto"/>
        </w:rPr>
        <w:t xml:space="preserve">Any information which has not been disclosed generally to the marketplace. Information about the Company that is not yet in general circulation should be considered nonpublic. Similarly, information received about another company in circumstances indicating that it is not yet in general circulation should be considered nonpublic. All information that you learn about the Company or its business plans in connection with your employment is potentially “insider” information until publicly disclosed or made available to the public by the Company. You should treat all such information as confidential and proprietary to the Company. You may not disclose it to others, such as family, relatives, business or social acquaintances, who do not need to know it for legitimate business reasons. </w:t>
      </w:r>
      <w:r>
        <w:rPr>
          <w:rFonts w:ascii="Arial" w:cs="Arial" w:eastAsia="Arial" w:hAnsi="Arial"/>
          <w:sz w:val="22"/>
          <w:szCs w:val="22"/>
          <w:b w:val="1"/>
          <w:bCs w:val="1"/>
          <w:color w:val="auto"/>
        </w:rPr>
        <w:t>If this</w:t>
      </w:r>
      <w:r>
        <w:rPr>
          <w:rFonts w:ascii="Arial" w:cs="Arial" w:eastAsia="Arial" w:hAnsi="Arial"/>
          <w:sz w:val="22"/>
          <w:szCs w:val="22"/>
          <w:color w:val="auto"/>
        </w:rPr>
        <w:t xml:space="preserve"> </w:t>
      </w:r>
      <w:r>
        <w:rPr>
          <w:rFonts w:ascii="Arial" w:cs="Arial" w:eastAsia="Arial" w:hAnsi="Arial"/>
          <w:sz w:val="22"/>
          <w:szCs w:val="22"/>
          <w:b w:val="1"/>
          <w:bCs w:val="1"/>
          <w:color w:val="auto"/>
        </w:rPr>
        <w:t>nonpublic information is also “material”, you are required by law and the Company policy to refrain from trading in Company securities and from passing the information on to others who may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862965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7" w:name="page128"/>
    <w:bookmarkEnd w:id="127"/>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4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00" w:lineRule="exact"/>
        <w:rPr>
          <w:sz w:val="20"/>
          <w:szCs w:val="20"/>
          <w:color w:val="auto"/>
        </w:rPr>
      </w:pPr>
    </w:p>
    <w:p>
      <w:pPr>
        <w:spacing w:after="0" w:line="227" w:lineRule="exact"/>
        <w:rPr>
          <w:sz w:val="20"/>
          <w:szCs w:val="20"/>
          <w:color w:val="auto"/>
        </w:rPr>
      </w:pPr>
    </w:p>
    <w:p>
      <w:pPr>
        <w:ind w:left="760" w:hanging="752"/>
        <w:spacing w:after="0"/>
        <w:tabs>
          <w:tab w:leader="none" w:pos="760" w:val="left"/>
        </w:tabs>
        <w:numPr>
          <w:ilvl w:val="0"/>
          <w:numId w:val="93"/>
        </w:numPr>
        <w:rPr>
          <w:rFonts w:ascii="Arial" w:cs="Arial" w:eastAsia="Arial" w:hAnsi="Arial"/>
          <w:sz w:val="22"/>
          <w:szCs w:val="22"/>
          <w:b w:val="1"/>
          <w:bCs w:val="1"/>
          <w:color w:val="auto"/>
        </w:rPr>
      </w:pPr>
      <w:r>
        <w:rPr>
          <w:rFonts w:ascii="Arial" w:cs="Arial" w:eastAsia="Arial" w:hAnsi="Arial"/>
          <w:sz w:val="22"/>
          <w:szCs w:val="22"/>
          <w:b w:val="1"/>
          <w:bCs w:val="1"/>
          <w:color w:val="auto"/>
        </w:rPr>
        <w:t>MATERIAL NONPUBLIC INFORMATION</w:t>
      </w:r>
    </w:p>
    <w:p>
      <w:pPr>
        <w:spacing w:after="0" w:line="20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5.1</w:t>
      </w:r>
      <w:r>
        <w:rPr>
          <w:sz w:val="20"/>
          <w:szCs w:val="20"/>
          <w:color w:val="auto"/>
        </w:rPr>
        <w:tab/>
      </w:r>
      <w:r>
        <w:rPr>
          <w:rFonts w:ascii="Arial" w:cs="Arial" w:eastAsia="Arial" w:hAnsi="Arial"/>
          <w:sz w:val="21"/>
          <w:szCs w:val="21"/>
          <w:b w:val="1"/>
          <w:bCs w:val="1"/>
          <w:color w:val="auto"/>
        </w:rPr>
        <w:t>Prohibited Transactions</w:t>
      </w:r>
    </w:p>
    <w:p>
      <w:pPr>
        <w:spacing w:after="0" w:line="100" w:lineRule="exact"/>
        <w:rPr>
          <w:sz w:val="20"/>
          <w:szCs w:val="20"/>
          <w:color w:val="auto"/>
        </w:rPr>
      </w:pPr>
    </w:p>
    <w:p>
      <w:pPr>
        <w:ind w:left="1500" w:right="40"/>
        <w:spacing w:after="0" w:line="283" w:lineRule="auto"/>
        <w:rPr>
          <w:sz w:val="20"/>
          <w:szCs w:val="20"/>
          <w:color w:val="auto"/>
        </w:rPr>
      </w:pPr>
      <w:r>
        <w:rPr>
          <w:rFonts w:ascii="Arial" w:cs="Arial" w:eastAsia="Arial" w:hAnsi="Arial"/>
          <w:sz w:val="21"/>
          <w:szCs w:val="21"/>
          <w:color w:val="auto"/>
        </w:rPr>
        <w:t>When you know of material, nonpublic information about the Company, you, your spouse and members of your immediate family living in your household are prohibited from the following activities:</w:t>
      </w:r>
    </w:p>
    <w:p>
      <w:pPr>
        <w:spacing w:after="0" w:line="131" w:lineRule="exact"/>
        <w:rPr>
          <w:sz w:val="20"/>
          <w:szCs w:val="20"/>
          <w:color w:val="auto"/>
        </w:rPr>
      </w:pPr>
    </w:p>
    <w:p>
      <w:pPr>
        <w:ind w:left="2260" w:right="140" w:hanging="748"/>
        <w:spacing w:after="0" w:line="259" w:lineRule="auto"/>
        <w:tabs>
          <w:tab w:leader="none" w:pos="2240" w:val="left"/>
        </w:tabs>
        <w:rPr>
          <w:sz w:val="20"/>
          <w:szCs w:val="20"/>
          <w:color w:val="auto"/>
        </w:rPr>
      </w:pPr>
      <w:r>
        <w:rPr>
          <w:rFonts w:ascii="Arial" w:cs="Arial" w:eastAsia="Arial" w:hAnsi="Arial"/>
          <w:sz w:val="22"/>
          <w:szCs w:val="22"/>
          <w:b w:val="1"/>
          <w:bCs w:val="1"/>
          <w:color w:val="auto"/>
        </w:rPr>
        <w:t>5.1.1</w:t>
      </w:r>
      <w:r>
        <w:rPr>
          <w:sz w:val="20"/>
          <w:szCs w:val="20"/>
          <w:color w:val="auto"/>
        </w:rPr>
        <w:tab/>
      </w:r>
      <w:r>
        <w:rPr>
          <w:rFonts w:ascii="Arial" w:cs="Arial" w:eastAsia="Arial" w:hAnsi="Arial"/>
          <w:sz w:val="22"/>
          <w:szCs w:val="22"/>
          <w:color w:val="auto"/>
        </w:rPr>
        <w:t>Trading in Black Hills Corporation securities (including trading in puts and calls for Black Hills Corporation’s securities);</w:t>
      </w:r>
    </w:p>
    <w:p>
      <w:pPr>
        <w:spacing w:after="0" w:line="15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5.1.2</w:t>
      </w:r>
      <w:r>
        <w:rPr>
          <w:sz w:val="20"/>
          <w:szCs w:val="20"/>
          <w:color w:val="auto"/>
        </w:rPr>
        <w:tab/>
      </w:r>
      <w:r>
        <w:rPr>
          <w:rFonts w:ascii="Arial" w:cs="Arial" w:eastAsia="Arial" w:hAnsi="Arial"/>
          <w:sz w:val="21"/>
          <w:szCs w:val="21"/>
          <w:color w:val="auto"/>
        </w:rPr>
        <w:t>Having others trade for you in Black Hills Corporation securities; and</w:t>
      </w:r>
    </w:p>
    <w:p>
      <w:pPr>
        <w:spacing w:after="0" w:line="206"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5.1.3</w:t>
      </w:r>
      <w:r>
        <w:rPr>
          <w:sz w:val="20"/>
          <w:szCs w:val="20"/>
          <w:color w:val="auto"/>
        </w:rPr>
        <w:tab/>
      </w:r>
      <w:r>
        <w:rPr>
          <w:rFonts w:ascii="Arial" w:cs="Arial" w:eastAsia="Arial" w:hAnsi="Arial"/>
          <w:sz w:val="21"/>
          <w:szCs w:val="21"/>
          <w:color w:val="auto"/>
        </w:rPr>
        <w:t>Disclosing the information to anyone else who might then trade.</w:t>
      </w:r>
    </w:p>
    <w:p>
      <w:pPr>
        <w:spacing w:after="0" w:line="100" w:lineRule="exact"/>
        <w:rPr>
          <w:sz w:val="20"/>
          <w:szCs w:val="20"/>
          <w:color w:val="auto"/>
        </w:rPr>
      </w:pPr>
    </w:p>
    <w:p>
      <w:pPr>
        <w:ind w:left="2260" w:right="40"/>
        <w:spacing w:after="0" w:line="245" w:lineRule="auto"/>
        <w:rPr>
          <w:sz w:val="20"/>
          <w:szCs w:val="20"/>
          <w:color w:val="auto"/>
        </w:rPr>
      </w:pPr>
      <w:r>
        <w:rPr>
          <w:rFonts w:ascii="Arial" w:cs="Arial" w:eastAsia="Arial" w:hAnsi="Arial"/>
          <w:sz w:val="22"/>
          <w:szCs w:val="22"/>
          <w:color w:val="auto"/>
        </w:rPr>
        <w:t>Neither you nor anyone acting on your behalf nor anyone who learns the information from you (including your spouse and family members) can trade. This prohibition continues whenever and for as long as you know material, nonpublic information.</w:t>
      </w:r>
    </w:p>
    <w:p>
      <w:pPr>
        <w:spacing w:after="0" w:line="197" w:lineRule="exact"/>
        <w:rPr>
          <w:sz w:val="20"/>
          <w:szCs w:val="20"/>
          <w:color w:val="auto"/>
        </w:rPr>
      </w:pPr>
    </w:p>
    <w:p>
      <w:pPr>
        <w:ind w:left="1500" w:right="180"/>
        <w:spacing w:after="0" w:line="245" w:lineRule="auto"/>
        <w:rPr>
          <w:sz w:val="20"/>
          <w:szCs w:val="20"/>
          <w:color w:val="auto"/>
        </w:rPr>
      </w:pPr>
      <w:r>
        <w:rPr>
          <w:rFonts w:ascii="Arial" w:cs="Arial" w:eastAsia="Arial" w:hAnsi="Arial"/>
          <w:sz w:val="22"/>
          <w:szCs w:val="22"/>
          <w:color w:val="auto"/>
        </w:rPr>
        <w:t>These prohibitions also apply to the securities of any other company with respect to information relating to that company obtained in the course of employment with Black Hills Corporation or any of its subsidiaries.</w:t>
      </w:r>
    </w:p>
    <w:p>
      <w:pPr>
        <w:spacing w:after="0" w:line="16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5.2</w:t>
      </w:r>
      <w:r>
        <w:rPr>
          <w:sz w:val="20"/>
          <w:szCs w:val="20"/>
          <w:color w:val="auto"/>
        </w:rPr>
        <w:tab/>
      </w:r>
      <w:r>
        <w:rPr>
          <w:rFonts w:ascii="Arial" w:cs="Arial" w:eastAsia="Arial" w:hAnsi="Arial"/>
          <w:sz w:val="21"/>
          <w:szCs w:val="21"/>
          <w:b w:val="1"/>
          <w:bCs w:val="1"/>
          <w:color w:val="auto"/>
        </w:rPr>
        <w:t>Transactions by Family Members</w:t>
      </w:r>
    </w:p>
    <w:p>
      <w:pPr>
        <w:spacing w:after="0" w:line="100" w:lineRule="exact"/>
        <w:rPr>
          <w:sz w:val="20"/>
          <w:szCs w:val="20"/>
          <w:color w:val="auto"/>
        </w:rPr>
      </w:pPr>
    </w:p>
    <w:p>
      <w:pPr>
        <w:ind w:left="1500" w:right="20"/>
        <w:spacing w:after="0" w:line="236" w:lineRule="auto"/>
        <w:rPr>
          <w:sz w:val="20"/>
          <w:szCs w:val="20"/>
          <w:color w:val="auto"/>
        </w:rPr>
      </w:pPr>
      <w:r>
        <w:rPr>
          <w:rFonts w:ascii="Arial" w:cs="Arial" w:eastAsia="Arial" w:hAnsi="Arial"/>
          <w:sz w:val="22"/>
          <w:szCs w:val="22"/>
          <w:color w:val="auto"/>
        </w:rPr>
        <w:t>The very same restrictions apply to your family members who reside with you, anyone else who lives in your household, and any family members who do not live in your household but whose transactions in the Company’s securities are directed by you or are subject to your influence or control. Directors, officers and employees are expected to be responsible for the compliance of their immediate family and personal household and therefore should make them aware of the need to confer with them before they trade in Black Hills Corporation securities.</w:t>
      </w:r>
    </w:p>
    <w:p>
      <w:pPr>
        <w:spacing w:after="0" w:line="18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5.3</w:t>
      </w:r>
      <w:r>
        <w:rPr>
          <w:sz w:val="20"/>
          <w:szCs w:val="20"/>
          <w:color w:val="auto"/>
        </w:rPr>
        <w:tab/>
      </w:r>
      <w:r>
        <w:rPr>
          <w:rFonts w:ascii="Arial" w:cs="Arial" w:eastAsia="Arial" w:hAnsi="Arial"/>
          <w:sz w:val="21"/>
          <w:szCs w:val="21"/>
          <w:b w:val="1"/>
          <w:bCs w:val="1"/>
          <w:color w:val="auto"/>
        </w:rPr>
        <w:t>Twenty-Twenty Hindsight</w:t>
      </w:r>
    </w:p>
    <w:p>
      <w:pPr>
        <w:spacing w:after="0" w:line="100" w:lineRule="exact"/>
        <w:rPr>
          <w:sz w:val="20"/>
          <w:szCs w:val="20"/>
          <w:color w:val="auto"/>
        </w:rPr>
      </w:pPr>
    </w:p>
    <w:p>
      <w:pPr>
        <w:ind w:left="1500" w:right="80"/>
        <w:spacing w:after="0" w:line="245" w:lineRule="auto"/>
        <w:rPr>
          <w:sz w:val="20"/>
          <w:szCs w:val="20"/>
          <w:color w:val="auto"/>
        </w:rPr>
      </w:pPr>
      <w:r>
        <w:rPr>
          <w:rFonts w:ascii="Arial" w:cs="Arial" w:eastAsia="Arial" w:hAnsi="Arial"/>
          <w:sz w:val="22"/>
          <w:szCs w:val="22"/>
          <w:color w:val="auto"/>
        </w:rPr>
        <w:t>Remember, if securities transactions become the subject of scrutiny, they will be viewed after-the-fact with the benefit of hindsight. As a result, before engaging in any transaction an employee should carefully consider how regulators and others might view such transaction in hindsight.</w:t>
      </w:r>
    </w:p>
    <w:p>
      <w:pPr>
        <w:spacing w:after="0" w:line="168"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5.4</w:t>
      </w:r>
      <w:r>
        <w:rPr>
          <w:sz w:val="20"/>
          <w:szCs w:val="20"/>
          <w:color w:val="auto"/>
        </w:rPr>
        <w:tab/>
      </w:r>
      <w:r>
        <w:rPr>
          <w:rFonts w:ascii="Arial" w:cs="Arial" w:eastAsia="Arial" w:hAnsi="Arial"/>
          <w:sz w:val="21"/>
          <w:szCs w:val="21"/>
          <w:b w:val="1"/>
          <w:bCs w:val="1"/>
          <w:color w:val="auto"/>
        </w:rPr>
        <w:t>Tipping Information to Others</w:t>
      </w:r>
    </w:p>
    <w:p>
      <w:pPr>
        <w:spacing w:after="0" w:line="100" w:lineRule="exact"/>
        <w:rPr>
          <w:sz w:val="20"/>
          <w:szCs w:val="20"/>
          <w:color w:val="auto"/>
        </w:rPr>
      </w:pPr>
    </w:p>
    <w:p>
      <w:pPr>
        <w:ind w:left="1500" w:right="140"/>
        <w:spacing w:after="0" w:line="259" w:lineRule="auto"/>
        <w:rPr>
          <w:sz w:val="20"/>
          <w:szCs w:val="20"/>
          <w:color w:val="auto"/>
        </w:rPr>
      </w:pPr>
      <w:r>
        <w:rPr>
          <w:rFonts w:ascii="Arial" w:cs="Arial" w:eastAsia="Arial" w:hAnsi="Arial"/>
          <w:sz w:val="22"/>
          <w:szCs w:val="22"/>
          <w:color w:val="auto"/>
        </w:rPr>
        <w:t>Whether the information is proprietary information about the Company or information that could have an impact on Black Hills Corporation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8" w:name="page129"/>
    <w:bookmarkEnd w:id="128"/>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5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1500" w:right="180"/>
        <w:spacing w:after="0" w:line="259" w:lineRule="auto"/>
        <w:rPr>
          <w:sz w:val="20"/>
          <w:szCs w:val="20"/>
          <w:color w:val="auto"/>
        </w:rPr>
      </w:pPr>
      <w:r>
        <w:rPr>
          <w:rFonts w:ascii="Arial" w:cs="Arial" w:eastAsia="Arial" w:hAnsi="Arial"/>
          <w:sz w:val="22"/>
          <w:szCs w:val="22"/>
          <w:color w:val="auto"/>
        </w:rPr>
        <w:t>another company’s stock price, directors, officers and employees of the Company must not pass the information on to others.</w:t>
      </w:r>
    </w:p>
    <w:p>
      <w:pPr>
        <w:spacing w:after="0" w:line="15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5.5</w:t>
      </w:r>
      <w:r>
        <w:rPr>
          <w:sz w:val="20"/>
          <w:szCs w:val="20"/>
          <w:color w:val="auto"/>
        </w:rPr>
        <w:tab/>
      </w:r>
      <w:r>
        <w:rPr>
          <w:rFonts w:ascii="Arial" w:cs="Arial" w:eastAsia="Arial" w:hAnsi="Arial"/>
          <w:sz w:val="21"/>
          <w:szCs w:val="21"/>
          <w:b w:val="1"/>
          <w:bCs w:val="1"/>
          <w:color w:val="auto"/>
        </w:rPr>
        <w:t>When Information is Public</w:t>
      </w:r>
    </w:p>
    <w:p>
      <w:pPr>
        <w:spacing w:after="0" w:line="100" w:lineRule="exact"/>
        <w:rPr>
          <w:sz w:val="20"/>
          <w:szCs w:val="20"/>
          <w:color w:val="auto"/>
        </w:rPr>
      </w:pPr>
    </w:p>
    <w:p>
      <w:pPr>
        <w:ind w:left="1500" w:right="520"/>
        <w:spacing w:after="0" w:line="283" w:lineRule="auto"/>
        <w:rPr>
          <w:sz w:val="20"/>
          <w:szCs w:val="20"/>
          <w:color w:val="auto"/>
        </w:rPr>
      </w:pPr>
      <w:r>
        <w:rPr>
          <w:rFonts w:ascii="Arial" w:cs="Arial" w:eastAsia="Arial" w:hAnsi="Arial"/>
          <w:sz w:val="21"/>
          <w:szCs w:val="21"/>
          <w:color w:val="auto"/>
        </w:rPr>
        <w:t>It would be improper for a director, officer or employee to enter a trade immediately after the Company has made a public announcement of material information, including earnings releases.</w:t>
      </w:r>
    </w:p>
    <w:p>
      <w:pPr>
        <w:spacing w:after="0" w:line="160" w:lineRule="exact"/>
        <w:rPr>
          <w:sz w:val="20"/>
          <w:szCs w:val="20"/>
          <w:color w:val="auto"/>
        </w:rPr>
      </w:pPr>
    </w:p>
    <w:p>
      <w:pPr>
        <w:ind w:left="1500" w:right="100"/>
        <w:spacing w:after="0"/>
        <w:rPr>
          <w:sz w:val="20"/>
          <w:szCs w:val="20"/>
          <w:color w:val="auto"/>
        </w:rPr>
      </w:pPr>
      <w:r>
        <w:rPr>
          <w:rFonts w:ascii="Arial" w:cs="Arial" w:eastAsia="Arial" w:hAnsi="Arial"/>
          <w:sz w:val="22"/>
          <w:szCs w:val="22"/>
          <w:color w:val="auto"/>
        </w:rPr>
        <w:t>Because the Company’s shareholders and the investing public should be afforded the time to receive the information and act upon it, as a general rule you should not engage in any transaction in the Company’s securities until at least 48 hours after the date the information has been released to the public.</w:t>
      </w:r>
    </w:p>
    <w:p>
      <w:pPr>
        <w:spacing w:after="0" w:line="17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5.6</w:t>
      </w:r>
      <w:r>
        <w:rPr>
          <w:sz w:val="20"/>
          <w:szCs w:val="20"/>
          <w:color w:val="auto"/>
        </w:rPr>
        <w:tab/>
      </w:r>
      <w:r>
        <w:rPr>
          <w:rFonts w:ascii="Arial" w:cs="Arial" w:eastAsia="Arial" w:hAnsi="Arial"/>
          <w:sz w:val="21"/>
          <w:szCs w:val="21"/>
          <w:b w:val="1"/>
          <w:bCs w:val="1"/>
          <w:color w:val="auto"/>
        </w:rPr>
        <w:t>Section 10b5-1 Trading Program</w:t>
      </w:r>
    </w:p>
    <w:p>
      <w:pPr>
        <w:spacing w:after="0" w:line="208" w:lineRule="exact"/>
        <w:rPr>
          <w:sz w:val="20"/>
          <w:szCs w:val="20"/>
          <w:color w:val="auto"/>
        </w:rPr>
      </w:pPr>
    </w:p>
    <w:p>
      <w:pPr>
        <w:ind w:left="1500" w:right="40"/>
        <w:spacing w:after="0" w:line="248" w:lineRule="auto"/>
        <w:rPr>
          <w:sz w:val="20"/>
          <w:szCs w:val="20"/>
          <w:color w:val="auto"/>
        </w:rPr>
      </w:pPr>
      <w:r>
        <w:rPr>
          <w:rFonts w:ascii="Arial" w:cs="Arial" w:eastAsia="Arial" w:hAnsi="Arial"/>
          <w:sz w:val="21"/>
          <w:szCs w:val="21"/>
          <w:color w:val="auto"/>
        </w:rPr>
        <w:t>Notwithstanding the prohibition against insider trading, Rule 10b5-1 of the Securities Exchange Act of 1934 and this Policy permit directors, officers and employees to trade in Black Hills Corporation securities while aware of material, nonpublic information, so long as the trades occur pursuant to a binding contract, instruction or written trading program that was put into place at a time when the trader was not aware of material, nonpublic information that otherwise complies with the requirements of Rule 10b5-1. Transactions made pursuant to a plan meeting the requirements of Rule 10b5-1 need not be pre-cleared as set forth above, so long as the following requirements have been met:</w:t>
      </w:r>
    </w:p>
    <w:p>
      <w:pPr>
        <w:spacing w:after="0" w:line="168"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5.6.1</w:t>
      </w:r>
      <w:r>
        <w:rPr>
          <w:sz w:val="20"/>
          <w:szCs w:val="20"/>
          <w:color w:val="auto"/>
        </w:rPr>
        <w:tab/>
      </w:r>
      <w:r>
        <w:rPr>
          <w:rFonts w:ascii="Arial" w:cs="Arial" w:eastAsia="Arial" w:hAnsi="Arial"/>
          <w:sz w:val="21"/>
          <w:szCs w:val="21"/>
          <w:color w:val="auto"/>
        </w:rPr>
        <w:t>The form of the Rule 10b5-1 trading plan that you propose to execute must:</w:t>
      </w:r>
    </w:p>
    <w:p>
      <w:pPr>
        <w:spacing w:after="0" w:line="98" w:lineRule="exact"/>
        <w:rPr>
          <w:sz w:val="20"/>
          <w:szCs w:val="20"/>
          <w:color w:val="auto"/>
        </w:rPr>
      </w:pPr>
    </w:p>
    <w:p>
      <w:pPr>
        <w:ind w:left="3200" w:right="80" w:hanging="942"/>
        <w:spacing w:after="0" w:line="259" w:lineRule="auto"/>
        <w:tabs>
          <w:tab w:leader="none" w:pos="3180" w:val="left"/>
        </w:tabs>
        <w:rPr>
          <w:sz w:val="20"/>
          <w:szCs w:val="20"/>
          <w:color w:val="auto"/>
        </w:rPr>
      </w:pPr>
      <w:r>
        <w:rPr>
          <w:rFonts w:ascii="Arial" w:cs="Arial" w:eastAsia="Arial" w:hAnsi="Arial"/>
          <w:sz w:val="22"/>
          <w:szCs w:val="22"/>
          <w:b w:val="1"/>
          <w:bCs w:val="1"/>
          <w:color w:val="auto"/>
        </w:rPr>
        <w:t>5.6.1.1.</w:t>
      </w:r>
      <w:r>
        <w:rPr>
          <w:sz w:val="20"/>
          <w:szCs w:val="20"/>
          <w:color w:val="auto"/>
        </w:rPr>
        <w:tab/>
      </w:r>
      <w:r>
        <w:rPr>
          <w:rFonts w:ascii="Arial" w:cs="Arial" w:eastAsia="Arial" w:hAnsi="Arial"/>
          <w:sz w:val="22"/>
          <w:szCs w:val="22"/>
          <w:color w:val="auto"/>
        </w:rPr>
        <w:t>Be delivered to, and approved by the General Counsel or Corporate Secretary prior to adoption or amendment of the trading plan;</w:t>
      </w:r>
    </w:p>
    <w:p>
      <w:pPr>
        <w:spacing w:after="0" w:line="48" w:lineRule="exact"/>
        <w:rPr>
          <w:sz w:val="20"/>
          <w:szCs w:val="20"/>
          <w:color w:val="auto"/>
        </w:rPr>
      </w:pPr>
    </w:p>
    <w:p>
      <w:pPr>
        <w:ind w:left="3200" w:right="600" w:hanging="942"/>
        <w:spacing w:after="0" w:line="259" w:lineRule="auto"/>
        <w:tabs>
          <w:tab w:leader="none" w:pos="3180" w:val="left"/>
        </w:tabs>
        <w:rPr>
          <w:sz w:val="20"/>
          <w:szCs w:val="20"/>
          <w:color w:val="auto"/>
        </w:rPr>
      </w:pPr>
      <w:r>
        <w:rPr>
          <w:rFonts w:ascii="Arial" w:cs="Arial" w:eastAsia="Arial" w:hAnsi="Arial"/>
          <w:sz w:val="22"/>
          <w:szCs w:val="22"/>
          <w:b w:val="1"/>
          <w:bCs w:val="1"/>
          <w:color w:val="auto"/>
        </w:rPr>
        <w:t>5.6.1.2.</w:t>
      </w:r>
      <w:r>
        <w:rPr>
          <w:sz w:val="20"/>
          <w:szCs w:val="20"/>
          <w:color w:val="auto"/>
        </w:rPr>
        <w:tab/>
      </w:r>
      <w:r>
        <w:rPr>
          <w:rFonts w:ascii="Arial" w:cs="Arial" w:eastAsia="Arial" w:hAnsi="Arial"/>
          <w:sz w:val="22"/>
          <w:szCs w:val="22"/>
          <w:color w:val="auto"/>
        </w:rPr>
        <w:t>Include an affirmation that you are not aware of material nonpublic information about the Company or its securities;</w:t>
      </w:r>
    </w:p>
    <w:p>
      <w:pPr>
        <w:spacing w:after="0" w:line="48" w:lineRule="exact"/>
        <w:rPr>
          <w:sz w:val="20"/>
          <w:szCs w:val="20"/>
          <w:color w:val="auto"/>
        </w:rPr>
      </w:pPr>
    </w:p>
    <w:p>
      <w:pPr>
        <w:jc w:val="right"/>
        <w:ind w:left="2260" w:right="80"/>
        <w:spacing w:after="0" w:line="261" w:lineRule="auto"/>
        <w:rPr>
          <w:sz w:val="20"/>
          <w:szCs w:val="20"/>
          <w:color w:val="auto"/>
        </w:rPr>
      </w:pPr>
      <w:r>
        <w:rPr>
          <w:rFonts w:ascii="Arial" w:cs="Arial" w:eastAsia="Arial" w:hAnsi="Arial"/>
          <w:sz w:val="22"/>
          <w:szCs w:val="22"/>
          <w:b w:val="1"/>
          <w:bCs w:val="1"/>
          <w:color w:val="auto"/>
        </w:rPr>
        <w:t xml:space="preserve">5.6.1.3.  </w:t>
      </w:r>
      <w:r>
        <w:rPr>
          <w:rFonts w:ascii="Arial" w:cs="Arial" w:eastAsia="Arial" w:hAnsi="Arial"/>
          <w:sz w:val="22"/>
          <w:szCs w:val="22"/>
          <w:color w:val="auto"/>
        </w:rPr>
        <w:t>Include an affirmation that you are adopting the plan in good faith and not as part of</w:t>
      </w:r>
      <w:r>
        <w:rPr>
          <w:rFonts w:ascii="Arial" w:cs="Arial" w:eastAsia="Arial" w:hAnsi="Arial"/>
          <w:sz w:val="22"/>
          <w:szCs w:val="22"/>
          <w:b w:val="1"/>
          <w:bCs w:val="1"/>
          <w:color w:val="auto"/>
        </w:rPr>
        <w:t xml:space="preserve"> </w:t>
      </w:r>
      <w:r>
        <w:rPr>
          <w:rFonts w:ascii="Arial" w:cs="Arial" w:eastAsia="Arial" w:hAnsi="Arial"/>
          <w:sz w:val="22"/>
          <w:szCs w:val="22"/>
          <w:color w:val="auto"/>
        </w:rPr>
        <w:t>a plan or scheme to evade the prohibitions of Rule 10b-5 of the Exchange Act; and</w:t>
      </w:r>
    </w:p>
    <w:p>
      <w:pPr>
        <w:spacing w:after="0" w:line="44" w:lineRule="exact"/>
        <w:rPr>
          <w:sz w:val="20"/>
          <w:szCs w:val="20"/>
          <w:color w:val="auto"/>
        </w:rPr>
      </w:pPr>
    </w:p>
    <w:p>
      <w:pPr>
        <w:jc w:val="both"/>
        <w:ind w:left="3200" w:right="20" w:hanging="935"/>
        <w:spacing w:after="0" w:line="245" w:lineRule="auto"/>
        <w:tabs>
          <w:tab w:leader="none" w:pos="3180" w:val="left"/>
        </w:tabs>
        <w:rPr>
          <w:sz w:val="20"/>
          <w:szCs w:val="20"/>
          <w:color w:val="auto"/>
        </w:rPr>
      </w:pPr>
      <w:r>
        <w:rPr>
          <w:rFonts w:ascii="Arial" w:cs="Arial" w:eastAsia="Arial" w:hAnsi="Arial"/>
          <w:sz w:val="22"/>
          <w:szCs w:val="22"/>
          <w:b w:val="1"/>
          <w:bCs w:val="1"/>
          <w:color w:val="auto"/>
        </w:rPr>
        <w:t>5.6.1.4.</w:t>
      </w:r>
      <w:r>
        <w:rPr>
          <w:sz w:val="20"/>
          <w:szCs w:val="20"/>
          <w:color w:val="auto"/>
        </w:rPr>
        <w:tab/>
      </w:r>
      <w:r>
        <w:rPr>
          <w:rFonts w:ascii="Arial" w:cs="Arial" w:eastAsia="Arial" w:hAnsi="Arial"/>
          <w:sz w:val="22"/>
          <w:szCs w:val="22"/>
          <w:color w:val="auto"/>
        </w:rPr>
        <w:t>Includes a “cooling off” period for (i) Section 16 officers and directors that extends to the later of 90 days after adoption or modification of the trading plan or two business days after filing the Form 10-K or Form 10-Q covering the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29" w:name="page130"/>
    <w:bookmarkEnd w:id="129"/>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6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jc w:val="both"/>
        <w:ind w:left="3200" w:right="240"/>
        <w:spacing w:after="0" w:line="245" w:lineRule="auto"/>
        <w:rPr>
          <w:sz w:val="20"/>
          <w:szCs w:val="20"/>
          <w:color w:val="auto"/>
        </w:rPr>
      </w:pPr>
      <w:r>
        <w:rPr>
          <w:rFonts w:ascii="Arial" w:cs="Arial" w:eastAsia="Arial" w:hAnsi="Arial"/>
          <w:sz w:val="22"/>
          <w:szCs w:val="22"/>
          <w:color w:val="auto"/>
        </w:rPr>
        <w:t>quarter in which the trading plan was adopted, up to a maximum of 120 days; and (ii) other employees, other than the Company, that extends 30 days after adoption or modification of the trading plan.</w:t>
      </w:r>
    </w:p>
    <w:p>
      <w:pPr>
        <w:spacing w:after="0" w:line="168" w:lineRule="exact"/>
        <w:rPr>
          <w:sz w:val="20"/>
          <w:szCs w:val="20"/>
          <w:color w:val="auto"/>
        </w:rPr>
      </w:pPr>
    </w:p>
    <w:p>
      <w:pPr>
        <w:ind w:left="2260" w:right="40" w:hanging="748"/>
        <w:spacing w:after="0" w:line="255" w:lineRule="auto"/>
        <w:tabs>
          <w:tab w:leader="none" w:pos="2240" w:val="left"/>
        </w:tabs>
        <w:rPr>
          <w:sz w:val="20"/>
          <w:szCs w:val="20"/>
          <w:color w:val="auto"/>
        </w:rPr>
      </w:pPr>
      <w:r>
        <w:rPr>
          <w:rFonts w:ascii="Arial" w:cs="Arial" w:eastAsia="Arial" w:hAnsi="Arial"/>
          <w:sz w:val="22"/>
          <w:szCs w:val="22"/>
          <w:b w:val="1"/>
          <w:bCs w:val="1"/>
          <w:color w:val="auto"/>
        </w:rPr>
        <w:t>5.6.2</w:t>
      </w:r>
      <w:r>
        <w:rPr>
          <w:sz w:val="20"/>
          <w:szCs w:val="20"/>
          <w:color w:val="auto"/>
        </w:rPr>
        <w:tab/>
      </w:r>
      <w:r>
        <w:rPr>
          <w:rFonts w:ascii="Arial" w:cs="Arial" w:eastAsia="Arial" w:hAnsi="Arial"/>
          <w:sz w:val="21"/>
          <w:szCs w:val="21"/>
          <w:color w:val="auto"/>
        </w:rPr>
        <w:t>If applicable to you, you must comply with the requirements of Rule 144 under the Securities Act of 1933, and make or cause to be made all necessary filings, including Rule 144 filings, filings pursuant to Section 13 and Section 16 of the Securities Exchange Act of 1934, and any other filings necessary pursuant to the Securities Act and/or the Exchange Act; and</w:t>
      </w:r>
    </w:p>
    <w:p>
      <w:pPr>
        <w:spacing w:after="0" w:line="162" w:lineRule="exact"/>
        <w:rPr>
          <w:sz w:val="20"/>
          <w:szCs w:val="20"/>
          <w:color w:val="auto"/>
        </w:rPr>
      </w:pPr>
    </w:p>
    <w:p>
      <w:pPr>
        <w:ind w:left="2260" w:right="20" w:hanging="748"/>
        <w:spacing w:after="0" w:line="259" w:lineRule="auto"/>
        <w:tabs>
          <w:tab w:leader="none" w:pos="2240" w:val="left"/>
        </w:tabs>
        <w:rPr>
          <w:sz w:val="20"/>
          <w:szCs w:val="20"/>
          <w:color w:val="auto"/>
        </w:rPr>
      </w:pPr>
      <w:r>
        <w:rPr>
          <w:rFonts w:ascii="Arial" w:cs="Arial" w:eastAsia="Arial" w:hAnsi="Arial"/>
          <w:sz w:val="22"/>
          <w:szCs w:val="22"/>
          <w:b w:val="1"/>
          <w:bCs w:val="1"/>
          <w:color w:val="auto"/>
        </w:rPr>
        <w:t>5.6.3</w:t>
      </w:r>
      <w:r>
        <w:rPr>
          <w:sz w:val="20"/>
          <w:szCs w:val="20"/>
          <w:color w:val="auto"/>
        </w:rPr>
        <w:tab/>
      </w:r>
      <w:r>
        <w:rPr>
          <w:rFonts w:ascii="Arial" w:cs="Arial" w:eastAsia="Arial" w:hAnsi="Arial"/>
          <w:sz w:val="22"/>
          <w:szCs w:val="22"/>
          <w:color w:val="auto"/>
        </w:rPr>
        <w:t>You must establish the Rule 10b5-1 trading program at a time when you are not in possession of material, non-public information about the Company.</w:t>
      </w:r>
    </w:p>
    <w:p>
      <w:pPr>
        <w:spacing w:after="0" w:line="50" w:lineRule="exact"/>
        <w:rPr>
          <w:sz w:val="20"/>
          <w:szCs w:val="20"/>
          <w:color w:val="auto"/>
        </w:rPr>
      </w:pPr>
    </w:p>
    <w:p>
      <w:pPr>
        <w:ind w:left="2260" w:right="180"/>
        <w:spacing w:after="0" w:line="262" w:lineRule="auto"/>
        <w:rPr>
          <w:sz w:val="20"/>
          <w:szCs w:val="20"/>
          <w:color w:val="auto"/>
        </w:rPr>
      </w:pPr>
      <w:r>
        <w:rPr>
          <w:rFonts w:ascii="Arial" w:cs="Arial" w:eastAsia="Arial" w:hAnsi="Arial"/>
          <w:sz w:val="21"/>
          <w:szCs w:val="21"/>
          <w:color w:val="auto"/>
        </w:rPr>
        <w:t>You must consult with your own legal counsel and other financial advisors in connection with your decision to enter into a Rule 10b5-1 trading program, and determine, based upon their advice, whether the plan you propose to execute meets the criteria set forth in Rule 10b5-1.</w:t>
      </w:r>
    </w:p>
    <w:p>
      <w:pPr>
        <w:spacing w:after="0" w:line="152" w:lineRule="exact"/>
        <w:rPr>
          <w:sz w:val="20"/>
          <w:szCs w:val="20"/>
          <w:color w:val="auto"/>
        </w:rPr>
      </w:pPr>
    </w:p>
    <w:p>
      <w:pPr>
        <w:ind w:left="760" w:hanging="752"/>
        <w:spacing w:after="0"/>
        <w:tabs>
          <w:tab w:leader="none" w:pos="760" w:val="left"/>
        </w:tabs>
        <w:numPr>
          <w:ilvl w:val="0"/>
          <w:numId w:val="94"/>
        </w:numPr>
        <w:rPr>
          <w:rFonts w:ascii="Arial" w:cs="Arial" w:eastAsia="Arial" w:hAnsi="Arial"/>
          <w:sz w:val="22"/>
          <w:szCs w:val="22"/>
          <w:b w:val="1"/>
          <w:bCs w:val="1"/>
          <w:color w:val="auto"/>
        </w:rPr>
      </w:pPr>
      <w:r>
        <w:rPr>
          <w:rFonts w:ascii="Arial" w:cs="Arial" w:eastAsia="Arial" w:hAnsi="Arial"/>
          <w:sz w:val="22"/>
          <w:szCs w:val="22"/>
          <w:b w:val="1"/>
          <w:bCs w:val="1"/>
          <w:color w:val="auto"/>
        </w:rPr>
        <w:t>TRANSACTIONS UNDER COMPANY PLANS</w:t>
      </w:r>
    </w:p>
    <w:p>
      <w:pPr>
        <w:spacing w:after="0" w:line="206"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6.1</w:t>
      </w:r>
      <w:r>
        <w:rPr>
          <w:sz w:val="20"/>
          <w:szCs w:val="20"/>
          <w:color w:val="auto"/>
        </w:rPr>
        <w:tab/>
      </w:r>
      <w:r>
        <w:rPr>
          <w:rFonts w:ascii="Arial" w:cs="Arial" w:eastAsia="Arial" w:hAnsi="Arial"/>
          <w:sz w:val="21"/>
          <w:szCs w:val="21"/>
          <w:b w:val="1"/>
          <w:bCs w:val="1"/>
          <w:color w:val="auto"/>
        </w:rPr>
        <w:t>Trading in the Company 401(k) Plan</w:t>
      </w:r>
    </w:p>
    <w:p>
      <w:pPr>
        <w:spacing w:after="0" w:line="100" w:lineRule="exact"/>
        <w:rPr>
          <w:sz w:val="20"/>
          <w:szCs w:val="20"/>
          <w:color w:val="auto"/>
        </w:rPr>
      </w:pPr>
    </w:p>
    <w:p>
      <w:pPr>
        <w:ind w:left="1500" w:right="480"/>
        <w:spacing w:after="0" w:line="259" w:lineRule="auto"/>
        <w:rPr>
          <w:sz w:val="20"/>
          <w:szCs w:val="20"/>
          <w:color w:val="auto"/>
        </w:rPr>
      </w:pPr>
      <w:r>
        <w:rPr>
          <w:rFonts w:ascii="Arial" w:cs="Arial" w:eastAsia="Arial" w:hAnsi="Arial"/>
          <w:sz w:val="22"/>
          <w:szCs w:val="22"/>
          <w:color w:val="auto"/>
        </w:rPr>
        <w:t>This Policy applies to certain transactions involving Company stock in an employee’s 401(k) Plan account. For example, the Policy applies to:</w:t>
      </w:r>
    </w:p>
    <w:p>
      <w:pPr>
        <w:spacing w:after="0" w:line="154" w:lineRule="exact"/>
        <w:rPr>
          <w:sz w:val="20"/>
          <w:szCs w:val="20"/>
          <w:color w:val="auto"/>
        </w:rPr>
      </w:pPr>
    </w:p>
    <w:p>
      <w:pPr>
        <w:ind w:left="1500"/>
        <w:spacing w:after="0"/>
        <w:tabs>
          <w:tab w:leader="none" w:pos="2240" w:val="left"/>
        </w:tabs>
        <w:rPr>
          <w:sz w:val="20"/>
          <w:szCs w:val="20"/>
          <w:color w:val="auto"/>
        </w:rPr>
      </w:pPr>
      <w:r>
        <w:rPr>
          <w:rFonts w:ascii="Arial" w:cs="Arial" w:eastAsia="Arial" w:hAnsi="Arial"/>
          <w:sz w:val="22"/>
          <w:szCs w:val="22"/>
          <w:b w:val="1"/>
          <w:bCs w:val="1"/>
          <w:color w:val="auto"/>
        </w:rPr>
        <w:t>6.1.1</w:t>
      </w:r>
      <w:r>
        <w:rPr>
          <w:sz w:val="20"/>
          <w:szCs w:val="20"/>
          <w:color w:val="auto"/>
        </w:rPr>
        <w:tab/>
      </w:r>
      <w:r>
        <w:rPr>
          <w:rFonts w:ascii="Arial" w:cs="Arial" w:eastAsia="Arial" w:hAnsi="Arial"/>
          <w:sz w:val="21"/>
          <w:szCs w:val="21"/>
          <w:color w:val="auto"/>
        </w:rPr>
        <w:t>Elections to make intra-plan transfers into or out of the Company stock fund; and</w:t>
      </w:r>
    </w:p>
    <w:p>
      <w:pPr>
        <w:spacing w:after="0" w:line="206" w:lineRule="exact"/>
        <w:rPr>
          <w:sz w:val="20"/>
          <w:szCs w:val="20"/>
          <w:color w:val="auto"/>
        </w:rPr>
      </w:pPr>
    </w:p>
    <w:p>
      <w:pPr>
        <w:ind w:left="2260" w:right="140" w:hanging="748"/>
        <w:spacing w:after="0" w:line="259" w:lineRule="auto"/>
        <w:tabs>
          <w:tab w:leader="none" w:pos="2240" w:val="left"/>
        </w:tabs>
        <w:rPr>
          <w:sz w:val="20"/>
          <w:szCs w:val="20"/>
          <w:color w:val="auto"/>
        </w:rPr>
      </w:pPr>
      <w:r>
        <w:rPr>
          <w:rFonts w:ascii="Arial" w:cs="Arial" w:eastAsia="Arial" w:hAnsi="Arial"/>
          <w:sz w:val="22"/>
          <w:szCs w:val="22"/>
          <w:b w:val="1"/>
          <w:bCs w:val="1"/>
          <w:color w:val="auto"/>
        </w:rPr>
        <w:t>6.1.2</w:t>
      </w:r>
      <w:r>
        <w:rPr>
          <w:sz w:val="20"/>
          <w:szCs w:val="20"/>
          <w:color w:val="auto"/>
        </w:rPr>
        <w:tab/>
      </w:r>
      <w:r>
        <w:rPr>
          <w:rFonts w:ascii="Arial" w:cs="Arial" w:eastAsia="Arial" w:hAnsi="Arial"/>
          <w:sz w:val="22"/>
          <w:szCs w:val="22"/>
          <w:color w:val="auto"/>
        </w:rPr>
        <w:t>Elections to increase or decrease the percentage allocation of new investments in the 401(k) Plan to the Company stock fund.</w:t>
      </w:r>
    </w:p>
    <w:p>
      <w:pPr>
        <w:spacing w:after="0" w:line="50" w:lineRule="exact"/>
        <w:rPr>
          <w:sz w:val="20"/>
          <w:szCs w:val="20"/>
          <w:color w:val="auto"/>
        </w:rPr>
      </w:pPr>
    </w:p>
    <w:p>
      <w:pPr>
        <w:ind w:left="1500" w:right="80"/>
        <w:spacing w:after="0" w:line="259" w:lineRule="auto"/>
        <w:rPr>
          <w:sz w:val="20"/>
          <w:szCs w:val="20"/>
          <w:color w:val="auto"/>
        </w:rPr>
      </w:pPr>
      <w:r>
        <w:rPr>
          <w:rFonts w:ascii="Arial" w:cs="Arial" w:eastAsia="Arial" w:hAnsi="Arial"/>
          <w:sz w:val="22"/>
          <w:szCs w:val="22"/>
          <w:color w:val="auto"/>
        </w:rPr>
        <w:t>The Policy does not apply, however, to repetitive investments in the Company stock fund which occur every pay period pursuant to a payroll deduction in a like amount each pay period.</w:t>
      </w:r>
    </w:p>
    <w:p>
      <w:pPr>
        <w:spacing w:after="0" w:line="15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6.2</w:t>
      </w:r>
      <w:r>
        <w:rPr>
          <w:sz w:val="20"/>
          <w:szCs w:val="20"/>
          <w:color w:val="auto"/>
        </w:rPr>
        <w:tab/>
      </w:r>
      <w:r>
        <w:rPr>
          <w:rFonts w:ascii="Arial" w:cs="Arial" w:eastAsia="Arial" w:hAnsi="Arial"/>
          <w:sz w:val="21"/>
          <w:szCs w:val="21"/>
          <w:b w:val="1"/>
          <w:bCs w:val="1"/>
          <w:color w:val="auto"/>
        </w:rPr>
        <w:t>Stock Option Exercises and Stock Unit Vesting</w:t>
      </w:r>
    </w:p>
    <w:p>
      <w:pPr>
        <w:spacing w:after="0" w:line="100" w:lineRule="exact"/>
        <w:rPr>
          <w:sz w:val="20"/>
          <w:szCs w:val="20"/>
          <w:color w:val="auto"/>
        </w:rPr>
      </w:pPr>
    </w:p>
    <w:p>
      <w:pPr>
        <w:ind w:left="1500" w:right="40" w:hanging="214"/>
        <w:spacing w:after="0" w:line="245" w:lineRule="auto"/>
        <w:rPr>
          <w:sz w:val="20"/>
          <w:szCs w:val="20"/>
          <w:color w:val="auto"/>
        </w:rPr>
      </w:pPr>
      <w:r>
        <w:rPr>
          <w:rFonts w:ascii="Arial" w:cs="Arial" w:eastAsia="Arial" w:hAnsi="Arial"/>
          <w:sz w:val="22"/>
          <w:szCs w:val="22"/>
          <w:color w:val="auto"/>
        </w:rPr>
        <w:t>This Policy does not apply to the exercise of an employee stock option or the vesting of stock units (restricted stock units or performance stock units) or the forfeiture of shares to the Company to satisfy any exercise price and/or tax withholding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0" w:name="page131"/>
    <w:bookmarkEnd w:id="130"/>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7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1500" w:right="100" w:hanging="214"/>
        <w:spacing w:after="0"/>
        <w:rPr>
          <w:sz w:val="20"/>
          <w:szCs w:val="20"/>
          <w:color w:val="auto"/>
        </w:rPr>
      </w:pPr>
      <w:r>
        <w:rPr>
          <w:rFonts w:ascii="Arial" w:cs="Arial" w:eastAsia="Arial" w:hAnsi="Arial"/>
          <w:sz w:val="22"/>
          <w:szCs w:val="22"/>
          <w:color w:val="auto"/>
        </w:rPr>
        <w:t>The Policy does apply, however, to any sale of stock as part of a broker-assisted cashless exercise of a stock option, or any market sale of stock received upon exercise of a stock option or vesting of a stock unit for the purpose of generating the cash needed to pay the exercise price of an option or required tax withholding.</w:t>
      </w:r>
    </w:p>
    <w:p>
      <w:pPr>
        <w:spacing w:after="0" w:line="17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6.3</w:t>
      </w:r>
      <w:r>
        <w:rPr>
          <w:sz w:val="20"/>
          <w:szCs w:val="20"/>
          <w:color w:val="auto"/>
        </w:rPr>
        <w:tab/>
      </w:r>
      <w:r>
        <w:rPr>
          <w:rFonts w:ascii="Arial" w:cs="Arial" w:eastAsia="Arial" w:hAnsi="Arial"/>
          <w:sz w:val="21"/>
          <w:szCs w:val="21"/>
          <w:b w:val="1"/>
          <w:bCs w:val="1"/>
          <w:color w:val="auto"/>
        </w:rPr>
        <w:t>Dividend Reinvestment Plan</w:t>
      </w:r>
    </w:p>
    <w:p>
      <w:pPr>
        <w:spacing w:after="0" w:line="100" w:lineRule="exact"/>
        <w:rPr>
          <w:sz w:val="20"/>
          <w:szCs w:val="20"/>
          <w:color w:val="auto"/>
        </w:rPr>
      </w:pPr>
    </w:p>
    <w:p>
      <w:pPr>
        <w:ind w:left="1500" w:right="40"/>
        <w:spacing w:after="0"/>
        <w:rPr>
          <w:sz w:val="20"/>
          <w:szCs w:val="20"/>
          <w:color w:val="auto"/>
        </w:rPr>
      </w:pPr>
      <w:r>
        <w:rPr>
          <w:rFonts w:ascii="Arial" w:cs="Arial" w:eastAsia="Arial" w:hAnsi="Arial"/>
          <w:sz w:val="22"/>
          <w:szCs w:val="22"/>
          <w:color w:val="auto"/>
        </w:rPr>
        <w:t>This Policy does not apply to purchases of Black Hills Corporation securities under the Company’s Dividend Reinvestment and Direct Stock Purchase Plan resulting from your reinvestment of dividends paid on Black Hills Corporation securities or the systematic monthly purchases of Black Hills Corporation securities under the optional cash investment feature of the plan.</w:t>
      </w:r>
    </w:p>
    <w:p>
      <w:pPr>
        <w:spacing w:after="0" w:line="203" w:lineRule="exact"/>
        <w:rPr>
          <w:sz w:val="20"/>
          <w:szCs w:val="20"/>
          <w:color w:val="auto"/>
        </w:rPr>
      </w:pPr>
    </w:p>
    <w:p>
      <w:pPr>
        <w:ind w:left="1500" w:right="40"/>
        <w:spacing w:after="0"/>
        <w:rPr>
          <w:sz w:val="20"/>
          <w:szCs w:val="20"/>
          <w:color w:val="auto"/>
        </w:rPr>
      </w:pPr>
      <w:r>
        <w:rPr>
          <w:rFonts w:ascii="Arial" w:cs="Arial" w:eastAsia="Arial" w:hAnsi="Arial"/>
          <w:sz w:val="22"/>
          <w:szCs w:val="22"/>
          <w:color w:val="auto"/>
        </w:rPr>
        <w:t>This Policy does apply, however, to voluntary purchases of Black Hills Corporation securities resulting from your election to participate in the plan or your increase in the level of participation in the plan. The Policy also applies to your sale of any securities of Black Hills Corporation purchased pursuant to the plan.</w:t>
      </w:r>
    </w:p>
    <w:p>
      <w:pPr>
        <w:spacing w:after="0" w:line="174" w:lineRule="exact"/>
        <w:rPr>
          <w:sz w:val="20"/>
          <w:szCs w:val="20"/>
          <w:color w:val="auto"/>
        </w:rPr>
      </w:pPr>
    </w:p>
    <w:p>
      <w:pPr>
        <w:ind w:left="760" w:hanging="752"/>
        <w:spacing w:after="0"/>
        <w:tabs>
          <w:tab w:leader="none" w:pos="76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ADDITIONAL PROHIBITED TRANSACTIONS</w:t>
      </w:r>
    </w:p>
    <w:p>
      <w:pPr>
        <w:spacing w:after="0" w:line="100" w:lineRule="exact"/>
        <w:rPr>
          <w:rFonts w:ascii="Arial" w:cs="Arial" w:eastAsia="Arial" w:hAnsi="Arial"/>
          <w:sz w:val="22"/>
          <w:szCs w:val="22"/>
          <w:b w:val="1"/>
          <w:bCs w:val="1"/>
          <w:color w:val="auto"/>
        </w:rPr>
      </w:pPr>
    </w:p>
    <w:p>
      <w:pPr>
        <w:ind w:left="760" w:right="80"/>
        <w:spacing w:after="0"/>
        <w:rPr>
          <w:rFonts w:ascii="Arial" w:cs="Arial" w:eastAsia="Arial" w:hAnsi="Arial"/>
          <w:sz w:val="22"/>
          <w:szCs w:val="22"/>
          <w:b w:val="1"/>
          <w:bCs w:val="1"/>
          <w:color w:val="auto"/>
        </w:rPr>
      </w:pPr>
      <w:r>
        <w:rPr>
          <w:rFonts w:ascii="Arial" w:cs="Arial" w:eastAsia="Arial" w:hAnsi="Arial"/>
          <w:sz w:val="22"/>
          <w:szCs w:val="22"/>
          <w:color w:val="auto"/>
        </w:rPr>
        <w:t>The Company considers it improper and inappropriate for any director, officer or other employee of the Company to engage in short-term or speculative transactions in Black Hills Corporation securities. It is therefore Company policy that directors, officers and other employees may not engage in any of the following transactions:</w:t>
      </w:r>
    </w:p>
    <w:p>
      <w:pPr>
        <w:spacing w:after="0" w:line="17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7.1</w:t>
      </w:r>
      <w:r>
        <w:rPr>
          <w:sz w:val="20"/>
          <w:szCs w:val="20"/>
          <w:color w:val="auto"/>
        </w:rPr>
        <w:tab/>
      </w:r>
      <w:r>
        <w:rPr>
          <w:rFonts w:ascii="Arial" w:cs="Arial" w:eastAsia="Arial" w:hAnsi="Arial"/>
          <w:sz w:val="21"/>
          <w:szCs w:val="21"/>
          <w:b w:val="1"/>
          <w:bCs w:val="1"/>
          <w:color w:val="auto"/>
        </w:rPr>
        <w:t>Short-Term Trading</w:t>
      </w:r>
    </w:p>
    <w:p>
      <w:pPr>
        <w:spacing w:after="0" w:line="100" w:lineRule="exact"/>
        <w:rPr>
          <w:sz w:val="20"/>
          <w:szCs w:val="20"/>
          <w:color w:val="auto"/>
        </w:rPr>
      </w:pPr>
    </w:p>
    <w:p>
      <w:pPr>
        <w:ind w:left="1500" w:right="20"/>
        <w:spacing w:after="0" w:line="236" w:lineRule="auto"/>
        <w:rPr>
          <w:sz w:val="20"/>
          <w:szCs w:val="20"/>
          <w:color w:val="auto"/>
        </w:rPr>
      </w:pPr>
      <w:r>
        <w:rPr>
          <w:rFonts w:ascii="Arial" w:cs="Arial" w:eastAsia="Arial" w:hAnsi="Arial"/>
          <w:sz w:val="22"/>
          <w:szCs w:val="22"/>
          <w:color w:val="auto"/>
        </w:rPr>
        <w:t>An employee’s short-term trading of Black Hills Corporation securities may be distracting to the employee and may unduly focus the employee on the Company’s short-term stock market performance instead of the Company’s long-term business objectives. For these reasons, any director, officer or other employee of the Company who purchases Black Hills Corporation securities in the open market may not sell any Black Hills Corporation securities of the same class during the six months following the purchase.</w:t>
      </w:r>
    </w:p>
    <w:p>
      <w:pPr>
        <w:spacing w:after="0" w:line="18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7.2</w:t>
      </w:r>
      <w:r>
        <w:rPr>
          <w:sz w:val="20"/>
          <w:szCs w:val="20"/>
          <w:color w:val="auto"/>
        </w:rPr>
        <w:tab/>
      </w:r>
      <w:r>
        <w:rPr>
          <w:rFonts w:ascii="Arial" w:cs="Arial" w:eastAsia="Arial" w:hAnsi="Arial"/>
          <w:sz w:val="21"/>
          <w:szCs w:val="21"/>
          <w:b w:val="1"/>
          <w:bCs w:val="1"/>
          <w:color w:val="auto"/>
        </w:rPr>
        <w:t>Short Sales</w:t>
      </w:r>
    </w:p>
    <w:p>
      <w:pPr>
        <w:spacing w:after="0" w:line="100" w:lineRule="exact"/>
        <w:rPr>
          <w:sz w:val="20"/>
          <w:szCs w:val="20"/>
          <w:color w:val="auto"/>
        </w:rPr>
      </w:pPr>
    </w:p>
    <w:p>
      <w:pPr>
        <w:jc w:val="both"/>
        <w:ind w:left="1500" w:right="40"/>
        <w:spacing w:after="0" w:line="245" w:lineRule="auto"/>
        <w:rPr>
          <w:sz w:val="20"/>
          <w:szCs w:val="20"/>
          <w:color w:val="auto"/>
        </w:rPr>
      </w:pPr>
      <w:r>
        <w:rPr>
          <w:rFonts w:ascii="Arial" w:cs="Arial" w:eastAsia="Arial" w:hAnsi="Arial"/>
          <w:sz w:val="22"/>
          <w:szCs w:val="22"/>
          <w:color w:val="auto"/>
        </w:rPr>
        <w:t>Short sales of Black Hills Corporation securities evidence an expectation on the part of the seller that the securities will decline in value, and therefore signal to the market that the seller has no confidence in Black Hills Corporation or its short-term prospects. In addition, short sales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1" w:name="page132"/>
    <w:bookmarkEnd w:id="131"/>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8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reduce the seller’s incentive to improve Black Hills Corporation performance. For these reasons, short sales of Black Hills Corporation securities are prohibited by this Policy. In addition, Section 16(c) of the Securities Exchange Act of 1934 prohibits Section 16 officers and directors from engaging in short sales.</w:t>
      </w:r>
    </w:p>
    <w:p>
      <w:pPr>
        <w:spacing w:after="0" w:line="17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7.3</w:t>
      </w:r>
      <w:r>
        <w:rPr>
          <w:sz w:val="20"/>
          <w:szCs w:val="20"/>
          <w:color w:val="auto"/>
        </w:rPr>
        <w:tab/>
      </w:r>
      <w:r>
        <w:rPr>
          <w:rFonts w:ascii="Arial" w:cs="Arial" w:eastAsia="Arial" w:hAnsi="Arial"/>
          <w:sz w:val="21"/>
          <w:szCs w:val="21"/>
          <w:b w:val="1"/>
          <w:bCs w:val="1"/>
          <w:color w:val="auto"/>
        </w:rPr>
        <w:t>Publicly Traded Options</w:t>
      </w:r>
    </w:p>
    <w:p>
      <w:pPr>
        <w:spacing w:after="0" w:line="100" w:lineRule="exact"/>
        <w:rPr>
          <w:sz w:val="20"/>
          <w:szCs w:val="20"/>
          <w:color w:val="auto"/>
        </w:rPr>
      </w:pPr>
    </w:p>
    <w:p>
      <w:pPr>
        <w:ind w:left="1500" w:right="20"/>
        <w:spacing w:after="0" w:line="236" w:lineRule="auto"/>
        <w:rPr>
          <w:sz w:val="20"/>
          <w:szCs w:val="20"/>
          <w:color w:val="auto"/>
        </w:rPr>
      </w:pPr>
      <w:r>
        <w:rPr>
          <w:rFonts w:ascii="Arial" w:cs="Arial" w:eastAsia="Arial" w:hAnsi="Arial"/>
          <w:sz w:val="22"/>
          <w:szCs w:val="22"/>
          <w:color w:val="auto"/>
        </w:rPr>
        <w:t>A transaction in options is, in effect, a bet on the short-term movement of Black Hills Corporation stock and therefore creates the appearance that the director, officer or employee is trading based on inside information. Transactions in options also may focus the director, officer or employee’s attention on short-term performance at the expense of the Company’s long-term objectives. Accordingly, transaction in puts, calls or other derivative securities, on an exchange or in any other organized market, are prohibited by this Policy.</w:t>
      </w:r>
    </w:p>
    <w:p>
      <w:pPr>
        <w:spacing w:after="0" w:line="180"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7.4</w:t>
      </w:r>
      <w:r>
        <w:rPr>
          <w:sz w:val="20"/>
          <w:szCs w:val="20"/>
          <w:color w:val="auto"/>
        </w:rPr>
        <w:tab/>
      </w:r>
      <w:r>
        <w:rPr>
          <w:rFonts w:ascii="Arial" w:cs="Arial" w:eastAsia="Arial" w:hAnsi="Arial"/>
          <w:sz w:val="21"/>
          <w:szCs w:val="21"/>
          <w:b w:val="1"/>
          <w:bCs w:val="1"/>
          <w:color w:val="auto"/>
        </w:rPr>
        <w:t>Hedging Transactions</w:t>
      </w:r>
    </w:p>
    <w:p>
      <w:pPr>
        <w:spacing w:after="0" w:line="100" w:lineRule="exact"/>
        <w:rPr>
          <w:sz w:val="20"/>
          <w:szCs w:val="20"/>
          <w:color w:val="auto"/>
        </w:rPr>
      </w:pPr>
    </w:p>
    <w:p>
      <w:pPr>
        <w:ind w:left="1500" w:right="320"/>
        <w:spacing w:after="0" w:line="236" w:lineRule="auto"/>
        <w:rPr>
          <w:sz w:val="20"/>
          <w:szCs w:val="20"/>
          <w:color w:val="auto"/>
        </w:rPr>
      </w:pPr>
      <w:r>
        <w:rPr>
          <w:rFonts w:ascii="Arial" w:cs="Arial" w:eastAsia="Arial" w:hAnsi="Arial"/>
          <w:sz w:val="22"/>
          <w:szCs w:val="22"/>
          <w:color w:val="auto"/>
        </w:rPr>
        <w:t>Certain forms of hedging or monetization transactions, such as zero-cost collars, equity swaps, forward sale contracts and exchange funds, allow a director, officer, or employee to lock in much of the value of his or her stock holdings, often in exchange for all or part of the potential for upside appreciation in the stock. These transactions allow the director, officer or employee to continue to own the covered securities, but without the full risks and rewards of ownership. When that occurs, the director, officer or employee may no longer have the same objectives as the Company’s other shareholders. Therefore, hedging transactions are prohibited by this Policy.</w:t>
      </w:r>
    </w:p>
    <w:p>
      <w:pPr>
        <w:spacing w:after="0" w:line="17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7.5</w:t>
      </w:r>
      <w:r>
        <w:rPr>
          <w:sz w:val="20"/>
          <w:szCs w:val="20"/>
          <w:color w:val="auto"/>
        </w:rPr>
        <w:tab/>
      </w:r>
      <w:r>
        <w:rPr>
          <w:rFonts w:ascii="Arial" w:cs="Arial" w:eastAsia="Arial" w:hAnsi="Arial"/>
          <w:sz w:val="21"/>
          <w:szCs w:val="21"/>
          <w:b w:val="1"/>
          <w:bCs w:val="1"/>
          <w:color w:val="auto"/>
        </w:rPr>
        <w:t>Margin Accounts and Pledges</w:t>
      </w:r>
    </w:p>
    <w:p>
      <w:pPr>
        <w:spacing w:after="0" w:line="100" w:lineRule="exact"/>
        <w:rPr>
          <w:sz w:val="20"/>
          <w:szCs w:val="20"/>
          <w:color w:val="auto"/>
        </w:rPr>
      </w:pPr>
    </w:p>
    <w:p>
      <w:pPr>
        <w:ind w:left="1500" w:right="100"/>
        <w:spacing w:after="0" w:line="236" w:lineRule="auto"/>
        <w:rPr>
          <w:sz w:val="20"/>
          <w:szCs w:val="20"/>
          <w:color w:val="auto"/>
        </w:rPr>
      </w:pPr>
      <w:r>
        <w:rPr>
          <w:rFonts w:ascii="Arial" w:cs="Arial" w:eastAsia="Arial" w:hAnsi="Arial"/>
          <w:sz w:val="22"/>
          <w:szCs w:val="22"/>
          <w:color w:val="auto"/>
        </w:rPr>
        <w:t>Securities held in margin account may be sold by the broker without the customer’s consent if the customer fails to meet a margin call. Similarly, securities pledged as collateral for a loan may be sold in foreclosure if the borrower defaults on the loan. Because a margin sale or foreclosure sale may occur at a time when the pledgor is aware of material nonpublic information or otherwise is not permitted to trade in Black Hills Corporation securities, directors, officers and employees are prohibited from holding Black Hills Corporation securities in a margin account or pledging Black Hills Corporation securities as collateral for a loan.</w:t>
      </w:r>
    </w:p>
    <w:p>
      <w:pPr>
        <w:spacing w:after="0" w:line="174" w:lineRule="exact"/>
        <w:rPr>
          <w:sz w:val="20"/>
          <w:szCs w:val="20"/>
          <w:color w:val="auto"/>
        </w:rPr>
      </w:pPr>
    </w:p>
    <w:p>
      <w:pPr>
        <w:ind w:left="760" w:hanging="752"/>
        <w:spacing w:after="0"/>
        <w:tabs>
          <w:tab w:leader="none" w:pos="76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color w:val="auto"/>
        </w:rPr>
        <w:t>POST-TERMINATION TRANSACTIONS</w:t>
      </w:r>
    </w:p>
    <w:p>
      <w:pPr>
        <w:spacing w:after="0" w:line="100" w:lineRule="exact"/>
        <w:rPr>
          <w:rFonts w:ascii="Arial" w:cs="Arial" w:eastAsia="Arial" w:hAnsi="Arial"/>
          <w:sz w:val="22"/>
          <w:szCs w:val="22"/>
          <w:b w:val="1"/>
          <w:bCs w:val="1"/>
          <w:color w:val="auto"/>
        </w:rPr>
      </w:pPr>
    </w:p>
    <w:p>
      <w:pPr>
        <w:ind w:left="760" w:right="300"/>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This Policy continues to apply to your transactions in Black Hills Corporation securities even after you have terminated employment. If you are in possession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2" w:name="page133"/>
    <w:bookmarkEnd w:id="132"/>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9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760" w:right="860"/>
        <w:spacing w:after="0" w:line="259" w:lineRule="auto"/>
        <w:rPr>
          <w:sz w:val="20"/>
          <w:szCs w:val="20"/>
          <w:color w:val="auto"/>
        </w:rPr>
      </w:pPr>
      <w:r>
        <w:rPr>
          <w:rFonts w:ascii="Arial" w:cs="Arial" w:eastAsia="Arial" w:hAnsi="Arial"/>
          <w:sz w:val="22"/>
          <w:szCs w:val="22"/>
          <w:color w:val="auto"/>
        </w:rPr>
        <w:t>of material nonpublic information when your employment terminates, you may not trade in Black Hills Corporation securities until that information has become public or is no longer material.</w:t>
      </w:r>
    </w:p>
    <w:p>
      <w:pPr>
        <w:spacing w:after="0" w:line="154" w:lineRule="exact"/>
        <w:rPr>
          <w:sz w:val="20"/>
          <w:szCs w:val="20"/>
          <w:color w:val="auto"/>
        </w:rPr>
      </w:pPr>
    </w:p>
    <w:p>
      <w:pPr>
        <w:ind w:left="760" w:hanging="752"/>
        <w:spacing w:after="0"/>
        <w:tabs>
          <w:tab w:leader="none" w:pos="760" w:val="left"/>
        </w:tabs>
        <w:numPr>
          <w:ilvl w:val="0"/>
          <w:numId w:val="97"/>
        </w:numPr>
        <w:rPr>
          <w:rFonts w:ascii="Arial" w:cs="Arial" w:eastAsia="Arial" w:hAnsi="Arial"/>
          <w:sz w:val="22"/>
          <w:szCs w:val="22"/>
          <w:b w:val="1"/>
          <w:bCs w:val="1"/>
          <w:color w:val="auto"/>
        </w:rPr>
      </w:pPr>
      <w:r>
        <w:rPr>
          <w:rFonts w:ascii="Arial" w:cs="Arial" w:eastAsia="Arial" w:hAnsi="Arial"/>
          <w:sz w:val="22"/>
          <w:szCs w:val="22"/>
          <w:b w:val="1"/>
          <w:bCs w:val="1"/>
          <w:color w:val="auto"/>
        </w:rPr>
        <w:t>BLACKOUT PERIODS</w:t>
      </w:r>
    </w:p>
    <w:p>
      <w:pPr>
        <w:spacing w:after="0" w:line="206"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9.1</w:t>
      </w:r>
      <w:r>
        <w:rPr>
          <w:rFonts w:ascii="Arial" w:cs="Arial" w:eastAsia="Arial" w:hAnsi="Arial"/>
          <w:sz w:val="21"/>
          <w:szCs w:val="21"/>
          <w:b w:val="1"/>
          <w:bCs w:val="1"/>
          <w:color w:val="auto"/>
        </w:rPr>
        <w:t>Quarterly Blackout Periods</w:t>
      </w:r>
    </w:p>
    <w:p>
      <w:pPr>
        <w:spacing w:after="0" w:line="100" w:lineRule="exact"/>
        <w:rPr>
          <w:sz w:val="20"/>
          <w:szCs w:val="20"/>
          <w:color w:val="auto"/>
        </w:rPr>
      </w:pPr>
    </w:p>
    <w:p>
      <w:pPr>
        <w:ind w:left="1500" w:right="160"/>
        <w:spacing w:after="0"/>
        <w:rPr>
          <w:sz w:val="20"/>
          <w:szCs w:val="20"/>
          <w:color w:val="auto"/>
        </w:rPr>
      </w:pPr>
      <w:r>
        <w:rPr>
          <w:rFonts w:ascii="Arial" w:cs="Arial" w:eastAsia="Arial" w:hAnsi="Arial"/>
          <w:sz w:val="22"/>
          <w:szCs w:val="22"/>
          <w:color w:val="auto"/>
        </w:rPr>
        <w:t>The Company prohibits directors, officers and all employees who have received equity under the Company’s equity compensation program, from buying or selling Black Hills Corporation securities during a period of time beginning 10 business days before the last day of each fiscal quarter, until 48 hours following the release of quarterly earnings.</w:t>
      </w:r>
    </w:p>
    <w:p>
      <w:pPr>
        <w:spacing w:after="0" w:line="17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9.2</w:t>
      </w:r>
      <w:r>
        <w:rPr>
          <w:sz w:val="20"/>
          <w:szCs w:val="20"/>
          <w:color w:val="auto"/>
        </w:rPr>
        <w:tab/>
      </w:r>
      <w:r>
        <w:rPr>
          <w:rFonts w:ascii="Arial" w:cs="Arial" w:eastAsia="Arial" w:hAnsi="Arial"/>
          <w:sz w:val="21"/>
          <w:szCs w:val="21"/>
          <w:b w:val="1"/>
          <w:bCs w:val="1"/>
          <w:color w:val="auto"/>
        </w:rPr>
        <w:t>Event Specific Blackout Periods</w:t>
      </w:r>
    </w:p>
    <w:p>
      <w:pPr>
        <w:spacing w:after="0" w:line="100" w:lineRule="exact"/>
        <w:rPr>
          <w:sz w:val="20"/>
          <w:szCs w:val="20"/>
          <w:color w:val="auto"/>
        </w:rPr>
      </w:pPr>
    </w:p>
    <w:p>
      <w:pPr>
        <w:ind w:left="1500" w:right="80"/>
        <w:spacing w:after="0" w:line="245" w:lineRule="auto"/>
        <w:rPr>
          <w:sz w:val="20"/>
          <w:szCs w:val="20"/>
          <w:color w:val="auto"/>
        </w:rPr>
      </w:pPr>
      <w:r>
        <w:rPr>
          <w:rFonts w:ascii="Arial" w:cs="Arial" w:eastAsia="Arial" w:hAnsi="Arial"/>
          <w:sz w:val="21"/>
          <w:szCs w:val="21"/>
          <w:color w:val="auto"/>
        </w:rPr>
        <w:t>From time to time, an event may occur that is material to the Company and is known by only a few directors or employees. So long as the event remains material and nonpublic, directors, officers, and such other persons as are designated by the General Counsel or Corporate Secretary may not trade in Black Hills Corporation securities. The existence of an event-specific blackout will not be announced, other than to those who are aware of the event giving rise to the blackout. If, however, a person whose trades are subject to preclearance requests permission to trade in Black Hills Corporation securities during an event-specific blackout, the General Counsel or Corporate Secretary may inform the requestor of the existence of a blackout period, without disclosing the reason for the blackout. Any person made aware of the existence of an event-specific blackout should not disclose the existence of the blackout to any other person. The failure of the General Counsel or Corporate Secretary to designate a person as being subject to an event-specific blackout will not relieve that person of the obligation not to trade while aware of material nonpublic information.</w:t>
      </w:r>
    </w:p>
    <w:p>
      <w:pPr>
        <w:spacing w:after="0" w:line="201" w:lineRule="exact"/>
        <w:rPr>
          <w:sz w:val="20"/>
          <w:szCs w:val="20"/>
          <w:color w:val="auto"/>
        </w:rPr>
      </w:pPr>
    </w:p>
    <w:p>
      <w:pPr>
        <w:ind w:left="1500" w:right="120"/>
        <w:spacing w:after="0" w:line="235" w:lineRule="auto"/>
        <w:rPr>
          <w:sz w:val="20"/>
          <w:szCs w:val="20"/>
          <w:color w:val="auto"/>
        </w:rPr>
      </w:pPr>
      <w:r>
        <w:rPr>
          <w:rFonts w:ascii="Arial" w:cs="Arial" w:eastAsia="Arial" w:hAnsi="Arial"/>
          <w:sz w:val="22"/>
          <w:szCs w:val="22"/>
          <w:color w:val="auto"/>
        </w:rPr>
        <w:t>In addition, Section 306(a) of the Sarbanes-Oxley Act of 2002 prohibits any director or Section 16 officer of the Company from, directly or indirectly, purchasing, selling or otherwise acquiring or transferring any equity security of the Company during a pension plan blackout period that prevents plan participants and beneficiaries from engaging in transactions involving issuer equity securities held in their plan accounts. These prohibitions apply only if the securities acquired or disposed of by the director or officer were acquired in connection with his or her service or employment as a director or officer. Officers and directors will be notified of an impending pension plan blackout period. Regulations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940435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3" w:name="page134"/>
    <w:bookmarkEnd w:id="133"/>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10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1500" w:right="280"/>
        <w:spacing w:after="0" w:line="259" w:lineRule="auto"/>
        <w:rPr>
          <w:sz w:val="20"/>
          <w:szCs w:val="20"/>
          <w:color w:val="auto"/>
        </w:rPr>
      </w:pPr>
      <w:r>
        <w:rPr>
          <w:rFonts w:ascii="Arial" w:cs="Arial" w:eastAsia="Arial" w:hAnsi="Arial"/>
          <w:sz w:val="22"/>
          <w:szCs w:val="22"/>
          <w:color w:val="auto"/>
        </w:rPr>
        <w:t>pursuant to Section 306 (a) further define the type of securities subject to the prohibition, as well as exemptions from the trading prohibition.</w:t>
      </w:r>
    </w:p>
    <w:p>
      <w:pPr>
        <w:spacing w:after="0" w:line="154" w:lineRule="exact"/>
        <w:rPr>
          <w:sz w:val="20"/>
          <w:szCs w:val="20"/>
          <w:color w:val="auto"/>
        </w:rPr>
      </w:pPr>
    </w:p>
    <w:p>
      <w:pPr>
        <w:ind w:left="760" w:hanging="752"/>
        <w:spacing w:after="0"/>
        <w:tabs>
          <w:tab w:leader="none" w:pos="76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color w:val="auto"/>
        </w:rPr>
        <w:t>PRE-CLEARANCE OF ALL TRADES BY DIRECTORS, OFFICERS AND KEY EMPLOYEES</w:t>
      </w:r>
    </w:p>
    <w:p>
      <w:pPr>
        <w:spacing w:after="0" w:line="100" w:lineRule="exact"/>
        <w:rPr>
          <w:rFonts w:ascii="Arial" w:cs="Arial" w:eastAsia="Arial" w:hAnsi="Arial"/>
          <w:sz w:val="22"/>
          <w:szCs w:val="22"/>
          <w:b w:val="1"/>
          <w:bCs w:val="1"/>
          <w:color w:val="auto"/>
        </w:rPr>
      </w:pPr>
    </w:p>
    <w:p>
      <w:pPr>
        <w:ind w:left="760" w:right="200"/>
        <w:spacing w:after="0" w:line="255" w:lineRule="auto"/>
        <w:rPr>
          <w:rFonts w:ascii="Arial" w:cs="Arial" w:eastAsia="Arial" w:hAnsi="Arial"/>
          <w:sz w:val="22"/>
          <w:szCs w:val="22"/>
          <w:b w:val="1"/>
          <w:bCs w:val="1"/>
          <w:color w:val="auto"/>
        </w:rPr>
      </w:pPr>
      <w:r>
        <w:rPr>
          <w:rFonts w:ascii="Arial" w:cs="Arial" w:eastAsia="Arial" w:hAnsi="Arial"/>
          <w:sz w:val="21"/>
          <w:szCs w:val="21"/>
          <w:color w:val="auto"/>
        </w:rPr>
        <w:t>To provide assistance in preventing inadvertent violations and avoiding even the appearance of an improper transaction (which could result, for example, where an employee engages in a trade while unaware of a pending major development), the procedures set forth below must be followed by the Company’s directors, officers, and other employees who may have access to material nonpublic information:</w:t>
      </w:r>
    </w:p>
    <w:p>
      <w:pPr>
        <w:spacing w:after="0" w:line="189" w:lineRule="exact"/>
        <w:rPr>
          <w:sz w:val="20"/>
          <w:szCs w:val="20"/>
          <w:color w:val="auto"/>
        </w:rPr>
      </w:pPr>
    </w:p>
    <w:p>
      <w:pPr>
        <w:ind w:left="1500" w:right="120"/>
        <w:spacing w:after="0" w:line="236" w:lineRule="auto"/>
        <w:rPr>
          <w:sz w:val="20"/>
          <w:szCs w:val="20"/>
          <w:color w:val="auto"/>
        </w:rPr>
      </w:pPr>
      <w:r>
        <w:rPr>
          <w:rFonts w:ascii="Arial" w:cs="Arial" w:eastAsia="Arial" w:hAnsi="Arial"/>
          <w:sz w:val="22"/>
          <w:szCs w:val="22"/>
          <w:color w:val="auto"/>
        </w:rPr>
        <w:t>All transactions in Black Hills Corporation stock (acquisitions, dispositions, transfers, etc., including discretionary transactions in Company plans) by directors, officers and all employees who have received equity under the Company’s equity compensation program must be pre-cleared by the Senior Vice President-General Counsel or the Corporate Secretary of the Company. Individuals who are not directors or officers but who are subject to the pre-clearance policy will be so notified. This requirement does not apply to gifts or stock option exercises, but would cover market sales of option stock, including cashless exercises.</w:t>
      </w:r>
    </w:p>
    <w:p>
      <w:pPr>
        <w:spacing w:after="0" w:line="174" w:lineRule="exact"/>
        <w:rPr>
          <w:sz w:val="20"/>
          <w:szCs w:val="20"/>
          <w:color w:val="auto"/>
        </w:rPr>
      </w:pPr>
    </w:p>
    <w:p>
      <w:pPr>
        <w:ind w:left="760" w:hanging="752"/>
        <w:spacing w:after="0"/>
        <w:tabs>
          <w:tab w:leader="none" w:pos="760"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color w:val="auto"/>
        </w:rPr>
        <w:t>RULE 144 AND SECTION 16 COMPLIANCE FOR DIRECTORS AND EXECUTIVE OFFICERS</w:t>
      </w:r>
    </w:p>
    <w:p>
      <w:pPr>
        <w:spacing w:after="0" w:line="100" w:lineRule="exact"/>
        <w:rPr>
          <w:rFonts w:ascii="Arial" w:cs="Arial" w:eastAsia="Arial" w:hAnsi="Arial"/>
          <w:sz w:val="22"/>
          <w:szCs w:val="22"/>
          <w:b w:val="1"/>
          <w:bCs w:val="1"/>
          <w:color w:val="auto"/>
        </w:rPr>
      </w:pPr>
    </w:p>
    <w:p>
      <w:pPr>
        <w:ind w:left="760"/>
        <w:spacing w:after="0" w:line="233" w:lineRule="auto"/>
        <w:rPr>
          <w:rFonts w:ascii="Arial" w:cs="Arial" w:eastAsia="Arial" w:hAnsi="Arial"/>
          <w:sz w:val="22"/>
          <w:szCs w:val="22"/>
          <w:b w:val="1"/>
          <w:bCs w:val="1"/>
          <w:color w:val="auto"/>
        </w:rPr>
      </w:pPr>
      <w:r>
        <w:rPr>
          <w:rFonts w:ascii="Arial" w:cs="Arial" w:eastAsia="Arial" w:hAnsi="Arial"/>
          <w:sz w:val="22"/>
          <w:szCs w:val="22"/>
          <w:color w:val="auto"/>
        </w:rPr>
        <w:t xml:space="preserve">Members of the Board of Directors of the Company, and those individuals specified by the Company as Section 16 officers for purposes of Rule 144 and Section 16 (and only these individuals) are also subject to additional Section 16 trading prohibitions (short-swing profit rules), as well as very stringent transaction reporting requirements under Rule 144 and Section 16. Those individuals should familiarize themselves with these rules and regulations. If you are subject to Rule 144 and Section 16 compliance, you may obtain information on these rules and regulations from the Vice President-Governance. Generally, directors and executive officers must file with the Securities and Exchange Commission a Form 144 no later than the end of any business day that an order for sale is placed or a sale of the Company securities occurs. A </w:t>
      </w:r>
      <w:r>
        <w:rPr>
          <w:rFonts w:ascii="Arial" w:cs="Arial" w:eastAsia="Arial" w:hAnsi="Arial"/>
          <w:sz w:val="22"/>
          <w:szCs w:val="22"/>
          <w:b w:val="1"/>
          <w:bCs w:val="1"/>
          <w:color w:val="auto"/>
        </w:rPr>
        <w:t>Form 3</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Form 4 </w:t>
      </w:r>
      <w:r>
        <w:rPr>
          <w:rFonts w:ascii="Arial" w:cs="Arial" w:eastAsia="Arial" w:hAnsi="Arial"/>
          <w:sz w:val="22"/>
          <w:szCs w:val="22"/>
          <w:color w:val="auto"/>
        </w:rPr>
        <w:t>or</w:t>
      </w:r>
      <w:r>
        <w:rPr>
          <w:rFonts w:ascii="Arial" w:cs="Arial" w:eastAsia="Arial" w:hAnsi="Arial"/>
          <w:sz w:val="22"/>
          <w:szCs w:val="22"/>
          <w:b w:val="1"/>
          <w:bCs w:val="1"/>
          <w:color w:val="auto"/>
        </w:rPr>
        <w:t xml:space="preserve"> Form 5 </w:t>
      </w:r>
      <w:r>
        <w:rPr>
          <w:rFonts w:ascii="Arial" w:cs="Arial" w:eastAsia="Arial" w:hAnsi="Arial"/>
          <w:sz w:val="22"/>
          <w:szCs w:val="22"/>
          <w:color w:val="auto"/>
        </w:rPr>
        <w:t>is also required to be filed with the Securities and Exchange Commission by a director or</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officer of the Company for transactions involving the securities of the Company. In this regard, the Manager-Equity Compensation and Shareholder Services will assist in the preparation and filing of the necessary Form 4s by preparing the applicable form for signature by the individual director or Section 16 officer based upon information furnished by such individual and filing the executed forms with the Securities and Exchange Commission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4" w:name="page135"/>
    <w:bookmarkEnd w:id="134"/>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11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760" w:right="60"/>
        <w:spacing w:after="0" w:line="236" w:lineRule="auto"/>
        <w:rPr>
          <w:sz w:val="20"/>
          <w:szCs w:val="20"/>
          <w:color w:val="auto"/>
        </w:rPr>
      </w:pPr>
      <w:r>
        <w:rPr>
          <w:rFonts w:ascii="Arial" w:cs="Arial" w:eastAsia="Arial" w:hAnsi="Arial"/>
          <w:sz w:val="22"/>
          <w:szCs w:val="22"/>
          <w:color w:val="auto"/>
        </w:rPr>
        <w:t>promptly as possible (generally due within two business days of a transaction). Form 144s are expected to be prepared and filed by the individual director of Section 16 officer’s broker. Under the law, the individual director or Section 16 officer is obligated to file appropriate forms in a timely manner and to refrain from engaging in any unlawful transactions. The Company cannot and does not assume any legal responsibility in this regard, but the Manager-Equity Compensation and Shareholder Services will assist in accordance with the procedures outlined in this Section 11.</w:t>
      </w:r>
    </w:p>
    <w:p>
      <w:pPr>
        <w:spacing w:after="0" w:line="180" w:lineRule="exact"/>
        <w:rPr>
          <w:sz w:val="20"/>
          <w:szCs w:val="20"/>
          <w:color w:val="auto"/>
        </w:rPr>
      </w:pPr>
    </w:p>
    <w:p>
      <w:pPr>
        <w:ind w:left="760" w:hanging="752"/>
        <w:spacing w:after="0"/>
        <w:tabs>
          <w:tab w:leader="none" w:pos="7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UNAUTHORIZED DISCLOSURE</w:t>
      </w:r>
    </w:p>
    <w:p>
      <w:pPr>
        <w:spacing w:after="0" w:line="100" w:lineRule="exact"/>
        <w:rPr>
          <w:rFonts w:ascii="Arial" w:cs="Arial" w:eastAsia="Arial" w:hAnsi="Arial"/>
          <w:sz w:val="22"/>
          <w:szCs w:val="22"/>
          <w:b w:val="1"/>
          <w:bCs w:val="1"/>
          <w:color w:val="auto"/>
        </w:rPr>
      </w:pPr>
    </w:p>
    <w:p>
      <w:pPr>
        <w:ind w:left="760" w:right="20"/>
        <w:spacing w:after="0" w:line="233" w:lineRule="auto"/>
        <w:rPr>
          <w:rFonts w:ascii="Arial" w:cs="Arial" w:eastAsia="Arial" w:hAnsi="Arial"/>
          <w:sz w:val="22"/>
          <w:szCs w:val="22"/>
          <w:b w:val="1"/>
          <w:bCs w:val="1"/>
          <w:color w:val="auto"/>
        </w:rPr>
      </w:pPr>
      <w:r>
        <w:rPr>
          <w:rFonts w:ascii="Arial" w:cs="Arial" w:eastAsia="Arial" w:hAnsi="Arial"/>
          <w:sz w:val="22"/>
          <w:szCs w:val="22"/>
          <w:color w:val="auto"/>
        </w:rPr>
        <w:t>Serious problems could arise for the Company and you by any unauthorized disclosure of nonpublic information about the Company or its customers, whether or not for the purpose of facilitating improper trading in Company securities. It is the Company’s policy that you should not discuss nonpublic Company matters or developments relating to the Company or its customers with anyone outside of the Company (including family members, relatives and friends), except as required in the performance of your regular employment duties. Similarly, you should not discuss Company affairs in public or quasi-public areas where your conversation may be overheard (e.g., airplanes, restaurants, restrooms, elevators, etc.). This prohibition also applies to inquiries about the Company which may be made by the press, investment analysts or others in the financial community, including shareholders. It is important that all such communications on behalf of the Company be made only through authorized individuals. Unless you are expressly authorized to respond to inquiries of this nature, you should decline comment and refer the inquirer to the Company’s Director of Investor Relations.</w:t>
      </w:r>
    </w:p>
    <w:p>
      <w:pPr>
        <w:spacing w:after="0" w:line="182" w:lineRule="exact"/>
        <w:rPr>
          <w:rFonts w:ascii="Arial" w:cs="Arial" w:eastAsia="Arial" w:hAnsi="Arial"/>
          <w:sz w:val="22"/>
          <w:szCs w:val="22"/>
          <w:b w:val="1"/>
          <w:bCs w:val="1"/>
          <w:color w:val="auto"/>
        </w:rPr>
      </w:pPr>
    </w:p>
    <w:p>
      <w:pPr>
        <w:ind w:left="760" w:hanging="752"/>
        <w:spacing w:after="0"/>
        <w:tabs>
          <w:tab w:leader="none" w:pos="760" w:val="left"/>
        </w:tabs>
        <w:numPr>
          <w:ilvl w:val="0"/>
          <w:numId w:val="100"/>
        </w:numPr>
        <w:rPr>
          <w:rFonts w:ascii="Arial" w:cs="Arial" w:eastAsia="Arial" w:hAnsi="Arial"/>
          <w:sz w:val="22"/>
          <w:szCs w:val="22"/>
          <w:b w:val="1"/>
          <w:bCs w:val="1"/>
          <w:color w:val="auto"/>
        </w:rPr>
      </w:pPr>
      <w:r>
        <w:rPr>
          <w:rFonts w:ascii="Arial" w:cs="Arial" w:eastAsia="Arial" w:hAnsi="Arial"/>
          <w:sz w:val="22"/>
          <w:szCs w:val="22"/>
          <w:b w:val="1"/>
          <w:bCs w:val="1"/>
          <w:color w:val="auto"/>
        </w:rPr>
        <w:t>CONSEQUENCES</w:t>
      </w:r>
    </w:p>
    <w:p>
      <w:pPr>
        <w:spacing w:after="0" w:line="100"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The consequences of insider trading violations can be significant.</w:t>
      </w:r>
    </w:p>
    <w:p>
      <w:pPr>
        <w:spacing w:after="0" w:line="20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13.1</w:t>
      </w:r>
      <w:r>
        <w:rPr>
          <w:sz w:val="20"/>
          <w:szCs w:val="20"/>
          <w:color w:val="auto"/>
        </w:rPr>
        <w:tab/>
      </w:r>
      <w:r>
        <w:rPr>
          <w:rFonts w:ascii="Arial" w:cs="Arial" w:eastAsia="Arial" w:hAnsi="Arial"/>
          <w:sz w:val="21"/>
          <w:szCs w:val="21"/>
          <w:b w:val="1"/>
          <w:bCs w:val="1"/>
          <w:color w:val="auto"/>
        </w:rPr>
        <w:t>Individuals</w:t>
      </w:r>
    </w:p>
    <w:p>
      <w:pPr>
        <w:spacing w:after="0" w:line="100" w:lineRule="exact"/>
        <w:rPr>
          <w:sz w:val="20"/>
          <w:szCs w:val="20"/>
          <w:color w:val="auto"/>
        </w:rPr>
      </w:pPr>
    </w:p>
    <w:p>
      <w:pPr>
        <w:jc w:val="both"/>
        <w:ind w:left="1500" w:right="340"/>
        <w:spacing w:after="0" w:line="245" w:lineRule="auto"/>
        <w:rPr>
          <w:sz w:val="20"/>
          <w:szCs w:val="20"/>
          <w:color w:val="auto"/>
        </w:rPr>
      </w:pPr>
      <w:r>
        <w:rPr>
          <w:rFonts w:ascii="Arial" w:cs="Arial" w:eastAsia="Arial" w:hAnsi="Arial"/>
          <w:sz w:val="22"/>
          <w:szCs w:val="22"/>
          <w:color w:val="auto"/>
        </w:rPr>
        <w:t>Individuals who trade on inside information (or tip information to others) face sanctions of (a) a civil penalty of up to three times the profit gained or loss avoided, (b) criminal fines of up to $1.0 million (no matter how small the profit), and (c) a jail term.</w:t>
      </w:r>
    </w:p>
    <w:p>
      <w:pPr>
        <w:spacing w:after="0" w:line="195" w:lineRule="exact"/>
        <w:rPr>
          <w:sz w:val="20"/>
          <w:szCs w:val="20"/>
          <w:color w:val="auto"/>
        </w:rPr>
      </w:pPr>
    </w:p>
    <w:p>
      <w:pPr>
        <w:ind w:left="1500" w:right="40"/>
        <w:spacing w:after="0"/>
        <w:rPr>
          <w:sz w:val="20"/>
          <w:szCs w:val="20"/>
          <w:color w:val="auto"/>
        </w:rPr>
      </w:pPr>
      <w:r>
        <w:rPr>
          <w:rFonts w:ascii="Arial" w:cs="Arial" w:eastAsia="Arial" w:hAnsi="Arial"/>
          <w:sz w:val="22"/>
          <w:szCs w:val="22"/>
          <w:color w:val="auto"/>
        </w:rPr>
        <w:t xml:space="preserve">Moreover, </w:t>
      </w:r>
      <w:r>
        <w:rPr>
          <w:rFonts w:ascii="Arial" w:cs="Arial" w:eastAsia="Arial" w:hAnsi="Arial"/>
          <w:sz w:val="22"/>
          <w:szCs w:val="22"/>
          <w:b w:val="1"/>
          <w:bCs w:val="1"/>
          <w:color w:val="auto"/>
        </w:rPr>
        <w:t>a breach of Black Hills Corporation Policy regarding insider trading [or unauthorized</w:t>
      </w:r>
      <w:r>
        <w:rPr>
          <w:rFonts w:ascii="Arial" w:cs="Arial" w:eastAsia="Arial" w:hAnsi="Arial"/>
          <w:sz w:val="22"/>
          <w:szCs w:val="22"/>
          <w:color w:val="auto"/>
        </w:rPr>
        <w:t xml:space="preserve"> </w:t>
      </w:r>
      <w:r>
        <w:rPr>
          <w:rFonts w:ascii="Arial" w:cs="Arial" w:eastAsia="Arial" w:hAnsi="Arial"/>
          <w:sz w:val="22"/>
          <w:szCs w:val="22"/>
          <w:b w:val="1"/>
          <w:bCs w:val="1"/>
          <w:color w:val="auto"/>
        </w:rPr>
        <w:t>disclosure] may be grounds for [disciplinary action, which may be up to and include termination of employment]</w:t>
      </w:r>
      <w:r>
        <w:rPr>
          <w:rFonts w:ascii="Arial" w:cs="Arial" w:eastAsia="Arial" w:hAnsi="Arial"/>
          <w:sz w:val="22"/>
          <w:szCs w:val="22"/>
          <w:color w:val="auto"/>
        </w:rPr>
        <w:t>. Needless to say, any of the above consequences, even an</w:t>
      </w:r>
      <w:r>
        <w:rPr>
          <w:rFonts w:ascii="Arial" w:cs="Arial" w:eastAsia="Arial" w:hAnsi="Arial"/>
          <w:sz w:val="22"/>
          <w:szCs w:val="22"/>
          <w:b w:val="1"/>
          <w:bCs w:val="1"/>
          <w:color w:val="auto"/>
        </w:rPr>
        <w:t xml:space="preserve"> </w:t>
      </w:r>
      <w:r>
        <w:rPr>
          <w:rFonts w:ascii="Arial" w:cs="Arial" w:eastAsia="Arial" w:hAnsi="Arial"/>
          <w:sz w:val="22"/>
          <w:szCs w:val="22"/>
          <w:color w:val="auto"/>
        </w:rPr>
        <w:t>investigation by the Securities and Exchange Commission that does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5" w:name="page136"/>
    <w:bookmarkEnd w:id="135"/>
    <w:tbl>
      <w:tblPr>
        <w:tblLayout w:type="fixed"/>
        <w:tblInd w:w="10" w:type="dxa"/>
        <w:tblCellMar>
          <w:top w:w="0" w:type="dxa"/>
          <w:left w:w="0" w:type="dxa"/>
          <w:bottom w:w="0" w:type="dxa"/>
          <w:right w:w="0" w:type="dxa"/>
        </w:tblCellMar>
      </w:tblPr>
      <w:tr>
        <w:trPr>
          <w:trHeight w:val="247"/>
        </w:trPr>
        <w:tc>
          <w:tcPr>
            <w:tcW w:w="618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Policy Name:</w:t>
            </w:r>
          </w:p>
        </w:tc>
        <w:tc>
          <w:tcPr>
            <w:tcW w:w="30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Policy No.:</w:t>
            </w:r>
          </w:p>
        </w:tc>
        <w:tc>
          <w:tcPr>
            <w:tcW w:w="1980" w:type="dxa"/>
            <w:vAlign w:val="bottom"/>
            <w:tcBorders>
              <w:top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Page 12 of</w:t>
            </w:r>
          </w:p>
        </w:tc>
      </w:tr>
      <w:tr>
        <w:trPr>
          <w:trHeight w:val="243"/>
        </w:trPr>
        <w:tc>
          <w:tcPr>
            <w:tcW w:w="6180" w:type="dxa"/>
            <w:vAlign w:val="bottom"/>
            <w:tcBorders>
              <w:left w:val="single" w:sz="8" w:color="auto"/>
              <w:right w:val="single" w:sz="8" w:color="auto"/>
            </w:tcBorders>
          </w:tcPr>
          <w:p>
            <w:pPr>
              <w:ind w:left="120"/>
              <w:spacing w:after="0" w:line="243" w:lineRule="exact"/>
              <w:rPr>
                <w:sz w:val="20"/>
                <w:szCs w:val="20"/>
                <w:color w:val="auto"/>
              </w:rPr>
            </w:pPr>
            <w:r>
              <w:rPr>
                <w:rFonts w:ascii="Arial" w:cs="Arial" w:eastAsia="Arial" w:hAnsi="Arial"/>
                <w:sz w:val="22"/>
                <w:szCs w:val="22"/>
                <w:color w:val="auto"/>
              </w:rPr>
              <w:t>Insider Trading Policy</w:t>
            </w:r>
          </w:p>
        </w:tc>
        <w:tc>
          <w:tcPr>
            <w:tcW w:w="30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Corp-Governance-01</w:t>
            </w: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NUMPAGES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Arabic \*</w:t>
            </w:r>
          </w:p>
        </w:tc>
      </w:tr>
      <w:tr>
        <w:trPr>
          <w:trHeight w:val="243"/>
        </w:trPr>
        <w:tc>
          <w:tcPr>
            <w:tcW w:w="6180" w:type="dxa"/>
            <w:vAlign w:val="bottom"/>
            <w:tcBorders>
              <w:left w:val="single" w:sz="8" w:color="auto"/>
              <w:right w:val="single" w:sz="8" w:color="auto"/>
            </w:tcBorders>
          </w:tcPr>
          <w:p>
            <w:pPr>
              <w:spacing w:after="0"/>
              <w:rPr>
                <w:sz w:val="21"/>
                <w:szCs w:val="21"/>
                <w:color w:val="auto"/>
              </w:rPr>
            </w:pPr>
          </w:p>
        </w:tc>
        <w:tc>
          <w:tcPr>
            <w:tcW w:w="3080" w:type="dxa"/>
            <w:vAlign w:val="bottom"/>
            <w:tcBorders>
              <w:right w:val="single" w:sz="8" w:color="auto"/>
            </w:tcBorders>
          </w:tcPr>
          <w:p>
            <w:pPr>
              <w:spacing w:after="0"/>
              <w:rPr>
                <w:sz w:val="21"/>
                <w:szCs w:val="21"/>
                <w:color w:val="auto"/>
              </w:rPr>
            </w:pPr>
          </w:p>
        </w:tc>
        <w:tc>
          <w:tcPr>
            <w:tcW w:w="1980" w:type="dxa"/>
            <w:vAlign w:val="bottom"/>
            <w:tcBorders>
              <w:right w:val="single" w:sz="8" w:color="auto"/>
            </w:tcBorders>
          </w:tcPr>
          <w:p>
            <w:pPr>
              <w:ind w:left="100"/>
              <w:spacing w:after="0" w:line="243" w:lineRule="exact"/>
              <w:rPr>
                <w:sz w:val="20"/>
                <w:szCs w:val="20"/>
                <w:color w:val="auto"/>
              </w:rPr>
            </w:pPr>
            <w:r>
              <w:rPr>
                <w:rFonts w:ascii="Arial" w:cs="Arial" w:eastAsia="Arial" w:hAnsi="Arial"/>
                <w:sz w:val="22"/>
                <w:szCs w:val="22"/>
                <w:color w:val="auto"/>
              </w:rPr>
              <w:t>MERGEFORMAT</w:t>
            </w:r>
          </w:p>
        </w:tc>
      </w:tr>
      <w:tr>
        <w:trPr>
          <w:trHeight w:val="280"/>
        </w:trPr>
        <w:tc>
          <w:tcPr>
            <w:tcW w:w="6180" w:type="dxa"/>
            <w:vAlign w:val="bottom"/>
            <w:tcBorders>
              <w:left w:val="single" w:sz="8" w:color="auto"/>
              <w:bottom w:val="single" w:sz="8" w:color="auto"/>
              <w:right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1</w:t>
            </w:r>
          </w:p>
        </w:tc>
      </w:tr>
    </w:tbl>
    <w:p>
      <w:pPr>
        <w:spacing w:after="0" w:line="21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result in prosecution, can tarnish one’s reputation and irreparably damage a career.</w:t>
      </w:r>
    </w:p>
    <w:p>
      <w:pPr>
        <w:spacing w:after="0" w:line="204" w:lineRule="exact"/>
        <w:rPr>
          <w:sz w:val="20"/>
          <w:szCs w:val="20"/>
          <w:color w:val="auto"/>
        </w:rPr>
      </w:pPr>
    </w:p>
    <w:p>
      <w:pPr>
        <w:ind w:left="760"/>
        <w:spacing w:after="0"/>
        <w:tabs>
          <w:tab w:leader="none" w:pos="1480" w:val="left"/>
        </w:tabs>
        <w:rPr>
          <w:sz w:val="20"/>
          <w:szCs w:val="20"/>
          <w:color w:val="auto"/>
        </w:rPr>
      </w:pPr>
      <w:r>
        <w:rPr>
          <w:rFonts w:ascii="Arial" w:cs="Arial" w:eastAsia="Arial" w:hAnsi="Arial"/>
          <w:sz w:val="22"/>
          <w:szCs w:val="22"/>
          <w:b w:val="1"/>
          <w:bCs w:val="1"/>
          <w:color w:val="auto"/>
        </w:rPr>
        <w:t>13.2</w:t>
      </w:r>
      <w:r>
        <w:rPr>
          <w:sz w:val="20"/>
          <w:szCs w:val="20"/>
          <w:color w:val="auto"/>
        </w:rPr>
        <w:tab/>
      </w:r>
      <w:r>
        <w:rPr>
          <w:rFonts w:ascii="Arial" w:cs="Arial" w:eastAsia="Arial" w:hAnsi="Arial"/>
          <w:sz w:val="21"/>
          <w:szCs w:val="21"/>
          <w:b w:val="1"/>
          <w:bCs w:val="1"/>
          <w:color w:val="auto"/>
        </w:rPr>
        <w:t>Company</w:t>
      </w:r>
    </w:p>
    <w:p>
      <w:pPr>
        <w:spacing w:after="0" w:line="100" w:lineRule="exact"/>
        <w:rPr>
          <w:sz w:val="20"/>
          <w:szCs w:val="20"/>
          <w:color w:val="auto"/>
        </w:rPr>
      </w:pPr>
    </w:p>
    <w:p>
      <w:pPr>
        <w:ind w:left="1500" w:right="40"/>
        <w:spacing w:after="0" w:line="262" w:lineRule="auto"/>
        <w:rPr>
          <w:sz w:val="20"/>
          <w:szCs w:val="20"/>
          <w:color w:val="auto"/>
        </w:rPr>
      </w:pPr>
      <w:r>
        <w:rPr>
          <w:rFonts w:ascii="Arial" w:cs="Arial" w:eastAsia="Arial" w:hAnsi="Arial"/>
          <w:sz w:val="21"/>
          <w:szCs w:val="21"/>
          <w:color w:val="auto"/>
        </w:rPr>
        <w:t>A company (as well as possibly any supervisory person) that fails to take appropriate steps to prevent illegal trading faces sanctions of (a) a civil penalty of the greater of $1.0 million or three times the profit gained or loss avoided as a result of the employee’s violation, and (b) a criminal penalty.</w:t>
      </w:r>
    </w:p>
    <w:p>
      <w:pPr>
        <w:spacing w:after="0" w:line="152" w:lineRule="exact"/>
        <w:rPr>
          <w:sz w:val="20"/>
          <w:szCs w:val="20"/>
          <w:color w:val="auto"/>
        </w:rPr>
      </w:pPr>
    </w:p>
    <w:p>
      <w:pPr>
        <w:ind w:left="760" w:hanging="752"/>
        <w:spacing w:after="0"/>
        <w:tabs>
          <w:tab w:leader="none" w:pos="7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COMPANY ASSISTANCE</w:t>
      </w:r>
    </w:p>
    <w:p>
      <w:pPr>
        <w:spacing w:after="0" w:line="100" w:lineRule="exact"/>
        <w:rPr>
          <w:rFonts w:ascii="Arial" w:cs="Arial" w:eastAsia="Arial" w:hAnsi="Arial"/>
          <w:sz w:val="22"/>
          <w:szCs w:val="22"/>
          <w:b w:val="1"/>
          <w:bCs w:val="1"/>
          <w:color w:val="auto"/>
        </w:rPr>
      </w:pPr>
    </w:p>
    <w:p>
      <w:pPr>
        <w:ind w:left="760" w:right="8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If you have any questions about whether information received by you about the Company (or any corporation with whom we do business) is inside information, you should refrain from trading or disclosing such information until you first determine that such information is public, nonmaterial, or both. When in doubt, consult with the Company’s Corporate Secretary or General Counsel. Remember however, the ultimate responsibility for adhering to the Policy and avoiding improper transactions rests with you. It is imperative that you use your best judgment.</w:t>
      </w:r>
    </w:p>
    <w:p>
      <w:pPr>
        <w:spacing w:after="0" w:line="179" w:lineRule="exact"/>
        <w:rPr>
          <w:rFonts w:ascii="Arial" w:cs="Arial" w:eastAsia="Arial" w:hAnsi="Arial"/>
          <w:sz w:val="22"/>
          <w:szCs w:val="22"/>
          <w:b w:val="1"/>
          <w:bCs w:val="1"/>
          <w:color w:val="auto"/>
        </w:rPr>
      </w:pPr>
    </w:p>
    <w:p>
      <w:pPr>
        <w:ind w:left="760" w:hanging="752"/>
        <w:spacing w:after="0"/>
        <w:tabs>
          <w:tab w:leader="none" w:pos="760" w:val="left"/>
        </w:tabs>
        <w:numPr>
          <w:ilvl w:val="0"/>
          <w:numId w:val="101"/>
        </w:numPr>
        <w:rPr>
          <w:rFonts w:ascii="Arial" w:cs="Arial" w:eastAsia="Arial" w:hAnsi="Arial"/>
          <w:sz w:val="22"/>
          <w:szCs w:val="22"/>
          <w:b w:val="1"/>
          <w:bCs w:val="1"/>
          <w:color w:val="auto"/>
        </w:rPr>
      </w:pPr>
      <w:r>
        <w:rPr>
          <w:rFonts w:ascii="Arial" w:cs="Arial" w:eastAsia="Arial" w:hAnsi="Arial"/>
          <w:sz w:val="22"/>
          <w:szCs w:val="22"/>
          <w:b w:val="1"/>
          <w:bCs w:val="1"/>
          <w:color w:val="auto"/>
        </w:rPr>
        <w:t>REVISION HISTORY</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1660" w:type="dxa"/>
            <w:vAlign w:val="bottom"/>
            <w:tcBorders>
              <w:top w:val="single" w:sz="8" w:color="auto"/>
              <w:left w:val="single" w:sz="8" w:color="auto"/>
              <w:bottom w:val="single" w:sz="8" w:color="auto"/>
              <w:right w:val="single" w:sz="8" w:color="auto"/>
            </w:tcBorders>
            <w:shd w:val="clear" w:color="auto" w:fill="F2F2F2"/>
          </w:tcPr>
          <w:p>
            <w:pPr>
              <w:ind w:left="180"/>
              <w:spacing w:after="0"/>
              <w:rPr>
                <w:sz w:val="20"/>
                <w:szCs w:val="20"/>
                <w:color w:val="auto"/>
              </w:rPr>
            </w:pPr>
            <w:r>
              <w:rPr>
                <w:rFonts w:ascii="Arial" w:cs="Arial" w:eastAsia="Arial" w:hAnsi="Arial"/>
                <w:sz w:val="22"/>
                <w:szCs w:val="22"/>
                <w:color w:val="auto"/>
              </w:rPr>
              <w:t>Revision #</w:t>
            </w:r>
          </w:p>
        </w:tc>
        <w:tc>
          <w:tcPr>
            <w:tcW w:w="182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22"/>
                <w:szCs w:val="22"/>
                <w:color w:val="auto"/>
              </w:rPr>
              <w:t>Revision Date</w:t>
            </w:r>
          </w:p>
        </w:tc>
        <w:tc>
          <w:tcPr>
            <w:tcW w:w="496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22"/>
                <w:szCs w:val="22"/>
                <w:color w:val="auto"/>
              </w:rPr>
              <w:t>Description</w:t>
            </w:r>
          </w:p>
        </w:tc>
        <w:tc>
          <w:tcPr>
            <w:tcW w:w="2800" w:type="dxa"/>
            <w:vAlign w:val="bottom"/>
            <w:tcBorders>
              <w:top w:val="single" w:sz="8" w:color="auto"/>
              <w:bottom w:val="single" w:sz="8" w:color="auto"/>
            </w:tcBorders>
            <w:shd w:val="clear" w:color="auto" w:fill="F2F2F2"/>
          </w:tcPr>
          <w:p>
            <w:pPr>
              <w:ind w:left="80"/>
              <w:spacing w:after="0"/>
              <w:rPr>
                <w:sz w:val="20"/>
                <w:szCs w:val="20"/>
                <w:color w:val="auto"/>
              </w:rPr>
            </w:pPr>
            <w:r>
              <w:rPr>
                <w:rFonts w:ascii="Arial" w:cs="Arial" w:eastAsia="Arial" w:hAnsi="Arial"/>
                <w:sz w:val="22"/>
                <w:szCs w:val="22"/>
                <w:color w:val="auto"/>
              </w:rPr>
              <w:t>Revised By</w:t>
            </w:r>
          </w:p>
        </w:tc>
      </w:tr>
      <w:tr>
        <w:trPr>
          <w:trHeight w:val="247"/>
        </w:trPr>
        <w:tc>
          <w:tcPr>
            <w:tcW w:w="1660" w:type="dxa"/>
            <w:vAlign w:val="bottom"/>
            <w:tcBorders>
              <w:bottom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New</w:t>
            </w:r>
          </w:p>
        </w:tc>
        <w:tc>
          <w:tcPr>
            <w:tcW w:w="1820" w:type="dxa"/>
            <w:vAlign w:val="bottom"/>
            <w:tcBorders>
              <w:bottom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12-07-2001</w:t>
            </w:r>
          </w:p>
        </w:tc>
        <w:tc>
          <w:tcPr>
            <w:tcW w:w="4960" w:type="dxa"/>
            <w:vAlign w:val="bottom"/>
            <w:tcBorders>
              <w:bottom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New Policy</w:t>
            </w:r>
          </w:p>
        </w:tc>
        <w:tc>
          <w:tcPr>
            <w:tcW w:w="2800" w:type="dxa"/>
            <w:vAlign w:val="bottom"/>
            <w:tcBorders>
              <w:bottom w:val="single" w:sz="8" w:color="auto"/>
            </w:tcBorders>
          </w:tcPr>
          <w:p>
            <w:pPr>
              <w:ind w:left="80"/>
              <w:spacing w:after="0" w:line="247" w:lineRule="exact"/>
              <w:rPr>
                <w:sz w:val="20"/>
                <w:szCs w:val="20"/>
                <w:color w:val="auto"/>
              </w:rPr>
            </w:pPr>
            <w:r>
              <w:rPr>
                <w:rFonts w:ascii="Arial" w:cs="Arial" w:eastAsia="Arial" w:hAnsi="Arial"/>
                <w:sz w:val="22"/>
                <w:szCs w:val="22"/>
                <w:color w:val="auto"/>
              </w:rPr>
              <w:t>Sr. Management</w:t>
            </w:r>
          </w:p>
        </w:tc>
      </w:tr>
      <w:tr>
        <w:trPr>
          <w:trHeight w:val="224"/>
        </w:trPr>
        <w:tc>
          <w:tcPr>
            <w:tcW w:w="1660" w:type="dxa"/>
            <w:vAlign w:val="bottom"/>
            <w:tcBorders>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2</w:t>
            </w:r>
          </w:p>
        </w:tc>
        <w:tc>
          <w:tcPr>
            <w:tcW w:w="182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12-08-2017</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Prohibit all pledging of company stock by</w:t>
            </w:r>
          </w:p>
        </w:tc>
        <w:tc>
          <w:tcPr>
            <w:tcW w:w="2800" w:type="dxa"/>
            <w:vAlign w:val="bottom"/>
          </w:tcPr>
          <w:p>
            <w:pPr>
              <w:ind w:left="80"/>
              <w:spacing w:after="0" w:line="224" w:lineRule="exact"/>
              <w:rPr>
                <w:sz w:val="20"/>
                <w:szCs w:val="20"/>
                <w:color w:val="auto"/>
              </w:rPr>
            </w:pPr>
            <w:r>
              <w:rPr>
                <w:rFonts w:ascii="Arial" w:cs="Arial" w:eastAsia="Arial" w:hAnsi="Arial"/>
                <w:sz w:val="22"/>
                <w:szCs w:val="22"/>
                <w:color w:val="auto"/>
              </w:rPr>
              <w:t>Sr. Management</w:t>
            </w:r>
          </w:p>
        </w:tc>
      </w:tr>
      <w:tr>
        <w:trPr>
          <w:trHeight w:val="283"/>
        </w:trPr>
        <w:tc>
          <w:tcPr>
            <w:tcW w:w="16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employees</w:t>
            </w:r>
          </w:p>
        </w:tc>
        <w:tc>
          <w:tcPr>
            <w:tcW w:w="2800" w:type="dxa"/>
            <w:vAlign w:val="bottom"/>
            <w:tcBorders>
              <w:bottom w:val="single" w:sz="8" w:color="auto"/>
            </w:tcBorders>
          </w:tcPr>
          <w:p>
            <w:pPr>
              <w:spacing w:after="0"/>
              <w:rPr>
                <w:sz w:val="24"/>
                <w:szCs w:val="24"/>
                <w:color w:val="auto"/>
              </w:rPr>
            </w:pPr>
          </w:p>
        </w:tc>
      </w:tr>
      <w:tr>
        <w:trPr>
          <w:trHeight w:val="224"/>
        </w:trPr>
        <w:tc>
          <w:tcPr>
            <w:tcW w:w="1660" w:type="dxa"/>
            <w:vAlign w:val="bottom"/>
            <w:tcBorders>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3</w:t>
            </w:r>
          </w:p>
        </w:tc>
        <w:tc>
          <w:tcPr>
            <w:tcW w:w="182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11-09-2020</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Transferred policy to new template and annual</w:t>
            </w:r>
          </w:p>
        </w:tc>
        <w:tc>
          <w:tcPr>
            <w:tcW w:w="2800" w:type="dxa"/>
            <w:vAlign w:val="bottom"/>
          </w:tcPr>
          <w:p>
            <w:pPr>
              <w:ind w:left="80"/>
              <w:spacing w:after="0" w:line="224" w:lineRule="exact"/>
              <w:rPr>
                <w:sz w:val="20"/>
                <w:szCs w:val="20"/>
                <w:color w:val="auto"/>
              </w:rPr>
            </w:pPr>
            <w:r>
              <w:rPr>
                <w:rFonts w:ascii="Arial" w:cs="Arial" w:eastAsia="Arial" w:hAnsi="Arial"/>
                <w:sz w:val="22"/>
                <w:szCs w:val="22"/>
                <w:color w:val="auto"/>
              </w:rPr>
              <w:t>Sr. Management</w:t>
            </w:r>
          </w:p>
        </w:tc>
      </w:tr>
      <w:tr>
        <w:trPr>
          <w:trHeight w:val="283"/>
        </w:trPr>
        <w:tc>
          <w:tcPr>
            <w:tcW w:w="16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review</w:t>
            </w:r>
          </w:p>
        </w:tc>
        <w:tc>
          <w:tcPr>
            <w:tcW w:w="2800" w:type="dxa"/>
            <w:vAlign w:val="bottom"/>
            <w:tcBorders>
              <w:bottom w:val="single" w:sz="8" w:color="auto"/>
            </w:tcBorders>
          </w:tcPr>
          <w:p>
            <w:pPr>
              <w:spacing w:after="0"/>
              <w:rPr>
                <w:sz w:val="24"/>
                <w:szCs w:val="24"/>
                <w:color w:val="auto"/>
              </w:rPr>
            </w:pPr>
          </w:p>
        </w:tc>
      </w:tr>
      <w:tr>
        <w:trPr>
          <w:trHeight w:val="224"/>
        </w:trPr>
        <w:tc>
          <w:tcPr>
            <w:tcW w:w="1660" w:type="dxa"/>
            <w:vAlign w:val="bottom"/>
            <w:tcBorders>
              <w:right w:val="single" w:sz="8" w:color="auto"/>
            </w:tcBorders>
          </w:tcPr>
          <w:p>
            <w:pPr>
              <w:ind w:left="120"/>
              <w:spacing w:after="0" w:line="224" w:lineRule="exact"/>
              <w:rPr>
                <w:sz w:val="20"/>
                <w:szCs w:val="20"/>
                <w:color w:val="auto"/>
              </w:rPr>
            </w:pPr>
            <w:r>
              <w:rPr>
                <w:rFonts w:ascii="Arial" w:cs="Arial" w:eastAsia="Arial" w:hAnsi="Arial"/>
                <w:sz w:val="22"/>
                <w:szCs w:val="22"/>
                <w:color w:val="auto"/>
              </w:rPr>
              <w:t>4</w:t>
            </w:r>
          </w:p>
        </w:tc>
        <w:tc>
          <w:tcPr>
            <w:tcW w:w="182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rPr>
              <w:t>08-17-2023</w:t>
            </w:r>
          </w:p>
        </w:tc>
        <w:tc>
          <w:tcPr>
            <w:tcW w:w="4960" w:type="dxa"/>
            <w:vAlign w:val="bottom"/>
            <w:tcBorders>
              <w:right w:val="single" w:sz="8" w:color="auto"/>
            </w:tcBorders>
          </w:tcPr>
          <w:p>
            <w:pPr>
              <w:ind w:left="80"/>
              <w:spacing w:after="0" w:line="224" w:lineRule="exact"/>
              <w:rPr>
                <w:sz w:val="20"/>
                <w:szCs w:val="20"/>
                <w:color w:val="auto"/>
              </w:rPr>
            </w:pPr>
            <w:r>
              <w:rPr>
                <w:rFonts w:ascii="Arial" w:cs="Arial" w:eastAsia="Arial" w:hAnsi="Arial"/>
                <w:sz w:val="22"/>
                <w:szCs w:val="22"/>
                <w:color w:val="auto"/>
                <w:w w:val="99"/>
              </w:rPr>
              <w:t>Updated examples of material information to align</w:t>
            </w:r>
          </w:p>
        </w:tc>
        <w:tc>
          <w:tcPr>
            <w:tcW w:w="2800" w:type="dxa"/>
            <w:vAlign w:val="bottom"/>
          </w:tcPr>
          <w:p>
            <w:pPr>
              <w:ind w:left="80"/>
              <w:spacing w:after="0" w:line="224" w:lineRule="exact"/>
              <w:rPr>
                <w:sz w:val="20"/>
                <w:szCs w:val="20"/>
                <w:color w:val="auto"/>
              </w:rPr>
            </w:pPr>
            <w:r>
              <w:rPr>
                <w:rFonts w:ascii="Arial" w:cs="Arial" w:eastAsia="Arial" w:hAnsi="Arial"/>
                <w:sz w:val="22"/>
                <w:szCs w:val="22"/>
                <w:color w:val="auto"/>
              </w:rPr>
              <w:t>Sr. Management</w:t>
            </w:r>
          </w:p>
        </w:tc>
      </w:tr>
      <w:tr>
        <w:trPr>
          <w:trHeight w:val="243"/>
        </w:trPr>
        <w:tc>
          <w:tcPr>
            <w:tcW w:w="16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with other Company policies, revised references</w:t>
            </w:r>
          </w:p>
        </w:tc>
        <w:tc>
          <w:tcPr>
            <w:tcW w:w="2800" w:type="dxa"/>
            <w:vAlign w:val="bottom"/>
          </w:tcPr>
          <w:p>
            <w:pPr>
              <w:spacing w:after="0"/>
              <w:rPr>
                <w:sz w:val="21"/>
                <w:szCs w:val="21"/>
                <w:color w:val="auto"/>
              </w:rPr>
            </w:pPr>
          </w:p>
        </w:tc>
      </w:tr>
      <w:tr>
        <w:trPr>
          <w:trHeight w:val="243"/>
        </w:trPr>
        <w:tc>
          <w:tcPr>
            <w:tcW w:w="16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to key employees to say all employees who have</w:t>
            </w:r>
          </w:p>
        </w:tc>
        <w:tc>
          <w:tcPr>
            <w:tcW w:w="2800" w:type="dxa"/>
            <w:vAlign w:val="bottom"/>
          </w:tcPr>
          <w:p>
            <w:pPr>
              <w:spacing w:after="0"/>
              <w:rPr>
                <w:sz w:val="21"/>
                <w:szCs w:val="21"/>
                <w:color w:val="auto"/>
              </w:rPr>
            </w:pPr>
          </w:p>
        </w:tc>
      </w:tr>
      <w:tr>
        <w:trPr>
          <w:trHeight w:val="243"/>
        </w:trPr>
        <w:tc>
          <w:tcPr>
            <w:tcW w:w="16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received equity under the Company’s equity</w:t>
            </w:r>
          </w:p>
        </w:tc>
        <w:tc>
          <w:tcPr>
            <w:tcW w:w="2800" w:type="dxa"/>
            <w:vAlign w:val="bottom"/>
          </w:tcPr>
          <w:p>
            <w:pPr>
              <w:spacing w:after="0"/>
              <w:rPr>
                <w:sz w:val="21"/>
                <w:szCs w:val="21"/>
                <w:color w:val="auto"/>
              </w:rPr>
            </w:pPr>
          </w:p>
        </w:tc>
      </w:tr>
      <w:tr>
        <w:trPr>
          <w:trHeight w:val="243"/>
        </w:trPr>
        <w:tc>
          <w:tcPr>
            <w:tcW w:w="16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compensation plan, removed executive and</w:t>
            </w:r>
          </w:p>
        </w:tc>
        <w:tc>
          <w:tcPr>
            <w:tcW w:w="2800" w:type="dxa"/>
            <w:vAlign w:val="bottom"/>
          </w:tcPr>
          <w:p>
            <w:pPr>
              <w:spacing w:after="0"/>
              <w:rPr>
                <w:sz w:val="21"/>
                <w:szCs w:val="21"/>
                <w:color w:val="auto"/>
              </w:rPr>
            </w:pPr>
          </w:p>
        </w:tc>
      </w:tr>
      <w:tr>
        <w:trPr>
          <w:trHeight w:val="243"/>
        </w:trPr>
        <w:tc>
          <w:tcPr>
            <w:tcW w:w="16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replaced with Section 16 when referring to</w:t>
            </w:r>
          </w:p>
        </w:tc>
        <w:tc>
          <w:tcPr>
            <w:tcW w:w="2800" w:type="dxa"/>
            <w:vAlign w:val="bottom"/>
          </w:tcPr>
          <w:p>
            <w:pPr>
              <w:spacing w:after="0"/>
              <w:rPr>
                <w:sz w:val="21"/>
                <w:szCs w:val="21"/>
                <w:color w:val="auto"/>
              </w:rPr>
            </w:pPr>
          </w:p>
        </w:tc>
      </w:tr>
      <w:tr>
        <w:trPr>
          <w:trHeight w:val="243"/>
        </w:trPr>
        <w:tc>
          <w:tcPr>
            <w:tcW w:w="1660" w:type="dxa"/>
            <w:vAlign w:val="bottom"/>
            <w:tcBorders>
              <w:right w:val="single" w:sz="8" w:color="auto"/>
            </w:tcBorders>
          </w:tcPr>
          <w:p>
            <w:pPr>
              <w:spacing w:after="0"/>
              <w:rPr>
                <w:sz w:val="21"/>
                <w:szCs w:val="21"/>
                <w:color w:val="auto"/>
              </w:rPr>
            </w:pPr>
          </w:p>
        </w:tc>
        <w:tc>
          <w:tcPr>
            <w:tcW w:w="1820" w:type="dxa"/>
            <w:vAlign w:val="bottom"/>
            <w:tcBorders>
              <w:right w:val="single" w:sz="8" w:color="auto"/>
            </w:tcBorders>
          </w:tcPr>
          <w:p>
            <w:pPr>
              <w:spacing w:after="0"/>
              <w:rPr>
                <w:sz w:val="21"/>
                <w:szCs w:val="21"/>
                <w:color w:val="auto"/>
              </w:rPr>
            </w:pPr>
          </w:p>
        </w:tc>
        <w:tc>
          <w:tcPr>
            <w:tcW w:w="4960" w:type="dxa"/>
            <w:vAlign w:val="bottom"/>
            <w:tcBorders>
              <w:right w:val="single" w:sz="8" w:color="auto"/>
            </w:tcBorders>
          </w:tcPr>
          <w:p>
            <w:pPr>
              <w:ind w:left="80"/>
              <w:spacing w:after="0" w:line="243" w:lineRule="exact"/>
              <w:rPr>
                <w:sz w:val="20"/>
                <w:szCs w:val="20"/>
                <w:color w:val="auto"/>
              </w:rPr>
            </w:pPr>
            <w:r>
              <w:rPr>
                <w:rFonts w:ascii="Arial" w:cs="Arial" w:eastAsia="Arial" w:hAnsi="Arial"/>
                <w:sz w:val="22"/>
                <w:szCs w:val="22"/>
                <w:color w:val="auto"/>
              </w:rPr>
              <w:t>impacted officers, and updated to conform to</w:t>
            </w:r>
          </w:p>
        </w:tc>
        <w:tc>
          <w:tcPr>
            <w:tcW w:w="2800" w:type="dxa"/>
            <w:vAlign w:val="bottom"/>
          </w:tcPr>
          <w:p>
            <w:pPr>
              <w:spacing w:after="0"/>
              <w:rPr>
                <w:sz w:val="21"/>
                <w:szCs w:val="21"/>
                <w:color w:val="auto"/>
              </w:rPr>
            </w:pPr>
          </w:p>
        </w:tc>
      </w:tr>
      <w:tr>
        <w:trPr>
          <w:trHeight w:val="283"/>
        </w:trPr>
        <w:tc>
          <w:tcPr>
            <w:tcW w:w="1660" w:type="dxa"/>
            <w:vAlign w:val="bottom"/>
            <w:tcBorders>
              <w:bottom w:val="single" w:sz="8" w:color="auto"/>
              <w:right w:val="single" w:sz="8" w:color="auto"/>
            </w:tcBorders>
          </w:tcPr>
          <w:p>
            <w:pPr>
              <w:spacing w:after="0"/>
              <w:rPr>
                <w:sz w:val="24"/>
                <w:szCs w:val="24"/>
                <w:color w:val="auto"/>
              </w:rPr>
            </w:pPr>
          </w:p>
        </w:tc>
        <w:tc>
          <w:tcPr>
            <w:tcW w:w="1820" w:type="dxa"/>
            <w:vAlign w:val="bottom"/>
            <w:tcBorders>
              <w:bottom w:val="single" w:sz="8" w:color="auto"/>
              <w:right w:val="single" w:sz="8" w:color="auto"/>
            </w:tcBorders>
          </w:tcPr>
          <w:p>
            <w:pPr>
              <w:spacing w:after="0"/>
              <w:rPr>
                <w:sz w:val="24"/>
                <w:szCs w:val="24"/>
                <w:color w:val="auto"/>
              </w:rPr>
            </w:pPr>
          </w:p>
        </w:tc>
        <w:tc>
          <w:tcPr>
            <w:tcW w:w="4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revised 10b5-1 plan SEC rules.</w:t>
            </w:r>
          </w:p>
        </w:tc>
        <w:tc>
          <w:tcPr>
            <w:tcW w:w="28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-2296795</wp:posOffset>
            </wp:positionV>
            <wp:extent cx="7132320" cy="24771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41">
                      <a:extLst>
                        <a:ext uri="{28A0092B-C50C-407E-A947-70E740481C1C}"/>
                      </a:extLst>
                    </a:blip>
                    <a:srcRect/>
                    <a:stretch>
                      <a:fillRect/>
                    </a:stretch>
                  </pic:blipFill>
                  <pic:spPr bwMode="auto">
                    <a:xfrm>
                      <a:off x="0" y="0"/>
                      <a:ext cx="7132320" cy="24771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22"/>
          <w:szCs w:val="22"/>
          <w:color w:val="auto"/>
        </w:rPr>
        <w:t>(List every instance of the document being changed or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1035685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6"/>
          <w:szCs w:val="16"/>
          <w:b w:val="1"/>
          <w:bCs w:val="1"/>
          <w:color w:val="auto"/>
        </w:rPr>
        <w:t>Exhibit 21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December 31, 2023</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800" w:type="dxa"/>
            <w:vAlign w:val="bottom"/>
            <w:tcBorders>
              <w:top w:val="single" w:sz="8" w:color="auto"/>
              <w:left w:val="single" w:sz="8" w:color="auto"/>
              <w:right w:val="single" w:sz="8" w:color="auto"/>
            </w:tcBorders>
          </w:tcPr>
          <w:p>
            <w:pPr>
              <w:spacing w:after="0"/>
              <w:rPr>
                <w:sz w:val="24"/>
                <w:szCs w:val="24"/>
                <w:color w:val="auto"/>
              </w:rPr>
            </w:pPr>
          </w:p>
        </w:tc>
        <w:tc>
          <w:tcPr>
            <w:tcW w:w="6820" w:type="dxa"/>
            <w:vAlign w:val="bottom"/>
            <w:tcBorders>
              <w:top w:val="single" w:sz="8" w:color="auto"/>
              <w:right w:val="single" w:sz="8" w:color="auto"/>
            </w:tcBorders>
          </w:tcPr>
          <w:p>
            <w:pPr>
              <w:ind w:left="2740"/>
              <w:spacing w:after="0"/>
              <w:rPr>
                <w:sz w:val="20"/>
                <w:szCs w:val="20"/>
                <w:color w:val="auto"/>
              </w:rPr>
            </w:pPr>
            <w:r>
              <w:rPr>
                <w:rFonts w:ascii="Arial" w:cs="Arial" w:eastAsia="Arial" w:hAnsi="Arial"/>
                <w:sz w:val="16"/>
                <w:szCs w:val="16"/>
                <w:b w:val="1"/>
                <w:bCs w:val="1"/>
                <w:color w:val="auto"/>
              </w:rPr>
              <w:t>Subsidiary Name</w:t>
            </w:r>
          </w:p>
        </w:tc>
        <w:tc>
          <w:tcPr>
            <w:tcW w:w="3620" w:type="dxa"/>
            <w:vAlign w:val="bottom"/>
            <w:tcBorders>
              <w:top w:val="single" w:sz="8" w:color="auto"/>
              <w:right w:val="single" w:sz="8" w:color="auto"/>
            </w:tcBorders>
          </w:tcPr>
          <w:p>
            <w:pPr>
              <w:ind w:left="1240"/>
              <w:spacing w:after="0"/>
              <w:rPr>
                <w:sz w:val="20"/>
                <w:szCs w:val="20"/>
                <w:color w:val="auto"/>
              </w:rPr>
            </w:pPr>
            <w:r>
              <w:rPr>
                <w:rFonts w:ascii="Arial" w:cs="Arial" w:eastAsia="Arial" w:hAnsi="Arial"/>
                <w:sz w:val="16"/>
                <w:szCs w:val="16"/>
                <w:b w:val="1"/>
                <w:bCs w:val="1"/>
                <w:color w:val="auto"/>
              </w:rPr>
              <w:t>State of Origin</w:t>
            </w:r>
          </w:p>
        </w:tc>
      </w:tr>
      <w:tr>
        <w:trPr>
          <w:trHeight w:val="72"/>
        </w:trPr>
        <w:tc>
          <w:tcPr>
            <w:tcW w:w="800" w:type="dxa"/>
            <w:vAlign w:val="bottom"/>
            <w:tcBorders>
              <w:left w:val="single" w:sz="8" w:color="auto"/>
              <w:bottom w:val="single" w:sz="8" w:color="auto"/>
              <w:right w:val="single" w:sz="8" w:color="auto"/>
            </w:tcBorders>
          </w:tcPr>
          <w:p>
            <w:pPr>
              <w:spacing w:after="0"/>
              <w:rPr>
                <w:sz w:val="6"/>
                <w:szCs w:val="6"/>
                <w:color w:val="auto"/>
              </w:rPr>
            </w:pPr>
          </w:p>
        </w:tc>
        <w:tc>
          <w:tcPr>
            <w:tcW w:w="6820" w:type="dxa"/>
            <w:vAlign w:val="bottom"/>
            <w:tcBorders>
              <w:bottom w:val="single" w:sz="8" w:color="auto"/>
              <w:right w:val="single" w:sz="8" w:color="auto"/>
            </w:tcBorders>
          </w:tcPr>
          <w:p>
            <w:pPr>
              <w:spacing w:after="0"/>
              <w:rPr>
                <w:sz w:val="6"/>
                <w:szCs w:val="6"/>
                <w:color w:val="auto"/>
              </w:rPr>
            </w:pPr>
          </w:p>
        </w:tc>
        <w:tc>
          <w:tcPr>
            <w:tcW w:w="3620" w:type="dxa"/>
            <w:vAlign w:val="bottom"/>
            <w:tcBorders>
              <w:bottom w:val="single" w:sz="8" w:color="auto"/>
              <w:right w:val="single" w:sz="8" w:color="auto"/>
            </w:tcBorders>
          </w:tcPr>
          <w:p>
            <w:pPr>
              <w:spacing w:after="0"/>
              <w:rPr>
                <w:sz w:val="6"/>
                <w:szCs w:val="6"/>
                <w:color w:val="auto"/>
              </w:rPr>
            </w:pPr>
          </w:p>
        </w:tc>
      </w:tr>
      <w:tr>
        <w:trPr>
          <w:trHeight w:val="278"/>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Electric,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Gas,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IPP,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Colorado Wind,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Generation,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Electric Parent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Arkansas,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Arkansas</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Renewable Resources,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Energy Services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Exploration and Production,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BHERR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Parent Holdings II, Inc.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Gas Resources,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Hills/Iowa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Hills/Kansas Gas Utility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Kansas</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19.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Nebraska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Non-regulated Holdings,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Plateau Production,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Power,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23.</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Service Company,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24.</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Shoshone Pipeline,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25.</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Utility Holdings, Inc.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26.</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27.</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Black Hills Wyoming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28.</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Cheyenne Light, Fuel and Power Company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Wyoming</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29.</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Mallon Oil Company, Sucursal Costa Rica</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Costa Rica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30.</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N780BH, LLC</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South Dakota</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31.</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Rocky Mountain Natural Gas LLC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Colorado</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r>
        <w:trPr>
          <w:trHeight w:val="275"/>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color w:val="auto"/>
              </w:rPr>
              <w:t>32.</w:t>
            </w:r>
          </w:p>
        </w:tc>
        <w:tc>
          <w:tcPr>
            <w:tcW w:w="68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Wyodak Resources Development Corp. *</w:t>
            </w:r>
          </w:p>
        </w:tc>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Delaware</w:t>
            </w:r>
          </w:p>
        </w:tc>
      </w:tr>
      <w:tr>
        <w:trPr>
          <w:trHeight w:val="83"/>
        </w:trPr>
        <w:tc>
          <w:tcPr>
            <w:tcW w:w="800" w:type="dxa"/>
            <w:vAlign w:val="bottom"/>
            <w:tcBorders>
              <w:bottom w:val="single" w:sz="8" w:color="auto"/>
              <w:right w:val="single" w:sz="8" w:color="auto"/>
            </w:tcBorders>
          </w:tcPr>
          <w:p>
            <w:pPr>
              <w:spacing w:after="0"/>
              <w:rPr>
                <w:sz w:val="7"/>
                <w:szCs w:val="7"/>
                <w:color w:val="auto"/>
              </w:rPr>
            </w:pPr>
          </w:p>
        </w:tc>
        <w:tc>
          <w:tcPr>
            <w:tcW w:w="6820" w:type="dxa"/>
            <w:vAlign w:val="bottom"/>
            <w:tcBorders>
              <w:bottom w:val="single" w:sz="8" w:color="auto"/>
              <w:right w:val="single" w:sz="8" w:color="auto"/>
            </w:tcBorders>
          </w:tcPr>
          <w:p>
            <w:pPr>
              <w:spacing w:after="0"/>
              <w:rPr>
                <w:sz w:val="7"/>
                <w:szCs w:val="7"/>
                <w:color w:val="auto"/>
              </w:rPr>
            </w:pPr>
          </w:p>
        </w:tc>
        <w:tc>
          <w:tcPr>
            <w:tcW w:w="3620" w:type="dxa"/>
            <w:vAlign w:val="bottom"/>
            <w:tcBorders>
              <w:bottom w:val="single" w:sz="8" w:color="auto"/>
              <w:right w:val="single" w:sz="8" w:color="auto"/>
            </w:tcBorders>
          </w:tcPr>
          <w:p>
            <w:pPr>
              <w:spacing w:after="0"/>
              <w:rPr>
                <w:sz w:val="7"/>
                <w:szCs w:val="7"/>
                <w:color w:val="auto"/>
              </w:rPr>
            </w:pPr>
          </w:p>
        </w:tc>
      </w:tr>
    </w:tbl>
    <w:p>
      <w:pPr>
        <w:spacing w:after="0" w:line="175" w:lineRule="exact"/>
        <w:rPr>
          <w:sz w:val="20"/>
          <w:szCs w:val="20"/>
          <w:color w:val="auto"/>
        </w:rPr>
      </w:pPr>
    </w:p>
    <w:p>
      <w:pPr>
        <w:ind w:left="120" w:hanging="112"/>
        <w:spacing w:after="0"/>
        <w:tabs>
          <w:tab w:leader="none" w:pos="12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doing business as </w:t>
      </w:r>
      <w:r>
        <w:rPr>
          <w:rFonts w:ascii="Arial" w:cs="Arial" w:eastAsia="Arial" w:hAnsi="Arial"/>
          <w:sz w:val="16"/>
          <w:szCs w:val="16"/>
          <w:b w:val="1"/>
          <w:bCs w:val="1"/>
          <w:color w:val="auto"/>
        </w:rPr>
        <w:t>Black Hills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7" w:name="page138"/>
    <w:bookmarkEnd w:id="137"/>
    <w:p>
      <w:pPr>
        <w:ind w:left="10100"/>
        <w:spacing w:after="0"/>
        <w:rPr>
          <w:sz w:val="20"/>
          <w:szCs w:val="20"/>
          <w:color w:val="auto"/>
        </w:rPr>
      </w:pPr>
      <w:r>
        <w:rPr>
          <w:rFonts w:ascii="Arial" w:cs="Arial" w:eastAsia="Arial" w:hAnsi="Arial"/>
          <w:sz w:val="16"/>
          <w:szCs w:val="16"/>
          <w:b w:val="1"/>
          <w:bCs w:val="1"/>
          <w:color w:val="auto"/>
        </w:rPr>
        <w:t>Exhibit 23.1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consent to the incorporation by reference in Registration Statement Nos. 333-272739 on Form S-3 and Registration Statement Nos. 333-170451, 333-217679, 333-170448, 333-170452, and 333-203714 on Form S-8 of our reports dated February 14, 2024, relating to the consolidated financial statements of Black Hills Corporation and subsidiaries (the “Company”), and the effectiveness of the Company’s internal control over financial reporting, appearing in this Annual Report on Form 10-K of Black Hills Corporation for the year ended December 31, 2023.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/s/ DELOITTE &amp; TOUCHE LLP</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February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220980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40" w:top="854" w:right="419" w:bottom="1440" w:gutter="0" w:footer="0" w:header="0"/>
        </w:sectPr>
      </w:pPr>
    </w:p>
    <w:bookmarkStart w:id="138" w:name="page139"/>
    <w:bookmarkEnd w:id="138"/>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Linden R. Evans, certify that:</w:t>
      </w:r>
    </w:p>
    <w:p>
      <w:pPr>
        <w:spacing w:after="0" w:line="73" w:lineRule="exact"/>
        <w:rPr>
          <w:sz w:val="20"/>
          <w:szCs w:val="20"/>
          <w:color w:val="auto"/>
        </w:rPr>
      </w:pPr>
    </w:p>
    <w:p>
      <w:pPr>
        <w:ind w:left="860" w:hanging="804"/>
        <w:spacing w:after="0"/>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83"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860" w:right="220" w:hanging="804"/>
        <w:spacing w:after="0" w:line="256" w:lineRule="auto"/>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67"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3"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14, 2024</w:t>
      </w:r>
    </w:p>
    <w:p>
      <w:pPr>
        <w:spacing w:after="0" w:line="11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38315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45">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I, Kimberly F. Nooney, certify that:</w:t>
      </w:r>
    </w:p>
    <w:p>
      <w:pPr>
        <w:spacing w:after="0" w:line="73" w:lineRule="exact"/>
        <w:rPr>
          <w:sz w:val="20"/>
          <w:szCs w:val="20"/>
          <w:color w:val="auto"/>
        </w:rPr>
      </w:pPr>
    </w:p>
    <w:p>
      <w:pPr>
        <w:ind w:left="860" w:hanging="804"/>
        <w:spacing w:after="0"/>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Black Hills Corporation;</w:t>
      </w:r>
    </w:p>
    <w:p>
      <w:pPr>
        <w:spacing w:after="0" w:line="383" w:lineRule="exact"/>
        <w:rPr>
          <w:rFonts w:ascii="Arial" w:cs="Arial" w:eastAsia="Arial" w:hAnsi="Arial"/>
          <w:sz w:val="16"/>
          <w:szCs w:val="16"/>
          <w:color w:val="auto"/>
        </w:rPr>
      </w:pPr>
    </w:p>
    <w:p>
      <w:pPr>
        <w:jc w:val="both"/>
        <w:ind w:left="860" w:right="180" w:hanging="804"/>
        <w:spacing w:after="0" w:line="266" w:lineRule="auto"/>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33" w:lineRule="exact"/>
        <w:rPr>
          <w:rFonts w:ascii="Arial" w:cs="Arial" w:eastAsia="Arial" w:hAnsi="Arial"/>
          <w:sz w:val="16"/>
          <w:szCs w:val="16"/>
          <w:color w:val="auto"/>
        </w:rPr>
      </w:pPr>
    </w:p>
    <w:p>
      <w:pPr>
        <w:ind w:left="860" w:right="320" w:hanging="804"/>
        <w:spacing w:after="0" w:line="286" w:lineRule="auto"/>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jc w:val="both"/>
        <w:ind w:left="860" w:right="220" w:hanging="804"/>
        <w:spacing w:after="0" w:line="256" w:lineRule="auto"/>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6"/>
          <w:szCs w:val="16"/>
          <w:color w:val="auto"/>
        </w:rPr>
        <w:t>15d-15(f)) for the registrant and have:</w:t>
      </w:r>
    </w:p>
    <w:p>
      <w:pPr>
        <w:spacing w:after="0" w:line="367"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200" w:hanging="788"/>
        <w:spacing w:after="0" w:line="266" w:lineRule="auto"/>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1640" w:right="140" w:hanging="788"/>
        <w:spacing w:after="0" w:line="266" w:lineRule="auto"/>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3" w:lineRule="exact"/>
        <w:rPr>
          <w:rFonts w:ascii="Arial" w:cs="Arial" w:eastAsia="Arial" w:hAnsi="Arial"/>
          <w:sz w:val="16"/>
          <w:szCs w:val="16"/>
          <w:color w:val="auto"/>
        </w:rPr>
      </w:pPr>
    </w:p>
    <w:p>
      <w:pPr>
        <w:ind w:left="1640" w:right="420" w:hanging="788"/>
        <w:spacing w:after="0" w:line="266" w:lineRule="auto"/>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0" w:lineRule="exact"/>
        <w:rPr>
          <w:rFonts w:ascii="Arial" w:cs="Arial" w:eastAsia="Arial" w:hAnsi="Arial"/>
          <w:sz w:val="16"/>
          <w:szCs w:val="16"/>
          <w:color w:val="auto"/>
        </w:rPr>
      </w:pPr>
    </w:p>
    <w:p>
      <w:pPr>
        <w:spacing w:after="0" w:line="268" w:lineRule="exact"/>
        <w:rPr>
          <w:rFonts w:ascii="Arial" w:cs="Arial" w:eastAsia="Arial" w:hAnsi="Arial"/>
          <w:sz w:val="16"/>
          <w:szCs w:val="16"/>
          <w:color w:val="auto"/>
        </w:rPr>
      </w:pPr>
    </w:p>
    <w:p>
      <w:pPr>
        <w:ind w:left="860" w:right="60" w:hanging="804"/>
        <w:spacing w:after="0" w:line="286" w:lineRule="auto"/>
        <w:tabs>
          <w:tab w:leader="none" w:pos="8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320" w:hanging="788"/>
        <w:spacing w:after="0" w:line="286" w:lineRule="auto"/>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0" w:lineRule="exact"/>
        <w:rPr>
          <w:rFonts w:ascii="Arial" w:cs="Arial" w:eastAsia="Arial" w:hAnsi="Arial"/>
          <w:sz w:val="16"/>
          <w:szCs w:val="16"/>
          <w:color w:val="auto"/>
        </w:rPr>
      </w:pPr>
    </w:p>
    <w:p>
      <w:pPr>
        <w:spacing w:after="0" w:line="266" w:lineRule="exact"/>
        <w:rPr>
          <w:rFonts w:ascii="Arial" w:cs="Arial" w:eastAsia="Arial" w:hAnsi="Arial"/>
          <w:sz w:val="16"/>
          <w:szCs w:val="16"/>
          <w:color w:val="auto"/>
        </w:rPr>
      </w:pPr>
    </w:p>
    <w:p>
      <w:pPr>
        <w:ind w:left="1640" w:right="520" w:hanging="788"/>
        <w:spacing w:after="0" w:line="286" w:lineRule="auto"/>
        <w:tabs>
          <w:tab w:leader="none" w:pos="164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14, 2024</w:t>
      </w:r>
    </w:p>
    <w:p>
      <w:pPr>
        <w:spacing w:after="0" w:line="11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38100</wp:posOffset>
            </wp:positionV>
            <wp:extent cx="285432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47">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Kimberly F. Nooney</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779780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2023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198" w:lineRule="exact"/>
        <w:rPr>
          <w:sz w:val="20"/>
          <w:szCs w:val="20"/>
          <w:color w:val="auto"/>
        </w:rPr>
      </w:pPr>
    </w:p>
    <w:p>
      <w:pPr>
        <w:ind w:left="1640" w:hanging="788"/>
        <w:spacing w:after="0"/>
        <w:tabs>
          <w:tab w:leader="none" w:pos="1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Date: February 14, 2024</w:t>
      </w: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46355</wp:posOffset>
            </wp:positionV>
            <wp:extent cx="23831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49">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Linden R. Evans</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906 OF THE SARBANES-OXLEY ACT OF 2002</w:t>
      </w:r>
    </w:p>
    <w:p>
      <w:pPr>
        <w:spacing w:after="0" w:line="84"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In connection with the Annual Report of Black Hills Corporation (the “Company”) on Form 10-K for the year ended December 31, 2023 as filed with the Securities and Exchange Commission on the date hereof (the “Report”), I, Kimberly F. Nooney, Senior Vice President and Chief Financial Officer of the Company, certify, pursuant to 18 U.S.C. ss. 1350, as adopted pursuant to ss. 906 of the Sarbanes-Oxley Act of 2002, that:</w:t>
      </w:r>
    </w:p>
    <w:p>
      <w:pPr>
        <w:spacing w:after="0" w:line="198" w:lineRule="exact"/>
        <w:rPr>
          <w:sz w:val="20"/>
          <w:szCs w:val="20"/>
          <w:color w:val="auto"/>
        </w:rPr>
      </w:pPr>
    </w:p>
    <w:p>
      <w:pPr>
        <w:ind w:left="1640" w:hanging="788"/>
        <w:spacing w:after="0"/>
        <w:tabs>
          <w:tab w:leader="none" w:pos="1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 (a) or 15 (d) of the Securities Exchange Act of 1934; and</w:t>
      </w:r>
    </w:p>
    <w:p>
      <w:pPr>
        <w:spacing w:after="0" w:line="200" w:lineRule="exact"/>
        <w:rPr>
          <w:rFonts w:ascii="Arial" w:cs="Arial" w:eastAsia="Arial" w:hAnsi="Arial"/>
          <w:sz w:val="16"/>
          <w:szCs w:val="16"/>
          <w:color w:val="auto"/>
        </w:rPr>
      </w:pPr>
    </w:p>
    <w:p>
      <w:pPr>
        <w:spacing w:after="0" w:line="331" w:lineRule="exact"/>
        <w:rPr>
          <w:rFonts w:ascii="Arial" w:cs="Arial" w:eastAsia="Arial" w:hAnsi="Arial"/>
          <w:sz w:val="16"/>
          <w:szCs w:val="16"/>
          <w:color w:val="auto"/>
        </w:rPr>
      </w:pPr>
    </w:p>
    <w:p>
      <w:pPr>
        <w:ind w:left="1640" w:right="80" w:hanging="788"/>
        <w:spacing w:after="0" w:line="286" w:lineRule="auto"/>
        <w:tabs>
          <w:tab w:leader="none" w:pos="1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9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Date: February 14, 2024</w:t>
      </w:r>
    </w:p>
    <w:p>
      <w:pPr>
        <w:spacing w:after="0" w:line="38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 Kimberly F. Nooney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46355</wp:posOffset>
            </wp:positionV>
            <wp:extent cx="284607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5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93"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Kimberly F. Nooney</w:t>
      </w:r>
    </w:p>
    <w:p>
      <w:pPr>
        <w:spacing w:after="0" w:line="100"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color w:val="auto"/>
        </w:rPr>
        <w:t>Exhibit 95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Information concerning mine safety violations or other regulatory matters required by Sections 1503(a) of Dodd-Frank is included below.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Mine Safety and Health Administration Safety Data</w:t>
      </w:r>
    </w:p>
    <w:p>
      <w:pPr>
        <w:spacing w:after="0" w:line="181"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5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the recently enacted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2023.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68" w:lineRule="exact"/>
        <w:rPr>
          <w:sz w:val="20"/>
          <w:szCs w:val="20"/>
          <w:color w:val="auto"/>
        </w:rPr>
      </w:pPr>
    </w:p>
    <w:p>
      <w:pPr>
        <w:ind w:left="760" w:right="120" w:hanging="378"/>
        <w:spacing w:after="0" w:line="256" w:lineRule="auto"/>
        <w:tabs>
          <w:tab w:leader="none" w:pos="7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orders issued under section 104(b) of the Mine Act;</w:t>
      </w:r>
    </w:p>
    <w:p>
      <w:pPr>
        <w:spacing w:after="0" w:line="198" w:lineRule="exact"/>
        <w:rPr>
          <w:rFonts w:ascii="Times New Roman" w:cs="Times New Roman" w:eastAsia="Times New Roman" w:hAnsi="Times New Roman"/>
          <w:sz w:val="18"/>
          <w:szCs w:val="18"/>
          <w:color w:val="auto"/>
        </w:rPr>
      </w:pPr>
    </w:p>
    <w:p>
      <w:pPr>
        <w:ind w:left="760" w:right="240" w:hanging="378"/>
        <w:spacing w:after="0" w:line="256" w:lineRule="auto"/>
        <w:tabs>
          <w:tab w:leader="none" w:pos="7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citations and orders for unwarrantable failure of the mine operator to comply with mandatory health and safety standards under section 104(d) of the Mine Act;</w:t>
      </w:r>
    </w:p>
    <w:p>
      <w:pPr>
        <w:spacing w:after="0" w:line="1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6"/>
          <w:szCs w:val="16"/>
          <w:color w:val="auto"/>
        </w:rPr>
        <w:t>Total number of imminent danger orders issued under section 107(a) of the Mine Act;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7"/>
        </w:numPr>
        <w:rPr>
          <w:rFonts w:ascii="Times New Roman" w:cs="Times New Roman" w:eastAsia="Times New Roman" w:hAnsi="Times New Roman"/>
          <w:sz w:val="18"/>
          <w:szCs w:val="18"/>
          <w:color w:val="auto"/>
        </w:rPr>
      </w:pPr>
      <w:r>
        <w:rPr>
          <w:rFonts w:ascii="Arial" w:cs="Arial" w:eastAsia="Arial" w:hAnsi="Arial"/>
          <w:sz w:val="16"/>
          <w:szCs w:val="16"/>
          <w:color w:val="auto"/>
        </w:rPr>
        <w:t>Total dollar value of proposed assessments from MSHA under the Mine Act.</w:t>
      </w:r>
    </w:p>
    <w:p>
      <w:pPr>
        <w:spacing w:after="0" w:line="18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table below sets forth the total number of citations and/or orders issued by MSHA to BHE – Wyodak Mine under the indicated provisions of the Mine Act, together with the total dollar value of proposed MSHA assessments received during the twelve months ended December 31, 2023 and legal actions pending before the Federal Mine Safety and Health Review Commission, together with the Administrative Law Judges thereof, for BHE – Wyodak Mine, our only mining complex. All citations were abated within 24 hours of issue.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Section 104</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S&amp;S</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Citations</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issued</w:t>
            </w:r>
          </w:p>
        </w:tc>
        <w:tc>
          <w:tcPr>
            <w:tcW w:w="8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9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Mine Act</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Received</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140" w:type="dxa"/>
            <w:vAlign w:val="bottom"/>
          </w:tcPr>
          <w:p>
            <w:pPr>
              <w:spacing w:after="0"/>
              <w:rPr>
                <w:sz w:val="4"/>
                <w:szCs w:val="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during</w:t>
            </w:r>
          </w:p>
        </w:tc>
        <w:tc>
          <w:tcPr>
            <w:tcW w:w="840" w:type="dxa"/>
            <w:vAlign w:val="bottom"/>
          </w:tcPr>
          <w:p>
            <w:pPr>
              <w:spacing w:after="0"/>
              <w:rPr>
                <w:sz w:val="4"/>
                <w:szCs w:val="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960" w:type="dxa"/>
            <w:vAlign w:val="bottom"/>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Section</w:t>
            </w:r>
          </w:p>
        </w:tc>
        <w:tc>
          <w:tcPr>
            <w:tcW w:w="200" w:type="dxa"/>
            <w:vAlign w:val="bottom"/>
          </w:tcPr>
          <w:p>
            <w:pPr>
              <w:spacing w:after="0"/>
              <w:rPr>
                <w:sz w:val="4"/>
                <w:szCs w:val="4"/>
                <w:color w:val="auto"/>
              </w:rPr>
            </w:pPr>
          </w:p>
        </w:tc>
        <w:tc>
          <w:tcPr>
            <w:tcW w:w="102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rPr>
              <w:t>Total Dollar</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Notice of</w:t>
            </w:r>
          </w:p>
        </w:tc>
        <w:tc>
          <w:tcPr>
            <w:tcW w:w="900" w:type="dxa"/>
            <w:vAlign w:val="bottom"/>
            <w:vMerge w:val="continue"/>
          </w:tcPr>
          <w:p>
            <w:pPr>
              <w:spacing w:after="0"/>
              <w:rPr>
                <w:sz w:val="4"/>
                <w:szCs w:val="4"/>
                <w:color w:val="auto"/>
              </w:rPr>
            </w:pP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9"/>
              </w:rPr>
              <w:t>Legal</w:t>
            </w:r>
          </w:p>
        </w:tc>
        <w:tc>
          <w:tcPr>
            <w:tcW w:w="0" w:type="dxa"/>
            <w:vAlign w:val="bottom"/>
          </w:tcPr>
          <w:p>
            <w:pPr>
              <w:spacing w:after="0"/>
              <w:rPr>
                <w:sz w:val="1"/>
                <w:szCs w:val="1"/>
                <w:color w:val="auto"/>
              </w:rPr>
            </w:pPr>
          </w:p>
        </w:tc>
      </w:tr>
      <w:tr>
        <w:trPr>
          <w:trHeight w:val="136"/>
        </w:trPr>
        <w:tc>
          <w:tcPr>
            <w:tcW w:w="11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840" w:type="dxa"/>
            <w:vAlign w:val="bottom"/>
            <w:vMerge w:val="continue"/>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Act</w:t>
            </w:r>
          </w:p>
        </w:tc>
        <w:tc>
          <w:tcPr>
            <w:tcW w:w="7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rPr>
              <w:t>Actions</w:t>
            </w: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twelve</w:t>
            </w:r>
          </w:p>
        </w:tc>
        <w:tc>
          <w:tcPr>
            <w:tcW w:w="8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104(d)</w:t>
            </w:r>
          </w:p>
        </w:tc>
        <w:tc>
          <w:tcPr>
            <w:tcW w:w="960" w:type="dxa"/>
            <w:vAlign w:val="bottom"/>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107(a)</w:t>
            </w:r>
          </w:p>
        </w:tc>
        <w:tc>
          <w:tcPr>
            <w:tcW w:w="20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rPr>
              <w:t>Value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Potential to</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Pending as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Actions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Actions</w:t>
            </w:r>
          </w:p>
        </w:tc>
        <w:tc>
          <w:tcPr>
            <w:tcW w:w="0" w:type="dxa"/>
            <w:vAlign w:val="bottom"/>
          </w:tcPr>
          <w:p>
            <w:pPr>
              <w:spacing w:after="0"/>
              <w:rPr>
                <w:sz w:val="1"/>
                <w:szCs w:val="1"/>
                <w:color w:val="auto"/>
              </w:rPr>
            </w:pPr>
          </w:p>
        </w:tc>
      </w:tr>
      <w:tr>
        <w:trPr>
          <w:trHeight w:val="153"/>
        </w:trPr>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 MSHA</w:t>
            </w:r>
          </w:p>
        </w:tc>
        <w:tc>
          <w:tcPr>
            <w:tcW w:w="10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months</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8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Citations</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Section</w:t>
            </w:r>
          </w:p>
        </w:tc>
        <w:tc>
          <w:tcPr>
            <w:tcW w:w="7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Imminent</w:t>
            </w:r>
          </w:p>
        </w:tc>
        <w:tc>
          <w:tcPr>
            <w:tcW w:w="200" w:type="dxa"/>
            <w:vAlign w:val="bottom"/>
          </w:tcPr>
          <w:p>
            <w:pPr>
              <w:spacing w:after="0"/>
              <w:rPr>
                <w:sz w:val="13"/>
                <w:szCs w:val="13"/>
                <w:color w:val="auto"/>
              </w:rPr>
            </w:pPr>
          </w:p>
        </w:tc>
        <w:tc>
          <w:tcPr>
            <w:tcW w:w="1020" w:type="dxa"/>
            <w:vAlign w:val="bottom"/>
          </w:tcPr>
          <w:p>
            <w:pPr>
              <w:jc w:val="center"/>
              <w:ind w:right="128"/>
              <w:spacing w:after="0" w:line="153" w:lineRule="exact"/>
              <w:rPr>
                <w:sz w:val="20"/>
                <w:szCs w:val="20"/>
                <w:color w:val="auto"/>
              </w:rPr>
            </w:pPr>
            <w:r>
              <w:rPr>
                <w:rFonts w:ascii="Arial" w:cs="Arial" w:eastAsia="Arial" w:hAnsi="Arial"/>
                <w:sz w:val="14"/>
                <w:szCs w:val="14"/>
                <w:b w:val="1"/>
                <w:bCs w:val="1"/>
                <w:color w:val="auto"/>
              </w:rPr>
              <w:t>Proposed</w:t>
            </w: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Mining</w:t>
            </w:r>
          </w:p>
        </w:tc>
        <w:tc>
          <w:tcPr>
            <w:tcW w:w="10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Have Pattern</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of Last Day</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Initiated</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Resolved</w:t>
            </w: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104(b)</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and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110(b)(2)</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Danger</w:t>
            </w:r>
          </w:p>
        </w:tc>
        <w:tc>
          <w:tcPr>
            <w:tcW w:w="200" w:type="dxa"/>
            <w:vAlign w:val="bottom"/>
          </w:tcPr>
          <w:p>
            <w:pPr>
              <w:spacing w:after="0"/>
              <w:rPr>
                <w:sz w:val="17"/>
                <w:szCs w:val="17"/>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rPr>
              <w:t>MSHA</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Related</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rPr>
              <w:t>Under</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rPr>
              <w:t>of</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During</w:t>
            </w:r>
          </w:p>
        </w:tc>
        <w:tc>
          <w:tcPr>
            <w:tcW w:w="760" w:type="dxa"/>
            <w:vAlign w:val="bottom"/>
          </w:tcPr>
          <w:p>
            <w:pPr>
              <w:jc w:val="center"/>
              <w:ind w:left="33"/>
              <w:spacing w:after="0"/>
              <w:rPr>
                <w:sz w:val="20"/>
                <w:szCs w:val="20"/>
                <w:color w:val="auto"/>
              </w:rPr>
            </w:pPr>
            <w:r>
              <w:rPr>
                <w:rFonts w:ascii="Arial" w:cs="Arial" w:eastAsia="Arial" w:hAnsi="Arial"/>
                <w:sz w:val="13"/>
                <w:szCs w:val="13"/>
                <w:b w:val="1"/>
                <w:bCs w:val="1"/>
                <w:color w:val="auto"/>
              </w:rPr>
              <w:t>During</w:t>
            </w:r>
          </w:p>
        </w:tc>
        <w:tc>
          <w:tcPr>
            <w:tcW w:w="0" w:type="dxa"/>
            <w:vAlign w:val="bottom"/>
          </w:tcPr>
          <w:p>
            <w:pPr>
              <w:spacing w:after="0"/>
              <w:rPr>
                <w:sz w:val="1"/>
                <w:szCs w:val="1"/>
                <w:color w:val="auto"/>
              </w:rPr>
            </w:pPr>
          </w:p>
        </w:tc>
      </w:tr>
      <w:tr>
        <w:trPr>
          <w:trHeight w:val="227"/>
        </w:trPr>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6"/>
              </w:rPr>
              <w:t>Identification</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December 31,</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8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9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Violations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Orders (#)</w:t>
            </w:r>
          </w:p>
        </w:tc>
        <w:tc>
          <w:tcPr>
            <w:tcW w:w="12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6"/>
              </w:rPr>
              <w:t>Assessments (a)</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Fatalities (#)</w:t>
            </w: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w w:val="97"/>
              </w:rPr>
              <w:t>Section 104(e)</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Period (#)</w:t>
            </w:r>
          </w:p>
        </w:tc>
        <w:tc>
          <w:tcPr>
            <w:tcW w:w="760" w:type="dxa"/>
            <w:vAlign w:val="bottom"/>
            <w:vMerge w:val="restart"/>
          </w:tcPr>
          <w:p>
            <w:pPr>
              <w:jc w:val="center"/>
              <w:ind w:left="33"/>
              <w:spacing w:after="0"/>
              <w:rPr>
                <w:sz w:val="20"/>
                <w:szCs w:val="20"/>
                <w:color w:val="auto"/>
              </w:rPr>
            </w:pPr>
            <w:r>
              <w:rPr>
                <w:rFonts w:ascii="Arial" w:cs="Arial" w:eastAsia="Arial" w:hAnsi="Arial"/>
                <w:sz w:val="13"/>
                <w:szCs w:val="13"/>
                <w:b w:val="1"/>
                <w:bCs w:val="1"/>
                <w:color w:val="auto"/>
                <w:w w:val="96"/>
              </w:rPr>
              <w:t>Period (#)</w:t>
            </w:r>
          </w:p>
        </w:tc>
        <w:tc>
          <w:tcPr>
            <w:tcW w:w="0" w:type="dxa"/>
            <w:vAlign w:val="bottom"/>
          </w:tcPr>
          <w:p>
            <w:pPr>
              <w:spacing w:after="0"/>
              <w:rPr>
                <w:sz w:val="1"/>
                <w:szCs w:val="1"/>
                <w:color w:val="auto"/>
              </w:rPr>
            </w:pPr>
          </w:p>
        </w:tc>
      </w:tr>
      <w:tr>
        <w:trPr>
          <w:trHeight w:val="176"/>
        </w:trPr>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97"/>
              </w:rPr>
              <w:t>Number</w:t>
            </w: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6"/>
              </w:rPr>
              <w:t>2023</w:t>
            </w:r>
          </w:p>
        </w:tc>
        <w:tc>
          <w:tcPr>
            <w:tcW w:w="8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060" w:type="dxa"/>
            <w:vAlign w:val="bottom"/>
          </w:tcPr>
          <w:p>
            <w:pPr>
              <w:jc w:val="center"/>
              <w:spacing w:after="0"/>
              <w:rPr>
                <w:sz w:val="20"/>
                <w:szCs w:val="20"/>
                <w:color w:val="auto"/>
              </w:rPr>
            </w:pPr>
            <w:r>
              <w:rPr>
                <w:rFonts w:ascii="Arial" w:cs="Arial" w:eastAsia="Arial" w:hAnsi="Arial"/>
                <w:sz w:val="13"/>
                <w:szCs w:val="13"/>
                <w:b w:val="1"/>
                <w:bCs w:val="1"/>
                <w:color w:val="auto"/>
              </w:rPr>
              <w:t>(yes/no)</w:t>
            </w:r>
          </w:p>
        </w:tc>
        <w:tc>
          <w:tcPr>
            <w:tcW w:w="900" w:type="dxa"/>
            <w:vAlign w:val="bottom"/>
          </w:tcPr>
          <w:p>
            <w:pPr>
              <w:jc w:val="center"/>
              <w:spacing w:after="0"/>
              <w:rPr>
                <w:sz w:val="20"/>
                <w:szCs w:val="20"/>
                <w:color w:val="auto"/>
              </w:rPr>
            </w:pPr>
            <w:r>
              <w:rPr>
                <w:rFonts w:ascii="Arial" w:cs="Arial" w:eastAsia="Arial" w:hAnsi="Arial"/>
                <w:sz w:val="13"/>
                <w:szCs w:val="13"/>
                <w:b w:val="1"/>
                <w:bCs w:val="1"/>
                <w:color w:val="auto"/>
                <w:w w:val="96"/>
              </w:rPr>
              <w:t>(b)</w:t>
            </w:r>
          </w:p>
        </w:tc>
        <w:tc>
          <w:tcPr>
            <w:tcW w:w="76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2"/>
        </w:trPr>
        <w:tc>
          <w:tcPr>
            <w:tcW w:w="1140" w:type="dxa"/>
            <w:vAlign w:val="bottom"/>
            <w:shd w:val="clear" w:color="auto" w:fill="CFF0FC"/>
          </w:tcPr>
          <w:p>
            <w:pPr>
              <w:ind w:left="60"/>
              <w:spacing w:after="0"/>
              <w:rPr>
                <w:sz w:val="20"/>
                <w:szCs w:val="20"/>
                <w:color w:val="auto"/>
              </w:rPr>
            </w:pPr>
            <w:r>
              <w:rPr>
                <w:rFonts w:ascii="Arial" w:cs="Arial" w:eastAsia="Arial" w:hAnsi="Arial"/>
                <w:sz w:val="14"/>
                <w:szCs w:val="14"/>
                <w:color w:val="auto"/>
              </w:rPr>
              <w:t>Wyodak Coal</w:t>
            </w:r>
          </w:p>
        </w:tc>
        <w:tc>
          <w:tcPr>
            <w:tcW w:w="100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84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1060" w:type="dxa"/>
            <w:vAlign w:val="bottom"/>
            <w:shd w:val="clear" w:color="auto" w:fill="CFF0FC"/>
          </w:tcPr>
          <w:p>
            <w:pPr>
              <w:spacing w:after="0"/>
              <w:rPr>
                <w:sz w:val="24"/>
                <w:szCs w:val="24"/>
                <w:color w:val="auto"/>
              </w:rPr>
            </w:pPr>
          </w:p>
        </w:tc>
        <w:tc>
          <w:tcPr>
            <w:tcW w:w="9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1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Mine - 4800083</w:t>
            </w:r>
          </w:p>
        </w:tc>
        <w:tc>
          <w:tcPr>
            <w:tcW w:w="1000" w:type="dxa"/>
            <w:vAlign w:val="bottom"/>
            <w:shd w:val="clear" w:color="auto" w:fill="CFF0FC"/>
          </w:tcPr>
          <w:p>
            <w:pPr>
              <w:jc w:val="right"/>
              <w:ind w:right="430"/>
              <w:spacing w:after="0"/>
              <w:rPr>
                <w:sz w:val="20"/>
                <w:szCs w:val="20"/>
                <w:color w:val="auto"/>
              </w:rPr>
            </w:pPr>
            <w:r>
              <w:rPr>
                <w:rFonts w:ascii="Arial" w:cs="Arial" w:eastAsia="Arial" w:hAnsi="Arial"/>
                <w:sz w:val="14"/>
                <w:szCs w:val="14"/>
                <w:color w:val="auto"/>
              </w:rPr>
              <w:t>1</w:t>
            </w:r>
          </w:p>
        </w:tc>
        <w:tc>
          <w:tcPr>
            <w:tcW w:w="840" w:type="dxa"/>
            <w:vAlign w:val="bottom"/>
            <w:shd w:val="clear" w:color="auto" w:fill="CFF0FC"/>
          </w:tcPr>
          <w:p>
            <w:pPr>
              <w:jc w:val="right"/>
              <w:ind w:right="310"/>
              <w:spacing w:after="0"/>
              <w:rPr>
                <w:sz w:val="20"/>
                <w:szCs w:val="20"/>
                <w:color w:val="auto"/>
              </w:rPr>
            </w:pPr>
            <w:r>
              <w:rPr>
                <w:rFonts w:ascii="Arial" w:cs="Arial" w:eastAsia="Arial" w:hAnsi="Arial"/>
                <w:sz w:val="14"/>
                <w:szCs w:val="14"/>
                <w:color w:val="auto"/>
              </w:rPr>
              <w:t>0</w:t>
            </w:r>
          </w:p>
        </w:tc>
        <w:tc>
          <w:tcPr>
            <w:tcW w:w="8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960" w:type="dxa"/>
            <w:vAlign w:val="bottom"/>
            <w:shd w:val="clear" w:color="auto" w:fill="CFF0FC"/>
          </w:tcPr>
          <w:p>
            <w:pPr>
              <w:jc w:val="right"/>
              <w:ind w:right="350"/>
              <w:spacing w:after="0"/>
              <w:rPr>
                <w:sz w:val="20"/>
                <w:szCs w:val="20"/>
                <w:color w:val="auto"/>
              </w:rPr>
            </w:pPr>
            <w:r>
              <w:rPr>
                <w:rFonts w:ascii="Arial" w:cs="Arial" w:eastAsia="Arial" w:hAnsi="Arial"/>
                <w:sz w:val="14"/>
                <w:szCs w:val="14"/>
                <w:color w:val="auto"/>
              </w:rPr>
              <w:t>0</w:t>
            </w:r>
          </w:p>
        </w:tc>
        <w:tc>
          <w:tcPr>
            <w:tcW w:w="7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rPr>
              <w:t>2,050</w:t>
            </w:r>
          </w:p>
        </w:tc>
        <w:tc>
          <w:tcPr>
            <w:tcW w:w="9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0</w:t>
            </w:r>
          </w:p>
        </w:tc>
        <w:tc>
          <w:tcPr>
            <w:tcW w:w="10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No</w:t>
            </w:r>
          </w:p>
        </w:tc>
        <w:tc>
          <w:tcPr>
            <w:tcW w:w="900" w:type="dxa"/>
            <w:vAlign w:val="bottom"/>
            <w:shd w:val="clear" w:color="auto" w:fill="CFF0FC"/>
          </w:tcPr>
          <w:p>
            <w:pPr>
              <w:jc w:val="right"/>
              <w:ind w:right="373"/>
              <w:spacing w:after="0"/>
              <w:rPr>
                <w:sz w:val="20"/>
                <w:szCs w:val="20"/>
                <w:color w:val="auto"/>
              </w:rPr>
            </w:pPr>
            <w:r>
              <w:rPr>
                <w:rFonts w:ascii="Arial" w:cs="Arial" w:eastAsia="Arial" w:hAnsi="Arial"/>
                <w:sz w:val="14"/>
                <w:szCs w:val="14"/>
                <w:color w:val="auto"/>
              </w:rPr>
              <w:t>0</w:t>
            </w:r>
          </w:p>
        </w:tc>
        <w:tc>
          <w:tcPr>
            <w:tcW w:w="760" w:type="dxa"/>
            <w:vAlign w:val="bottom"/>
            <w:shd w:val="clear" w:color="auto" w:fill="CFF0FC"/>
          </w:tcPr>
          <w:p>
            <w:pPr>
              <w:jc w:val="right"/>
              <w:ind w:right="333"/>
              <w:spacing w:after="0"/>
              <w:rPr>
                <w:sz w:val="20"/>
                <w:szCs w:val="20"/>
                <w:color w:val="auto"/>
              </w:rPr>
            </w:pPr>
            <w:r>
              <w:rPr>
                <w:rFonts w:ascii="Arial" w:cs="Arial" w:eastAsia="Arial" w:hAnsi="Arial"/>
                <w:sz w:val="14"/>
                <w:szCs w:val="14"/>
                <w:color w:val="auto"/>
              </w:rPr>
              <w:t>0</w:t>
            </w:r>
          </w:p>
        </w:tc>
        <w:tc>
          <w:tcPr>
            <w:tcW w:w="760" w:type="dxa"/>
            <w:vAlign w:val="bottom"/>
            <w:shd w:val="clear" w:color="auto" w:fill="CFF0FC"/>
          </w:tcPr>
          <w:p>
            <w:pPr>
              <w:jc w:val="right"/>
              <w:ind w:right="273"/>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w:t>
      </w:r>
    </w:p>
    <w:p>
      <w:pPr>
        <w:spacing w:after="0" w:line="7" w:lineRule="exact"/>
        <w:rPr>
          <w:sz w:val="20"/>
          <w:szCs w:val="20"/>
          <w:color w:val="auto"/>
        </w:rPr>
      </w:pPr>
    </w:p>
    <w:p>
      <w:pPr>
        <w:ind w:left="380" w:right="660" w:hanging="372"/>
        <w:spacing w:after="0" w:line="255" w:lineRule="auto"/>
        <w:tabs>
          <w:tab w:leader="none" w:pos="380" w:val="left"/>
        </w:tabs>
        <w:numPr>
          <w:ilvl w:val="0"/>
          <w:numId w:val="108"/>
        </w:numPr>
        <w:rPr>
          <w:rFonts w:ascii="Times New Roman" w:cs="Times New Roman" w:eastAsia="Times New Roman" w:hAnsi="Times New Roman"/>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958850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43" w:name="page144"/>
    <w:bookmarkEnd w:id="143"/>
    <w:p>
      <w:pPr>
        <w:spacing w:after="0" w:line="1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22542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54">
                      <a:extLst>
                        <a:ext uri="{28A0092B-C50C-407E-A947-70E740481C1C}"/>
                      </a:extLst>
                    </a:blip>
                    <a:srcRect/>
                    <a:stretch>
                      <a:fillRect/>
                    </a:stretch>
                  </pic:blipFill>
                  <pic:spPr bwMode="auto">
                    <a:xfrm>
                      <a:off x="0" y="0"/>
                      <a:ext cx="7132320" cy="22542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348"/>
        </w:trPr>
        <w:tc>
          <w:tcPr>
            <w:tcW w:w="4600" w:type="dxa"/>
            <w:vAlign w:val="bottom"/>
          </w:tcPr>
          <w:p>
            <w:pPr>
              <w:spacing w:after="0"/>
              <w:rPr>
                <w:sz w:val="24"/>
                <w:szCs w:val="24"/>
                <w:color w:val="auto"/>
              </w:rPr>
            </w:pPr>
          </w:p>
        </w:tc>
        <w:tc>
          <w:tcPr>
            <w:tcW w:w="6640" w:type="dxa"/>
            <w:vAlign w:val="bottom"/>
          </w:tcPr>
          <w:p>
            <w:pPr>
              <w:spacing w:after="0"/>
              <w:rPr>
                <w:sz w:val="20"/>
                <w:szCs w:val="20"/>
                <w:color w:val="auto"/>
              </w:rPr>
            </w:pPr>
            <w:r>
              <w:rPr>
                <w:rFonts w:ascii="Arial" w:cs="Arial" w:eastAsia="Arial" w:hAnsi="Arial"/>
                <w:sz w:val="25"/>
                <w:szCs w:val="25"/>
                <w:b w:val="1"/>
                <w:bCs w:val="1"/>
                <w:color w:val="auto"/>
              </w:rPr>
              <w:t>BLACK HILLS CORPORATION POLICY</w:t>
            </w:r>
          </w:p>
        </w:tc>
      </w:tr>
      <w:tr>
        <w:trPr>
          <w:trHeight w:val="500"/>
        </w:trPr>
        <w:tc>
          <w:tcPr>
            <w:tcW w:w="46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r>
      <w:tr>
        <w:trPr>
          <w:trHeight w:val="330"/>
        </w:trPr>
        <w:tc>
          <w:tcPr>
            <w:tcW w:w="4600" w:type="dxa"/>
            <w:vAlign w:val="bottom"/>
            <w:tcBorders>
              <w:right w:val="single" w:sz="8" w:color="auto"/>
            </w:tcBorders>
          </w:tcPr>
          <w:p>
            <w:pPr>
              <w:ind w:left="140"/>
              <w:spacing w:after="0"/>
              <w:rPr>
                <w:sz w:val="20"/>
                <w:szCs w:val="20"/>
                <w:color w:val="auto"/>
              </w:rPr>
            </w:pPr>
            <w:r>
              <w:rPr>
                <w:rFonts w:ascii="Arial" w:cs="Arial" w:eastAsia="Arial" w:hAnsi="Arial"/>
                <w:sz w:val="22"/>
                <w:szCs w:val="22"/>
                <w:b w:val="1"/>
                <w:bCs w:val="1"/>
                <w:color w:val="auto"/>
              </w:rPr>
              <w:t>Affected Business Unit(s):</w:t>
            </w:r>
          </w:p>
        </w:tc>
        <w:tc>
          <w:tcPr>
            <w:tcW w:w="6640" w:type="dxa"/>
            <w:vAlign w:val="bottom"/>
          </w:tcPr>
          <w:p>
            <w:pPr>
              <w:ind w:left="100"/>
              <w:spacing w:after="0"/>
              <w:rPr>
                <w:sz w:val="20"/>
                <w:szCs w:val="20"/>
                <w:color w:val="auto"/>
              </w:rPr>
            </w:pPr>
            <w:r>
              <w:rPr>
                <w:rFonts w:ascii="Arial" w:cs="Arial" w:eastAsia="Arial" w:hAnsi="Arial"/>
                <w:sz w:val="22"/>
                <w:szCs w:val="22"/>
                <w:b w:val="1"/>
                <w:bCs w:val="1"/>
                <w:color w:val="auto"/>
              </w:rPr>
              <w:t>Originating Department(s): Governance</w:t>
            </w:r>
          </w:p>
        </w:tc>
      </w:tr>
      <w:tr>
        <w:trPr>
          <w:trHeight w:val="42"/>
        </w:trPr>
        <w:tc>
          <w:tcPr>
            <w:tcW w:w="4600" w:type="dxa"/>
            <w:vAlign w:val="bottom"/>
            <w:tcBorders>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r>
      <w:tr>
        <w:trPr>
          <w:trHeight w:val="330"/>
        </w:trPr>
        <w:tc>
          <w:tcPr>
            <w:tcW w:w="4600" w:type="dxa"/>
            <w:vAlign w:val="bottom"/>
            <w:tcBorders>
              <w:right w:val="single" w:sz="8" w:color="auto"/>
            </w:tcBorders>
          </w:tcPr>
          <w:p>
            <w:pPr>
              <w:ind w:left="2180"/>
              <w:spacing w:after="0"/>
              <w:rPr>
                <w:sz w:val="20"/>
                <w:szCs w:val="20"/>
                <w:color w:val="auto"/>
              </w:rPr>
            </w:pPr>
            <w:r>
              <w:rPr>
                <w:rFonts w:ascii="Arial" w:cs="Arial" w:eastAsia="Arial" w:hAnsi="Arial"/>
                <w:sz w:val="22"/>
                <w:szCs w:val="22"/>
                <w:b w:val="1"/>
                <w:bCs w:val="1"/>
                <w:color w:val="auto"/>
              </w:rPr>
              <w:t>All</w:t>
            </w:r>
          </w:p>
        </w:tc>
        <w:tc>
          <w:tcPr>
            <w:tcW w:w="6640" w:type="dxa"/>
            <w:vAlign w:val="bottom"/>
          </w:tcPr>
          <w:p>
            <w:pPr>
              <w:ind w:left="100"/>
              <w:spacing w:after="0"/>
              <w:rPr>
                <w:sz w:val="20"/>
                <w:szCs w:val="20"/>
                <w:color w:val="auto"/>
              </w:rPr>
            </w:pPr>
            <w:r>
              <w:rPr>
                <w:rFonts w:ascii="Arial" w:cs="Arial" w:eastAsia="Arial" w:hAnsi="Arial"/>
                <w:sz w:val="22"/>
                <w:szCs w:val="22"/>
                <w:b w:val="1"/>
                <w:bCs w:val="1"/>
                <w:color w:val="auto"/>
              </w:rPr>
              <w:t>Effective Date: December 1, 2023</w:t>
            </w:r>
          </w:p>
        </w:tc>
      </w:tr>
      <w:tr>
        <w:trPr>
          <w:trHeight w:val="42"/>
        </w:trPr>
        <w:tc>
          <w:tcPr>
            <w:tcW w:w="460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r>
      <w:tr>
        <w:trPr>
          <w:trHeight w:val="330"/>
        </w:trPr>
        <w:tc>
          <w:tcPr>
            <w:tcW w:w="4600" w:type="dxa"/>
            <w:vAlign w:val="bottom"/>
            <w:tcBorders>
              <w:right w:val="single" w:sz="8" w:color="auto"/>
            </w:tcBorders>
          </w:tcPr>
          <w:p>
            <w:pPr>
              <w:ind w:left="140"/>
              <w:spacing w:after="0"/>
              <w:rPr>
                <w:sz w:val="20"/>
                <w:szCs w:val="20"/>
                <w:color w:val="auto"/>
              </w:rPr>
            </w:pPr>
            <w:r>
              <w:rPr>
                <w:rFonts w:ascii="Arial" w:cs="Arial" w:eastAsia="Arial" w:hAnsi="Arial"/>
                <w:sz w:val="22"/>
                <w:szCs w:val="22"/>
                <w:b w:val="1"/>
                <w:bCs w:val="1"/>
                <w:color w:val="auto"/>
              </w:rPr>
              <w:t>Policy No.: Corp-Governance-05</w:t>
            </w:r>
          </w:p>
        </w:tc>
        <w:tc>
          <w:tcPr>
            <w:tcW w:w="6640" w:type="dxa"/>
            <w:vAlign w:val="bottom"/>
          </w:tcPr>
          <w:p>
            <w:pPr>
              <w:ind w:left="100"/>
              <w:spacing w:after="0"/>
              <w:rPr>
                <w:sz w:val="20"/>
                <w:szCs w:val="20"/>
                <w:color w:val="auto"/>
              </w:rPr>
            </w:pPr>
            <w:r>
              <w:rPr>
                <w:rFonts w:ascii="Arial" w:cs="Arial" w:eastAsia="Arial" w:hAnsi="Arial"/>
                <w:sz w:val="22"/>
                <w:szCs w:val="22"/>
                <w:b w:val="1"/>
                <w:bCs w:val="1"/>
                <w:color w:val="auto"/>
              </w:rPr>
              <w:t>Revision Date:</w:t>
            </w:r>
          </w:p>
        </w:tc>
      </w:tr>
      <w:tr>
        <w:trPr>
          <w:trHeight w:val="42"/>
        </w:trPr>
        <w:tc>
          <w:tcPr>
            <w:tcW w:w="4600" w:type="dxa"/>
            <w:vAlign w:val="bottom"/>
            <w:tcBorders>
              <w:bottom w:val="single" w:sz="8" w:color="auto"/>
              <w:right w:val="single" w:sz="8" w:color="auto"/>
            </w:tcBorders>
          </w:tcPr>
          <w:p>
            <w:pPr>
              <w:spacing w:after="0"/>
              <w:rPr>
                <w:sz w:val="3"/>
                <w:szCs w:val="3"/>
                <w:color w:val="auto"/>
              </w:rPr>
            </w:pPr>
          </w:p>
        </w:tc>
        <w:tc>
          <w:tcPr>
            <w:tcW w:w="6640" w:type="dxa"/>
            <w:vAlign w:val="bottom"/>
            <w:tcBorders>
              <w:bottom w:val="single" w:sz="8" w:color="auto"/>
            </w:tcBorders>
          </w:tcPr>
          <w:p>
            <w:pPr>
              <w:spacing w:after="0"/>
              <w:rPr>
                <w:sz w:val="3"/>
                <w:szCs w:val="3"/>
                <w:color w:val="auto"/>
              </w:rPr>
            </w:pPr>
          </w:p>
        </w:tc>
      </w:tr>
    </w:tbl>
    <w:p>
      <w:pPr>
        <w:spacing w:after="0" w:line="323" w:lineRule="exact"/>
        <w:rPr>
          <w:sz w:val="20"/>
          <w:szCs w:val="20"/>
          <w:color w:val="auto"/>
        </w:rPr>
      </w:pPr>
    </w:p>
    <w:p>
      <w:pPr>
        <w:ind w:left="140"/>
        <w:spacing w:after="0"/>
        <w:tabs>
          <w:tab w:leader="none" w:pos="82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1"/>
          <w:szCs w:val="21"/>
          <w:b w:val="1"/>
          <w:bCs w:val="1"/>
          <w:color w:val="auto"/>
        </w:rPr>
        <w:t>Mandatory Compensation Recovery Policy (applicable to current and former Section 16 Officers)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60" w:hanging="752"/>
        <w:spacing w:after="0"/>
        <w:tabs>
          <w:tab w:leader="none" w:pos="7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PURPOSE</w:t>
      </w:r>
    </w:p>
    <w:p>
      <w:pPr>
        <w:spacing w:after="0" w:line="100" w:lineRule="exact"/>
        <w:rPr>
          <w:rFonts w:ascii="Arial" w:cs="Arial" w:eastAsia="Arial" w:hAnsi="Arial"/>
          <w:sz w:val="22"/>
          <w:szCs w:val="22"/>
          <w:b w:val="1"/>
          <w:bCs w:val="1"/>
          <w:color w:val="auto"/>
        </w:rPr>
      </w:pPr>
    </w:p>
    <w:p>
      <w:pPr>
        <w:ind w:left="760" w:right="80"/>
        <w:spacing w:after="0"/>
        <w:rPr>
          <w:rFonts w:ascii="Arial" w:cs="Arial" w:eastAsia="Arial" w:hAnsi="Arial"/>
          <w:sz w:val="22"/>
          <w:szCs w:val="22"/>
          <w:b w:val="1"/>
          <w:bCs w:val="1"/>
          <w:color w:val="auto"/>
        </w:rPr>
      </w:pPr>
      <w:r>
        <w:rPr>
          <w:rFonts w:ascii="Arial" w:cs="Arial" w:eastAsia="Arial" w:hAnsi="Arial"/>
          <w:sz w:val="22"/>
          <w:szCs w:val="22"/>
          <w:color w:val="auto"/>
        </w:rPr>
        <w:t>The Board of Directors (the “Board”) of the Company has adopted this Mandatory Compensation Recovery Policy (this “Policy”) pursuant to Rule 10D-1 of the Securities and Exchange Act of 1934, as amended (the “Exchange Act”), the Securities and Exchange Commission (“SEC”) regulations promulgated thereunder, and applicable New York Stock Exchange (“NYSE”) listing standards.</w:t>
      </w:r>
    </w:p>
    <w:p>
      <w:pPr>
        <w:spacing w:after="0" w:line="68" w:lineRule="exact"/>
        <w:rPr>
          <w:rFonts w:ascii="Arial" w:cs="Arial" w:eastAsia="Arial" w:hAnsi="Arial"/>
          <w:sz w:val="22"/>
          <w:szCs w:val="22"/>
          <w:b w:val="1"/>
          <w:bCs w:val="1"/>
          <w:color w:val="auto"/>
        </w:rPr>
      </w:pPr>
    </w:p>
    <w:p>
      <w:pPr>
        <w:ind w:left="760" w:right="660"/>
        <w:spacing w:after="0" w:line="262" w:lineRule="auto"/>
        <w:rPr>
          <w:rFonts w:ascii="Arial" w:cs="Arial" w:eastAsia="Arial" w:hAnsi="Arial"/>
          <w:sz w:val="22"/>
          <w:szCs w:val="22"/>
          <w:b w:val="1"/>
          <w:bCs w:val="1"/>
          <w:color w:val="auto"/>
        </w:rPr>
      </w:pPr>
      <w:r>
        <w:rPr>
          <w:rFonts w:ascii="Arial" w:cs="Arial" w:eastAsia="Arial" w:hAnsi="Arial"/>
          <w:sz w:val="21"/>
          <w:szCs w:val="21"/>
          <w:color w:val="auto"/>
        </w:rPr>
        <w:t>Subject to and in accordance with the terms of this Policy, upon a Recoupment Event, each Covered Executive shall be obligated to return to the Company, reasonably promptly, the amount of Erroneously Awarded Compensation that was received by such Covered Executive during the Lookback Period.</w:t>
      </w:r>
    </w:p>
    <w:p>
      <w:pPr>
        <w:spacing w:after="0" w:line="46" w:lineRule="exact"/>
        <w:rPr>
          <w:rFonts w:ascii="Arial" w:cs="Arial" w:eastAsia="Arial" w:hAnsi="Arial"/>
          <w:sz w:val="22"/>
          <w:szCs w:val="22"/>
          <w:b w:val="1"/>
          <w:bCs w:val="1"/>
          <w:color w:val="auto"/>
        </w:rPr>
      </w:pPr>
    </w:p>
    <w:p>
      <w:pPr>
        <w:ind w:left="760" w:right="740"/>
        <w:spacing w:after="0" w:line="259" w:lineRule="auto"/>
        <w:rPr>
          <w:rFonts w:ascii="Arial" w:cs="Arial" w:eastAsia="Arial" w:hAnsi="Arial"/>
          <w:sz w:val="22"/>
          <w:szCs w:val="22"/>
          <w:b w:val="1"/>
          <w:bCs w:val="1"/>
          <w:color w:val="auto"/>
        </w:rPr>
      </w:pPr>
      <w:r>
        <w:rPr>
          <w:rFonts w:ascii="Arial" w:cs="Arial" w:eastAsia="Arial" w:hAnsi="Arial"/>
          <w:sz w:val="22"/>
          <w:szCs w:val="22"/>
          <w:color w:val="auto"/>
        </w:rPr>
        <w:t>This Policy will be administered by the Compensation Committee of the Board (the “Committee”). Any determinations made by the Committee will be final and binding on all affected individuals.</w:t>
      </w:r>
    </w:p>
    <w:p>
      <w:pPr>
        <w:spacing w:after="0" w:line="46" w:lineRule="exact"/>
        <w:rPr>
          <w:rFonts w:ascii="Arial" w:cs="Arial" w:eastAsia="Arial" w:hAnsi="Arial"/>
          <w:sz w:val="22"/>
          <w:szCs w:val="22"/>
          <w:b w:val="1"/>
          <w:bCs w:val="1"/>
          <w:color w:val="auto"/>
        </w:rPr>
      </w:pPr>
    </w:p>
    <w:p>
      <w:pPr>
        <w:ind w:left="760" w:hanging="752"/>
        <w:spacing w:after="0"/>
        <w:tabs>
          <w:tab w:leader="none" w:pos="7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SCOPE</w:t>
      </w:r>
    </w:p>
    <w:p>
      <w:pPr>
        <w:spacing w:after="0" w:line="100" w:lineRule="exact"/>
        <w:rPr>
          <w:rFonts w:ascii="Arial" w:cs="Arial" w:eastAsia="Arial" w:hAnsi="Arial"/>
          <w:sz w:val="22"/>
          <w:szCs w:val="22"/>
          <w:b w:val="1"/>
          <w:bCs w:val="1"/>
          <w:color w:val="auto"/>
        </w:rPr>
      </w:pPr>
    </w:p>
    <w:p>
      <w:pPr>
        <w:ind w:left="760" w:right="80"/>
        <w:spacing w:after="0" w:line="245" w:lineRule="auto"/>
        <w:rPr>
          <w:rFonts w:ascii="Arial" w:cs="Arial" w:eastAsia="Arial" w:hAnsi="Arial"/>
          <w:sz w:val="22"/>
          <w:szCs w:val="22"/>
          <w:b w:val="1"/>
          <w:bCs w:val="1"/>
          <w:color w:val="auto"/>
        </w:rPr>
      </w:pPr>
      <w:r>
        <w:rPr>
          <w:rFonts w:ascii="Arial" w:cs="Arial" w:eastAsia="Arial" w:hAnsi="Arial"/>
          <w:sz w:val="22"/>
          <w:szCs w:val="22"/>
          <w:color w:val="auto"/>
        </w:rPr>
        <w:t>This Policy shall be binding and enforceable against all Covered Executives (defined in Section 3.2 to be current and former Section 16 Officers) and their beneficiaries, heirs, executors, administrators, or other legal representatives.</w:t>
      </w:r>
    </w:p>
    <w:p>
      <w:pPr>
        <w:spacing w:after="0" w:line="60" w:lineRule="exact"/>
        <w:rPr>
          <w:rFonts w:ascii="Arial" w:cs="Arial" w:eastAsia="Arial" w:hAnsi="Arial"/>
          <w:sz w:val="22"/>
          <w:szCs w:val="22"/>
          <w:b w:val="1"/>
          <w:bCs w:val="1"/>
          <w:color w:val="auto"/>
        </w:rPr>
      </w:pPr>
    </w:p>
    <w:p>
      <w:pPr>
        <w:ind w:left="760" w:hanging="752"/>
        <w:spacing w:after="0"/>
        <w:tabs>
          <w:tab w:leader="none" w:pos="760" w:val="left"/>
        </w:tabs>
        <w:numPr>
          <w:ilvl w:val="0"/>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98" w:lineRule="exact"/>
        <w:rPr>
          <w:rFonts w:ascii="Arial" w:cs="Arial" w:eastAsia="Arial" w:hAnsi="Arial"/>
          <w:sz w:val="22"/>
          <w:szCs w:val="22"/>
          <w:b w:val="1"/>
          <w:bCs w:val="1"/>
          <w:color w:val="auto"/>
        </w:rPr>
      </w:pPr>
    </w:p>
    <w:p>
      <w:pPr>
        <w:ind w:left="7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3.1.    Accounting Restatement</w:t>
      </w:r>
    </w:p>
    <w:p>
      <w:pPr>
        <w:spacing w:after="0" w:line="100" w:lineRule="exact"/>
        <w:rPr>
          <w:sz w:val="20"/>
          <w:szCs w:val="20"/>
          <w:color w:val="auto"/>
        </w:rPr>
      </w:pPr>
    </w:p>
    <w:p>
      <w:pPr>
        <w:ind w:left="1500" w:right="320"/>
        <w:spacing w:after="0" w:line="248" w:lineRule="auto"/>
        <w:rPr>
          <w:sz w:val="20"/>
          <w:szCs w:val="20"/>
          <w:color w:val="auto"/>
        </w:rPr>
      </w:pPr>
      <w:r>
        <w:rPr>
          <w:rFonts w:ascii="Arial" w:cs="Arial" w:eastAsia="Arial" w:hAnsi="Arial"/>
          <w:sz w:val="21"/>
          <w:szCs w:val="21"/>
          <w:color w:val="auto"/>
        </w:rPr>
        <w:t>“Accounting Restatement” means an accounting restatement due to the material noncompliance of the Company with any financial reporting requirement under the securities laws, including any required accounting restatement to correct an error in previously issued financial statements that is</w:t>
      </w:r>
    </w:p>
    <w:p>
      <w:pPr>
        <w:ind w:left="1500" w:right="240" w:firstLine="5"/>
        <w:spacing w:after="0" w:line="252" w:lineRule="auto"/>
        <w:tabs>
          <w:tab w:leader="none" w:pos="182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material to the previously issued financial statements (commonly referred to as a “Big R” restatement), or (b) would result in a material misstatement if the error were corrected in the current period or left uncorrected in the current period (commonly referred to as a “little r” restatement).</w:t>
      </w:r>
    </w:p>
    <w:p>
      <w:pPr>
        <w:spacing w:after="0" w:line="54"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3.2.</w:t>
      </w:r>
      <w:r>
        <w:rPr>
          <w:sz w:val="20"/>
          <w:szCs w:val="20"/>
          <w:color w:val="auto"/>
        </w:rPr>
        <w:tab/>
      </w:r>
      <w:r>
        <w:rPr>
          <w:rFonts w:ascii="Arial" w:cs="Arial" w:eastAsia="Arial" w:hAnsi="Arial"/>
          <w:sz w:val="21"/>
          <w:szCs w:val="21"/>
          <w:b w:val="1"/>
          <w:bCs w:val="1"/>
          <w:color w:val="auto"/>
        </w:rPr>
        <w:t>Covered Executive</w:t>
      </w:r>
    </w:p>
    <w:p>
      <w:pPr>
        <w:spacing w:after="0" w:line="10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“Covered Executive” means each of the Company’s current and former Section 16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546735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tbl>
      <w:tblPr>
        <w:tblLayout w:type="fixed"/>
        <w:tblInd w:w="10" w:type="dxa"/>
        <w:tblCellMar>
          <w:top w:w="0" w:type="dxa"/>
          <w:left w:w="0" w:type="dxa"/>
          <w:bottom w:w="0" w:type="dxa"/>
          <w:right w:w="0" w:type="dxa"/>
        </w:tblCellMar>
      </w:tblPr>
      <w:tr>
        <w:trPr>
          <w:trHeight w:val="247"/>
        </w:trPr>
        <w:tc>
          <w:tcPr>
            <w:tcW w:w="654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Title:  Mandatory Compensation Recovery Policy (applicable to</w:t>
            </w:r>
          </w:p>
        </w:tc>
        <w:tc>
          <w:tcPr>
            <w:tcW w:w="2300" w:type="dxa"/>
            <w:vAlign w:val="bottom"/>
            <w:tcBorders>
              <w:top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Policy No.: Corp-</w:t>
            </w:r>
          </w:p>
        </w:tc>
        <w:tc>
          <w:tcPr>
            <w:tcW w:w="2400" w:type="dxa"/>
            <w:vAlign w:val="bottom"/>
            <w:tcBorders>
              <w:top w:val="single" w:sz="8" w:color="auto"/>
              <w:right w:val="single" w:sz="8" w:color="auto"/>
            </w:tcBorders>
          </w:tcPr>
          <w:p>
            <w:pPr>
              <w:ind w:left="1120"/>
              <w:spacing w:after="0" w:line="247" w:lineRule="exact"/>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2</w:t>
            </w:r>
            <w:r>
              <w:rPr>
                <w:rFonts w:ascii="Arial" w:cs="Arial" w:eastAsia="Arial" w:hAnsi="Arial"/>
                <w:sz w:val="22"/>
                <w:szCs w:val="22"/>
                <w:color w:val="auto"/>
              </w:rPr>
              <w:t xml:space="preserve"> of </w:t>
            </w:r>
            <w:r>
              <w:rPr>
                <w:rFonts w:ascii="Arial" w:cs="Arial" w:eastAsia="Arial" w:hAnsi="Arial"/>
                <w:sz w:val="22"/>
                <w:szCs w:val="22"/>
                <w:b w:val="1"/>
                <w:bCs w:val="1"/>
                <w:color w:val="auto"/>
              </w:rPr>
              <w:t>5</w:t>
            </w:r>
          </w:p>
        </w:tc>
      </w:tr>
      <w:tr>
        <w:trPr>
          <w:trHeight w:val="283"/>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current and former Section 16 Officers)</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Governance-05</w:t>
            </w:r>
          </w:p>
        </w:tc>
        <w:tc>
          <w:tcPr>
            <w:tcW w:w="2400" w:type="dxa"/>
            <w:vAlign w:val="bottom"/>
            <w:tcBorders>
              <w:right w:val="single" w:sz="8" w:color="auto"/>
            </w:tcBorders>
          </w:tcPr>
          <w:p>
            <w:pPr>
              <w:spacing w:after="0"/>
              <w:rPr>
                <w:sz w:val="24"/>
                <w:szCs w:val="24"/>
                <w:color w:val="auto"/>
              </w:rPr>
            </w:pPr>
          </w:p>
        </w:tc>
      </w:tr>
      <w:tr>
        <w:trPr>
          <w:trHeight w:val="239"/>
        </w:trPr>
        <w:tc>
          <w:tcPr>
            <w:tcW w:w="654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bl>
    <w:p>
      <w:pPr>
        <w:spacing w:after="0" w:line="319"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3.3.</w:t>
      </w:r>
      <w:r>
        <w:rPr>
          <w:sz w:val="20"/>
          <w:szCs w:val="20"/>
          <w:color w:val="auto"/>
        </w:rPr>
        <w:tab/>
      </w:r>
      <w:r>
        <w:rPr>
          <w:rFonts w:ascii="Arial" w:cs="Arial" w:eastAsia="Arial" w:hAnsi="Arial"/>
          <w:sz w:val="21"/>
          <w:szCs w:val="21"/>
          <w:b w:val="1"/>
          <w:bCs w:val="1"/>
          <w:color w:val="auto"/>
        </w:rPr>
        <w:t>Erroneously Awarded Compensation</w:t>
      </w:r>
    </w:p>
    <w:p>
      <w:pPr>
        <w:spacing w:after="0" w:line="100" w:lineRule="exact"/>
        <w:rPr>
          <w:sz w:val="20"/>
          <w:szCs w:val="20"/>
          <w:color w:val="auto"/>
        </w:rPr>
      </w:pPr>
    </w:p>
    <w:p>
      <w:pPr>
        <w:ind w:left="1500" w:right="100"/>
        <w:spacing w:after="0" w:line="234" w:lineRule="auto"/>
        <w:rPr>
          <w:sz w:val="20"/>
          <w:szCs w:val="20"/>
          <w:color w:val="auto"/>
        </w:rPr>
      </w:pPr>
      <w:r>
        <w:rPr>
          <w:rFonts w:ascii="Arial" w:cs="Arial" w:eastAsia="Arial" w:hAnsi="Arial"/>
          <w:sz w:val="22"/>
          <w:szCs w:val="22"/>
          <w:color w:val="auto"/>
        </w:rPr>
        <w:t>“Erroneously Awarded Compensation” means, with respect to each Covered Executive in connection with an Accounting Restatement, the excess of the amount of Incentive-Based Compensation received by the Covered Executive during the Lookback Period over the amount of Incentive-Based Compensation that otherwise would have been received had it been determined based on the restated amounts, computed without regard to any taxes paid. For Incentive-Based Compensation based on stock price or total shareholder return, where the amount of Erroneously Awarded Compensation is not subject to mathematical recalculation directly from the information in an Accounting Restatement: (a) the amount must be based on a reasonable estimate of the effect of the Accounting Restatement on the stock price or total shareholder return upon which the Incentive-Based Compensation was received; and (b) the Company must maintain documentation of the determination of that reasonable estimate and provide such documentation to NYSE.</w:t>
      </w:r>
    </w:p>
    <w:p>
      <w:pPr>
        <w:spacing w:after="0" w:line="66"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3.4.</w:t>
      </w:r>
      <w:r>
        <w:rPr>
          <w:sz w:val="20"/>
          <w:szCs w:val="20"/>
          <w:color w:val="auto"/>
        </w:rPr>
        <w:tab/>
      </w:r>
      <w:r>
        <w:rPr>
          <w:rFonts w:ascii="Arial" w:cs="Arial" w:eastAsia="Arial" w:hAnsi="Arial"/>
          <w:sz w:val="21"/>
          <w:szCs w:val="21"/>
          <w:b w:val="1"/>
          <w:bCs w:val="1"/>
          <w:color w:val="auto"/>
        </w:rPr>
        <w:t>Financial Reporting Measures</w:t>
      </w:r>
    </w:p>
    <w:p>
      <w:pPr>
        <w:spacing w:after="0" w:line="100" w:lineRule="exact"/>
        <w:rPr>
          <w:sz w:val="20"/>
          <w:szCs w:val="20"/>
          <w:color w:val="auto"/>
        </w:rPr>
      </w:pPr>
    </w:p>
    <w:p>
      <w:pPr>
        <w:ind w:left="1500" w:right="140"/>
        <w:spacing w:after="0" w:line="238" w:lineRule="auto"/>
        <w:rPr>
          <w:sz w:val="20"/>
          <w:szCs w:val="20"/>
          <w:color w:val="auto"/>
        </w:rPr>
      </w:pPr>
      <w:r>
        <w:rPr>
          <w:rFonts w:ascii="Arial" w:cs="Arial" w:eastAsia="Arial" w:hAnsi="Arial"/>
          <w:sz w:val="22"/>
          <w:szCs w:val="22"/>
          <w:color w:val="auto"/>
        </w:rPr>
        <w:t>“Financial Reporting Measures” are any measures that are determined and presented in accordance with the accounting principles used in preparing the Company’s financial statements, and any measures derived wholly or in part from such measures. Stock price and total shareholder return are also Financial Reporting Measures. A Financial Reporting Measure need not be presented within the financial statements or included in a filing with the SEC.</w:t>
      </w:r>
    </w:p>
    <w:p>
      <w:pPr>
        <w:spacing w:after="0" w:line="67"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3.5.</w:t>
      </w:r>
      <w:r>
        <w:rPr>
          <w:sz w:val="20"/>
          <w:szCs w:val="20"/>
          <w:color w:val="auto"/>
        </w:rPr>
        <w:tab/>
      </w:r>
      <w:r>
        <w:rPr>
          <w:rFonts w:ascii="Arial" w:cs="Arial" w:eastAsia="Arial" w:hAnsi="Arial"/>
          <w:sz w:val="21"/>
          <w:szCs w:val="21"/>
          <w:b w:val="1"/>
          <w:bCs w:val="1"/>
          <w:color w:val="auto"/>
        </w:rPr>
        <w:t>Incentive-Based Compensation</w:t>
      </w:r>
    </w:p>
    <w:p>
      <w:pPr>
        <w:spacing w:after="0" w:line="100" w:lineRule="exact"/>
        <w:rPr>
          <w:sz w:val="20"/>
          <w:szCs w:val="20"/>
          <w:color w:val="auto"/>
        </w:rPr>
      </w:pPr>
    </w:p>
    <w:p>
      <w:pPr>
        <w:ind w:left="1500" w:right="20"/>
        <w:spacing w:after="0" w:line="259" w:lineRule="auto"/>
        <w:rPr>
          <w:sz w:val="20"/>
          <w:szCs w:val="20"/>
          <w:color w:val="auto"/>
        </w:rPr>
      </w:pPr>
      <w:r>
        <w:rPr>
          <w:rFonts w:ascii="Arial" w:cs="Arial" w:eastAsia="Arial" w:hAnsi="Arial"/>
          <w:sz w:val="22"/>
          <w:szCs w:val="22"/>
          <w:color w:val="auto"/>
        </w:rPr>
        <w:t>“Incentive-Based Compensation” is any compensation that is granted, earned, or vested based wholly or in part upon the attainment of a Financial Reporting Measure.</w:t>
      </w:r>
    </w:p>
    <w:p>
      <w:pPr>
        <w:spacing w:after="0" w:line="46"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3.6.</w:t>
      </w:r>
      <w:r>
        <w:rPr>
          <w:sz w:val="20"/>
          <w:szCs w:val="20"/>
          <w:color w:val="auto"/>
        </w:rPr>
        <w:tab/>
      </w:r>
      <w:r>
        <w:rPr>
          <w:rFonts w:ascii="Arial" w:cs="Arial" w:eastAsia="Arial" w:hAnsi="Arial"/>
          <w:sz w:val="21"/>
          <w:szCs w:val="21"/>
          <w:b w:val="1"/>
          <w:bCs w:val="1"/>
          <w:color w:val="auto"/>
        </w:rPr>
        <w:t>Lookback Period</w:t>
      </w:r>
    </w:p>
    <w:p>
      <w:pPr>
        <w:spacing w:after="0" w:line="100" w:lineRule="exact"/>
        <w:rPr>
          <w:sz w:val="20"/>
          <w:szCs w:val="20"/>
          <w:color w:val="auto"/>
        </w:rPr>
      </w:pPr>
    </w:p>
    <w:p>
      <w:pPr>
        <w:ind w:left="1500" w:right="100"/>
        <w:spacing w:after="0" w:line="245" w:lineRule="auto"/>
        <w:rPr>
          <w:sz w:val="20"/>
          <w:szCs w:val="20"/>
          <w:color w:val="auto"/>
        </w:rPr>
      </w:pPr>
      <w:r>
        <w:rPr>
          <w:rFonts w:ascii="Arial" w:cs="Arial" w:eastAsia="Arial" w:hAnsi="Arial"/>
          <w:sz w:val="22"/>
          <w:szCs w:val="22"/>
          <w:color w:val="auto"/>
        </w:rPr>
        <w:t>“Lookback Period” means the three completed fiscal years immediately preceding the Required Restatement Date and any transition period (that results from a change in the Company’s fiscal year) of less than nine months within or immediately following those three completed fiscal years.</w:t>
      </w:r>
    </w:p>
    <w:p>
      <w:pPr>
        <w:spacing w:after="0" w:line="60"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3.7.</w:t>
      </w:r>
      <w:r>
        <w:rPr>
          <w:sz w:val="20"/>
          <w:szCs w:val="20"/>
          <w:color w:val="auto"/>
        </w:rPr>
        <w:tab/>
      </w:r>
      <w:r>
        <w:rPr>
          <w:rFonts w:ascii="Arial" w:cs="Arial" w:eastAsia="Arial" w:hAnsi="Arial"/>
          <w:sz w:val="21"/>
          <w:szCs w:val="21"/>
          <w:b w:val="1"/>
          <w:bCs w:val="1"/>
          <w:color w:val="auto"/>
        </w:rPr>
        <w:t>Recoupment Event</w:t>
      </w:r>
    </w:p>
    <w:p>
      <w:pPr>
        <w:spacing w:after="0" w:line="100"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A “Recoupment Event” occurs when the Company is required to prepare an Accounting Restatement.</w:t>
      </w:r>
    </w:p>
    <w:p>
      <w:pPr>
        <w:spacing w:after="0" w:line="108"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3.8.</w:t>
      </w:r>
      <w:r>
        <w:rPr>
          <w:sz w:val="20"/>
          <w:szCs w:val="20"/>
          <w:color w:val="auto"/>
        </w:rPr>
        <w:tab/>
      </w:r>
      <w:r>
        <w:rPr>
          <w:rFonts w:ascii="Arial" w:cs="Arial" w:eastAsia="Arial" w:hAnsi="Arial"/>
          <w:sz w:val="21"/>
          <w:szCs w:val="21"/>
          <w:b w:val="1"/>
          <w:bCs w:val="1"/>
          <w:color w:val="auto"/>
        </w:rPr>
        <w:t>Required Restatement Date</w:t>
      </w:r>
    </w:p>
    <w:p>
      <w:pPr>
        <w:spacing w:after="0" w:line="100" w:lineRule="exact"/>
        <w:rPr>
          <w:sz w:val="20"/>
          <w:szCs w:val="20"/>
          <w:color w:val="auto"/>
        </w:rPr>
      </w:pPr>
    </w:p>
    <w:p>
      <w:pPr>
        <w:ind w:left="1500" w:right="40"/>
        <w:spacing w:after="0" w:line="238" w:lineRule="auto"/>
        <w:rPr>
          <w:sz w:val="20"/>
          <w:szCs w:val="20"/>
          <w:color w:val="auto"/>
        </w:rPr>
      </w:pPr>
      <w:r>
        <w:rPr>
          <w:rFonts w:ascii="Arial" w:cs="Arial" w:eastAsia="Arial" w:hAnsi="Arial"/>
          <w:sz w:val="22"/>
          <w:szCs w:val="22"/>
          <w:color w:val="auto"/>
        </w:rPr>
        <w:t>“Required Restatement Date” means the earlier to occur of: (a) the date the Company’s Board, a committee of the Board, or the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w:t>
      </w:r>
    </w:p>
    <w:p>
      <w:pPr>
        <w:spacing w:after="0" w:line="67"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3.9.</w:t>
      </w:r>
      <w:r>
        <w:rPr>
          <w:sz w:val="20"/>
          <w:szCs w:val="20"/>
          <w:color w:val="auto"/>
        </w:rPr>
        <w:tab/>
      </w:r>
      <w:r>
        <w:rPr>
          <w:rFonts w:ascii="Arial" w:cs="Arial" w:eastAsia="Arial" w:hAnsi="Arial"/>
          <w:sz w:val="21"/>
          <w:szCs w:val="21"/>
          <w:b w:val="1"/>
          <w:bCs w:val="1"/>
          <w:color w:val="auto"/>
        </w:rPr>
        <w:t>Section 16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5" w:name="page146"/>
    <w:bookmarkEnd w:id="145"/>
    <w:tbl>
      <w:tblPr>
        <w:tblLayout w:type="fixed"/>
        <w:tblInd w:w="10" w:type="dxa"/>
        <w:tblCellMar>
          <w:top w:w="0" w:type="dxa"/>
          <w:left w:w="0" w:type="dxa"/>
          <w:bottom w:w="0" w:type="dxa"/>
          <w:right w:w="0" w:type="dxa"/>
        </w:tblCellMar>
      </w:tblPr>
      <w:tr>
        <w:trPr>
          <w:trHeight w:val="247"/>
        </w:trPr>
        <w:tc>
          <w:tcPr>
            <w:tcW w:w="654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Title:  Mandatory Compensation Recovery Policy (applicable to</w:t>
            </w:r>
          </w:p>
        </w:tc>
        <w:tc>
          <w:tcPr>
            <w:tcW w:w="2300" w:type="dxa"/>
            <w:vAlign w:val="bottom"/>
            <w:tcBorders>
              <w:top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Policy No.: Corp-</w:t>
            </w:r>
          </w:p>
        </w:tc>
        <w:tc>
          <w:tcPr>
            <w:tcW w:w="2400" w:type="dxa"/>
            <w:vAlign w:val="bottom"/>
            <w:tcBorders>
              <w:top w:val="single" w:sz="8" w:color="auto"/>
              <w:right w:val="single" w:sz="8" w:color="auto"/>
            </w:tcBorders>
          </w:tcPr>
          <w:p>
            <w:pPr>
              <w:ind w:left="1120"/>
              <w:spacing w:after="0" w:line="247" w:lineRule="exact"/>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3</w:t>
            </w:r>
            <w:r>
              <w:rPr>
                <w:rFonts w:ascii="Arial" w:cs="Arial" w:eastAsia="Arial" w:hAnsi="Arial"/>
                <w:sz w:val="22"/>
                <w:szCs w:val="22"/>
                <w:color w:val="auto"/>
              </w:rPr>
              <w:t xml:space="preserve"> of </w:t>
            </w:r>
            <w:r>
              <w:rPr>
                <w:rFonts w:ascii="Arial" w:cs="Arial" w:eastAsia="Arial" w:hAnsi="Arial"/>
                <w:sz w:val="22"/>
                <w:szCs w:val="22"/>
                <w:b w:val="1"/>
                <w:bCs w:val="1"/>
                <w:color w:val="auto"/>
              </w:rPr>
              <w:t>5</w:t>
            </w:r>
          </w:p>
        </w:tc>
      </w:tr>
      <w:tr>
        <w:trPr>
          <w:trHeight w:val="283"/>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current and former Section 16 Officers)</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Governance-05</w:t>
            </w:r>
          </w:p>
        </w:tc>
        <w:tc>
          <w:tcPr>
            <w:tcW w:w="2400" w:type="dxa"/>
            <w:vAlign w:val="bottom"/>
            <w:tcBorders>
              <w:right w:val="single" w:sz="8" w:color="auto"/>
            </w:tcBorders>
          </w:tcPr>
          <w:p>
            <w:pPr>
              <w:spacing w:after="0"/>
              <w:rPr>
                <w:sz w:val="24"/>
                <w:szCs w:val="24"/>
                <w:color w:val="auto"/>
              </w:rPr>
            </w:pPr>
          </w:p>
        </w:tc>
      </w:tr>
      <w:tr>
        <w:trPr>
          <w:trHeight w:val="239"/>
        </w:trPr>
        <w:tc>
          <w:tcPr>
            <w:tcW w:w="654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bl>
    <w:p>
      <w:pPr>
        <w:spacing w:after="0" w:line="213" w:lineRule="exact"/>
        <w:rPr>
          <w:sz w:val="20"/>
          <w:szCs w:val="20"/>
          <w:color w:val="auto"/>
        </w:rPr>
      </w:pPr>
    </w:p>
    <w:p>
      <w:pPr>
        <w:ind w:left="1500" w:right="280"/>
        <w:spacing w:after="0" w:line="259" w:lineRule="auto"/>
        <w:rPr>
          <w:sz w:val="20"/>
          <w:szCs w:val="20"/>
          <w:color w:val="auto"/>
        </w:rPr>
      </w:pPr>
      <w:r>
        <w:rPr>
          <w:rFonts w:ascii="Arial" w:cs="Arial" w:eastAsia="Arial" w:hAnsi="Arial"/>
          <w:sz w:val="22"/>
          <w:szCs w:val="22"/>
          <w:color w:val="auto"/>
        </w:rPr>
        <w:t>“Section 16 Officer” is defined as an “officer” of the Company within the meaning of Rule 16a-1(f) of the Exchange Act.</w:t>
      </w:r>
    </w:p>
    <w:p>
      <w:pPr>
        <w:spacing w:after="0" w:line="46"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3.10.</w:t>
      </w:r>
      <w:r>
        <w:rPr>
          <w:sz w:val="20"/>
          <w:szCs w:val="20"/>
          <w:color w:val="auto"/>
        </w:rPr>
        <w:tab/>
      </w:r>
      <w:r>
        <w:rPr>
          <w:rFonts w:ascii="Arial" w:cs="Arial" w:eastAsia="Arial" w:hAnsi="Arial"/>
          <w:sz w:val="21"/>
          <w:szCs w:val="21"/>
          <w:b w:val="1"/>
          <w:bCs w:val="1"/>
          <w:color w:val="auto"/>
        </w:rPr>
        <w:t>Section 409A</w:t>
      </w:r>
    </w:p>
    <w:p>
      <w:pPr>
        <w:spacing w:after="0" w:line="100" w:lineRule="exact"/>
        <w:rPr>
          <w:sz w:val="20"/>
          <w:szCs w:val="20"/>
          <w:color w:val="auto"/>
        </w:rPr>
      </w:pPr>
    </w:p>
    <w:p>
      <w:pPr>
        <w:ind w:left="1500" w:right="120"/>
        <w:spacing w:after="0" w:line="259" w:lineRule="auto"/>
        <w:rPr>
          <w:sz w:val="20"/>
          <w:szCs w:val="20"/>
          <w:color w:val="auto"/>
        </w:rPr>
      </w:pPr>
      <w:r>
        <w:rPr>
          <w:rFonts w:ascii="Arial" w:cs="Arial" w:eastAsia="Arial" w:hAnsi="Arial"/>
          <w:sz w:val="22"/>
          <w:szCs w:val="22"/>
          <w:color w:val="auto"/>
        </w:rPr>
        <w:t>“Section 409A” means Section 409A of the Internal Revenue Code and the regulations and guidance promulgated thereunder.</w:t>
      </w:r>
    </w:p>
    <w:p>
      <w:pPr>
        <w:spacing w:after="0" w:line="46" w:lineRule="exact"/>
        <w:rPr>
          <w:sz w:val="20"/>
          <w:szCs w:val="20"/>
          <w:color w:val="auto"/>
        </w:rPr>
      </w:pPr>
    </w:p>
    <w:p>
      <w:pPr>
        <w:ind w:left="760" w:hanging="752"/>
        <w:spacing w:after="0"/>
        <w:tabs>
          <w:tab w:leader="none" w:pos="7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color w:val="auto"/>
        </w:rPr>
        <w:t>POLICY STATEMENT</w:t>
      </w:r>
    </w:p>
    <w:p>
      <w:pPr>
        <w:spacing w:after="0" w:line="98" w:lineRule="exact"/>
        <w:rPr>
          <w:rFonts w:ascii="Arial" w:cs="Arial" w:eastAsia="Arial" w:hAnsi="Arial"/>
          <w:sz w:val="22"/>
          <w:szCs w:val="22"/>
          <w:b w:val="1"/>
          <w:bCs w:val="1"/>
          <w:color w:val="auto"/>
        </w:rPr>
      </w:pPr>
    </w:p>
    <w:p>
      <w:pPr>
        <w:ind w:left="7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4.1.    Amount Subject to Recovery</w:t>
      </w:r>
    </w:p>
    <w:p>
      <w:pPr>
        <w:spacing w:after="0" w:line="100" w:lineRule="exact"/>
        <w:rPr>
          <w:sz w:val="20"/>
          <w:szCs w:val="20"/>
          <w:color w:val="auto"/>
        </w:rPr>
      </w:pPr>
    </w:p>
    <w:p>
      <w:pPr>
        <w:ind w:left="1500"/>
        <w:spacing w:after="0" w:line="236" w:lineRule="auto"/>
        <w:rPr>
          <w:sz w:val="20"/>
          <w:szCs w:val="20"/>
          <w:color w:val="auto"/>
        </w:rPr>
      </w:pPr>
      <w:r>
        <w:rPr>
          <w:rFonts w:ascii="Arial" w:cs="Arial" w:eastAsia="Arial" w:hAnsi="Arial"/>
          <w:sz w:val="22"/>
          <w:szCs w:val="22"/>
          <w:color w:val="auto"/>
        </w:rPr>
        <w:t>The Incentive-Based Compensation that is subject to recovery under this Policy includes such compensation that is received by a Covered Executive (i) on or after October 2, 2023 (even if such Incentive-Based Compensation was approved, awarded or granted prior to this date), (ii) after the individual began service as a Covered Executive, (iii) if the individual served as a Section 16 Officer at any time during the performance period for such Incentive-Based Compensation, and (iv) while the Company has a class of securities listed on a national securities exchange or national securities association.</w:t>
      </w:r>
    </w:p>
    <w:p>
      <w:pPr>
        <w:spacing w:after="0" w:line="68" w:lineRule="exact"/>
        <w:rPr>
          <w:sz w:val="20"/>
          <w:szCs w:val="20"/>
          <w:color w:val="auto"/>
        </w:rPr>
      </w:pPr>
    </w:p>
    <w:p>
      <w:pPr>
        <w:jc w:val="both"/>
        <w:ind w:left="1500" w:right="60"/>
        <w:spacing w:after="0" w:line="245" w:lineRule="auto"/>
        <w:rPr>
          <w:sz w:val="20"/>
          <w:szCs w:val="20"/>
          <w:color w:val="auto"/>
        </w:rPr>
      </w:pPr>
      <w:r>
        <w:rPr>
          <w:rFonts w:ascii="Arial" w:cs="Arial" w:eastAsia="Arial" w:hAnsi="Arial"/>
          <w:sz w:val="22"/>
          <w:szCs w:val="22"/>
          <w:color w:val="auto"/>
        </w:rPr>
        <w:t>The amount of Incentive-Based Compensation subject to recovery from a Covered Executive upon a Recoupment Event is the Erroneously Awarded Compensation, which amount shall be determined by the Committee.</w:t>
      </w:r>
    </w:p>
    <w:p>
      <w:pPr>
        <w:spacing w:after="0" w:line="62" w:lineRule="exact"/>
        <w:rPr>
          <w:sz w:val="20"/>
          <w:szCs w:val="20"/>
          <w:color w:val="auto"/>
        </w:rPr>
      </w:pPr>
    </w:p>
    <w:p>
      <w:pPr>
        <w:ind w:left="1500" w:right="180"/>
        <w:spacing w:after="0"/>
        <w:rPr>
          <w:sz w:val="20"/>
          <w:szCs w:val="20"/>
          <w:color w:val="auto"/>
        </w:rPr>
      </w:pPr>
      <w:r>
        <w:rPr>
          <w:rFonts w:ascii="Arial" w:cs="Arial" w:eastAsia="Arial" w:hAnsi="Arial"/>
          <w:sz w:val="22"/>
          <w:szCs w:val="22"/>
          <w:color w:val="auto"/>
        </w:rPr>
        <w:t>For purposes of this Policy,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w:t>
      </w:r>
    </w:p>
    <w:p>
      <w:pPr>
        <w:spacing w:after="0" w:line="66"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4.2.</w:t>
      </w:r>
      <w:r>
        <w:rPr>
          <w:sz w:val="20"/>
          <w:szCs w:val="20"/>
          <w:color w:val="auto"/>
        </w:rPr>
        <w:tab/>
      </w:r>
      <w:r>
        <w:rPr>
          <w:rFonts w:ascii="Arial" w:cs="Arial" w:eastAsia="Arial" w:hAnsi="Arial"/>
          <w:sz w:val="21"/>
          <w:szCs w:val="21"/>
          <w:b w:val="1"/>
          <w:bCs w:val="1"/>
          <w:color w:val="auto"/>
        </w:rPr>
        <w:t>Recovery of Erroneously Awarded Compensation</w:t>
      </w:r>
    </w:p>
    <w:p>
      <w:pPr>
        <w:spacing w:after="0" w:line="100" w:lineRule="exact"/>
        <w:rPr>
          <w:sz w:val="20"/>
          <w:szCs w:val="20"/>
          <w:color w:val="auto"/>
        </w:rPr>
      </w:pPr>
    </w:p>
    <w:p>
      <w:pPr>
        <w:ind w:left="1500" w:right="80"/>
        <w:spacing w:after="0" w:line="238" w:lineRule="auto"/>
        <w:rPr>
          <w:sz w:val="20"/>
          <w:szCs w:val="20"/>
          <w:color w:val="auto"/>
        </w:rPr>
      </w:pPr>
      <w:r>
        <w:rPr>
          <w:rFonts w:ascii="Arial" w:cs="Arial" w:eastAsia="Arial" w:hAnsi="Arial"/>
          <w:sz w:val="22"/>
          <w:szCs w:val="22"/>
          <w:color w:val="auto"/>
        </w:rPr>
        <w:t>Promptly following a Recoupment Event, the Committee will determine the amount of Erroneously Awarded Compensation for each Covered Executive, and the Company will provide each such Covered Executive with a written notice of such amount and a demand for repayment or return. Upon receipt of such notice, each affected Covered Executive shall promptly repay or return such Erroneously Awarded Compensation to the Company.</w:t>
      </w:r>
    </w:p>
    <w:p>
      <w:pPr>
        <w:spacing w:after="0" w:line="69" w:lineRule="exact"/>
        <w:rPr>
          <w:sz w:val="20"/>
          <w:szCs w:val="20"/>
          <w:color w:val="auto"/>
        </w:rPr>
      </w:pPr>
    </w:p>
    <w:p>
      <w:pPr>
        <w:ind w:left="1500" w:right="360"/>
        <w:spacing w:after="0"/>
        <w:rPr>
          <w:sz w:val="20"/>
          <w:szCs w:val="20"/>
          <w:color w:val="auto"/>
        </w:rPr>
      </w:pPr>
      <w:r>
        <w:rPr>
          <w:rFonts w:ascii="Arial" w:cs="Arial" w:eastAsia="Arial" w:hAnsi="Arial"/>
          <w:sz w:val="22"/>
          <w:szCs w:val="22"/>
          <w:color w:val="auto"/>
        </w:rPr>
        <w:t>If such repayment or return is not made within a reasonable time, the Company shall recover Erroneously Awarded Compensation in a reasonable and prompt manner using any lawful method determined by the Committee; provided that recovery of any Erroneously Awarded Compensation must be made in compliance with Section 409A.</w:t>
      </w:r>
    </w:p>
    <w:p>
      <w:pPr>
        <w:spacing w:after="0" w:line="66"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4.3.</w:t>
      </w:r>
      <w:r>
        <w:rPr>
          <w:sz w:val="20"/>
          <w:szCs w:val="20"/>
          <w:color w:val="auto"/>
        </w:rPr>
        <w:tab/>
      </w:r>
      <w:r>
        <w:rPr>
          <w:rFonts w:ascii="Arial" w:cs="Arial" w:eastAsia="Arial" w:hAnsi="Arial"/>
          <w:sz w:val="21"/>
          <w:szCs w:val="21"/>
          <w:b w:val="1"/>
          <w:bCs w:val="1"/>
          <w:color w:val="auto"/>
        </w:rPr>
        <w:t>Limited Exceptions</w:t>
      </w:r>
    </w:p>
    <w:p>
      <w:pPr>
        <w:spacing w:after="0" w:line="100" w:lineRule="exact"/>
        <w:rPr>
          <w:sz w:val="20"/>
          <w:szCs w:val="20"/>
          <w:color w:val="auto"/>
        </w:rPr>
      </w:pPr>
    </w:p>
    <w:p>
      <w:pPr>
        <w:ind w:left="1500" w:right="400"/>
        <w:spacing w:after="0" w:line="245" w:lineRule="auto"/>
        <w:rPr>
          <w:sz w:val="20"/>
          <w:szCs w:val="20"/>
          <w:color w:val="auto"/>
        </w:rPr>
      </w:pPr>
      <w:r>
        <w:rPr>
          <w:rFonts w:ascii="Arial" w:cs="Arial" w:eastAsia="Arial" w:hAnsi="Arial"/>
          <w:sz w:val="22"/>
          <w:szCs w:val="22"/>
          <w:color w:val="auto"/>
        </w:rPr>
        <w:t>Erroneously Awarded Compensation will be recovered in accordance with this Policy unless the Committee determines that recovery would be impracticable and one of the following conditions is met:</w:t>
      </w:r>
    </w:p>
    <w:p>
      <w:pPr>
        <w:spacing w:after="0" w:line="62" w:lineRule="exact"/>
        <w:rPr>
          <w:sz w:val="20"/>
          <w:szCs w:val="20"/>
          <w:color w:val="auto"/>
        </w:rPr>
      </w:pPr>
    </w:p>
    <w:p>
      <w:pPr>
        <w:ind w:left="1880" w:right="100" w:hanging="375"/>
        <w:spacing w:after="0" w:line="244" w:lineRule="auto"/>
        <w:tabs>
          <w:tab w:leader="none" w:pos="1880" w:val="left"/>
        </w:tabs>
        <w:numPr>
          <w:ilvl w:val="0"/>
          <w:numId w:val="112"/>
        </w:numPr>
        <w:rPr>
          <w:rFonts w:ascii="Times New Roman" w:cs="Times New Roman" w:eastAsia="Times New Roman" w:hAnsi="Times New Roman"/>
          <w:sz w:val="22"/>
          <w:szCs w:val="22"/>
          <w:color w:val="auto"/>
        </w:rPr>
      </w:pPr>
      <w:r>
        <w:rPr>
          <w:rFonts w:ascii="Arial" w:cs="Arial" w:eastAsia="Arial" w:hAnsi="Arial"/>
          <w:sz w:val="22"/>
          <w:szCs w:val="22"/>
          <w:color w:val="auto"/>
        </w:rPr>
        <w:t>the direct expense paid to a third party to assist in enforcing this Policy would exceed the amount to be recovered, provided the Company has first made a reasonable effort to recover the Erroneously Awarded Compensation;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6" w:name="page147"/>
    <w:bookmarkEnd w:id="146"/>
    <w:tbl>
      <w:tblPr>
        <w:tblLayout w:type="fixed"/>
        <w:tblInd w:w="10" w:type="dxa"/>
        <w:tblCellMar>
          <w:top w:w="0" w:type="dxa"/>
          <w:left w:w="0" w:type="dxa"/>
          <w:bottom w:w="0" w:type="dxa"/>
          <w:right w:w="0" w:type="dxa"/>
        </w:tblCellMar>
      </w:tblPr>
      <w:tr>
        <w:trPr>
          <w:trHeight w:val="247"/>
        </w:trPr>
        <w:tc>
          <w:tcPr>
            <w:tcW w:w="654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Title:  Mandatory Compensation Recovery Policy (applicable to</w:t>
            </w:r>
          </w:p>
        </w:tc>
        <w:tc>
          <w:tcPr>
            <w:tcW w:w="2300" w:type="dxa"/>
            <w:vAlign w:val="bottom"/>
            <w:tcBorders>
              <w:top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Policy No.: Corp-</w:t>
            </w:r>
          </w:p>
        </w:tc>
        <w:tc>
          <w:tcPr>
            <w:tcW w:w="2400" w:type="dxa"/>
            <w:vAlign w:val="bottom"/>
            <w:tcBorders>
              <w:top w:val="single" w:sz="8" w:color="auto"/>
              <w:right w:val="single" w:sz="8" w:color="auto"/>
            </w:tcBorders>
          </w:tcPr>
          <w:p>
            <w:pPr>
              <w:ind w:left="1120"/>
              <w:spacing w:after="0" w:line="247" w:lineRule="exact"/>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4</w:t>
            </w:r>
            <w:r>
              <w:rPr>
                <w:rFonts w:ascii="Arial" w:cs="Arial" w:eastAsia="Arial" w:hAnsi="Arial"/>
                <w:sz w:val="22"/>
                <w:szCs w:val="22"/>
                <w:color w:val="auto"/>
              </w:rPr>
              <w:t xml:space="preserve"> of </w:t>
            </w:r>
            <w:r>
              <w:rPr>
                <w:rFonts w:ascii="Arial" w:cs="Arial" w:eastAsia="Arial" w:hAnsi="Arial"/>
                <w:sz w:val="22"/>
                <w:szCs w:val="22"/>
                <w:b w:val="1"/>
                <w:bCs w:val="1"/>
                <w:color w:val="auto"/>
              </w:rPr>
              <w:t>5</w:t>
            </w:r>
          </w:p>
        </w:tc>
      </w:tr>
      <w:tr>
        <w:trPr>
          <w:trHeight w:val="283"/>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current and former Section 16 Officers)</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Governance-05</w:t>
            </w:r>
          </w:p>
        </w:tc>
        <w:tc>
          <w:tcPr>
            <w:tcW w:w="2400" w:type="dxa"/>
            <w:vAlign w:val="bottom"/>
            <w:tcBorders>
              <w:right w:val="single" w:sz="8" w:color="auto"/>
            </w:tcBorders>
          </w:tcPr>
          <w:p>
            <w:pPr>
              <w:spacing w:after="0"/>
              <w:rPr>
                <w:sz w:val="24"/>
                <w:szCs w:val="24"/>
                <w:color w:val="auto"/>
              </w:rPr>
            </w:pPr>
          </w:p>
        </w:tc>
      </w:tr>
      <w:tr>
        <w:trPr>
          <w:trHeight w:val="239"/>
        </w:trPr>
        <w:tc>
          <w:tcPr>
            <w:tcW w:w="654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bl>
    <w:p>
      <w:pPr>
        <w:spacing w:after="0" w:line="213" w:lineRule="exact"/>
        <w:rPr>
          <w:sz w:val="20"/>
          <w:szCs w:val="20"/>
          <w:color w:val="auto"/>
        </w:rPr>
      </w:pPr>
    </w:p>
    <w:p>
      <w:pPr>
        <w:ind w:left="1880" w:right="640" w:hanging="375"/>
        <w:spacing w:after="0" w:line="244" w:lineRule="auto"/>
        <w:tabs>
          <w:tab w:leader="none" w:pos="1880" w:val="left"/>
        </w:tabs>
        <w:numPr>
          <w:ilvl w:val="0"/>
          <w:numId w:val="113"/>
        </w:numPr>
        <w:rPr>
          <w:rFonts w:ascii="Times New Roman" w:cs="Times New Roman" w:eastAsia="Times New Roman" w:hAnsi="Times New Roman"/>
          <w:sz w:val="22"/>
          <w:szCs w:val="22"/>
          <w:color w:val="auto"/>
        </w:rPr>
      </w:pPr>
      <w:r>
        <w:rPr>
          <w:rFonts w:ascii="Arial" w:cs="Arial" w:eastAsia="Arial" w:hAnsi="Arial"/>
          <w:sz w:val="22"/>
          <w:szCs w:val="22"/>
          <w:color w:val="auto"/>
        </w:rPr>
        <w:t>the recovery would likely cause a U.S. tax-qualified retirement plan to fail to meet the requirements of Internal Revenue Code Sections 401(a)(13) and 411(a) and the regulations thereunder.</w:t>
      </w:r>
    </w:p>
    <w:p>
      <w:pPr>
        <w:spacing w:after="0" w:line="64" w:lineRule="exact"/>
        <w:rPr>
          <w:sz w:val="20"/>
          <w:szCs w:val="20"/>
          <w:color w:val="auto"/>
        </w:rPr>
      </w:pPr>
    </w:p>
    <w:p>
      <w:pPr>
        <w:ind w:left="1500" w:right="440"/>
        <w:spacing w:after="0" w:line="245" w:lineRule="auto"/>
        <w:rPr>
          <w:sz w:val="20"/>
          <w:szCs w:val="20"/>
          <w:color w:val="auto"/>
        </w:rPr>
      </w:pPr>
      <w:r>
        <w:rPr>
          <w:rFonts w:ascii="Arial" w:cs="Arial" w:eastAsia="Arial" w:hAnsi="Arial"/>
          <w:sz w:val="22"/>
          <w:szCs w:val="22"/>
          <w:color w:val="auto"/>
        </w:rPr>
        <w:t>Reliance on any of the above exemptions will further comply with applicable listing standards, including without limitation, documenting the reason for the impracticability and providing required documentation to NYSE.</w:t>
      </w:r>
    </w:p>
    <w:p>
      <w:pPr>
        <w:spacing w:after="0" w:line="60"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4.4.</w:t>
      </w:r>
      <w:r>
        <w:rPr>
          <w:sz w:val="20"/>
          <w:szCs w:val="20"/>
          <w:color w:val="auto"/>
        </w:rPr>
        <w:tab/>
      </w:r>
      <w:r>
        <w:rPr>
          <w:rFonts w:ascii="Arial" w:cs="Arial" w:eastAsia="Arial" w:hAnsi="Arial"/>
          <w:sz w:val="21"/>
          <w:szCs w:val="21"/>
          <w:b w:val="1"/>
          <w:bCs w:val="1"/>
          <w:color w:val="auto"/>
        </w:rPr>
        <w:t>No Insurance or Indemnification</w:t>
      </w:r>
    </w:p>
    <w:p>
      <w:pPr>
        <w:spacing w:after="0" w:line="100" w:lineRule="exact"/>
        <w:rPr>
          <w:sz w:val="20"/>
          <w:szCs w:val="20"/>
          <w:color w:val="auto"/>
        </w:rPr>
      </w:pPr>
    </w:p>
    <w:p>
      <w:pPr>
        <w:ind w:left="1500" w:right="80"/>
        <w:spacing w:after="0" w:line="236" w:lineRule="auto"/>
        <w:rPr>
          <w:sz w:val="20"/>
          <w:szCs w:val="20"/>
          <w:color w:val="auto"/>
        </w:rPr>
      </w:pPr>
      <w:r>
        <w:rPr>
          <w:rFonts w:ascii="Arial" w:cs="Arial" w:eastAsia="Arial" w:hAnsi="Arial"/>
          <w:sz w:val="22"/>
          <w:szCs w:val="22"/>
          <w:color w:val="auto"/>
        </w:rPr>
        <w:t>Neither the Company nor any of its affiliates or subsidiaries may indemnify any Covered Executive against the loss of any Erroneously Awarded Compensation (or related expenses incurred by the Covered Executive) pursuant to a recovery of Erroneously Awarded Compensation under this Policy, nor will the Company nor any of its affiliates or subsidiaries pay or reimburse a Covered Executive for any insurance premiums on any insurance policy obtained by the Covered Executive to protect against the forfeiture or recovery of any compensation pursuant to this Policy.</w:t>
      </w:r>
    </w:p>
    <w:p>
      <w:pPr>
        <w:spacing w:after="0" w:line="72"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4.5.</w:t>
      </w:r>
      <w:r>
        <w:rPr>
          <w:sz w:val="20"/>
          <w:szCs w:val="20"/>
          <w:color w:val="auto"/>
        </w:rPr>
        <w:tab/>
      </w:r>
      <w:r>
        <w:rPr>
          <w:rFonts w:ascii="Arial" w:cs="Arial" w:eastAsia="Arial" w:hAnsi="Arial"/>
          <w:sz w:val="21"/>
          <w:szCs w:val="21"/>
          <w:b w:val="1"/>
          <w:bCs w:val="1"/>
          <w:color w:val="auto"/>
        </w:rPr>
        <w:t>Interpretation</w:t>
      </w:r>
    </w:p>
    <w:p>
      <w:pPr>
        <w:spacing w:after="0" w:line="100" w:lineRule="exact"/>
        <w:rPr>
          <w:sz w:val="20"/>
          <w:szCs w:val="20"/>
          <w:color w:val="auto"/>
        </w:rPr>
      </w:pPr>
    </w:p>
    <w:p>
      <w:pPr>
        <w:ind w:left="1500" w:right="40"/>
        <w:spacing w:after="0" w:line="234" w:lineRule="auto"/>
        <w:rPr>
          <w:sz w:val="20"/>
          <w:szCs w:val="20"/>
          <w:color w:val="auto"/>
        </w:rPr>
      </w:pPr>
      <w:r>
        <w:rPr>
          <w:rFonts w:ascii="Arial" w:cs="Arial" w:eastAsia="Arial" w:hAnsi="Arial"/>
          <w:sz w:val="22"/>
          <w:szCs w:val="22"/>
          <w:color w:val="auto"/>
        </w:rPr>
        <w:t>The Committee is authorized to interpret and construe this Policy and to make all determinations necessary, appropriate, or advisable for the administration of this Policy. This Policy shall be applied and interpreted in a manner that is consistent with the requirements of Rule 10D-1 and any applicable regulations, rules or standards adopted by SEC or the rules of any national securities exchange or national securities association on which the Company’s securities are listed. In the event that this Policy does not meet the requirements of Rule 10D-1, the SEC regulations promulgated thereunder, or the rules of any national securities exchange or national securities association on which the Company’s securities are listed, this Policy shall be deemed to be amended to meet such requirements.</w:t>
      </w:r>
    </w:p>
    <w:p>
      <w:pPr>
        <w:spacing w:after="0" w:line="73"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4.6.</w:t>
      </w:r>
      <w:r>
        <w:rPr>
          <w:sz w:val="20"/>
          <w:szCs w:val="20"/>
          <w:color w:val="auto"/>
        </w:rPr>
        <w:tab/>
      </w:r>
      <w:r>
        <w:rPr>
          <w:rFonts w:ascii="Arial" w:cs="Arial" w:eastAsia="Arial" w:hAnsi="Arial"/>
          <w:sz w:val="21"/>
          <w:szCs w:val="21"/>
          <w:b w:val="1"/>
          <w:bCs w:val="1"/>
          <w:color w:val="auto"/>
        </w:rPr>
        <w:t>Indemnification of Policy Administrators</w:t>
      </w:r>
    </w:p>
    <w:p>
      <w:pPr>
        <w:spacing w:after="0" w:line="100" w:lineRule="exact"/>
        <w:rPr>
          <w:sz w:val="20"/>
          <w:szCs w:val="20"/>
          <w:color w:val="auto"/>
        </w:rPr>
      </w:pPr>
    </w:p>
    <w:p>
      <w:pPr>
        <w:ind w:left="1500" w:right="260"/>
        <w:spacing w:after="0" w:line="236" w:lineRule="auto"/>
        <w:rPr>
          <w:sz w:val="20"/>
          <w:szCs w:val="20"/>
          <w:color w:val="auto"/>
        </w:rPr>
      </w:pPr>
      <w:r>
        <w:rPr>
          <w:rFonts w:ascii="Arial" w:cs="Arial" w:eastAsia="Arial" w:hAnsi="Arial"/>
          <w:sz w:val="22"/>
          <w:szCs w:val="22"/>
          <w:color w:val="auto"/>
        </w:rPr>
        <w:t>Any members of the Committee who participate in the administration of this Policy shall not be personally liable for any action, determination or interpretation made with respect to this Policy and shall be fully indemnified by the Company to the fullest extent permitted under applicable law and Company governing documents and policies with respect to any such action, determination or interpretation. The foregoing shall not limit any other rights to indemnification of the members of the Committee under applicable law or Company governing documents and policies.</w:t>
      </w:r>
    </w:p>
    <w:p>
      <w:pPr>
        <w:spacing w:after="0" w:line="72"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4.7.</w:t>
      </w:r>
      <w:r>
        <w:rPr>
          <w:sz w:val="20"/>
          <w:szCs w:val="20"/>
          <w:color w:val="auto"/>
        </w:rPr>
        <w:tab/>
      </w:r>
      <w:r>
        <w:rPr>
          <w:rFonts w:ascii="Arial" w:cs="Arial" w:eastAsia="Arial" w:hAnsi="Arial"/>
          <w:sz w:val="21"/>
          <w:szCs w:val="21"/>
          <w:b w:val="1"/>
          <w:bCs w:val="1"/>
          <w:color w:val="auto"/>
        </w:rPr>
        <w:t>Amendment; Termination</w:t>
      </w:r>
    </w:p>
    <w:p>
      <w:pPr>
        <w:spacing w:after="0" w:line="100" w:lineRule="exact"/>
        <w:rPr>
          <w:sz w:val="20"/>
          <w:szCs w:val="20"/>
          <w:color w:val="auto"/>
        </w:rPr>
      </w:pPr>
    </w:p>
    <w:p>
      <w:pPr>
        <w:ind w:left="1500" w:right="60"/>
        <w:spacing w:after="0" w:line="236" w:lineRule="auto"/>
        <w:rPr>
          <w:sz w:val="20"/>
          <w:szCs w:val="20"/>
          <w:color w:val="auto"/>
        </w:rPr>
      </w:pPr>
      <w:r>
        <w:rPr>
          <w:rFonts w:ascii="Arial" w:cs="Arial" w:eastAsia="Arial" w:hAnsi="Arial"/>
          <w:sz w:val="22"/>
          <w:szCs w:val="22"/>
          <w:color w:val="auto"/>
        </w:rPr>
        <w:t>The Board or the Committee may amend this Policy in its discretion and shall amend this Policy as it deems necessary to comply with the regulations adopted by the SEC under Rule 10D-1 and the rules of any national securities exchange or national securities association on which the Company’s securities are listed. The Board or the Committee may terminate this Policy at any time. Notwithstanding anything herein to the contrary, no amendment or termination of this Policy shall be effective if that amendment or termination would cause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7" w:name="page148"/>
    <w:bookmarkEnd w:id="147"/>
    <w:tbl>
      <w:tblPr>
        <w:tblLayout w:type="fixed"/>
        <w:tblInd w:w="10" w:type="dxa"/>
        <w:tblCellMar>
          <w:top w:w="0" w:type="dxa"/>
          <w:left w:w="0" w:type="dxa"/>
          <w:bottom w:w="0" w:type="dxa"/>
          <w:right w:w="0" w:type="dxa"/>
        </w:tblCellMar>
      </w:tblPr>
      <w:tr>
        <w:trPr>
          <w:trHeight w:val="247"/>
        </w:trPr>
        <w:tc>
          <w:tcPr>
            <w:tcW w:w="6540" w:type="dxa"/>
            <w:vAlign w:val="bottom"/>
            <w:tcBorders>
              <w:top w:val="single" w:sz="8" w:color="auto"/>
              <w:left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Title:  Mandatory Compensation Recovery Policy (applicable to</w:t>
            </w:r>
          </w:p>
        </w:tc>
        <w:tc>
          <w:tcPr>
            <w:tcW w:w="2300" w:type="dxa"/>
            <w:vAlign w:val="bottom"/>
            <w:tcBorders>
              <w:top w:val="single" w:sz="8" w:color="auto"/>
              <w:right w:val="single" w:sz="8" w:color="auto"/>
            </w:tcBorders>
          </w:tcPr>
          <w:p>
            <w:pPr>
              <w:ind w:left="80"/>
              <w:spacing w:after="0" w:line="247" w:lineRule="exact"/>
              <w:rPr>
                <w:sz w:val="20"/>
                <w:szCs w:val="20"/>
                <w:color w:val="auto"/>
              </w:rPr>
            </w:pPr>
            <w:r>
              <w:rPr>
                <w:rFonts w:ascii="Arial" w:cs="Arial" w:eastAsia="Arial" w:hAnsi="Arial"/>
                <w:sz w:val="22"/>
                <w:szCs w:val="22"/>
                <w:color w:val="auto"/>
              </w:rPr>
              <w:t>Policy No.: Corp-</w:t>
            </w:r>
          </w:p>
        </w:tc>
        <w:tc>
          <w:tcPr>
            <w:tcW w:w="2400" w:type="dxa"/>
            <w:vAlign w:val="bottom"/>
            <w:tcBorders>
              <w:top w:val="single" w:sz="8" w:color="auto"/>
              <w:right w:val="single" w:sz="8" w:color="auto"/>
            </w:tcBorders>
          </w:tcPr>
          <w:p>
            <w:pPr>
              <w:ind w:left="1120"/>
              <w:spacing w:after="0" w:line="247" w:lineRule="exact"/>
              <w:rPr>
                <w:sz w:val="20"/>
                <w:szCs w:val="20"/>
                <w:color w:val="auto"/>
              </w:rPr>
            </w:pPr>
            <w:r>
              <w:rPr>
                <w:rFonts w:ascii="Arial" w:cs="Arial" w:eastAsia="Arial" w:hAnsi="Arial"/>
                <w:sz w:val="22"/>
                <w:szCs w:val="22"/>
                <w:color w:val="auto"/>
              </w:rPr>
              <w:t xml:space="preserve">Page </w:t>
            </w:r>
            <w:r>
              <w:rPr>
                <w:rFonts w:ascii="Arial" w:cs="Arial" w:eastAsia="Arial" w:hAnsi="Arial"/>
                <w:sz w:val="22"/>
                <w:szCs w:val="22"/>
                <w:b w:val="1"/>
                <w:bCs w:val="1"/>
                <w:color w:val="auto"/>
              </w:rPr>
              <w:t>5</w:t>
            </w:r>
            <w:r>
              <w:rPr>
                <w:rFonts w:ascii="Arial" w:cs="Arial" w:eastAsia="Arial" w:hAnsi="Arial"/>
                <w:sz w:val="22"/>
                <w:szCs w:val="22"/>
                <w:color w:val="auto"/>
              </w:rPr>
              <w:t xml:space="preserve"> of </w:t>
            </w:r>
            <w:r>
              <w:rPr>
                <w:rFonts w:ascii="Arial" w:cs="Arial" w:eastAsia="Arial" w:hAnsi="Arial"/>
                <w:sz w:val="22"/>
                <w:szCs w:val="22"/>
                <w:b w:val="1"/>
                <w:bCs w:val="1"/>
                <w:color w:val="auto"/>
              </w:rPr>
              <w:t>5</w:t>
            </w:r>
          </w:p>
        </w:tc>
      </w:tr>
      <w:tr>
        <w:trPr>
          <w:trHeight w:val="283"/>
        </w:trPr>
        <w:tc>
          <w:tcPr>
            <w:tcW w:w="65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current and former Section 16 Officers)</w:t>
            </w:r>
          </w:p>
        </w:tc>
        <w:tc>
          <w:tcPr>
            <w:tcW w:w="23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Governance-05</w:t>
            </w:r>
          </w:p>
        </w:tc>
        <w:tc>
          <w:tcPr>
            <w:tcW w:w="2400" w:type="dxa"/>
            <w:vAlign w:val="bottom"/>
            <w:tcBorders>
              <w:right w:val="single" w:sz="8" w:color="auto"/>
            </w:tcBorders>
          </w:tcPr>
          <w:p>
            <w:pPr>
              <w:spacing w:after="0"/>
              <w:rPr>
                <w:sz w:val="24"/>
                <w:szCs w:val="24"/>
                <w:color w:val="auto"/>
              </w:rPr>
            </w:pPr>
          </w:p>
        </w:tc>
      </w:tr>
      <w:tr>
        <w:trPr>
          <w:trHeight w:val="239"/>
        </w:trPr>
        <w:tc>
          <w:tcPr>
            <w:tcW w:w="6540" w:type="dxa"/>
            <w:vAlign w:val="bottom"/>
            <w:tcBorders>
              <w:left w:val="single" w:sz="8" w:color="auto"/>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tcPr>
          <w:p>
            <w:pPr>
              <w:spacing w:after="0"/>
              <w:rPr>
                <w:sz w:val="20"/>
                <w:szCs w:val="20"/>
                <w:color w:val="auto"/>
              </w:rPr>
            </w:pPr>
          </w:p>
        </w:tc>
        <w:tc>
          <w:tcPr>
            <w:tcW w:w="2400" w:type="dxa"/>
            <w:vAlign w:val="bottom"/>
            <w:tcBorders>
              <w:bottom w:val="single" w:sz="8" w:color="auto"/>
              <w:right w:val="single" w:sz="8" w:color="auto"/>
            </w:tcBorders>
          </w:tcPr>
          <w:p>
            <w:pPr>
              <w:spacing w:after="0"/>
              <w:rPr>
                <w:sz w:val="20"/>
                <w:szCs w:val="20"/>
                <w:color w:val="auto"/>
              </w:rPr>
            </w:pPr>
          </w:p>
        </w:tc>
      </w:tr>
    </w:tbl>
    <w:p>
      <w:pPr>
        <w:spacing w:after="0" w:line="213" w:lineRule="exact"/>
        <w:rPr>
          <w:sz w:val="20"/>
          <w:szCs w:val="20"/>
          <w:color w:val="auto"/>
        </w:rPr>
      </w:pPr>
    </w:p>
    <w:p>
      <w:pPr>
        <w:ind w:left="1500" w:right="620"/>
        <w:spacing w:after="0" w:line="283" w:lineRule="auto"/>
        <w:rPr>
          <w:sz w:val="20"/>
          <w:szCs w:val="20"/>
          <w:color w:val="auto"/>
        </w:rPr>
      </w:pPr>
      <w:r>
        <w:rPr>
          <w:rFonts w:ascii="Arial" w:cs="Arial" w:eastAsia="Arial" w:hAnsi="Arial"/>
          <w:sz w:val="21"/>
          <w:szCs w:val="21"/>
          <w:color w:val="auto"/>
        </w:rPr>
        <w:t>Company to violate any federal securities laws, SEC rules or the rules of any national securities exchange or national securities association on which the Company’s securities are listed.</w:t>
      </w:r>
    </w:p>
    <w:p>
      <w:pPr>
        <w:spacing w:after="0" w:line="23" w:lineRule="exact"/>
        <w:rPr>
          <w:sz w:val="20"/>
          <w:szCs w:val="20"/>
          <w:color w:val="auto"/>
        </w:rPr>
      </w:pPr>
    </w:p>
    <w:p>
      <w:pPr>
        <w:ind w:left="780"/>
        <w:spacing w:after="0"/>
        <w:tabs>
          <w:tab w:leader="none" w:pos="1480" w:val="left"/>
        </w:tabs>
        <w:rPr>
          <w:sz w:val="20"/>
          <w:szCs w:val="20"/>
          <w:color w:val="auto"/>
        </w:rPr>
      </w:pPr>
      <w:r>
        <w:rPr>
          <w:rFonts w:ascii="Arial" w:cs="Arial" w:eastAsia="Arial" w:hAnsi="Arial"/>
          <w:sz w:val="22"/>
          <w:szCs w:val="22"/>
          <w:b w:val="1"/>
          <w:bCs w:val="1"/>
          <w:color w:val="auto"/>
        </w:rPr>
        <w:t>4.8.</w:t>
      </w:r>
      <w:r>
        <w:rPr>
          <w:sz w:val="20"/>
          <w:szCs w:val="20"/>
          <w:color w:val="auto"/>
        </w:rPr>
        <w:tab/>
      </w:r>
      <w:r>
        <w:rPr>
          <w:rFonts w:ascii="Arial" w:cs="Arial" w:eastAsia="Arial" w:hAnsi="Arial"/>
          <w:sz w:val="21"/>
          <w:szCs w:val="21"/>
          <w:b w:val="1"/>
          <w:bCs w:val="1"/>
          <w:color w:val="auto"/>
        </w:rPr>
        <w:t>Other Recoupment Rights</w:t>
      </w:r>
    </w:p>
    <w:p>
      <w:pPr>
        <w:spacing w:after="0" w:line="100" w:lineRule="exact"/>
        <w:rPr>
          <w:sz w:val="20"/>
          <w:szCs w:val="20"/>
          <w:color w:val="auto"/>
        </w:rPr>
      </w:pPr>
    </w:p>
    <w:p>
      <w:pPr>
        <w:ind w:left="1500" w:right="40"/>
        <w:spacing w:after="0" w:line="246" w:lineRule="auto"/>
        <w:rPr>
          <w:sz w:val="20"/>
          <w:szCs w:val="20"/>
          <w:color w:val="auto"/>
        </w:rPr>
      </w:pPr>
      <w:r>
        <w:rPr>
          <w:rFonts w:ascii="Arial" w:cs="Arial" w:eastAsia="Arial" w:hAnsi="Arial"/>
          <w:sz w:val="21"/>
          <w:szCs w:val="21"/>
          <w:color w:val="auto"/>
        </w:rPr>
        <w:t>Any right of recoupment under this Policy is in addition to, and not in lieu of, any other remedies or rights of recoupment that may be available to the Company pursuant to the terms of any similar provision in any employment agreement or other compensation plan or agreement and any other legal remedies available to the Company. This Policy is in addition to any other clawback or compensation recovery, recoupment or forfeiture policy in effect or that may be adopted by the Company from time to time, or any laws, rules or listing standards applicable to the Company, including without limitation, the Company’s right to recoup compensation subject to Section 304 of the Sarbanes-Oxley Act of 2002. To the extent that application of this Policy would provide for recovery of Erroneously Awarded Compensation that the Company recovers pursuant to another policy or provision, the amount that is recovered will be credited to the required recovery under this Policy.</w:t>
      </w:r>
    </w:p>
    <w:p>
      <w:pPr>
        <w:spacing w:after="0" w:line="61" w:lineRule="exact"/>
        <w:rPr>
          <w:sz w:val="20"/>
          <w:szCs w:val="20"/>
          <w:color w:val="auto"/>
        </w:rPr>
      </w:pPr>
    </w:p>
    <w:p>
      <w:pPr>
        <w:ind w:left="760" w:hanging="752"/>
        <w:spacing w:after="0"/>
        <w:tabs>
          <w:tab w:leader="none" w:pos="7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RELATED DOCUMENTS</w:t>
      </w:r>
    </w:p>
    <w:p>
      <w:pPr>
        <w:spacing w:after="0" w:line="100" w:lineRule="exact"/>
        <w:rPr>
          <w:rFonts w:ascii="Arial" w:cs="Arial" w:eastAsia="Arial" w:hAnsi="Arial"/>
          <w:sz w:val="22"/>
          <w:szCs w:val="22"/>
          <w:b w:val="1"/>
          <w:bCs w:val="1"/>
          <w:color w:val="auto"/>
        </w:rPr>
      </w:pPr>
    </w:p>
    <w:p>
      <w:pPr>
        <w:ind w:left="760"/>
        <w:spacing w:after="0"/>
        <w:rPr>
          <w:rFonts w:ascii="Arial" w:cs="Arial" w:eastAsia="Arial" w:hAnsi="Arial"/>
          <w:sz w:val="22"/>
          <w:szCs w:val="22"/>
          <w:b w:val="1"/>
          <w:bCs w:val="1"/>
          <w:color w:val="auto"/>
        </w:rPr>
      </w:pPr>
      <w:r>
        <w:rPr>
          <w:rFonts w:ascii="Arial" w:cs="Arial" w:eastAsia="Arial" w:hAnsi="Arial"/>
          <w:sz w:val="22"/>
          <w:szCs w:val="22"/>
          <w:color w:val="auto"/>
        </w:rPr>
        <w:t>Black Hills Corporation Supplemental Compensation Recovery Policy</w:t>
      </w:r>
    </w:p>
    <w:p>
      <w:pPr>
        <w:spacing w:after="0" w:line="96" w:lineRule="exact"/>
        <w:rPr>
          <w:rFonts w:ascii="Arial" w:cs="Arial" w:eastAsia="Arial" w:hAnsi="Arial"/>
          <w:sz w:val="22"/>
          <w:szCs w:val="22"/>
          <w:b w:val="1"/>
          <w:bCs w:val="1"/>
          <w:color w:val="auto"/>
        </w:rPr>
      </w:pPr>
    </w:p>
    <w:p>
      <w:pPr>
        <w:ind w:left="760" w:hanging="752"/>
        <w:spacing w:after="0"/>
        <w:tabs>
          <w:tab w:leader="none" w:pos="760" w:val="left"/>
        </w:tabs>
        <w:numPr>
          <w:ilvl w:val="0"/>
          <w:numId w:val="114"/>
        </w:numPr>
        <w:rPr>
          <w:rFonts w:ascii="Arial" w:cs="Arial" w:eastAsia="Arial" w:hAnsi="Arial"/>
          <w:sz w:val="22"/>
          <w:szCs w:val="22"/>
          <w:b w:val="1"/>
          <w:bCs w:val="1"/>
          <w:color w:val="auto"/>
        </w:rPr>
      </w:pPr>
      <w:r>
        <w:rPr>
          <w:rFonts w:ascii="Arial" w:cs="Arial" w:eastAsia="Arial" w:hAnsi="Arial"/>
          <w:sz w:val="22"/>
          <w:szCs w:val="22"/>
          <w:b w:val="1"/>
          <w:bCs w:val="1"/>
          <w:color w:val="auto"/>
        </w:rPr>
        <w:t>REVISION HISTORY</w:t>
      </w:r>
    </w:p>
    <w:p>
      <w:pPr>
        <w:spacing w:after="0" w:line="103" w:lineRule="exact"/>
        <w:rPr>
          <w:sz w:val="20"/>
          <w:szCs w:val="20"/>
          <w:color w:val="auto"/>
        </w:rPr>
      </w:pPr>
    </w:p>
    <w:tbl>
      <w:tblPr>
        <w:tblLayout w:type="fixed"/>
        <w:tblInd w:w="10" w:type="dxa"/>
        <w:tblCellMar>
          <w:top w:w="0" w:type="dxa"/>
          <w:left w:w="0" w:type="dxa"/>
          <w:bottom w:w="0" w:type="dxa"/>
          <w:right w:w="0" w:type="dxa"/>
        </w:tblCellMar>
      </w:tblPr>
      <w:tr>
        <w:trPr>
          <w:trHeight w:val="303"/>
        </w:trPr>
        <w:tc>
          <w:tcPr>
            <w:tcW w:w="1520" w:type="dxa"/>
            <w:vAlign w:val="bottom"/>
            <w:tcBorders>
              <w:top w:val="single" w:sz="8" w:color="auto"/>
              <w:left w:val="single" w:sz="8" w:color="auto"/>
              <w:bottom w:val="single" w:sz="8" w:color="auto"/>
              <w:right w:val="single" w:sz="8" w:color="auto"/>
            </w:tcBorders>
            <w:shd w:val="clear" w:color="auto" w:fill="F2F2F2"/>
          </w:tcPr>
          <w:p>
            <w:pPr>
              <w:ind w:left="120"/>
              <w:spacing w:after="0"/>
              <w:rPr>
                <w:sz w:val="20"/>
                <w:szCs w:val="20"/>
                <w:color w:val="auto"/>
              </w:rPr>
            </w:pPr>
            <w:r>
              <w:rPr>
                <w:rFonts w:ascii="Arial" w:cs="Arial" w:eastAsia="Arial" w:hAnsi="Arial"/>
                <w:sz w:val="22"/>
                <w:szCs w:val="22"/>
                <w:color w:val="auto"/>
              </w:rPr>
              <w:t>Revision #</w:t>
            </w:r>
          </w:p>
        </w:tc>
        <w:tc>
          <w:tcPr>
            <w:tcW w:w="1600" w:type="dxa"/>
            <w:vAlign w:val="bottom"/>
            <w:tcBorders>
              <w:top w:val="single" w:sz="8" w:color="auto"/>
              <w:bottom w:val="single" w:sz="8" w:color="auto"/>
              <w:right w:val="single" w:sz="8" w:color="auto"/>
            </w:tcBorders>
            <w:shd w:val="clear" w:color="auto" w:fill="F2F2F2"/>
          </w:tcPr>
          <w:p>
            <w:pPr>
              <w:ind w:left="80"/>
              <w:spacing w:after="0"/>
              <w:rPr>
                <w:sz w:val="20"/>
                <w:szCs w:val="20"/>
                <w:color w:val="auto"/>
              </w:rPr>
            </w:pPr>
            <w:r>
              <w:rPr>
                <w:rFonts w:ascii="Arial" w:cs="Arial" w:eastAsia="Arial" w:hAnsi="Arial"/>
                <w:sz w:val="22"/>
                <w:szCs w:val="22"/>
                <w:color w:val="auto"/>
              </w:rPr>
              <w:t>Revision Date</w:t>
            </w:r>
          </w:p>
        </w:tc>
        <w:tc>
          <w:tcPr>
            <w:tcW w:w="542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Arial" w:cs="Arial" w:eastAsia="Arial" w:hAnsi="Arial"/>
                <w:sz w:val="22"/>
                <w:szCs w:val="22"/>
                <w:color w:val="auto"/>
              </w:rPr>
              <w:t>Description</w:t>
            </w:r>
          </w:p>
        </w:tc>
        <w:tc>
          <w:tcPr>
            <w:tcW w:w="2700" w:type="dxa"/>
            <w:vAlign w:val="bottom"/>
            <w:tcBorders>
              <w:top w:val="single" w:sz="8" w:color="auto"/>
              <w:bottom w:val="single" w:sz="8" w:color="auto"/>
            </w:tcBorders>
            <w:shd w:val="clear" w:color="auto" w:fill="F2F2F2"/>
          </w:tcPr>
          <w:p>
            <w:pPr>
              <w:ind w:left="100"/>
              <w:spacing w:after="0"/>
              <w:rPr>
                <w:sz w:val="20"/>
                <w:szCs w:val="20"/>
                <w:color w:val="auto"/>
              </w:rPr>
            </w:pPr>
            <w:r>
              <w:rPr>
                <w:rFonts w:ascii="Arial" w:cs="Arial" w:eastAsia="Arial" w:hAnsi="Arial"/>
                <w:sz w:val="22"/>
                <w:szCs w:val="22"/>
                <w:color w:val="auto"/>
              </w:rPr>
              <w:t>Revised By</w:t>
            </w:r>
          </w:p>
        </w:tc>
      </w:tr>
      <w:tr>
        <w:trPr>
          <w:trHeight w:val="247"/>
        </w:trPr>
        <w:tc>
          <w:tcPr>
            <w:tcW w:w="1520" w:type="dxa"/>
            <w:vAlign w:val="bottom"/>
            <w:tcBorders>
              <w:bottom w:val="single" w:sz="8" w:color="auto"/>
              <w:right w:val="single" w:sz="8" w:color="auto"/>
            </w:tcBorders>
          </w:tcPr>
          <w:p>
            <w:pPr>
              <w:ind w:left="120"/>
              <w:spacing w:after="0" w:line="247" w:lineRule="exact"/>
              <w:rPr>
                <w:sz w:val="20"/>
                <w:szCs w:val="20"/>
                <w:color w:val="auto"/>
              </w:rPr>
            </w:pPr>
            <w:r>
              <w:rPr>
                <w:rFonts w:ascii="Arial" w:cs="Arial" w:eastAsia="Arial" w:hAnsi="Arial"/>
                <w:sz w:val="22"/>
                <w:szCs w:val="22"/>
                <w:color w:val="auto"/>
              </w:rPr>
              <w:t>New</w:t>
            </w:r>
          </w:p>
        </w:tc>
        <w:tc>
          <w:tcPr>
            <w:tcW w:w="1600" w:type="dxa"/>
            <w:vAlign w:val="bottom"/>
            <w:tcBorders>
              <w:bottom w:val="single" w:sz="8" w:color="auto"/>
              <w:right w:val="single" w:sz="8" w:color="auto"/>
            </w:tcBorders>
          </w:tcPr>
          <w:p>
            <w:pPr>
              <w:spacing w:after="0"/>
              <w:rPr>
                <w:sz w:val="21"/>
                <w:szCs w:val="21"/>
                <w:color w:val="auto"/>
              </w:rPr>
            </w:pPr>
          </w:p>
        </w:tc>
        <w:tc>
          <w:tcPr>
            <w:tcW w:w="5420" w:type="dxa"/>
            <w:vAlign w:val="bottom"/>
            <w:tcBorders>
              <w:bottom w:val="single" w:sz="8" w:color="auto"/>
              <w:right w:val="single" w:sz="8" w:color="auto"/>
            </w:tcBorders>
          </w:tcPr>
          <w:p>
            <w:pPr>
              <w:ind w:left="100"/>
              <w:spacing w:after="0" w:line="247" w:lineRule="exact"/>
              <w:rPr>
                <w:sz w:val="20"/>
                <w:szCs w:val="20"/>
                <w:color w:val="auto"/>
              </w:rPr>
            </w:pPr>
            <w:r>
              <w:rPr>
                <w:rFonts w:ascii="Arial" w:cs="Arial" w:eastAsia="Arial" w:hAnsi="Arial"/>
                <w:sz w:val="22"/>
                <w:szCs w:val="22"/>
                <w:color w:val="auto"/>
              </w:rPr>
              <w:t>New Policy</w:t>
            </w:r>
          </w:p>
        </w:tc>
        <w:tc>
          <w:tcPr>
            <w:tcW w:w="2700" w:type="dxa"/>
            <w:vAlign w:val="bottom"/>
            <w:tcBorders>
              <w:bottom w:val="single" w:sz="8" w:color="auto"/>
            </w:tcBorders>
          </w:tcPr>
          <w:p>
            <w:pPr>
              <w:spacing w:after="0"/>
              <w:rPr>
                <w:sz w:val="21"/>
                <w:szCs w:val="21"/>
                <w:color w:val="auto"/>
              </w:rPr>
            </w:pPr>
          </w:p>
        </w:tc>
      </w:tr>
      <w:tr>
        <w:trPr>
          <w:trHeight w:val="264"/>
        </w:trPr>
        <w:tc>
          <w:tcPr>
            <w:tcW w:w="1520" w:type="dxa"/>
            <w:vAlign w:val="bottom"/>
            <w:tcBorders>
              <w:bottom w:val="single" w:sz="8" w:color="auto"/>
              <w:right w:val="single" w:sz="8" w:color="auto"/>
            </w:tcBorders>
          </w:tcPr>
          <w:p>
            <w:pPr>
              <w:spacing w:after="0"/>
              <w:rPr>
                <w:sz w:val="22"/>
                <w:szCs w:val="22"/>
                <w:color w:val="auto"/>
              </w:rPr>
            </w:pPr>
          </w:p>
        </w:tc>
        <w:tc>
          <w:tcPr>
            <w:tcW w:w="1600" w:type="dxa"/>
            <w:vAlign w:val="bottom"/>
            <w:tcBorders>
              <w:bottom w:val="single" w:sz="8" w:color="auto"/>
              <w:right w:val="single" w:sz="8" w:color="auto"/>
            </w:tcBorders>
          </w:tcPr>
          <w:p>
            <w:pPr>
              <w:spacing w:after="0"/>
              <w:rPr>
                <w:sz w:val="22"/>
                <w:szCs w:val="22"/>
                <w:color w:val="auto"/>
              </w:rPr>
            </w:pPr>
          </w:p>
        </w:tc>
        <w:tc>
          <w:tcPr>
            <w:tcW w:w="5420" w:type="dxa"/>
            <w:vAlign w:val="bottom"/>
            <w:tcBorders>
              <w:bottom w:val="single" w:sz="8" w:color="auto"/>
              <w:right w:val="single" w:sz="8" w:color="auto"/>
            </w:tcBorders>
          </w:tcPr>
          <w:p>
            <w:pPr>
              <w:spacing w:after="0"/>
              <w:rPr>
                <w:sz w:val="22"/>
                <w:szCs w:val="22"/>
                <w:color w:val="auto"/>
              </w:rPr>
            </w:pPr>
          </w:p>
        </w:tc>
        <w:tc>
          <w:tcPr>
            <w:tcW w:w="270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72898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59">
                      <a:extLst>
                        <a:ext uri="{28A0092B-C50C-407E-A947-70E740481C1C}"/>
                      </a:extLst>
                    </a:blip>
                    <a:srcRect/>
                    <a:stretch>
                      <a:fillRect/>
                    </a:stretch>
                  </pic:blipFill>
                  <pic:spPr bwMode="auto">
                    <a:xfrm>
                      <a:off x="0" y="0"/>
                      <a:ext cx="7132320" cy="72898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(List every instance of the document being changed or reissued).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48" w:name="page149"/>
    <w:bookmarkEnd w:id="1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1)"/>
      <w:numFmt w:val="lowerLetter"/>
      <w:start w:val="1"/>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Letter"/>
      <w:start w:val="1"/>
    </w:lvl>
  </w:abstractNum>
  <w:abstractNum w:abstractNumId="5">
    <w:nsid w:val="741226BB"/>
    <w:multiLevelType w:val="hybridMultilevel"/>
    <w:lvl w:ilvl="0">
      <w:lvlJc w:val="left"/>
      <w:lvlText w:val="(%1)"/>
      <w:numFmt w:val="lowerLetter"/>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1)"/>
      <w:numFmt w:val="lowerLetter"/>
      <w:start w:val="1"/>
    </w:lvl>
  </w:abstractNum>
  <w:abstractNum w:abstractNumId="8">
    <w:nsid w:val="3F6AB60F"/>
    <w:multiLevelType w:val="hybridMultilevel"/>
    <w:lvl w:ilvl="0">
      <w:lvlJc w:val="left"/>
      <w:lvlText w:val="(%1)"/>
      <w:numFmt w:val="lowerLetter"/>
      <w:start w:val="1"/>
    </w:lvl>
  </w:abstractNum>
  <w:abstractNum w:abstractNumId="9">
    <w:nsid w:val="61574095"/>
    <w:multiLevelType w:val="hybridMultilevel"/>
    <w:lvl w:ilvl="0">
      <w:lvlJc w:val="left"/>
      <w:lvlText w:val="(%1)"/>
      <w:numFmt w:val="lowerLetter"/>
      <w:start w:val="1"/>
    </w:lvl>
  </w:abstractNum>
  <w:abstractNum w:abstractNumId="10">
    <w:nsid w:val="7E0C57B1"/>
    <w:multiLevelType w:val="hybridMultilevel"/>
    <w:lvl w:ilvl="0">
      <w:lvlJc w:val="left"/>
      <w:lvlText w:val="(%1)"/>
      <w:numFmt w:val="lowerLetter"/>
      <w:start w:val="1"/>
    </w:lvl>
  </w:abstractNum>
  <w:abstractNum w:abstractNumId="11">
    <w:nsid w:val="77AE35EB"/>
    <w:multiLevelType w:val="hybridMultilevel"/>
    <w:lvl w:ilvl="0">
      <w:lvlJc w:val="left"/>
      <w:lvlText w:val="(%1)"/>
      <w:numFmt w:val="lowerLetter"/>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lowerLetter"/>
      <w:start w:val="1"/>
    </w:lvl>
  </w:abstractNum>
  <w:abstractNum w:abstractNumId="17">
    <w:nsid w:val="1DBABF00"/>
    <w:multiLevelType w:val="hybridMultilevel"/>
    <w:lvl w:ilvl="0">
      <w:lvlJc w:val="left"/>
      <w:lvlText w:val="(%1)"/>
      <w:numFmt w:val="lowerLetter"/>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1)"/>
      <w:numFmt w:val="lowerLetter"/>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lowerLetter"/>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Letter"/>
      <w:start w:val="1"/>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1"/>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1"/>
    </w:lvl>
  </w:abstractNum>
  <w:abstractNum w:abstractNumId="34">
    <w:nsid w:val="540A471C"/>
    <w:multiLevelType w:val="hybridMultilevel"/>
    <w:lvl w:ilvl="0">
      <w:lvlJc w:val="left"/>
      <w:lvlText w:val="(%1)"/>
      <w:numFmt w:val="lowerLetter"/>
      <w:start w:val="1"/>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lvl w:ilvl="1">
      <w:lvlJc w:val="left"/>
      <w:lvlText w:val="o"/>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1)"/>
      <w:numFmt w:val="lowerLetter"/>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decimal"/>
      <w:start w:val="3"/>
    </w:lvl>
  </w:abstractNum>
  <w:abstractNum w:abstractNumId="51">
    <w:nsid w:val="1A27709E"/>
    <w:multiLevelType w:val="hybridMultilevel"/>
    <w:lvl w:ilvl="0">
      <w:lvlJc w:val="left"/>
      <w:lvlText w:val="(%1)"/>
      <w:numFmt w:val="lowerLetter"/>
      <w:start w:val="1"/>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1"/>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decimal"/>
      <w:start w:val="9"/>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decimal"/>
      <w:start w:val="13"/>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decimal"/>
      <w:start w:val="1"/>
    </w:lvl>
  </w:abstractNum>
  <w:abstractNum w:abstractNumId="73">
    <w:nsid w:val="60EF0119"/>
    <w:multiLevelType w:val="hybridMultilevel"/>
    <w:lvl w:ilvl="0">
      <w:lvlJc w:val="left"/>
      <w:lvlText w:val="(%1)"/>
      <w:numFmt w:val="lowerLetter"/>
      <w:start w:val="1"/>
    </w:lvl>
  </w:abstractNum>
  <w:abstractNum w:abstractNumId="74">
    <w:nsid w:val="26F324BA"/>
    <w:multiLevelType w:val="hybridMultilevel"/>
    <w:lvl w:ilvl="0">
      <w:lvlJc w:val="left"/>
      <w:lvlText w:val="%1."/>
      <w:numFmt w:val="decimal"/>
      <w:start w:val="1"/>
    </w:lvl>
  </w:abstractNum>
  <w:abstractNum w:abstractNumId="75">
    <w:nsid w:val="7F01579B"/>
    <w:multiLevelType w:val="hybridMultilevel"/>
    <w:lvl w:ilvl="0">
      <w:lvlJc w:val="left"/>
      <w:lvlText w:val="%1."/>
      <w:numFmt w:val="decimal"/>
      <w:start w:val="2"/>
    </w:lvl>
  </w:abstractNum>
  <w:abstractNum w:abstractNumId="76">
    <w:nsid w:val="49DA307D"/>
    <w:multiLevelType w:val="hybridMultilevel"/>
    <w:lvl w:ilvl="0">
      <w:lvlJc w:val="left"/>
      <w:lvlText w:val="%1."/>
      <w:numFmt w:val="decimal"/>
      <w:start w:val="3"/>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2"/>
    </w:lvl>
    <w:lvl w:ilvl="1">
      <w:lvlJc w:val="left"/>
      <w:lvlText w:val="(%2)"/>
      <w:numFmt w:val="lowerRoman"/>
      <w:start w:val="1"/>
    </w:lvl>
    <w:lvl w:ilvl="2">
      <w:lvlJc w:val="left"/>
      <w:lvlText w:val="(%3)"/>
      <w:numFmt w:val="lowerLetter"/>
      <w:start w:val="24"/>
    </w:lvl>
  </w:abstractNum>
  <w:abstractNum w:abstractNumId="79">
    <w:nsid w:val="50801EE1"/>
    <w:multiLevelType w:val="hybridMultilevel"/>
    <w:lvl w:ilvl="0">
      <w:lvlJc w:val="left"/>
      <w:lvlText w:val="(%1)"/>
      <w:numFmt w:val="lowerLetter"/>
      <w:start w:val="4"/>
    </w:lvl>
  </w:abstractNum>
  <w:abstractNum w:abstractNumId="80">
    <w:nsid w:val="488AC1A"/>
    <w:multiLevelType w:val="hybridMultilevel"/>
    <w:lvl w:ilvl="0">
      <w:lvlJc w:val="left"/>
      <w:lvlText w:val="(%1)"/>
      <w:numFmt w:val="lowerLetter"/>
      <w:start w:val="5"/>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lowerLetter"/>
      <w:start w:val="2"/>
    </w:lvl>
  </w:abstractNum>
  <w:abstractNum w:abstractNumId="83">
    <w:nsid w:val="7672BD23"/>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4"/>
    </w:lvl>
  </w:abstractNum>
  <w:abstractNum w:abstractNumId="84">
    <w:nsid w:val="6FC75AF8"/>
    <w:multiLevelType w:val="hybridMultilevel"/>
    <w:lvl w:ilvl="0">
      <w:lvlJc w:val="left"/>
      <w:lvlText w:val="(%1)"/>
      <w:numFmt w:val="lowerLetter"/>
      <w:start w:val="3"/>
    </w:lvl>
    <w:lvl w:ilvl="1">
      <w:lvlJc w:val="left"/>
      <w:lvlText w:val="(%2)"/>
      <w:numFmt w:val="lowerRoman"/>
      <w:start w:val="1"/>
    </w:lvl>
  </w:abstractNum>
  <w:abstractNum w:abstractNumId="85">
    <w:nsid w:val="6A5F7029"/>
    <w:multiLevelType w:val="hybridMultilevel"/>
    <w:lvl w:ilvl="0">
      <w:lvlJc w:val="left"/>
      <w:lvlText w:val="(%1)"/>
      <w:numFmt w:val="lowerLetter"/>
      <w:start w:val="4"/>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3"/>
    </w:lvl>
  </w:abstractNum>
  <w:abstractNum w:abstractNumId="88">
    <w:nsid w:val="73A1821B"/>
    <w:multiLevelType w:val="hybridMultilevel"/>
    <w:lvl w:ilvl="0">
      <w:lvlJc w:val="left"/>
      <w:lvlText w:val="•"/>
      <w:numFmt w:val="bullet"/>
      <w:start w:val="1"/>
    </w:lvl>
  </w:abstractNum>
  <w:abstractNum w:abstractNumId="89">
    <w:nsid w:val="7DE67713"/>
    <w:multiLevelType w:val="hybridMultilevel"/>
    <w:lvl w:ilvl="0">
      <w:lvlJc w:val="left"/>
      <w:lvlText w:val="%1."/>
      <w:numFmt w:val="decimal"/>
      <w:start w:val="1"/>
    </w:lvl>
  </w:abstractNum>
  <w:abstractNum w:abstractNumId="90">
    <w:nsid w:val="555C55B5"/>
    <w:multiLevelType w:val="hybridMultilevel"/>
    <w:lvl w:ilvl="0">
      <w:lvlJc w:val="left"/>
      <w:lvlText w:val="%1."/>
      <w:numFmt w:val="decimal"/>
      <w:start w:val="3"/>
    </w:lvl>
  </w:abstractNum>
  <w:abstractNum w:abstractNumId="91">
    <w:nsid w:val="3FA62ACA"/>
    <w:multiLevelType w:val="hybridMultilevel"/>
    <w:lvl w:ilvl="0">
      <w:lvlJc w:val="left"/>
      <w:lvlText w:val="%1."/>
      <w:numFmt w:val="decimal"/>
      <w:start w:val="4"/>
    </w:lvl>
  </w:abstractNum>
  <w:abstractNum w:abstractNumId="92">
    <w:nsid w:val="14FCE74E"/>
    <w:multiLevelType w:val="hybridMultilevel"/>
    <w:lvl w:ilvl="0">
      <w:lvlJc w:val="left"/>
      <w:lvlText w:val="%1."/>
      <w:numFmt w:val="decimal"/>
      <w:start w:val="5"/>
    </w:lvl>
  </w:abstractNum>
  <w:abstractNum w:abstractNumId="93">
    <w:nsid w:val="6A3DD3E8"/>
    <w:multiLevelType w:val="hybridMultilevel"/>
    <w:lvl w:ilvl="0">
      <w:lvlJc w:val="left"/>
      <w:lvlText w:val="%1."/>
      <w:numFmt w:val="decimal"/>
      <w:start w:val="6"/>
    </w:lvl>
  </w:abstractNum>
  <w:abstractNum w:abstractNumId="94">
    <w:nsid w:val="71C91298"/>
    <w:multiLevelType w:val="hybridMultilevel"/>
    <w:lvl w:ilvl="0">
      <w:lvlJc w:val="left"/>
      <w:lvlText w:val="%1."/>
      <w:numFmt w:val="decimal"/>
      <w:start w:val="7"/>
    </w:lvl>
  </w:abstractNum>
  <w:abstractNum w:abstractNumId="95">
    <w:nsid w:val="9DAF632"/>
    <w:multiLevelType w:val="hybridMultilevel"/>
    <w:lvl w:ilvl="0">
      <w:lvlJc w:val="left"/>
      <w:lvlText w:val="%1."/>
      <w:numFmt w:val="decimal"/>
      <w:start w:val="8"/>
    </w:lvl>
  </w:abstractNum>
  <w:abstractNum w:abstractNumId="96">
    <w:nsid w:val="53299938"/>
    <w:multiLevelType w:val="hybridMultilevel"/>
    <w:lvl w:ilvl="0">
      <w:lvlJc w:val="left"/>
      <w:lvlText w:val="%1."/>
      <w:numFmt w:val="decimal"/>
      <w:start w:val="9"/>
    </w:lvl>
  </w:abstractNum>
  <w:abstractNum w:abstractNumId="97">
    <w:nsid w:val="1FBFE8E0"/>
    <w:multiLevelType w:val="hybridMultilevel"/>
    <w:lvl w:ilvl="0">
      <w:lvlJc w:val="left"/>
      <w:lvlText w:val="%1."/>
      <w:numFmt w:val="decimal"/>
      <w:start w:val="10"/>
    </w:lvl>
  </w:abstractNum>
  <w:abstractNum w:abstractNumId="98">
    <w:nsid w:val="5092CA79"/>
    <w:multiLevelType w:val="hybridMultilevel"/>
    <w:lvl w:ilvl="0">
      <w:lvlJc w:val="left"/>
      <w:lvlText w:val="%1."/>
      <w:numFmt w:val="decimal"/>
      <w:start w:val="11"/>
    </w:lvl>
  </w:abstractNum>
  <w:abstractNum w:abstractNumId="99">
    <w:nsid w:val="1D545C4D"/>
    <w:multiLevelType w:val="hybridMultilevel"/>
    <w:lvl w:ilvl="0">
      <w:lvlJc w:val="left"/>
      <w:lvlText w:val="%1."/>
      <w:numFmt w:val="decimal"/>
      <w:start w:val="12"/>
    </w:lvl>
  </w:abstractNum>
  <w:abstractNum w:abstractNumId="100">
    <w:nsid w:val="59ADEA3D"/>
    <w:multiLevelType w:val="hybridMultilevel"/>
    <w:lvl w:ilvl="0">
      <w:lvlJc w:val="left"/>
      <w:lvlText w:val="%1."/>
      <w:numFmt w:val="decimal"/>
      <w:start w:val="14"/>
    </w:lvl>
  </w:abstractNum>
  <w:abstractNum w:abstractNumId="101">
    <w:nsid w:val="288F1A34"/>
    <w:multiLevelType w:val="hybridMultilevel"/>
    <w:lvl w:ilvl="0">
      <w:lvlJc w:val="left"/>
      <w:lvlText w:val="*"/>
      <w:numFmt w:val="bullet"/>
      <w:start w:val="1"/>
    </w:lvl>
  </w:abstractNum>
  <w:abstractNum w:abstractNumId="102">
    <w:nsid w:val="2A155DBC"/>
    <w:multiLevelType w:val="hybridMultilevel"/>
    <w:lvl w:ilvl="0">
      <w:lvlJc w:val="left"/>
      <w:lvlText w:val="%1."/>
      <w:numFmt w:val="decimal"/>
      <w:start w:val="1"/>
    </w:lvl>
    <w:lvl w:ilvl="1">
      <w:lvlJc w:val="left"/>
      <w:lvlText w:val="%2)"/>
      <w:numFmt w:val="lowerLetter"/>
      <w:start w:val="1"/>
    </w:lvl>
  </w:abstractNum>
  <w:abstractNum w:abstractNumId="103">
    <w:nsid w:val="1D9F6E5F"/>
    <w:multiLevelType w:val="hybridMultilevel"/>
    <w:lvl w:ilvl="0">
      <w:lvlJc w:val="left"/>
      <w:lvlText w:val="%1."/>
      <w:numFmt w:val="decimal"/>
      <w:start w:val="1"/>
    </w:lvl>
    <w:lvl w:ilvl="1">
      <w:lvlJc w:val="left"/>
      <w:lvlText w:val="%2)"/>
      <w:numFmt w:val="lowerLetter"/>
      <w:start w:val="1"/>
    </w:lvl>
  </w:abstractNum>
  <w:abstractNum w:abstractNumId="104">
    <w:nsid w:val="97E1B4E"/>
    <w:multiLevelType w:val="hybridMultilevel"/>
    <w:lvl w:ilvl="0">
      <w:lvlJc w:val="left"/>
      <w:lvlText w:val="(%1)"/>
      <w:numFmt w:val="decimal"/>
      <w:start w:val="1"/>
    </w:lvl>
  </w:abstractNum>
  <w:abstractNum w:abstractNumId="105">
    <w:nsid w:val="51088277"/>
    <w:multiLevelType w:val="hybridMultilevel"/>
    <w:lvl w:ilvl="0">
      <w:lvlJc w:val="left"/>
      <w:lvlText w:val="(%1)"/>
      <w:numFmt w:val="decimal"/>
      <w:start w:val="1"/>
    </w:lvl>
  </w:abstractNum>
  <w:abstractNum w:abstractNumId="106">
    <w:nsid w:val="1CA0C5FA"/>
    <w:multiLevelType w:val="hybridMultilevel"/>
    <w:lvl w:ilvl="0">
      <w:lvlJc w:val="left"/>
      <w:lvlText w:val="•"/>
      <w:numFmt w:val="bullet"/>
      <w:start w:val="1"/>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decimal"/>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decimal"/>
      <w:start w:val="4"/>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
      <w:numFmt w:val="bullet"/>
      <w:start w:val="1"/>
    </w:lvl>
  </w:abstractNum>
  <w:abstractNum w:abstractNumId="113">
    <w:nsid w:val="E7FFA2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39" Type="http://schemas.openxmlformats.org/officeDocument/2006/relationships/image" Target="media/image418.png"/><Relationship Id="rId440" Type="http://schemas.openxmlformats.org/officeDocument/2006/relationships/image" Target="media/image419.png"/><Relationship Id="rId441" Type="http://schemas.openxmlformats.org/officeDocument/2006/relationships/image" Target="media/image420.png"/><Relationship Id="rId467" Type="http://schemas.openxmlformats.org/officeDocument/2006/relationships/image" Target="media/image421.png"/><Relationship Id="rId468" Type="http://schemas.openxmlformats.org/officeDocument/2006/relationships/image" Target="media/image422.png"/><Relationship Id="rId492" Type="http://schemas.openxmlformats.org/officeDocument/2006/relationships/image" Target="media/image423.png"/><Relationship Id="rId493" Type="http://schemas.openxmlformats.org/officeDocument/2006/relationships/image" Target="media/image424.png"/><Relationship Id="rId494" Type="http://schemas.openxmlformats.org/officeDocument/2006/relationships/image" Target="media/image425.png"/><Relationship Id="rId496" Type="http://schemas.openxmlformats.org/officeDocument/2006/relationships/image" Target="media/image426.png"/><Relationship Id="rId498" Type="http://schemas.openxmlformats.org/officeDocument/2006/relationships/image" Target="media/image427.png"/><Relationship Id="rId499" Type="http://schemas.openxmlformats.org/officeDocument/2006/relationships/image" Target="media/image428.png"/><Relationship Id="rId500" Type="http://schemas.openxmlformats.org/officeDocument/2006/relationships/image" Target="media/image429.png"/><Relationship Id="rId501" Type="http://schemas.openxmlformats.org/officeDocument/2006/relationships/image" Target="media/image430.png"/><Relationship Id="rId505" Type="http://schemas.openxmlformats.org/officeDocument/2006/relationships/image" Target="media/image431.png"/><Relationship Id="rId506" Type="http://schemas.openxmlformats.org/officeDocument/2006/relationships/image" Target="media/image432.png"/><Relationship Id="rId507" Type="http://schemas.openxmlformats.org/officeDocument/2006/relationships/image" Target="media/image433.png"/><Relationship Id="rId508" Type="http://schemas.openxmlformats.org/officeDocument/2006/relationships/image" Target="media/image434.png"/><Relationship Id="rId509" Type="http://schemas.openxmlformats.org/officeDocument/2006/relationships/image" Target="media/image435.png"/><Relationship Id="rId510" Type="http://schemas.openxmlformats.org/officeDocument/2006/relationships/image" Target="media/image436.png"/><Relationship Id="rId511" Type="http://schemas.openxmlformats.org/officeDocument/2006/relationships/image" Target="media/image437.png"/><Relationship Id="rId512" Type="http://schemas.openxmlformats.org/officeDocument/2006/relationships/image" Target="media/image438.png"/><Relationship Id="rId513" Type="http://schemas.openxmlformats.org/officeDocument/2006/relationships/image" Target="media/image439.png"/><Relationship Id="rId514" Type="http://schemas.openxmlformats.org/officeDocument/2006/relationships/image" Target="media/image440.png"/><Relationship Id="rId515" Type="http://schemas.openxmlformats.org/officeDocument/2006/relationships/image" Target="media/image441.png"/><Relationship Id="rId516" Type="http://schemas.openxmlformats.org/officeDocument/2006/relationships/image" Target="media/image442.png"/><Relationship Id="rId517" Type="http://schemas.openxmlformats.org/officeDocument/2006/relationships/image" Target="media/image443.png"/><Relationship Id="rId518" Type="http://schemas.openxmlformats.org/officeDocument/2006/relationships/image" Target="media/image444.png"/><Relationship Id="rId519" Type="http://schemas.openxmlformats.org/officeDocument/2006/relationships/image" Target="media/image445.png"/><Relationship Id="rId520" Type="http://schemas.openxmlformats.org/officeDocument/2006/relationships/image" Target="media/image446.png"/><Relationship Id="rId521" Type="http://schemas.openxmlformats.org/officeDocument/2006/relationships/image" Target="media/image447.png"/><Relationship Id="rId522" Type="http://schemas.openxmlformats.org/officeDocument/2006/relationships/image" Target="media/image448.png"/><Relationship Id="rId523" Type="http://schemas.openxmlformats.org/officeDocument/2006/relationships/image" Target="media/image449.png"/><Relationship Id="rId524" Type="http://schemas.openxmlformats.org/officeDocument/2006/relationships/image" Target="media/image450.png"/><Relationship Id="rId525" Type="http://schemas.openxmlformats.org/officeDocument/2006/relationships/image" Target="media/image451.png"/><Relationship Id="rId526" Type="http://schemas.openxmlformats.org/officeDocument/2006/relationships/image" Target="media/image452.png"/><Relationship Id="rId527" Type="http://schemas.openxmlformats.org/officeDocument/2006/relationships/image" Target="media/image453.png"/><Relationship Id="rId528" Type="http://schemas.openxmlformats.org/officeDocument/2006/relationships/image" Target="media/image454.png"/><Relationship Id="rId529" Type="http://schemas.openxmlformats.org/officeDocument/2006/relationships/image" Target="media/image455.png"/><Relationship Id="rId530" Type="http://schemas.openxmlformats.org/officeDocument/2006/relationships/image" Target="media/image456.png"/><Relationship Id="rId531" Type="http://schemas.openxmlformats.org/officeDocument/2006/relationships/image" Target="media/image457.png"/><Relationship Id="rId532" Type="http://schemas.openxmlformats.org/officeDocument/2006/relationships/image" Target="media/image458.png"/><Relationship Id="rId533" Type="http://schemas.openxmlformats.org/officeDocument/2006/relationships/image" Target="media/image459.png"/><Relationship Id="rId534" Type="http://schemas.openxmlformats.org/officeDocument/2006/relationships/image" Target="media/image460.png"/><Relationship Id="rId535" Type="http://schemas.openxmlformats.org/officeDocument/2006/relationships/image" Target="media/image461.png"/><Relationship Id="rId536" Type="http://schemas.openxmlformats.org/officeDocument/2006/relationships/image" Target="media/image462.png"/><Relationship Id="rId537" Type="http://schemas.openxmlformats.org/officeDocument/2006/relationships/image" Target="media/image463.png"/><Relationship Id="rId538" Type="http://schemas.openxmlformats.org/officeDocument/2006/relationships/image" Target="media/image464.png"/><Relationship Id="rId539" Type="http://schemas.openxmlformats.org/officeDocument/2006/relationships/image" Target="media/image465.png"/><Relationship Id="rId540" Type="http://schemas.openxmlformats.org/officeDocument/2006/relationships/image" Target="media/image466.png"/><Relationship Id="rId541" Type="http://schemas.openxmlformats.org/officeDocument/2006/relationships/image" Target="media/image467.png"/><Relationship Id="rId542" Type="http://schemas.openxmlformats.org/officeDocument/2006/relationships/image" Target="media/image468.png"/><Relationship Id="rId543" Type="http://schemas.openxmlformats.org/officeDocument/2006/relationships/image" Target="media/image469.png"/><Relationship Id="rId544" Type="http://schemas.openxmlformats.org/officeDocument/2006/relationships/image" Target="media/image470.png"/><Relationship Id="rId545" Type="http://schemas.openxmlformats.org/officeDocument/2006/relationships/image" Target="media/image471.png"/><Relationship Id="rId546" Type="http://schemas.openxmlformats.org/officeDocument/2006/relationships/image" Target="media/image472.png"/><Relationship Id="rId547" Type="http://schemas.openxmlformats.org/officeDocument/2006/relationships/image" Target="media/image473.png"/><Relationship Id="rId548" Type="http://schemas.openxmlformats.org/officeDocument/2006/relationships/image" Target="media/image474.png"/><Relationship Id="rId549" Type="http://schemas.openxmlformats.org/officeDocument/2006/relationships/image" Target="media/image475.png"/><Relationship Id="rId550" Type="http://schemas.openxmlformats.org/officeDocument/2006/relationships/image" Target="media/image476.png"/><Relationship Id="rId551" Type="http://schemas.openxmlformats.org/officeDocument/2006/relationships/image" Target="media/image477.png"/><Relationship Id="rId552" Type="http://schemas.openxmlformats.org/officeDocument/2006/relationships/image" Target="media/image478.png"/><Relationship Id="rId553" Type="http://schemas.openxmlformats.org/officeDocument/2006/relationships/image" Target="media/image479.png"/><Relationship Id="rId554" Type="http://schemas.openxmlformats.org/officeDocument/2006/relationships/image" Target="media/image480.png"/><Relationship Id="rId555" Type="http://schemas.openxmlformats.org/officeDocument/2006/relationships/image" Target="media/image481.png"/><Relationship Id="rId556" Type="http://schemas.openxmlformats.org/officeDocument/2006/relationships/image" Target="media/image482.png"/><Relationship Id="rId557" Type="http://schemas.openxmlformats.org/officeDocument/2006/relationships/image" Target="media/image483.png"/><Relationship Id="rId558" Type="http://schemas.openxmlformats.org/officeDocument/2006/relationships/image" Target="media/image484.png"/><Relationship Id="rId559" Type="http://schemas.openxmlformats.org/officeDocument/2006/relationships/image" Target="media/image485.png"/><Relationship Id="rId560" Type="http://schemas.openxmlformats.org/officeDocument/2006/relationships/image" Target="media/image486.png"/><Relationship Id="rId425" Type="http://schemas.openxmlformats.org/officeDocument/2006/relationships/hyperlink" Target="https://www.sec.gov/Archives/edgar/data/1130464/000113046415000133/ex21purchaseandsaleagr.htm" TargetMode="External"/><Relationship Id="rId426" Type="http://schemas.openxmlformats.org/officeDocument/2006/relationships/hyperlink" Target="https://www.sec.gov/Archives/edgar/data/1130464/000113046416000176/bkhex-221stamdpurchasesale.htm" TargetMode="External"/><Relationship Id="rId427" Type="http://schemas.openxmlformats.org/officeDocument/2006/relationships/hyperlink" Target="https://www.sec.gov/Archives/edgar/data/1130464/000113046415000133/ex22optionagreement.htm" TargetMode="External"/><Relationship Id="rId428" Type="http://schemas.openxmlformats.org/officeDocument/2006/relationships/hyperlink" Target="https://www.sec.gov/Archives/edgar/data/1130464/000113046418000007/bhcamendedarticles.htm" TargetMode="External"/><Relationship Id="rId429" Type="http://schemas.openxmlformats.org/officeDocument/2006/relationships/hyperlink" Target="https://www.sec.gov/Archives/edgar/data/1130464/000113046417000016/bkhexh3-amdrestatedbylawso.htm" TargetMode="External"/><Relationship Id="rId430" Type="http://schemas.openxmlformats.org/officeDocument/2006/relationships/hyperlink" Target="https://www.sec.gov/Archives/edgar/data/1130464/000113046403000214/ex4-1_10q603.htm" TargetMode="External"/><Relationship Id="rId431" Type="http://schemas.openxmlformats.org/officeDocument/2006/relationships/hyperlink" Target="https://www.sec.gov/Archives/edgar/data/1130464/000113046403000214/ex4-2_10q603.htm" TargetMode="External"/><Relationship Id="rId432" Type="http://schemas.openxmlformats.org/officeDocument/2006/relationships/hyperlink" Target="https://www.sec.gov/Archives/edgar/data/1130464/000110465909032244/a09-13238_3ex4.htm" TargetMode="External"/><Relationship Id="rId433" Type="http://schemas.openxmlformats.org/officeDocument/2006/relationships/hyperlink" Target="https://www.sec.gov/Archives/edgar/data/1130464/000110465910038202/a10-11184_5ex4.htm" TargetMode="External"/><Relationship Id="rId434" Type="http://schemas.openxmlformats.org/officeDocument/2006/relationships/hyperlink" Target="https://www.sec.gov/Archives/edgar/data/1130464/000110465913085420/a13-24110_4ex4.htm" TargetMode="External"/><Relationship Id="rId435" Type="http://schemas.openxmlformats.org/officeDocument/2006/relationships/hyperlink" Target="https://www.sec.gov/Archives/edgar/data/1130464/000110465916089656/a16-1059_4ex4d1.htm" TargetMode="External"/><Relationship Id="rId436" Type="http://schemas.openxmlformats.org/officeDocument/2006/relationships/hyperlink" Target="https://www.sec.gov/Archives/edgar/data/1130464/000110465916140657/a16-17027_1ex4d1.htm" TargetMode="External"/><Relationship Id="rId437" Type="http://schemas.openxmlformats.org/officeDocument/2006/relationships/hyperlink" Target="https://www.sec.gov/Archives/edgar/data/1130464/000110465918052602/a18-18564_4ex4d2.htm" TargetMode="External"/><Relationship Id="rId438" Type="http://schemas.openxmlformats.org/officeDocument/2006/relationships/hyperlink" Target="https://www.sec.gov/Archives/edgar/data/1130464/000141057819001533/tv530573_ex4-1.htm" TargetMode="External"/><Relationship Id="rId442" Type="http://schemas.openxmlformats.org/officeDocument/2006/relationships/hyperlink" Target="https://www.sec.gov/Archives/edgar/data/1130464/000110465920074172/tm2022285d4_ex4-1.htm" TargetMode="External"/><Relationship Id="rId443" Type="http://schemas.openxmlformats.org/officeDocument/2006/relationships/hyperlink" Target="https://www.sec.gov/Archives/edgar/data/1130464/000110465921109815/tm2125215d4_ex4-1.htm" TargetMode="External"/><Relationship Id="rId444" Type="http://schemas.openxmlformats.org/officeDocument/2006/relationships/hyperlink" Target="https://www.sec.gov/Archives/edgar/data/1130464/000095017023006487/bkh-ex4_1.htm" TargetMode="External"/><Relationship Id="rId445" Type="http://schemas.openxmlformats.org/officeDocument/2006/relationships/hyperlink" Target="https://www.sec.gov/Archives/edgar/data/1130464/000110465923101196/tm2326174d1_ex4-1.htm" TargetMode="External"/><Relationship Id="rId446" Type="http://schemas.openxmlformats.org/officeDocument/2006/relationships/hyperlink" Target="https://www.sec.gov/Archives/edgar/data/12400/000104746909009108/a2195001zex-4_19.htm" TargetMode="External"/><Relationship Id="rId447" Type="http://schemas.openxmlformats.org/officeDocument/2006/relationships/hyperlink" Target="https://www.sec.gov/Archives/edgar/data/12400/000104746909009108/a2195001zex-4_20.htm" TargetMode="External"/><Relationship Id="rId448" Type="http://schemas.openxmlformats.org/officeDocument/2006/relationships/hyperlink" Target="https://www.sec.gov/Archives/edgar/data/12400/000110465909060487/a09-31821_7ex4d21.htm" TargetMode="External"/><Relationship Id="rId449" Type="http://schemas.openxmlformats.org/officeDocument/2006/relationships/hyperlink" Target="https://www.sec.gov/Archives/edgar/data/12400/000113046414000164/ex_10-1thirdsuppindentureb.htm" TargetMode="External"/><Relationship Id="rId450" Type="http://schemas.openxmlformats.org/officeDocument/2006/relationships/hyperlink" Target="https://www.sec.gov/Archives/edgar/data/12400/000113046414000164/ex_10-2restatedindenture.htm" TargetMode="External"/><Relationship Id="rId451" Type="http://schemas.openxmlformats.org/officeDocument/2006/relationships/hyperlink" Target="https://www.sec.gov/Archives/edgar/data/12400/000113046414000164/ex_10-3clfpfirstsupplement.htm" TargetMode="External"/><Relationship Id="rId452" Type="http://schemas.openxmlformats.org/officeDocument/2006/relationships/hyperlink" Target="https://www.sec.gov/Archives/edgar/data/12400/000113046414000164/ex_10-4clfpsupplementalind.htm" TargetMode="External"/><Relationship Id="rId453" Type="http://schemas.openxmlformats.org/officeDocument/2006/relationships/hyperlink" Target="https://www.sec.gov/Archives/edgar/data/1130464/000001240001000024/0000012400-01-000024-0002.txt" TargetMode="External"/><Relationship Id="rId454" Type="http://schemas.openxmlformats.org/officeDocument/2006/relationships/hyperlink" Target="https://www.sec.gov/Archives/edgar/data/1130464/000113046420000006/bkhex-45descriptionofs.htm" TargetMode="External"/><Relationship Id="rId455" Type="http://schemas.openxmlformats.org/officeDocument/2006/relationships/hyperlink" Target="https://www.sec.gov/Archives/edgar/data/1130464/000113046402000010/ex10_11.txt" TargetMode="External"/><Relationship Id="rId456" Type="http://schemas.openxmlformats.org/officeDocument/2006/relationships/hyperlink" Target="https://www.sec.gov/Archives/edgar/data/1130464/000113046403000054/ex_amendpension10k.htm" TargetMode="External"/><Relationship Id="rId457" Type="http://schemas.openxmlformats.org/officeDocument/2006/relationships/hyperlink" Target="https://www.sec.gov/Archives/edgar/data/1130464/000113046409000099/ex10-2_pepamendment.htm" TargetMode="External"/><Relationship Id="rId458" Type="http://schemas.openxmlformats.org/officeDocument/2006/relationships/hyperlink" Target="https://www.sec.gov/Archives/edgar/data/1130464/000113046409000099/ex10-5_restorationplan.htm" TargetMode="External"/><Relationship Id="rId459" Type="http://schemas.openxmlformats.org/officeDocument/2006/relationships/hyperlink" Target="https://www.sec.gov/Archives/edgar/data/1130464/000113046411000066/exhibit102.htm" TargetMode="External"/><Relationship Id="rId460" Type="http://schemas.openxmlformats.org/officeDocument/2006/relationships/hyperlink" Target="https://www.sec.gov/Archives/edgar/data/1130464/000113046411000027/exhibit104.htm" TargetMode="External"/><Relationship Id="rId461" Type="http://schemas.openxmlformats.org/officeDocument/2006/relationships/hyperlink" Target="https://www.sec.gov/Archives/edgar/data/1130464/000113046419000012/bkhex-105firstamendmentton.htm" TargetMode="External"/><Relationship Id="rId462" Type="http://schemas.openxmlformats.org/officeDocument/2006/relationships/hyperlink" Target="https://www.sec.gov/Archives/edgar/data/1130464/000095017023002759/bkh-ex10_4.htm" TargetMode="External"/><Relationship Id="rId463" Type="http://schemas.openxmlformats.org/officeDocument/2006/relationships/hyperlink" Target="https://www.sec.gov/Archives/edgar/data/1130464/000110465905016238/a05-6134_1def14a.htm" TargetMode="External"/><Relationship Id="rId464" Type="http://schemas.openxmlformats.org/officeDocument/2006/relationships/hyperlink" Target="https://www.sec.gov/Archives/edgar/data/1130464/000113046409000099/ex10-11_2005omnibusplanamend.htm" TargetMode="External"/><Relationship Id="rId465" Type="http://schemas.openxmlformats.org/officeDocument/2006/relationships/hyperlink" Target="https://www.sec.gov/Archives/edgar/data/1130464/000113046410000055/ex10_omnibusplan-2ndamend.htm" TargetMode="External"/><Relationship Id="rId466" Type="http://schemas.openxmlformats.org/officeDocument/2006/relationships/hyperlink" Target="https://www.sec.gov/Archives/edgar/data/1130464/000095017023002759/bkh-ex10_6.htm" TargetMode="External"/><Relationship Id="rId469" Type="http://schemas.openxmlformats.org/officeDocument/2006/relationships/hyperlink" Target="https://www.sec.gov/Archives/edgar/data/1130464/000113046414000056/bkhex-107122013.htm" TargetMode="External"/><Relationship Id="rId470" Type="http://schemas.openxmlformats.org/officeDocument/2006/relationships/hyperlink" Target="https://www.sec.gov/Archives/edgar/data/1130464/000113046416000176/bkhex-108stockoptionawarda.htm" TargetMode="External"/><Relationship Id="rId471" Type="http://schemas.openxmlformats.org/officeDocument/2006/relationships/hyperlink" Target="https://www.sec.gov/Archives/edgar/data/1130464/000113046416000176/bkhex-1010formofrestricted.htm" TargetMode="External"/><Relationship Id="rId472" Type="http://schemas.openxmlformats.org/officeDocument/2006/relationships/hyperlink" Target="https://www.sec.gov/Archives/edgar/data/1130464/000113046421000007/bkhex-1011restrictedstocka.htm" TargetMode="External"/><Relationship Id="rId473" Type="http://schemas.openxmlformats.org/officeDocument/2006/relationships/hyperlink" Target="https://www.sec.gov/Archives/edgar/data/1130464/000113046416000176/bkhex-1012formofrestricted.htm" TargetMode="External"/><Relationship Id="rId474" Type="http://schemas.openxmlformats.org/officeDocument/2006/relationships/hyperlink" Target="https://www.sec.gov/Archives/edgar/data/1130464/000113046416000199/bkhex-106pspawardagr2015om.htm" TargetMode="External"/><Relationship Id="rId475" Type="http://schemas.openxmlformats.org/officeDocument/2006/relationships/hyperlink" Target="https://www.sec.gov/Archives/edgar/data/1130464/000113046420000006/bkhex-1012performances.htm" TargetMode="External"/><Relationship Id="rId476" Type="http://schemas.openxmlformats.org/officeDocument/2006/relationships/hyperlink" Target="https://www.sec.gov/Archives/edgar/data/1130464/000113046421000007/bkhex-1016stipawardagreeme.htm" TargetMode="External"/><Relationship Id="rId477" Type="http://schemas.openxmlformats.org/officeDocument/2006/relationships/hyperlink" Target="https://www.sec.gov/Archives/edgar/data/1130464/000113046421000007/bkhex-1017performanceunita.htm" TargetMode="External"/><Relationship Id="rId478" Type="http://schemas.openxmlformats.org/officeDocument/2006/relationships/hyperlink" Target="https://www.sec.gov/Archives/edgar/data/1130464/000113046404000296/ex10-5sep3_8k.htm" TargetMode="External"/><Relationship Id="rId479" Type="http://schemas.openxmlformats.org/officeDocument/2006/relationships/hyperlink" Target="https://www.sec.gov/Archives/edgar/data/1130464/000095017023002759/bkh-ex10_17.htm" TargetMode="External"/><Relationship Id="rId480" Type="http://schemas.openxmlformats.org/officeDocument/2006/relationships/hyperlink" Target="https://www.sec.gov/Archives/edgar/data/1130464/000095017023002759/bkh-ex10_18.htm" TargetMode="External"/><Relationship Id="rId481" Type="http://schemas.openxmlformats.org/officeDocument/2006/relationships/hyperlink" Target="https://www.sec.gov/Archives/edgar/data/1130464/000113046409000099/ex10-23_directorcompplan.htm" TargetMode="External"/><Relationship Id="rId482" Type="http://schemas.openxmlformats.org/officeDocument/2006/relationships/hyperlink" Target="https://www.sec.gov/Archives/edgar/data/1130464/000113046411000027/exhibit1016.htm" TargetMode="External"/><Relationship Id="rId483" Type="http://schemas.openxmlformats.org/officeDocument/2006/relationships/hyperlink" Target="https://www.sec.gov/Archives/edgar/data/1130464/000113046413000071/bkhex-1015122012.htm" TargetMode="External"/><Relationship Id="rId484" Type="http://schemas.openxmlformats.org/officeDocument/2006/relationships/hyperlink" Target="https://www.sec.gov/Archives/edgar/data/1130464/000113046415000083/bkhex-1016122014.htm" TargetMode="External"/><Relationship Id="rId485" Type="http://schemas.openxmlformats.org/officeDocument/2006/relationships/hyperlink" Target="https://www.sec.gov/Archives/edgar/data/1130464/000113046416000217/bkhex-104q32016fourthamddi.htm" TargetMode="External"/><Relationship Id="rId486" Type="http://schemas.openxmlformats.org/officeDocument/2006/relationships/hyperlink" Target="https://www.sec.gov/Archives/edgar/data/1130464/000113046418000014/bkhex-1016directorcompplan.htm" TargetMode="External"/><Relationship Id="rId487" Type="http://schemas.openxmlformats.org/officeDocument/2006/relationships/hyperlink" Target="https://www.sec.gov/Archives/edgar/data/1130464/000113046419000012/bkhex1018bodoutsidedircomp.htm" TargetMode="External"/><Relationship Id="rId488" Type="http://schemas.openxmlformats.org/officeDocument/2006/relationships/hyperlink" Target="https://www.sec.gov/Archives/edgar/data/1130464/000113046416000199/bkhex-108nonxdisclosureand.htm" TargetMode="External"/><Relationship Id="rId489" Type="http://schemas.openxmlformats.org/officeDocument/2006/relationships/hyperlink" Target="https://www.sec.gov/Archives/edgar/data/1130464/000110465923072376/tm2318712d3_ex1-1.htm" TargetMode="External"/><Relationship Id="rId490" Type="http://schemas.openxmlformats.org/officeDocument/2006/relationships/hyperlink" Target="https://www.sec.gov/Archives/edgar/data/1130464/000113046421000026/exhibit101amendedandrestat.htm" TargetMode="External"/><Relationship Id="rId491" Type="http://schemas.openxmlformats.org/officeDocument/2006/relationships/hyperlink" Target="https://www.sec.gov/Archives/edgar/data/1130464/000095017023037718/bkh-ex10_1.htm" TargetMode="External"/><Relationship Id="rId495" Type="http://schemas.openxmlformats.org/officeDocument/2006/relationships/hyperlink" Target="https://www.sec.gov/Archives/edgar/data/1130464/000095017023017598/bkh-ex10_1.htm" TargetMode="External"/><Relationship Id="rId497" Type="http://schemas.openxmlformats.org/officeDocument/2006/relationships/hyperlink" Target="https://www.sec.gov/Archives/edgar/data/1130464/000110465920089882/tm2026019d3_ex1-1.htm" TargetMode="External"/><Relationship Id="rId502" Type="http://schemas.openxmlformats.org/officeDocument/2006/relationships/hyperlink" Target="https://www.sec.gov/Archives/edgar/data/1130464/000113046422000004/bkhex-1026nonxemployeedire.htm" TargetMode="External"/><Relationship Id="rId503" Type="http://schemas.openxmlformats.org/officeDocument/2006/relationships/hyperlink" Target="https://www.sec.gov/Archives/edgar/data/1130464/000095017023002759/bkh-ex10_30.htm" TargetMode="External"/><Relationship Id="rId504" Type="http://schemas.openxmlformats.org/officeDocument/2006/relationships/hyperlink" Target="https://www.sec.gov/Archives/edgar/data/1130464/000095017023002759/bkh-ex10_2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2024-02-14T12:17:20Z</dcterms:created>
  <dcterms:modified xsi:type="dcterms:W3CDTF">2024-02-14T12:17:20Z</dcterms:modified>
</cp:coreProperties>
</file>