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97" w:lineRule="exact"/>
        <w:rPr>
          <w:sz w:val="24"/>
          <w:szCs w:val="24"/>
          <w:color w:val="auto"/>
        </w:rPr>
      </w:pPr>
    </w:p>
    <w:p>
      <w:pPr>
        <w:ind w:left="1740" w:right="3120" w:hanging="399"/>
        <w:spacing w:after="0" w:line="222" w:lineRule="auto"/>
        <w:tabs>
          <w:tab w:leader="none" w:pos="1740" w:val="left"/>
        </w:tabs>
        <w:numPr>
          <w:ilvl w:val="0"/>
          <w:numId w:val="1"/>
        </w:numPr>
        <w:rPr>
          <w:rFonts w:ascii="Arial" w:cs="Arial" w:eastAsia="Arial" w:hAnsi="Arial"/>
          <w:sz w:val="29"/>
          <w:szCs w:val="29"/>
          <w:color w:val="auto"/>
        </w:rPr>
      </w:pPr>
      <w:r>
        <w:rPr>
          <w:rFonts w:ascii="Arial" w:cs="Arial" w:eastAsia="Arial" w:hAnsi="Arial"/>
          <w:sz w:val="18"/>
          <w:szCs w:val="18"/>
          <w:color w:val="auto"/>
        </w:rPr>
        <w:t>QUARTERLY REPORT PURSUANT TO SECTION 13 OR 15(d) OF THE SECURITIES EXCHANGE ACT OF 1934</w:t>
      </w:r>
    </w:p>
    <w:p>
      <w:pPr>
        <w:spacing w:after="0" w:line="40"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For the quarterly period ended March 31, 2018</w:t>
      </w:r>
    </w:p>
    <w:p>
      <w:pPr>
        <w:spacing w:after="0" w:line="8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OR</w:t>
      </w:r>
    </w:p>
    <w:p>
      <w:pPr>
        <w:spacing w:after="0" w:line="190" w:lineRule="exact"/>
        <w:rPr>
          <w:sz w:val="24"/>
          <w:szCs w:val="24"/>
          <w:color w:val="auto"/>
        </w:rPr>
      </w:pPr>
    </w:p>
    <w:p>
      <w:pPr>
        <w:ind w:left="1740" w:right="3100" w:hanging="399"/>
        <w:spacing w:after="0" w:line="222" w:lineRule="auto"/>
        <w:tabs>
          <w:tab w:leader="none" w:pos="1740" w:val="left"/>
        </w:tabs>
        <w:numPr>
          <w:ilvl w:val="0"/>
          <w:numId w:val="2"/>
        </w:numPr>
        <w:rPr>
          <w:rFonts w:ascii="Arial" w:cs="Arial" w:eastAsia="Arial" w:hAnsi="Arial"/>
          <w:sz w:val="29"/>
          <w:szCs w:val="29"/>
          <w:color w:val="auto"/>
        </w:rPr>
      </w:pPr>
      <w:r>
        <w:rPr>
          <w:rFonts w:ascii="Arial" w:cs="Arial" w:eastAsia="Arial" w:hAnsi="Arial"/>
          <w:sz w:val="18"/>
          <w:szCs w:val="18"/>
          <w:color w:val="auto"/>
        </w:rPr>
        <w:t>TRANSITION REPORT PURSUANT TO SECTION 13 OR 15(d) OF THE SECURITIES EXCHANGE ACT OF 1934</w:t>
      </w:r>
    </w:p>
    <w:p>
      <w:pPr>
        <w:spacing w:after="0" w:line="40" w:lineRule="exact"/>
        <w:rPr>
          <w:rFonts w:ascii="Arial" w:cs="Arial" w:eastAsia="Arial" w:hAnsi="Arial"/>
          <w:sz w:val="29"/>
          <w:szCs w:val="29"/>
          <w:color w:val="auto"/>
        </w:rPr>
      </w:pPr>
    </w:p>
    <w:p>
      <w:pPr>
        <w:ind w:left="1740" w:right="5420"/>
        <w:spacing w:after="0" w:line="459" w:lineRule="auto"/>
        <w:rPr>
          <w:rFonts w:ascii="Arial" w:cs="Arial" w:eastAsia="Arial" w:hAnsi="Arial"/>
          <w:sz w:val="29"/>
          <w:szCs w:val="29"/>
          <w:color w:val="auto"/>
        </w:rPr>
      </w:pPr>
      <w:r>
        <w:rPr>
          <w:rFonts w:ascii="Arial" w:cs="Arial" w:eastAsia="Arial" w:hAnsi="Arial"/>
          <w:sz w:val="18"/>
          <w:szCs w:val="18"/>
          <w:color w:val="auto"/>
        </w:rPr>
        <w:t>For the transition period from __________ to __________. Commission File Number 001-31303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Black Hills Corporation</w:t>
      </w:r>
    </w:p>
    <w:p>
      <w:pPr>
        <w:spacing w:after="0" w:line="67" w:lineRule="exact"/>
        <w:rPr>
          <w:sz w:val="24"/>
          <w:szCs w:val="24"/>
          <w:color w:val="auto"/>
        </w:rPr>
      </w:pPr>
    </w:p>
    <w:p>
      <w:pPr>
        <w:ind w:left="40"/>
        <w:spacing w:after="0"/>
        <w:tabs>
          <w:tab w:leader="none" w:pos="8520" w:val="left"/>
        </w:tabs>
        <w:rPr>
          <w:sz w:val="20"/>
          <w:szCs w:val="20"/>
          <w:color w:val="auto"/>
        </w:rPr>
      </w:pPr>
      <w:r>
        <w:rPr>
          <w:rFonts w:ascii="Arial" w:cs="Arial" w:eastAsia="Arial" w:hAnsi="Arial"/>
          <w:sz w:val="18"/>
          <w:szCs w:val="18"/>
          <w:color w:val="auto"/>
        </w:rPr>
        <w:t>Incorporated in South Dakota</w:t>
      </w:r>
      <w:r>
        <w:rPr>
          <w:sz w:val="20"/>
          <w:szCs w:val="20"/>
          <w:color w:val="auto"/>
        </w:rPr>
        <w:tab/>
      </w:r>
      <w:r>
        <w:rPr>
          <w:rFonts w:ascii="Arial" w:cs="Arial" w:eastAsia="Arial" w:hAnsi="Arial"/>
          <w:sz w:val="16"/>
          <w:szCs w:val="16"/>
          <w:color w:val="auto"/>
        </w:rPr>
        <w:t>IRS Identification Number 46-0458824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7001 Mount Rushmore Road</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Rapid City, South Dakota 57702</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(605) 721-1700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3" w:lineRule="exact"/>
        <w:rPr>
          <w:sz w:val="24"/>
          <w:szCs w:val="24"/>
          <w:color w:val="auto"/>
        </w:rPr>
      </w:pPr>
    </w:p>
    <w:p>
      <w:pPr>
        <w:ind w:right="420"/>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2" w:lineRule="exact"/>
        <w:rPr>
          <w:sz w:val="24"/>
          <w:szCs w:val="24"/>
          <w:color w:val="auto"/>
        </w:rPr>
      </w:pPr>
    </w:p>
    <w:p>
      <w:pPr>
        <w:ind w:left="4420"/>
        <w:spacing w:after="0"/>
        <w:tabs>
          <w:tab w:leader="none" w:pos="66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39" w:lineRule="exact"/>
        <w:rPr>
          <w:sz w:val="24"/>
          <w:szCs w:val="24"/>
          <w:color w:val="auto"/>
        </w:rPr>
      </w:pPr>
    </w:p>
    <w:p>
      <w:pPr>
        <w:ind w:right="80"/>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spacing w:after="0" w:line="123" w:lineRule="exact"/>
        <w:rPr>
          <w:sz w:val="24"/>
          <w:szCs w:val="24"/>
          <w:color w:val="auto"/>
        </w:rPr>
      </w:pPr>
    </w:p>
    <w:p>
      <w:pPr>
        <w:ind w:left="4420"/>
        <w:spacing w:after="0"/>
        <w:tabs>
          <w:tab w:leader="none" w:pos="66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52"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8" w:right="239" w:bottom="1440" w:gutter="0" w:footer="0" w:header="0"/>
        </w:sectPr>
      </w:pPr>
    </w:p>
    <w:p>
      <w:pPr>
        <w:spacing w:after="0" w:line="127" w:lineRule="exact"/>
        <w:rPr>
          <w:sz w:val="24"/>
          <w:szCs w:val="24"/>
          <w:color w:val="auto"/>
        </w:rPr>
      </w:pPr>
    </w:p>
    <w:p>
      <w:pPr>
        <w:ind w:left="29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4940" w:space="720"/>
            <w:col w:w="5760"/>
          </w:cols>
          <w:pgMar w:left="240" w:top="688" w:right="239" w:bottom="1440" w:gutter="0" w:footer="0" w:header="0"/>
          <w:type w:val="continuous"/>
        </w:sectPr>
      </w:pPr>
    </w:p>
    <w:p>
      <w:pPr>
        <w:spacing w:after="0" w:line="116" w:lineRule="exact"/>
        <w:rPr>
          <w:sz w:val="24"/>
          <w:szCs w:val="24"/>
          <w:color w:val="auto"/>
        </w:rPr>
      </w:pPr>
    </w:p>
    <w:p>
      <w:pPr>
        <w:ind w:left="2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0" w:lineRule="exact"/>
        <w:rPr>
          <w:sz w:val="24"/>
          <w:szCs w:val="24"/>
          <w:color w:val="auto"/>
        </w:rPr>
      </w:pPr>
    </w:p>
    <w:p>
      <w:pPr>
        <w:sectPr>
          <w:pgSz w:w="11900" w:h="16838" w:orient="portrait"/>
          <w:cols w:equalWidth="0" w:num="2">
            <w:col w:w="4680" w:space="720"/>
            <w:col w:w="6020"/>
          </w:cols>
          <w:pgMar w:left="240" w:top="688" w:right="239" w:bottom="1440" w:gutter="0" w:footer="0" w:header="0"/>
          <w:type w:val="continuous"/>
        </w:sectPr>
      </w:pPr>
    </w:p>
    <w:p>
      <w:pPr>
        <w:spacing w:after="0" w:line="116" w:lineRule="exact"/>
        <w:rPr>
          <w:sz w:val="24"/>
          <w:szCs w:val="24"/>
          <w:color w:val="auto"/>
        </w:rPr>
      </w:pPr>
    </w:p>
    <w:p>
      <w:pPr>
        <w:ind w:left="6000"/>
        <w:spacing w:after="0"/>
        <w:rPr>
          <w:sz w:val="20"/>
          <w:szCs w:val="20"/>
          <w:color w:val="auto"/>
        </w:rPr>
      </w:pPr>
      <w:r>
        <w:rPr>
          <w:rFonts w:ascii="Arial" w:cs="Arial" w:eastAsia="Arial" w:hAnsi="Arial"/>
          <w:sz w:val="16"/>
          <w:szCs w:val="16"/>
          <w:color w:val="auto"/>
        </w:rPr>
        <w:t>Smaller reporting company o</w:t>
      </w:r>
    </w:p>
    <w:p>
      <w:pPr>
        <w:spacing w:after="0" w:line="316" w:lineRule="exact"/>
        <w:rPr>
          <w:sz w:val="24"/>
          <w:szCs w:val="24"/>
          <w:color w:val="auto"/>
        </w:rPr>
      </w:pPr>
    </w:p>
    <w:p>
      <w:pPr>
        <w:ind w:left="600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688" w:right="239" w:bottom="1440" w:gutter="0" w:footer="0" w:header="0"/>
          <w:type w:val="continuous"/>
        </w:sectPr>
      </w:pPr>
    </w:p>
    <w:p>
      <w:pPr>
        <w:spacing w:after="0" w:line="27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4380"/>
        <w:spacing w:after="0"/>
        <w:tabs>
          <w:tab w:leader="none" w:pos="63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420"/>
          </w:cols>
          <w:pgMar w:left="240" w:top="688" w:right="239" w:bottom="1440" w:gutter="0" w:footer="0" w:header="0"/>
          <w:type w:val="continuous"/>
        </w:sectPr>
      </w:pPr>
    </w:p>
    <w:p>
      <w:pPr>
        <w:spacing w:after="0" w:line="171" w:lineRule="exact"/>
        <w:rPr>
          <w:sz w:val="24"/>
          <w:szCs w:val="24"/>
          <w:color w:val="auto"/>
        </w:rPr>
      </w:pPr>
    </w:p>
    <w:p>
      <w:pPr>
        <w:jc w:val="center"/>
        <w:ind w:left="500"/>
        <w:spacing w:after="0"/>
        <w:rPr>
          <w:sz w:val="20"/>
          <w:szCs w:val="20"/>
          <w:color w:val="auto"/>
        </w:rPr>
      </w:pPr>
      <w:r>
        <w:rPr>
          <w:rFonts w:ascii="Arial" w:cs="Arial" w:eastAsia="Arial" w:hAnsi="Arial"/>
          <w:sz w:val="15"/>
          <w:szCs w:val="15"/>
          <w:color w:val="auto"/>
        </w:rPr>
        <w:t>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Outstanding at April 30, 2018</w:t>
      </w:r>
    </w:p>
    <w:p>
      <w:pPr>
        <w:spacing w:after="0" w:line="86" w:lineRule="exact"/>
        <w:rPr>
          <w:sz w:val="24"/>
          <w:szCs w:val="24"/>
          <w:color w:val="auto"/>
        </w:rPr>
      </w:pPr>
    </w:p>
    <w:p>
      <w:pPr>
        <w:sectPr>
          <w:pgSz w:w="11900" w:h="16838" w:orient="portrait"/>
          <w:cols w:equalWidth="0" w:num="2">
            <w:col w:w="5800" w:space="720"/>
            <w:col w:w="4900"/>
          </w:cols>
          <w:pgMar w:left="240" w:top="688" w:right="239" w:bottom="1440" w:gutter="0" w:footer="0" w:header="0"/>
          <w:type w:val="continuous"/>
        </w:sectPr>
      </w:pPr>
    </w:p>
    <w:p>
      <w:pPr>
        <w:ind w:left="200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53,592,446 shares</w:t>
      </w:r>
    </w:p>
    <w:p>
      <w:pPr>
        <w:sectPr>
          <w:pgSz w:w="11900" w:h="16838" w:orient="portrait"/>
          <w:cols w:equalWidth="0" w:num="2">
            <w:col w:w="5960" w:space="720"/>
            <w:col w:w="4740"/>
          </w:cols>
          <w:pgMar w:left="240" w:top="68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00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0"/>
        </w:trPr>
        <w:tc>
          <w:tcPr>
            <w:tcW w:w="900" w:type="dxa"/>
            <w:vAlign w:val="bottom"/>
          </w:tcPr>
          <w:p>
            <w:pPr>
              <w:spacing w:after="0"/>
              <w:rPr>
                <w:sz w:val="23"/>
                <w:szCs w:val="23"/>
                <w:color w:val="auto"/>
              </w:rPr>
            </w:pPr>
          </w:p>
        </w:tc>
        <w:tc>
          <w:tcPr>
            <w:tcW w:w="9000" w:type="dxa"/>
            <w:vAlign w:val="bottom"/>
          </w:tcPr>
          <w:p>
            <w:pPr>
              <w:spacing w:after="0"/>
              <w:rPr>
                <w:sz w:val="23"/>
                <w:szCs w:val="23"/>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900" w:type="dxa"/>
            <w:vAlign w:val="bottom"/>
          </w:tcPr>
          <w:p>
            <w:pPr>
              <w:spacing w:after="0"/>
              <w:rPr>
                <w:sz w:val="2"/>
                <w:szCs w:val="2"/>
                <w:color w:val="auto"/>
              </w:rPr>
            </w:pPr>
          </w:p>
        </w:tc>
        <w:tc>
          <w:tcPr>
            <w:tcW w:w="90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6"/>
        </w:trPr>
        <w:tc>
          <w:tcPr>
            <w:tcW w:w="900" w:type="dxa"/>
            <w:vAlign w:val="bottom"/>
          </w:tcPr>
          <w:p>
            <w:pPr>
              <w:spacing w:after="0"/>
              <w:rPr>
                <w:sz w:val="17"/>
                <w:szCs w:val="17"/>
                <w:color w:val="auto"/>
              </w:rPr>
            </w:pPr>
          </w:p>
        </w:tc>
        <w:tc>
          <w:tcPr>
            <w:tcW w:w="9000" w:type="dxa"/>
            <w:vAlign w:val="bottom"/>
          </w:tcPr>
          <w:p>
            <w:pPr>
              <w:ind w:left="240"/>
              <w:spacing w:after="0" w:line="196" w:lineRule="exact"/>
              <w:rPr>
                <w:sz w:val="20"/>
                <w:szCs w:val="20"/>
                <w:color w:val="auto"/>
              </w:rPr>
            </w:pPr>
            <w:r>
              <w:rPr>
                <w:rFonts w:ascii="Arial" w:cs="Arial" w:eastAsia="Arial" w:hAnsi="Arial"/>
                <w:sz w:val="18"/>
                <w:szCs w:val="18"/>
                <w:color w:val="auto"/>
              </w:rPr>
              <w:t>Glossary of Terms and Abbreviations</w:t>
            </w:r>
          </w:p>
        </w:tc>
        <w:tc>
          <w:tcPr>
            <w:tcW w:w="780" w:type="dxa"/>
            <w:vAlign w:val="bottom"/>
            <w:gridSpan w:val="3"/>
          </w:tcPr>
          <w:p>
            <w:pPr>
              <w:jc w:val="center"/>
              <w:ind w:left="61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PART I.</w:t>
            </w:r>
          </w:p>
        </w:tc>
        <w:tc>
          <w:tcPr>
            <w:tcW w:w="9000" w:type="dxa"/>
            <w:vAlign w:val="bottom"/>
          </w:tcPr>
          <w:p>
            <w:pPr>
              <w:ind w:left="240"/>
              <w:spacing w:after="0"/>
              <w:rPr>
                <w:sz w:val="20"/>
                <w:szCs w:val="20"/>
                <w:color w:val="auto"/>
              </w:rPr>
            </w:pPr>
            <w:r>
              <w:rPr>
                <w:rFonts w:ascii="Arial" w:cs="Arial" w:eastAsia="Arial" w:hAnsi="Arial"/>
                <w:sz w:val="18"/>
                <w:szCs w:val="18"/>
                <w:color w:val="auto"/>
              </w:rPr>
              <w:t>FINANCIAL INFORMATION</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00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Statements of Income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Three Months Ended March 31, 2018 and 2017</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Statements of Comprehensive Income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Three Months Ended March 31, 2018 and 2017</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Balance Sheets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March 31, 2018, December 31, 2017 and March 31, 2017</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Statements of Cash Flows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Three Months Ended March 31, 2018 and 2017</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Notes to Condensed Consolidated Financial Statements - unaudited</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000" w:type="dxa"/>
            <w:vAlign w:val="bottom"/>
          </w:tcPr>
          <w:p>
            <w:pPr>
              <w:ind w:left="2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000" w:type="dxa"/>
            <w:vAlign w:val="bottom"/>
          </w:tcPr>
          <w:p>
            <w:pPr>
              <w:ind w:left="240"/>
              <w:spacing w:after="0"/>
              <w:rPr>
                <w:sz w:val="20"/>
                <w:szCs w:val="20"/>
                <w:color w:val="auto"/>
              </w:rPr>
            </w:pPr>
            <w:r>
              <w:rPr>
                <w:rFonts w:ascii="Arial" w:cs="Arial" w:eastAsia="Arial" w:hAnsi="Arial"/>
                <w:sz w:val="18"/>
                <w:szCs w:val="18"/>
                <w:color w:val="auto"/>
              </w:rPr>
              <w:t>Quantitative and Qualitative Disclosures about Market Risk</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000" w:type="dxa"/>
            <w:vAlign w:val="bottom"/>
          </w:tcPr>
          <w:p>
            <w:pPr>
              <w:ind w:left="240"/>
              <w:spacing w:after="0"/>
              <w:rPr>
                <w:sz w:val="20"/>
                <w:szCs w:val="20"/>
                <w:color w:val="auto"/>
              </w:rPr>
            </w:pPr>
            <w:r>
              <w:rPr>
                <w:rFonts w:ascii="Arial" w:cs="Arial" w:eastAsia="Arial" w:hAnsi="Arial"/>
                <w:sz w:val="18"/>
                <w:szCs w:val="18"/>
                <w:color w:val="auto"/>
              </w:rPr>
              <w:t>Controls and Procedures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9000" w:type="dxa"/>
            <w:vAlign w:val="bottom"/>
          </w:tcPr>
          <w:p>
            <w:pPr>
              <w:ind w:left="240"/>
              <w:spacing w:after="0"/>
              <w:rPr>
                <w:sz w:val="20"/>
                <w:szCs w:val="20"/>
                <w:color w:val="auto"/>
              </w:rPr>
            </w:pPr>
            <w:r>
              <w:rPr>
                <w:rFonts w:ascii="Arial" w:cs="Arial" w:eastAsia="Arial" w:hAnsi="Arial"/>
                <w:sz w:val="18"/>
                <w:szCs w:val="18"/>
                <w:color w:val="auto"/>
              </w:rPr>
              <w:t>OTHER INFORMATION</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000" w:type="dxa"/>
            <w:vAlign w:val="bottom"/>
          </w:tcPr>
          <w:p>
            <w:pPr>
              <w:ind w:left="240"/>
              <w:spacing w:after="0"/>
              <w:rPr>
                <w:sz w:val="20"/>
                <w:szCs w:val="20"/>
                <w:color w:val="auto"/>
              </w:rPr>
            </w:pPr>
            <w:r>
              <w:rPr>
                <w:rFonts w:ascii="Arial" w:cs="Arial" w:eastAsia="Arial" w:hAnsi="Arial"/>
                <w:sz w:val="18"/>
                <w:szCs w:val="18"/>
                <w:color w:val="auto"/>
              </w:rPr>
              <w:t>Legal Proceedings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000" w:type="dxa"/>
            <w:vAlign w:val="bottom"/>
          </w:tcPr>
          <w:p>
            <w:pPr>
              <w:ind w:left="240"/>
              <w:spacing w:after="0"/>
              <w:rPr>
                <w:sz w:val="20"/>
                <w:szCs w:val="20"/>
                <w:color w:val="auto"/>
              </w:rPr>
            </w:pPr>
            <w:r>
              <w:rPr>
                <w:rFonts w:ascii="Arial" w:cs="Arial" w:eastAsia="Arial" w:hAnsi="Arial"/>
                <w:sz w:val="18"/>
                <w:szCs w:val="18"/>
                <w:color w:val="auto"/>
              </w:rPr>
              <w:t>Risk Factors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000" w:type="dxa"/>
            <w:vAlign w:val="bottom"/>
          </w:tcPr>
          <w:p>
            <w:pPr>
              <w:ind w:left="240"/>
              <w:spacing w:after="0"/>
              <w:rPr>
                <w:sz w:val="20"/>
                <w:szCs w:val="20"/>
                <w:color w:val="auto"/>
              </w:rPr>
            </w:pPr>
            <w:r>
              <w:rPr>
                <w:rFonts w:ascii="Arial" w:cs="Arial" w:eastAsia="Arial" w:hAnsi="Arial"/>
                <w:sz w:val="18"/>
                <w:szCs w:val="18"/>
                <w:color w:val="auto"/>
              </w:rPr>
              <w:t>Unregistered Sales of Equity Securities and Use of Proceeds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000" w:type="dxa"/>
            <w:vAlign w:val="bottom"/>
          </w:tcPr>
          <w:p>
            <w:pPr>
              <w:ind w:left="240"/>
              <w:spacing w:after="0"/>
              <w:rPr>
                <w:sz w:val="20"/>
                <w:szCs w:val="20"/>
                <w:color w:val="auto"/>
              </w:rPr>
            </w:pPr>
            <w:r>
              <w:rPr>
                <w:rFonts w:ascii="Arial" w:cs="Arial" w:eastAsia="Arial" w:hAnsi="Arial"/>
                <w:sz w:val="18"/>
                <w:szCs w:val="18"/>
                <w:color w:val="auto"/>
              </w:rPr>
              <w:t>Mine Safety Disclosures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000" w:type="dxa"/>
            <w:vAlign w:val="bottom"/>
          </w:tcPr>
          <w:p>
            <w:pPr>
              <w:ind w:left="240"/>
              <w:spacing w:after="0"/>
              <w:rPr>
                <w:sz w:val="20"/>
                <w:szCs w:val="20"/>
                <w:color w:val="auto"/>
              </w:rPr>
            </w:pPr>
            <w:r>
              <w:rPr>
                <w:rFonts w:ascii="Arial" w:cs="Arial" w:eastAsia="Arial" w:hAnsi="Arial"/>
                <w:sz w:val="18"/>
                <w:szCs w:val="18"/>
                <w:color w:val="auto"/>
              </w:rPr>
              <w:t>Other Information</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000" w:type="dxa"/>
            <w:vAlign w:val="bottom"/>
          </w:tcPr>
          <w:p>
            <w:pPr>
              <w:ind w:left="240"/>
              <w:spacing w:after="0"/>
              <w:rPr>
                <w:sz w:val="20"/>
                <w:szCs w:val="20"/>
                <w:color w:val="auto"/>
              </w:rPr>
            </w:pPr>
            <w:r>
              <w:rPr>
                <w:rFonts w:ascii="Arial" w:cs="Arial" w:eastAsia="Arial" w:hAnsi="Arial"/>
                <w:sz w:val="18"/>
                <w:szCs w:val="18"/>
                <w:color w:val="auto"/>
              </w:rPr>
              <w:t>Exhibits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58</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Signatures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60</w:t>
              </w:r>
            </w:hyperlink>
          </w:p>
        </w:tc>
        <w:tc>
          <w:tcPr>
            <w:tcW w:w="640" w:type="dxa"/>
            <w:vAlign w:val="bottom"/>
          </w:tcPr>
          <w:p>
            <w:pPr>
              <w:spacing w:after="0"/>
              <w:rPr>
                <w:sz w:val="24"/>
                <w:szCs w:val="24"/>
                <w:color w:val="auto"/>
              </w:rPr>
            </w:pPr>
          </w:p>
        </w:tc>
      </w:tr>
      <w:tr>
        <w:trPr>
          <w:trHeight w:val="723"/>
        </w:trPr>
        <w:tc>
          <w:tcPr>
            <w:tcW w:w="900" w:type="dxa"/>
            <w:vAlign w:val="bottom"/>
          </w:tcPr>
          <w:p>
            <w:pPr>
              <w:spacing w:after="0"/>
              <w:rPr>
                <w:sz w:val="24"/>
                <w:szCs w:val="24"/>
                <w:color w:val="auto"/>
              </w:rPr>
            </w:pPr>
          </w:p>
        </w:tc>
        <w:tc>
          <w:tcPr>
            <w:tcW w:w="9000" w:type="dxa"/>
            <w:vAlign w:val="bottom"/>
          </w:tcPr>
          <w:p>
            <w:pPr>
              <w:ind w:left="472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380"/>
          </w:cols>
          <w:pgMar w:left="280" w:top="918"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GLOSSARY OF TERMS AND ABBREVIATIONS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p>
      <w:pPr>
        <w:sectPr>
          <w:pgSz w:w="11900" w:h="16838" w:orient="portrait"/>
          <w:cols w:equalWidth="0" w:num="1">
            <w:col w:w="11380"/>
          </w:cols>
          <w:pgMar w:left="240" w:top="580" w:right="279" w:bottom="1440" w:gutter="0" w:footer="0" w:header="0"/>
        </w:sectPr>
      </w:pP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AFUDC</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Allowance for Funds Used During Construction</w:t>
      </w:r>
    </w:p>
    <w:p>
      <w:pPr>
        <w:spacing w:after="0" w:line="85"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AOCI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Accumulated Other Comprehensive Income (Loss)</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Arkansas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Black Hills Energy Arkansas, Inc., a direct, wholly-owned subsidiary of Black Hills Gas Inc.</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ASC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Accounting Standards Codification</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ASU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Accounting Standards Update issued by the FASB</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ATM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At-the-market equity offering program</w:t>
      </w:r>
    </w:p>
    <w:p>
      <w:pPr>
        <w:spacing w:after="0" w:line="85"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Availability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availability factor of a power plant is the percentage of the time that it is available to provide energy.</w:t>
      </w:r>
    </w:p>
    <w:p>
      <w:pPr>
        <w:spacing w:after="0" w:line="85"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Bbl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Barrel</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BHC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Black Hills Corporation; the Company</w:t>
      </w:r>
    </w:p>
    <w:p>
      <w:pPr>
        <w:spacing w:after="0" w:line="85"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Black Hills Electric Generation</w:t>
      </w:r>
    </w:p>
    <w:p>
      <w:pPr>
        <w:spacing w:after="0" w:line="20" w:lineRule="exact"/>
        <w:rPr>
          <w:sz w:val="20"/>
          <w:szCs w:val="20"/>
          <w:color w:val="auto"/>
        </w:rPr>
      </w:pPr>
      <w:r>
        <w:rPr>
          <w:sz w:val="20"/>
          <w:szCs w:val="20"/>
          <w:color w:val="auto"/>
        </w:rPr>
        <w:br w:type="column"/>
      </w:r>
    </w:p>
    <w:p>
      <w:pPr>
        <w:ind w:right="640"/>
        <w:spacing w:after="0" w:line="277" w:lineRule="auto"/>
        <w:rPr>
          <w:sz w:val="20"/>
          <w:szCs w:val="20"/>
          <w:color w:val="auto"/>
        </w:rPr>
      </w:pPr>
      <w:r>
        <w:rPr>
          <w:rFonts w:ascii="Arial" w:cs="Arial" w:eastAsia="Arial" w:hAnsi="Arial"/>
          <w:sz w:val="18"/>
          <w:szCs w:val="18"/>
          <w:color w:val="auto"/>
        </w:rPr>
        <w:t>Black Hills Electric Generation, LLC, a direct, wholly-owned subsidiary of Black Hills Non-regulated Holdings</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Black Hills Energy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name used to conduct the business of our utility companies</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Black Hills Power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Black Hills Power, Inc., a direct, wholly-owned subsidiary of Black Hills Corporation (doing business as Black Hills Energy)</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Black Hills Utility Holdings</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Black Hills Utility Holdings, Inc., a direct, wholly-owned subsidiary of Black Hills Corporation (doing business as Black Hills Energy)</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Black Hills Wyoming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CAPP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Customer Appliance Protection Plan</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Cheyenne Light</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Cheyenne Light, Fuel and Power Company, a direct, wholly-owned subsidiary of Black Hills Corporation (doing business as Black Hills Energy)</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CIAC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Contribution In Aid of Construction</w:t>
      </w:r>
    </w:p>
    <w:p>
      <w:pPr>
        <w:spacing w:after="0" w:line="74"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City of Gillette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Gillette, Wyoming</w:t>
      </w:r>
    </w:p>
    <w:p>
      <w:pPr>
        <w:spacing w:after="0" w:line="75"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Colorado Electric</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Black Hills Colorado Electric Utility Company, LP, an indirect, wholly-owned subsidiary of Black Hills Utility Holdings (doing business as Black Hills Energy)</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Colorado IPP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line="277" w:lineRule="auto"/>
        <w:rPr>
          <w:sz w:val="20"/>
          <w:szCs w:val="20"/>
          <w:color w:val="auto"/>
        </w:rPr>
      </w:pPr>
      <w:r>
        <w:rPr>
          <w:rFonts w:ascii="Arial" w:cs="Arial" w:eastAsia="Arial" w:hAnsi="Arial"/>
          <w:sz w:val="18"/>
          <w:szCs w:val="18"/>
          <w:color w:val="auto"/>
        </w:rPr>
        <w:t>Consolidated Indebtedness to Capitalization Ratio</w:t>
      </w:r>
    </w:p>
    <w:p>
      <w:pPr>
        <w:spacing w:after="0" w:line="20" w:lineRule="exact"/>
        <w:rPr>
          <w:sz w:val="20"/>
          <w:szCs w:val="20"/>
          <w:color w:val="auto"/>
        </w:rPr>
      </w:pPr>
      <w:r>
        <w:rPr>
          <w:sz w:val="20"/>
          <w:szCs w:val="20"/>
          <w:color w:val="auto"/>
        </w:rPr>
        <w:br w:type="column"/>
      </w:r>
    </w:p>
    <w:p>
      <w:pPr>
        <w:ind w:right="180"/>
        <w:spacing w:after="0" w:line="259" w:lineRule="auto"/>
        <w:rPr>
          <w:sz w:val="20"/>
          <w:szCs w:val="20"/>
          <w:color w:val="auto"/>
        </w:rPr>
      </w:pPr>
      <w:r>
        <w:rPr>
          <w:rFonts w:ascii="Arial" w:cs="Arial" w:eastAsia="Arial" w:hAnsi="Arial"/>
          <w:sz w:val="18"/>
          <w:szCs w:val="18"/>
          <w:color w:val="auto"/>
        </w:rPr>
        <w:t>Any Indebtedness outstanding at such time, divided by Capital at such time. Capital being Consolidated Net-Worth (excluding noncontrolling interest and including the aggregate outstanding amount of RSNs) plus Consolidated Indebtedness (including letters of credit, certain guarantees issued and excluding RSNs) as defined within the current Credit Agreement.</w:t>
      </w:r>
    </w:p>
    <w:p>
      <w:pPr>
        <w:spacing w:after="0" w:line="25" w:lineRule="exact"/>
        <w:rPr>
          <w:sz w:val="20"/>
          <w:szCs w:val="20"/>
          <w:color w:val="auto"/>
        </w:rPr>
      </w:pPr>
    </w:p>
    <w:p>
      <w:pPr>
        <w:sectPr>
          <w:pgSz w:w="11900" w:h="16838" w:orient="portrait"/>
          <w:cols w:equalWidth="0" w:num="2">
            <w:col w:w="3220" w:space="14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Cooling Degree Day</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A cooling degree day is equivalent to each degree that the average of the high and low temperature for a day is above 65 degrees. The warmer the climate, the greater the number of cooling degree days. Cooling degree days are used in the utility industry to measure the relative warmth of weather and to compare relative temperatures between one geographic area and another. Normal degree days are based on the National Weather Service data for selected locations over a 30-year average.</w:t>
      </w:r>
    </w:p>
    <w:p>
      <w:pPr>
        <w:spacing w:after="0" w:line="2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CP Program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Commercial Paper Program</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CPUC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Colorado Public Utilities Commission</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CVA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Credit Valuation Adjustment</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Dodd-Frank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Dodd-Frank Wall Street Reform and Consumer Protection Act</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Dth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Dekatherm. A unit of energy equal to 10 therms or one million British thermal units (MMBtu)</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Equity Unit</w:t>
      </w:r>
    </w:p>
    <w:p>
      <w:pPr>
        <w:spacing w:after="0" w:line="20" w:lineRule="exact"/>
        <w:rPr>
          <w:sz w:val="20"/>
          <w:szCs w:val="20"/>
          <w:color w:val="auto"/>
        </w:rPr>
      </w:pPr>
      <w:r>
        <w:rPr>
          <w:sz w:val="20"/>
          <w:szCs w:val="20"/>
          <w:color w:val="auto"/>
        </w:rPr>
        <w:br w:type="column"/>
      </w:r>
    </w:p>
    <w:p>
      <w:pPr>
        <w:ind w:right="240"/>
        <w:spacing w:after="0" w:line="264" w:lineRule="auto"/>
        <w:rPr>
          <w:sz w:val="20"/>
          <w:szCs w:val="20"/>
          <w:color w:val="auto"/>
        </w:rPr>
      </w:pPr>
      <w:r>
        <w:rPr>
          <w:rFonts w:ascii="Arial" w:cs="Arial" w:eastAsia="Arial" w:hAnsi="Arial"/>
          <w:sz w:val="18"/>
          <w:szCs w:val="18"/>
          <w:color w:val="auto"/>
        </w:rPr>
        <w:t>Each Equity Unit has a stated amount of $50, consisting of a purchase contract issued by BHC to purchase shares of BHC common stock and a 1/20, or 5% undivided beneficial ownership interest in $1,000 principal amount of BHC RSNs due 2028.</w:t>
      </w:r>
    </w:p>
    <w:p>
      <w:pPr>
        <w:spacing w:after="0" w:line="19"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FASB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Financial Accounting Standards Board</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FERC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Federal Energy Regulatory Commission</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Fitch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Fitch Ratings</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GAAP</w:t>
      </w:r>
    </w:p>
    <w:p>
      <w:pPr>
        <w:spacing w:after="0" w:line="20" w:lineRule="exact"/>
        <w:rPr>
          <w:sz w:val="20"/>
          <w:szCs w:val="20"/>
          <w:color w:val="auto"/>
        </w:rPr>
      </w:pPr>
      <w:r>
        <w:rPr>
          <w:sz w:val="20"/>
          <w:szCs w:val="20"/>
          <w:color w:val="auto"/>
        </w:rPr>
        <w:br w:type="column"/>
      </w:r>
    </w:p>
    <w:p>
      <w:pPr>
        <w:jc w:val="center"/>
        <w:ind w:right="2720"/>
        <w:spacing w:after="0"/>
        <w:rPr>
          <w:sz w:val="20"/>
          <w:szCs w:val="20"/>
          <w:color w:val="auto"/>
        </w:rPr>
      </w:pPr>
      <w:r>
        <w:rPr>
          <w:rFonts w:ascii="Arial" w:cs="Arial" w:eastAsia="Arial" w:hAnsi="Arial"/>
          <w:sz w:val="16"/>
          <w:szCs w:val="16"/>
          <w:color w:val="auto"/>
        </w:rPr>
        <w:t>Accounting principles generally accepted in the United States of America</w:t>
      </w:r>
    </w:p>
    <w:p>
      <w:pPr>
        <w:spacing w:after="0" w:line="211"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580" w:right="2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color w:val="auto"/>
        </w:rPr>
        <w:t>Heating Degree Day</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7"/>
          <w:szCs w:val="17"/>
          <w:color w:val="auto"/>
        </w:rPr>
        <w:t>A heating degree day is equivalent to each degree that the average of the high and the low temperatures for a day is below 65 degrees. The colder the climate, the greater the number of heating degree days. Heating degree days are used in the utility industry to measure the relative coldness of weather and to compare relative temperatures between one geographic area and another. Normal degree days are based on the National Weather Service data for selected locations over a 30-year average.</w:t>
      </w:r>
    </w:p>
    <w:p>
      <w:pPr>
        <w:spacing w:after="0" w:line="10" w:lineRule="exact"/>
        <w:rPr>
          <w:sz w:val="20"/>
          <w:szCs w:val="20"/>
          <w:color w:val="auto"/>
        </w:rPr>
      </w:pPr>
    </w:p>
    <w:p>
      <w:pPr>
        <w:sectPr>
          <w:pgSz w:w="11900" w:h="16838" w:orient="portrait"/>
          <w:cols w:equalWidth="0" w:num="2">
            <w:col w:w="2600" w:space="720"/>
            <w:col w:w="8000"/>
          </w:cols>
          <w:pgMar w:left="280" w:top="746" w:right="299" w:bottom="1440" w:gutter="0" w:footer="0" w:header="0"/>
        </w:sectPr>
      </w:pPr>
    </w:p>
    <w:p>
      <w:pPr>
        <w:spacing w:after="0"/>
        <w:rPr>
          <w:sz w:val="20"/>
          <w:szCs w:val="20"/>
          <w:color w:val="auto"/>
        </w:rPr>
      </w:pPr>
      <w:r>
        <w:rPr>
          <w:rFonts w:ascii="Arial" w:cs="Arial" w:eastAsia="Arial" w:hAnsi="Arial"/>
          <w:sz w:val="16"/>
          <w:szCs w:val="16"/>
          <w:color w:val="auto"/>
        </w:rPr>
        <w:t>IPP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Independent power producer</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IRS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Internal Revenue Service</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5"/>
          <w:szCs w:val="15"/>
          <w:color w:val="auto"/>
        </w:rPr>
        <w:t>Kansas Gas</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Black Hills Kansas Gas Utility Company, LLC, a direct, wholly-owned subsidiary of Black Hills Utility Holdings (doing business as Black Hills Energy)</w:t>
      </w:r>
    </w:p>
    <w:p>
      <w:pPr>
        <w:spacing w:after="0" w:line="8"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7"/>
          <w:szCs w:val="17"/>
          <w:color w:val="auto"/>
        </w:rPr>
        <w:t>LIBOR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London Interbank Offered Rate</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8"/>
          <w:szCs w:val="18"/>
          <w:color w:val="auto"/>
        </w:rPr>
        <w:t>MMBtu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Million British thermal units</w:t>
      </w:r>
    </w:p>
    <w:p>
      <w:pPr>
        <w:spacing w:after="0" w:line="74"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7"/>
          <w:szCs w:val="17"/>
          <w:color w:val="auto"/>
        </w:rPr>
        <w:t>Moody’s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Moody’s Investors Service, Inc.</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8"/>
          <w:szCs w:val="18"/>
          <w:color w:val="auto"/>
        </w:rPr>
        <w:t>MWh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Megawatt-hours</w:t>
      </w:r>
    </w:p>
    <w:p>
      <w:pPr>
        <w:spacing w:after="0" w:line="85"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5"/>
          <w:szCs w:val="15"/>
          <w:color w:val="auto"/>
        </w:rPr>
        <w:t>Nebraska Gas</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Black Hills Nebraska Gas Utility Company, LLC, a direct, wholly-owned subsidiary of Black Hills Utility Holdings (doing business as Black Hills Energy)</w:t>
      </w:r>
    </w:p>
    <w:p>
      <w:pPr>
        <w:spacing w:after="0" w:line="8"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Peak View Wind Project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$109 million 60 MW wind generating project for Colorado Electric, adjacent to Busch Ranch wind farm</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5"/>
          <w:szCs w:val="15"/>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Power Purchase Agreement</w:t>
      </w:r>
    </w:p>
    <w:p>
      <w:pPr>
        <w:spacing w:after="0" w:line="98"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7"/>
          <w:szCs w:val="17"/>
          <w:color w:val="auto"/>
        </w:rPr>
        <w:t>Revolving Credit Facility</w:t>
      </w:r>
    </w:p>
    <w:p>
      <w:pPr>
        <w:spacing w:after="0" w:line="20" w:lineRule="exact"/>
        <w:rPr>
          <w:sz w:val="20"/>
          <w:szCs w:val="20"/>
          <w:color w:val="auto"/>
        </w:rPr>
      </w:pPr>
      <w:r>
        <w:rPr>
          <w:sz w:val="20"/>
          <w:szCs w:val="20"/>
          <w:color w:val="auto"/>
        </w:rPr>
        <w:br w:type="column"/>
      </w:r>
    </w:p>
    <w:p>
      <w:pPr>
        <w:ind w:right="560"/>
        <w:spacing w:after="0" w:line="277" w:lineRule="auto"/>
        <w:rPr>
          <w:sz w:val="20"/>
          <w:szCs w:val="20"/>
          <w:color w:val="auto"/>
        </w:rPr>
      </w:pPr>
      <w:r>
        <w:rPr>
          <w:rFonts w:ascii="Arial" w:cs="Arial" w:eastAsia="Arial" w:hAnsi="Arial"/>
          <w:sz w:val="18"/>
          <w:szCs w:val="18"/>
          <w:color w:val="auto"/>
        </w:rPr>
        <w:t>Our $750 million credit facility used to fund working capital needs, letters of credit and other corporate purposes, which matures in 2021.</w:t>
      </w:r>
    </w:p>
    <w:p>
      <w:pPr>
        <w:spacing w:after="0" w:line="8"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7"/>
          <w:szCs w:val="17"/>
          <w:color w:val="auto"/>
        </w:rPr>
        <w:t>RMNG</w:t>
      </w:r>
    </w:p>
    <w:p>
      <w:pPr>
        <w:spacing w:after="0" w:line="20" w:lineRule="exact"/>
        <w:rPr>
          <w:sz w:val="20"/>
          <w:szCs w:val="20"/>
          <w:color w:val="auto"/>
        </w:rPr>
      </w:pPr>
      <w:r>
        <w:rPr>
          <w:sz w:val="20"/>
          <w:szCs w:val="20"/>
          <w:color w:val="auto"/>
        </w:rPr>
        <w:br w:type="column"/>
      </w:r>
    </w:p>
    <w:p>
      <w:pPr>
        <w:ind w:right="420"/>
        <w:spacing w:after="0" w:line="264" w:lineRule="auto"/>
        <w:rPr>
          <w:sz w:val="20"/>
          <w:szCs w:val="20"/>
          <w:color w:val="auto"/>
        </w:rPr>
      </w:pPr>
      <w:r>
        <w:rPr>
          <w:rFonts w:ascii="Arial" w:cs="Arial" w:eastAsia="Arial" w:hAnsi="Arial"/>
          <w:sz w:val="18"/>
          <w:szCs w:val="18"/>
          <w:color w:val="auto"/>
        </w:rPr>
        <w:t>Rocky Mountain Natural Gas, a regulated gas utility acquired in the SourceGas Acquisition that provides regulated transmission and wholesale natural gas service to Black Hills Gas in western Colorado (doing business as Black Hills Energy)</w:t>
      </w:r>
    </w:p>
    <w:p>
      <w:pPr>
        <w:spacing w:after="0" w:line="19"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RSNs</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6"/>
          <w:szCs w:val="16"/>
          <w:color w:val="auto"/>
        </w:rPr>
        <w:t>Remarketable junior subordinated notes, issued on November 23, 2015</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 S. Securities and Exchange Commission</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5"/>
          <w:szCs w:val="15"/>
          <w:color w:val="auto"/>
        </w:rPr>
        <w:t>SourceGas</w:t>
      </w:r>
    </w:p>
    <w:p>
      <w:pPr>
        <w:spacing w:after="0" w:line="20" w:lineRule="exact"/>
        <w:rPr>
          <w:sz w:val="20"/>
          <w:szCs w:val="20"/>
          <w:color w:val="auto"/>
        </w:rPr>
      </w:pPr>
      <w:r>
        <w:rPr>
          <w:sz w:val="20"/>
          <w:szCs w:val="20"/>
          <w:color w:val="auto"/>
        </w:rPr>
        <w:br w:type="column"/>
      </w:r>
    </w:p>
    <w:p>
      <w:pPr>
        <w:ind w:right="120"/>
        <w:spacing w:after="0" w:line="305" w:lineRule="auto"/>
        <w:rPr>
          <w:sz w:val="20"/>
          <w:szCs w:val="20"/>
          <w:color w:val="auto"/>
        </w:rPr>
      </w:pPr>
      <w:r>
        <w:rPr>
          <w:rFonts w:ascii="Arial" w:cs="Arial" w:eastAsia="Arial" w:hAnsi="Arial"/>
          <w:sz w:val="16"/>
          <w:szCs w:val="16"/>
          <w:color w:val="auto"/>
        </w:rPr>
        <w:t>SourceGas Holdings LLC and its subsidiaries, a gas utility owned by funds managed by Alinda Capital Partners and GE Energy Financial Services, a unit of General Electric Co. (NYSE:GE) that was acquired on February 12, 2016, and is now named Black Hills Gas Holdings, LLC (doing business as Black Hills Energy)</w:t>
      </w:r>
    </w:p>
    <w:p>
      <w:pPr>
        <w:spacing w:after="0" w:line="1"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SourceGas Acquisition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acquisition of SourceGas Holdings, LLC by Black Hills Utility Holdings</w:t>
      </w:r>
    </w:p>
    <w:p>
      <w:pPr>
        <w:spacing w:after="0" w:line="75"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S&amp;P</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color w:val="auto"/>
        </w:rPr>
        <w:t>Standard and Poor’s, a division of The McGraw-Hill Companies, Inc.</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South Dakota Electric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Includes Black Hills Power operations in South Dakota, Wyoming and Montana</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SSIR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System Safety and Integrity Rider</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7"/>
          <w:szCs w:val="17"/>
          <w:color w:val="auto"/>
        </w:rPr>
        <w:t>TCJA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Tax Cuts and Jobs Act enacted on December 22, 2017</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7"/>
          <w:szCs w:val="17"/>
          <w:color w:val="auto"/>
        </w:rPr>
        <w:t>Winter Storm Atlas</w:t>
      </w:r>
    </w:p>
    <w:p>
      <w:pPr>
        <w:spacing w:after="0" w:line="20" w:lineRule="exact"/>
        <w:rPr>
          <w:sz w:val="20"/>
          <w:szCs w:val="20"/>
          <w:color w:val="auto"/>
        </w:rPr>
      </w:pPr>
      <w:r>
        <w:rPr>
          <w:sz w:val="20"/>
          <w:szCs w:val="20"/>
          <w:color w:val="auto"/>
        </w:rPr>
        <w:br w:type="column"/>
      </w:r>
    </w:p>
    <w:p>
      <w:pPr>
        <w:ind w:right="440"/>
        <w:spacing w:after="0" w:line="277" w:lineRule="auto"/>
        <w:rPr>
          <w:sz w:val="20"/>
          <w:szCs w:val="20"/>
          <w:color w:val="auto"/>
        </w:rPr>
      </w:pPr>
      <w:r>
        <w:rPr>
          <w:rFonts w:ascii="Arial" w:cs="Arial" w:eastAsia="Arial" w:hAnsi="Arial"/>
          <w:sz w:val="18"/>
          <w:szCs w:val="18"/>
          <w:color w:val="auto"/>
        </w:rPr>
        <w:t>An October 2013 blizzard that impacted South Dakota Electric. It was the second most severe blizzard in Rapid City’s history.</w:t>
      </w:r>
    </w:p>
    <w:p>
      <w:pPr>
        <w:spacing w:after="0" w:line="8"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Wyodak Plant</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Wyodak, a 362 MW mine-mouth coal-fired plant in Gillette, Wyoming, owned 80% by Pacificorp and 20% by Black Hills Energy South Dakota. Our WRDC mine supplies all of the fuel for the plant.</w:t>
      </w:r>
    </w:p>
    <w:p>
      <w:pPr>
        <w:spacing w:after="0" w:line="8"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7"/>
          <w:szCs w:val="17"/>
          <w:color w:val="auto"/>
        </w:rPr>
        <w:t>Wyoming Electric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Includes Cheyenne Light’s electric utility operations</w:t>
      </w:r>
    </w:p>
    <w:p>
      <w:pPr>
        <w:spacing w:after="0" w:line="211"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20"/>
          </w:cols>
          <w:pgMar w:left="280" w:top="746" w:right="29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177" w:lineRule="exact"/>
        <w:rPr>
          <w:sz w:val="20"/>
          <w:szCs w:val="20"/>
          <w:color w:val="auto"/>
        </w:rPr>
      </w:pPr>
    </w:p>
    <w:p>
      <w:pPr>
        <w:ind w:left="20"/>
        <w:spacing w:after="0"/>
        <w:tabs>
          <w:tab w:leader="none" w:pos="8460" w:val="left"/>
        </w:tabs>
        <w:rPr>
          <w:sz w:val="20"/>
          <w:szCs w:val="20"/>
          <w:color w:val="auto"/>
        </w:rPr>
      </w:pPr>
      <w:r>
        <w:rPr>
          <w:rFonts w:ascii="Arial" w:cs="Arial" w:eastAsia="Arial" w:hAnsi="Arial"/>
          <w:sz w:val="16"/>
          <w:szCs w:val="16"/>
          <w:color w:val="auto"/>
        </w:rPr>
        <w:t>(unaudited)</w:t>
      </w:r>
      <w:r>
        <w:rPr>
          <w:sz w:val="20"/>
          <w:szCs w:val="20"/>
          <w:color w:val="auto"/>
        </w:rPr>
        <w:tab/>
      </w:r>
      <w:r>
        <w:rPr>
          <w:rFonts w:ascii="Arial" w:cs="Arial" w:eastAsia="Arial" w:hAnsi="Arial"/>
          <w:sz w:val="16"/>
          <w:szCs w:val="16"/>
          <w:color w:val="auto"/>
        </w:rPr>
        <w:t>Three Months Ended March 31,</w:t>
      </w:r>
    </w:p>
    <w:p>
      <w:pPr>
        <w:spacing w:after="0" w:line="86" w:lineRule="exact"/>
        <w:rPr>
          <w:sz w:val="20"/>
          <w:szCs w:val="20"/>
          <w:color w:val="auto"/>
        </w:rPr>
      </w:pPr>
    </w:p>
    <w:p>
      <w:pPr>
        <w:ind w:left="8440"/>
        <w:spacing w:after="0"/>
        <w:tabs>
          <w:tab w:leader="none" w:pos="10300" w:val="left"/>
        </w:tabs>
        <w:rPr>
          <w:sz w:val="20"/>
          <w:szCs w:val="20"/>
          <w:color w:val="auto"/>
        </w:rPr>
      </w:pPr>
      <w:r>
        <w:rPr>
          <w:rFonts w:ascii="Arial" w:cs="Arial" w:eastAsia="Arial" w:hAnsi="Arial"/>
          <w:sz w:val="16"/>
          <w:szCs w:val="16"/>
          <w:color w:val="auto"/>
        </w:rPr>
        <w:t>2018</w:t>
      </w:r>
      <w:r>
        <w:rPr>
          <w:sz w:val="20"/>
          <w:szCs w:val="20"/>
          <w:color w:val="auto"/>
        </w:rPr>
        <w:tab/>
      </w:r>
      <w:r>
        <w:rPr>
          <w:rFonts w:ascii="Arial" w:cs="Arial" w:eastAsia="Arial" w:hAnsi="Arial"/>
          <w:sz w:val="16"/>
          <w:szCs w:val="16"/>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4846320</wp:posOffset>
            </wp:positionH>
            <wp:positionV relativeFrom="paragraph">
              <wp:posOffset>34925</wp:posOffset>
            </wp:positionV>
            <wp:extent cx="23837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6"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7229475" cy="163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ectPr>
          <w:pgSz w:w="11900" w:h="16838" w:orient="portrait"/>
          <w:cols w:equalWidth="0" w:num="1">
            <w:col w:w="11380"/>
          </w:cols>
          <w:pgMar w:left="260" w:top="814" w:right="259" w:bottom="368" w:gutter="0" w:footer="0" w:header="0"/>
        </w:sect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expenses: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Fuel, purchased power and cost of natural gas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29475"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Operations and maintenance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 depletion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29475"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Taxes - property, production and severance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2947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163830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(expense):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charges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2947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Interest expense incurred (including amortization of debt issuance costs, premiums and discounts)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Allowance for funds used during construction - 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2947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Capitalized interest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2947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Allowance for funds used during construction - equity</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Total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294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before income taxes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from continuing operations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from discontinued operations,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income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2947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available for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Amounts attributable to common shareholders: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2947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(loss) from discontinued operations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(loss) available for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2947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Earnings per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Earnings (loss) per share, Basic -</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from continuing operations,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2947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(Loss) from discontinued operations, per share</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Earnings per share,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2947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Earnings (loss) per share, Diluted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2947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from continuing operations, per share</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(Loss) from discontinued operations,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22947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Earnings per share, Diluted</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common shares outstanding:</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575,389</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547,528</w:t>
            </w:r>
          </w:p>
        </w:tc>
      </w:tr>
      <w:tr>
        <w:trPr>
          <w:trHeight w:val="33"/>
        </w:trPr>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649"/>
        </w:trPr>
        <w:tc>
          <w:tcPr>
            <w:tcW w:w="70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247,639</w:t>
            </w:r>
          </w:p>
        </w:tc>
        <w:tc>
          <w:tcPr>
            <w:tcW w:w="66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219,777</w:t>
            </w:r>
          </w:p>
        </w:tc>
      </w:tr>
      <w:tr>
        <w:trPr>
          <w:trHeight w:val="257"/>
        </w:trPr>
        <w:tc>
          <w:tcPr>
            <w:tcW w:w="70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116,096</w:t>
            </w:r>
          </w:p>
        </w:tc>
        <w:tc>
          <w:tcPr>
            <w:tcW w:w="66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114,552</w:t>
            </w:r>
          </w:p>
        </w:tc>
      </w:tr>
      <w:tr>
        <w:trPr>
          <w:trHeight w:val="257"/>
        </w:trPr>
        <w:tc>
          <w:tcPr>
            <w:tcW w:w="70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48,590</w:t>
            </w:r>
          </w:p>
        </w:tc>
        <w:tc>
          <w:tcPr>
            <w:tcW w:w="66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46,702</w:t>
            </w:r>
          </w:p>
        </w:tc>
      </w:tr>
      <w:tr>
        <w:trPr>
          <w:trHeight w:val="257"/>
        </w:trPr>
        <w:tc>
          <w:tcPr>
            <w:tcW w:w="70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13,300</w:t>
            </w:r>
          </w:p>
        </w:tc>
        <w:tc>
          <w:tcPr>
            <w:tcW w:w="66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13,386</w:t>
            </w:r>
          </w:p>
        </w:tc>
      </w:tr>
      <w:tr>
        <w:trPr>
          <w:trHeight w:val="257"/>
        </w:trPr>
        <w:tc>
          <w:tcPr>
            <w:tcW w:w="70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1,490</w:t>
            </w:r>
          </w:p>
        </w:tc>
        <w:tc>
          <w:tcPr>
            <w:tcW w:w="66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2,925</w:t>
            </w:r>
          </w:p>
        </w:tc>
      </w:tr>
      <w:tr>
        <w:trPr>
          <w:trHeight w:val="33"/>
        </w:trPr>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427,115</w:t>
            </w:r>
          </w:p>
        </w:tc>
        <w:tc>
          <w:tcPr>
            <w:tcW w:w="6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397,342</w:t>
            </w:r>
          </w:p>
        </w:tc>
      </w:tr>
      <w:tr>
        <w:trPr>
          <w:trHeight w:val="33"/>
        </w:trPr>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79"/>
        </w:trPr>
        <w:tc>
          <w:tcPr>
            <w:tcW w:w="70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148,274</w:t>
            </w:r>
          </w:p>
        </w:tc>
        <w:tc>
          <w:tcPr>
            <w:tcW w:w="66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150,186</w:t>
            </w:r>
          </w:p>
        </w:tc>
      </w:tr>
      <w:tr>
        <w:trPr>
          <w:trHeight w:val="33"/>
        </w:trPr>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946"/>
        </w:trPr>
        <w:tc>
          <w:tcPr>
            <w:tcW w:w="7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(35,455)</w:t>
            </w:r>
          </w:p>
        </w:tc>
        <w:tc>
          <w:tcPr>
            <w:tcW w:w="6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(35,058)</w:t>
            </w:r>
          </w:p>
        </w:tc>
      </w:tr>
      <w:tr>
        <w:trPr>
          <w:trHeight w:val="257"/>
        </w:trPr>
        <w:tc>
          <w:tcPr>
            <w:tcW w:w="70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66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486</w:t>
            </w:r>
          </w:p>
        </w:tc>
      </w:tr>
      <w:tr>
        <w:trPr>
          <w:trHeight w:val="257"/>
        </w:trPr>
        <w:tc>
          <w:tcPr>
            <w:tcW w:w="70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66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257"/>
        </w:trPr>
        <w:tc>
          <w:tcPr>
            <w:tcW w:w="70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310</w:t>
            </w:r>
          </w:p>
        </w:tc>
        <w:tc>
          <w:tcPr>
            <w:tcW w:w="66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57"/>
        </w:trPr>
        <w:tc>
          <w:tcPr>
            <w:tcW w:w="70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66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492</w:t>
            </w:r>
          </w:p>
        </w:tc>
      </w:tr>
      <w:tr>
        <w:trPr>
          <w:trHeight w:val="257"/>
        </w:trPr>
        <w:tc>
          <w:tcPr>
            <w:tcW w:w="7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w:t>
            </w:r>
          </w:p>
        </w:tc>
        <w:tc>
          <w:tcPr>
            <w:tcW w:w="6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33"/>
        </w:trPr>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(35,099)</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(34,083)</w:t>
            </w:r>
          </w:p>
        </w:tc>
      </w:tr>
      <w:tr>
        <w:trPr>
          <w:trHeight w:val="33"/>
        </w:trPr>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79"/>
        </w:trPr>
        <w:tc>
          <w:tcPr>
            <w:tcW w:w="70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113,175</w:t>
            </w:r>
          </w:p>
        </w:tc>
        <w:tc>
          <w:tcPr>
            <w:tcW w:w="66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116,103</w:t>
            </w:r>
          </w:p>
        </w:tc>
      </w:tr>
      <w:tr>
        <w:trPr>
          <w:trHeight w:val="257"/>
        </w:trPr>
        <w:tc>
          <w:tcPr>
            <w:tcW w:w="70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25,802</w:t>
            </w:r>
          </w:p>
        </w:tc>
        <w:tc>
          <w:tcPr>
            <w:tcW w:w="6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(34,388)</w:t>
            </w:r>
          </w:p>
        </w:tc>
      </w:tr>
      <w:tr>
        <w:trPr>
          <w:trHeight w:val="33"/>
        </w:trPr>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138,977</w:t>
            </w:r>
          </w:p>
        </w:tc>
        <w:tc>
          <w:tcPr>
            <w:tcW w:w="6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81,715</w:t>
            </w:r>
          </w:p>
        </w:tc>
      </w:tr>
      <w:tr>
        <w:trPr>
          <w:trHeight w:val="257"/>
        </w:trPr>
        <w:tc>
          <w:tcPr>
            <w:tcW w:w="7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(2,343)</w:t>
            </w:r>
          </w:p>
        </w:tc>
        <w:tc>
          <w:tcPr>
            <w:tcW w:w="6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(1,569)</w:t>
            </w:r>
          </w:p>
        </w:tc>
      </w:tr>
      <w:tr>
        <w:trPr>
          <w:trHeight w:val="33"/>
        </w:trPr>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136,634</w:t>
            </w:r>
          </w:p>
        </w:tc>
        <w:tc>
          <w:tcPr>
            <w:tcW w:w="6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80,146</w:t>
            </w:r>
          </w:p>
        </w:tc>
      </w:tr>
      <w:tr>
        <w:trPr>
          <w:trHeight w:val="257"/>
        </w:trPr>
        <w:tc>
          <w:tcPr>
            <w:tcW w:w="7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(3,630)</w:t>
            </w:r>
          </w:p>
        </w:tc>
        <w:tc>
          <w:tcPr>
            <w:tcW w:w="6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(3,623)</w:t>
            </w:r>
          </w:p>
        </w:tc>
      </w:tr>
      <w:tr>
        <w:trPr>
          <w:trHeight w:val="33"/>
        </w:trPr>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133,004</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76,523</w:t>
            </w:r>
          </w:p>
        </w:tc>
      </w:tr>
      <w:tr>
        <w:trPr>
          <w:trHeight w:val="33"/>
        </w:trPr>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36"/>
        </w:trPr>
        <w:tc>
          <w:tcPr>
            <w:tcW w:w="70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135,347</w:t>
            </w:r>
          </w:p>
        </w:tc>
        <w:tc>
          <w:tcPr>
            <w:tcW w:w="66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78,092</w:t>
            </w:r>
          </w:p>
        </w:tc>
      </w:tr>
      <w:tr>
        <w:trPr>
          <w:trHeight w:val="257"/>
        </w:trPr>
        <w:tc>
          <w:tcPr>
            <w:tcW w:w="7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(2,343)</w:t>
            </w:r>
          </w:p>
        </w:tc>
        <w:tc>
          <w:tcPr>
            <w:tcW w:w="6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(1,569)</w:t>
            </w:r>
          </w:p>
        </w:tc>
      </w:tr>
      <w:tr>
        <w:trPr>
          <w:trHeight w:val="33"/>
        </w:trPr>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133,004</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76,523</w:t>
            </w:r>
          </w:p>
        </w:tc>
      </w:tr>
      <w:tr>
        <w:trPr>
          <w:trHeight w:val="33"/>
        </w:trPr>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014"/>
        </w:trPr>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2.54</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1.47</w:t>
            </w:r>
          </w:p>
        </w:tc>
      </w:tr>
      <w:tr>
        <w:trPr>
          <w:trHeight w:val="257"/>
        </w:trPr>
        <w:tc>
          <w:tcPr>
            <w:tcW w:w="7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(0.05)</w:t>
            </w:r>
          </w:p>
        </w:tc>
        <w:tc>
          <w:tcPr>
            <w:tcW w:w="6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33"/>
        </w:trPr>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1.44</w:t>
            </w:r>
          </w:p>
        </w:tc>
      </w:tr>
      <w:tr>
        <w:trPr>
          <w:trHeight w:val="33"/>
        </w:trPr>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63"/>
        </w:trPr>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1.42</w:t>
            </w:r>
          </w:p>
        </w:tc>
      </w:tr>
      <w:tr>
        <w:trPr>
          <w:trHeight w:val="257"/>
        </w:trPr>
        <w:tc>
          <w:tcPr>
            <w:tcW w:w="7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(0.04)</w:t>
            </w:r>
          </w:p>
        </w:tc>
        <w:tc>
          <w:tcPr>
            <w:tcW w:w="6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33"/>
        </w:trPr>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2.46</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1.39</w:t>
            </w:r>
          </w:p>
        </w:tc>
      </w:tr>
      <w:tr>
        <w:trPr>
          <w:trHeight w:val="33"/>
        </w:trPr>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ectPr>
          <w:pgSz w:w="11900" w:h="16838" w:orient="portrait"/>
          <w:cols w:equalWidth="0" w:num="2">
            <w:col w:w="6920" w:space="720"/>
            <w:col w:w="3740"/>
          </w:cols>
          <w:pgMar w:left="260" w:top="814" w:right="259" w:bottom="368"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6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Basic</w:t>
            </w:r>
          </w:p>
        </w:tc>
        <w:tc>
          <w:tcPr>
            <w:tcW w:w="740" w:type="dxa"/>
            <w:vAlign w:val="bottom"/>
            <w:tcBorders>
              <w:bottom w:val="single" w:sz="8" w:color="auto"/>
            </w:tcBorders>
            <w:shd w:val="clear" w:color="auto" w:fill="CEFFE7"/>
          </w:tcPr>
          <w:p>
            <w:pPr>
              <w:spacing w:after="0"/>
              <w:rPr>
                <w:sz w:val="21"/>
                <w:szCs w:val="21"/>
                <w:color w:val="auto"/>
              </w:rPr>
            </w:pP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53,319</w:t>
            </w:r>
          </w:p>
        </w:tc>
        <w:tc>
          <w:tcPr>
            <w:tcW w:w="720" w:type="dxa"/>
            <w:vAlign w:val="bottom"/>
            <w:tcBorders>
              <w:bottom w:val="single" w:sz="8" w:color="auto"/>
            </w:tcBorders>
            <w:shd w:val="clear" w:color="auto" w:fill="CEFFE7"/>
          </w:tcPr>
          <w:p>
            <w:pPr>
              <w:spacing w:after="0"/>
              <w:rPr>
                <w:sz w:val="21"/>
                <w:szCs w:val="21"/>
                <w:color w:val="auto"/>
              </w:rPr>
            </w:pPr>
          </w:p>
        </w:tc>
        <w:tc>
          <w:tcPr>
            <w:tcW w:w="11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53,152</w:t>
            </w:r>
          </w:p>
        </w:tc>
      </w:tr>
      <w:tr>
        <w:trPr>
          <w:trHeight w:val="20"/>
        </w:trPr>
        <w:tc>
          <w:tcPr>
            <w:tcW w:w="76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7"/>
        </w:trPr>
        <w:tc>
          <w:tcPr>
            <w:tcW w:w="7640" w:type="dxa"/>
            <w:vAlign w:val="bottom"/>
            <w:tcBorders>
              <w:bottom w:val="single" w:sz="8" w:color="CEFFE7"/>
            </w:tcBorders>
          </w:tcPr>
          <w:p>
            <w:pPr>
              <w:ind w:left="240"/>
              <w:spacing w:after="0"/>
              <w:rPr>
                <w:sz w:val="20"/>
                <w:szCs w:val="20"/>
                <w:color w:val="auto"/>
              </w:rPr>
            </w:pPr>
            <w:r>
              <w:rPr>
                <w:rFonts w:ascii="Arial" w:cs="Arial" w:eastAsia="Arial" w:hAnsi="Arial"/>
                <w:sz w:val="16"/>
                <w:szCs w:val="16"/>
                <w:color w:val="auto"/>
              </w:rPr>
              <w:t>Diluted</w:t>
            </w:r>
          </w:p>
        </w:tc>
        <w:tc>
          <w:tcPr>
            <w:tcW w:w="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54,122</w:t>
            </w:r>
          </w:p>
        </w:tc>
        <w:tc>
          <w:tcPr>
            <w:tcW w:w="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54,932</w:t>
            </w:r>
          </w:p>
        </w:tc>
      </w:tr>
      <w:tr>
        <w:trPr>
          <w:trHeight w:val="163"/>
        </w:trPr>
        <w:tc>
          <w:tcPr>
            <w:tcW w:w="7640" w:type="dxa"/>
            <w:vAlign w:val="bottom"/>
            <w:shd w:val="clear" w:color="auto" w:fill="CEFFE7"/>
          </w:tcPr>
          <w:p>
            <w:pPr>
              <w:spacing w:after="0"/>
              <w:rPr>
                <w:sz w:val="14"/>
                <w:szCs w:val="14"/>
                <w:color w:val="auto"/>
              </w:rPr>
            </w:pPr>
          </w:p>
        </w:tc>
        <w:tc>
          <w:tcPr>
            <w:tcW w:w="740" w:type="dxa"/>
            <w:vAlign w:val="bottom"/>
            <w:shd w:val="clear" w:color="auto" w:fill="CEFFE7"/>
          </w:tcPr>
          <w:p>
            <w:pPr>
              <w:spacing w:after="0"/>
              <w:rPr>
                <w:sz w:val="14"/>
                <w:szCs w:val="14"/>
                <w:color w:val="auto"/>
              </w:rPr>
            </w:pPr>
          </w:p>
        </w:tc>
        <w:tc>
          <w:tcPr>
            <w:tcW w:w="1160" w:type="dxa"/>
            <w:vAlign w:val="bottom"/>
            <w:shd w:val="clear" w:color="auto" w:fill="CEFFE7"/>
          </w:tcPr>
          <w:p>
            <w:pPr>
              <w:spacing w:after="0"/>
              <w:rPr>
                <w:sz w:val="14"/>
                <w:szCs w:val="14"/>
                <w:color w:val="auto"/>
              </w:rPr>
            </w:pPr>
          </w:p>
        </w:tc>
        <w:tc>
          <w:tcPr>
            <w:tcW w:w="720" w:type="dxa"/>
            <w:vAlign w:val="bottom"/>
            <w:shd w:val="clear" w:color="auto" w:fill="CEFFE7"/>
          </w:tcPr>
          <w:p>
            <w:pPr>
              <w:spacing w:after="0"/>
              <w:rPr>
                <w:sz w:val="14"/>
                <w:szCs w:val="14"/>
                <w:color w:val="auto"/>
              </w:rPr>
            </w:pPr>
          </w:p>
        </w:tc>
        <w:tc>
          <w:tcPr>
            <w:tcW w:w="1120" w:type="dxa"/>
            <w:vAlign w:val="bottom"/>
            <w:shd w:val="clear" w:color="auto" w:fill="CEFFE7"/>
          </w:tcPr>
          <w:p>
            <w:pPr>
              <w:spacing w:after="0"/>
              <w:rPr>
                <w:sz w:val="14"/>
                <w:szCs w:val="14"/>
                <w:color w:val="auto"/>
              </w:rPr>
            </w:pPr>
          </w:p>
        </w:tc>
      </w:tr>
      <w:tr>
        <w:trPr>
          <w:trHeight w:val="250"/>
        </w:trPr>
        <w:tc>
          <w:tcPr>
            <w:tcW w:w="7640" w:type="dxa"/>
            <w:vAlign w:val="bottom"/>
          </w:tcPr>
          <w:p>
            <w:pPr>
              <w:ind w:left="240"/>
              <w:spacing w:after="0"/>
              <w:rPr>
                <w:sz w:val="20"/>
                <w:szCs w:val="20"/>
                <w:color w:val="auto"/>
              </w:rPr>
            </w:pPr>
            <w:r>
              <w:rPr>
                <w:rFonts w:ascii="Arial" w:cs="Arial" w:eastAsia="Arial" w:hAnsi="Arial"/>
                <w:sz w:val="16"/>
                <w:szCs w:val="16"/>
                <w:color w:val="auto"/>
              </w:rPr>
              <w:t>Dividends declared per share of common stock</w:t>
            </w: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0.475</w:t>
            </w:r>
          </w:p>
        </w:tc>
        <w:tc>
          <w:tcPr>
            <w:tcW w:w="7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0.445</w:t>
            </w:r>
          </w:p>
        </w:tc>
      </w:tr>
      <w:tr>
        <w:trPr>
          <w:trHeight w:val="20"/>
        </w:trPr>
        <w:tc>
          <w:tcPr>
            <w:tcW w:w="76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ectPr>
          <w:pgSz w:w="11900" w:h="16838" w:orient="portrait"/>
          <w:cols w:equalWidth="0" w:num="1">
            <w:col w:w="11380"/>
          </w:cols>
          <w:pgMar w:left="260" w:top="814" w:right="259" w:bottom="368" w:gutter="0" w:footer="0" w:header="0"/>
          <w:type w:val="continuous"/>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60" w:top="814" w:right="259" w:bottom="368"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vMerge w:val="restart"/>
          </w:tcPr>
          <w:p>
            <w:pPr>
              <w:ind w:left="40"/>
              <w:spacing w:after="0"/>
              <w:rPr>
                <w:sz w:val="20"/>
                <w:szCs w:val="20"/>
                <w:color w:val="auto"/>
              </w:rPr>
            </w:pPr>
            <w:r>
              <w:rPr>
                <w:rFonts w:ascii="Arial" w:cs="Arial" w:eastAsia="Arial" w:hAnsi="Arial"/>
                <w:sz w:val="18"/>
                <w:szCs w:val="18"/>
                <w:color w:val="auto"/>
              </w:rPr>
              <w:t>(unaudited)</w:t>
            </w:r>
          </w:p>
        </w:tc>
        <w:tc>
          <w:tcPr>
            <w:tcW w:w="360" w:type="dxa"/>
            <w:vAlign w:val="bottom"/>
          </w:tcPr>
          <w:p>
            <w:pPr>
              <w:spacing w:after="0"/>
              <w:rPr>
                <w:sz w:val="17"/>
                <w:szCs w:val="17"/>
                <w:color w:val="auto"/>
              </w:rPr>
            </w:pPr>
          </w:p>
        </w:tc>
        <w:tc>
          <w:tcPr>
            <w:tcW w:w="2820" w:type="dxa"/>
            <w:vAlign w:val="bottom"/>
            <w:gridSpan w:val="3"/>
          </w:tcPr>
          <w:p>
            <w:pPr>
              <w:jc w:val="center"/>
              <w:ind w:right="250"/>
              <w:spacing w:after="0"/>
              <w:rPr>
                <w:sz w:val="20"/>
                <w:szCs w:val="20"/>
                <w:color w:val="auto"/>
              </w:rPr>
            </w:pPr>
            <w:r>
              <w:rPr>
                <w:rFonts w:ascii="Arial" w:cs="Arial" w:eastAsia="Arial" w:hAnsi="Arial"/>
                <w:sz w:val="16"/>
                <w:szCs w:val="16"/>
                <w:color w:val="auto"/>
                <w:w w:val="90"/>
              </w:rPr>
              <w:t>Three Months Ended</w:t>
            </w:r>
          </w:p>
        </w:tc>
        <w:tc>
          <w:tcPr>
            <w:tcW w:w="0" w:type="dxa"/>
            <w:vAlign w:val="bottom"/>
          </w:tcPr>
          <w:p>
            <w:pPr>
              <w:spacing w:after="0"/>
              <w:rPr>
                <w:sz w:val="1"/>
                <w:szCs w:val="1"/>
                <w:color w:val="auto"/>
              </w:rPr>
            </w:pPr>
          </w:p>
        </w:tc>
      </w:tr>
      <w:tr>
        <w:trPr>
          <w:trHeight w:val="212"/>
        </w:trPr>
        <w:tc>
          <w:tcPr>
            <w:tcW w:w="82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2"/>
          </w:tcPr>
          <w:p>
            <w:pPr>
              <w:jc w:val="center"/>
              <w:ind w:left="591"/>
              <w:spacing w:after="0"/>
              <w:rPr>
                <w:sz w:val="20"/>
                <w:szCs w:val="20"/>
                <w:color w:val="auto"/>
              </w:rPr>
            </w:pPr>
            <w:r>
              <w:rPr>
                <w:rFonts w:ascii="Arial" w:cs="Arial" w:eastAsia="Arial" w:hAnsi="Arial"/>
                <w:sz w:val="16"/>
                <w:szCs w:val="16"/>
                <w:color w:val="auto"/>
                <w:w w:val="95"/>
              </w:rPr>
              <w:t>March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color w:val="auto"/>
              </w:rPr>
              <w:t>2018</w:t>
            </w:r>
          </w:p>
        </w:tc>
        <w:tc>
          <w:tcPr>
            <w:tcW w:w="580" w:type="dxa"/>
            <w:vAlign w:val="bottom"/>
          </w:tcPr>
          <w:p>
            <w:pPr>
              <w:spacing w:after="0"/>
              <w:rPr>
                <w:sz w:val="23"/>
                <w:szCs w:val="23"/>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color w:val="auto"/>
                <w:w w:val="94"/>
              </w:rPr>
              <w:t>2017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2"/>
          </w:tcPr>
          <w:p>
            <w:pPr>
              <w:jc w:val="center"/>
              <w:ind w:left="591"/>
              <w:spacing w:after="0"/>
              <w:rPr>
                <w:sz w:val="20"/>
                <w:szCs w:val="20"/>
                <w:color w:val="auto"/>
              </w:rPr>
            </w:pPr>
            <w:r>
              <w:rPr>
                <w:rFonts w:ascii="Arial" w:cs="Arial" w:eastAsia="Arial" w:hAnsi="Arial"/>
                <w:sz w:val="18"/>
                <w:szCs w:val="18"/>
                <w:color w:val="auto"/>
                <w:w w:val="91"/>
              </w:rPr>
              <w:t>(in thousands)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136,634</w:t>
            </w:r>
          </w:p>
        </w:tc>
        <w:tc>
          <w:tcPr>
            <w:tcW w:w="58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80,146</w:t>
            </w:r>
          </w:p>
        </w:tc>
        <w:tc>
          <w:tcPr>
            <w:tcW w:w="0" w:type="dxa"/>
            <w:vAlign w:val="bottom"/>
          </w:tcPr>
          <w:p>
            <w:pPr>
              <w:spacing w:after="0"/>
              <w:rPr>
                <w:sz w:val="1"/>
                <w:szCs w:val="1"/>
                <w:color w:val="auto"/>
              </w:rPr>
            </w:pPr>
          </w:p>
        </w:tc>
      </w:tr>
      <w:tr>
        <w:trPr>
          <w:trHeight w:val="318"/>
        </w:trPr>
        <w:tc>
          <w:tcPr>
            <w:tcW w:w="8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80"/>
              <w:spacing w:after="0"/>
              <w:rPr>
                <w:sz w:val="20"/>
                <w:szCs w:val="20"/>
                <w:color w:val="auto"/>
              </w:rPr>
            </w:pPr>
            <w:r>
              <w:rPr>
                <w:rFonts w:ascii="Arial" w:cs="Arial" w:eastAsia="Arial" w:hAnsi="Arial"/>
                <w:sz w:val="18"/>
                <w:szCs w:val="18"/>
                <w:color w:val="auto"/>
                <w:w w:val="94"/>
              </w:rPr>
              <w:t>Reclassification adjustments of benefit plan liability - prior service cost (net of tax benefit of $10 and $17</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80"/>
              <w:spacing w:after="0"/>
              <w:rPr>
                <w:sz w:val="20"/>
                <w:szCs w:val="20"/>
                <w:color w:val="auto"/>
              </w:rPr>
            </w:pPr>
            <w:r>
              <w:rPr>
                <w:rFonts w:ascii="Arial" w:cs="Arial" w:eastAsia="Arial" w:hAnsi="Arial"/>
                <w:sz w:val="18"/>
                <w:szCs w:val="18"/>
                <w:color w:val="auto"/>
              </w:rPr>
              <w:t>for the three months ended March 31, 2018 and 2017, respectively)</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4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3"/>
              </w:rPr>
              <w:t>Reclassification adjustments of benefit plan liability - net gain (net of tax expense of $(136) and $(154) for</w:t>
            </w:r>
          </w:p>
        </w:tc>
        <w:tc>
          <w:tcPr>
            <w:tcW w:w="360" w:type="dxa"/>
            <w:vAlign w:val="bottom"/>
            <w:shd w:val="clear" w:color="auto" w:fill="CEFFE7"/>
          </w:tcPr>
          <w:p>
            <w:pPr>
              <w:spacing w:after="0"/>
              <w:rPr>
                <w:sz w:val="19"/>
                <w:szCs w:val="19"/>
                <w:color w:val="auto"/>
              </w:rPr>
            </w:pPr>
          </w:p>
        </w:tc>
        <w:tc>
          <w:tcPr>
            <w:tcW w:w="1220" w:type="dxa"/>
            <w:vAlign w:val="bottom"/>
            <w:shd w:val="clear" w:color="auto" w:fill="CEFFE7"/>
          </w:tcPr>
          <w:p>
            <w:pPr>
              <w:spacing w:after="0"/>
              <w:rPr>
                <w:sz w:val="19"/>
                <w:szCs w:val="19"/>
                <w:color w:val="auto"/>
              </w:rPr>
            </w:pPr>
          </w:p>
        </w:tc>
        <w:tc>
          <w:tcPr>
            <w:tcW w:w="580" w:type="dxa"/>
            <w:vAlign w:val="bottom"/>
            <w:shd w:val="clear" w:color="auto" w:fill="CEFFE7"/>
          </w:tcPr>
          <w:p>
            <w:pPr>
              <w:spacing w:after="0"/>
              <w:rPr>
                <w:sz w:val="19"/>
                <w:szCs w:val="19"/>
                <w:color w:val="auto"/>
              </w:rPr>
            </w:pPr>
          </w:p>
        </w:tc>
        <w:tc>
          <w:tcPr>
            <w:tcW w:w="10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the three months ended March 31, 2018 and 2017, respectively)</w:t>
            </w:r>
          </w:p>
        </w:tc>
        <w:tc>
          <w:tcPr>
            <w:tcW w:w="360" w:type="dxa"/>
            <w:vAlign w:val="bottom"/>
            <w:tcBorders>
              <w:bottom w:val="single" w:sz="8" w:color="CEFFE7"/>
            </w:tcBorders>
            <w:shd w:val="clear" w:color="auto" w:fill="CEFFE7"/>
          </w:tcPr>
          <w:p>
            <w:pPr>
              <w:spacing w:after="0"/>
              <w:rPr>
                <w:sz w:val="20"/>
                <w:szCs w:val="20"/>
                <w:color w:val="auto"/>
              </w:rPr>
            </w:pPr>
          </w:p>
        </w:tc>
        <w:tc>
          <w:tcPr>
            <w:tcW w:w="12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486</w:t>
            </w:r>
          </w:p>
        </w:tc>
        <w:tc>
          <w:tcPr>
            <w:tcW w:w="580" w:type="dxa"/>
            <w:vAlign w:val="bottom"/>
            <w:tcBorders>
              <w:bottom w:val="single" w:sz="8" w:color="CEFFE7"/>
            </w:tcBorders>
            <w:shd w:val="clear" w:color="auto" w:fill="CEFFE7"/>
          </w:tcPr>
          <w:p>
            <w:pPr>
              <w:spacing w:after="0"/>
              <w:rPr>
                <w:sz w:val="20"/>
                <w:szCs w:val="20"/>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Derivative instruments designated as cash flow hedges: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4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2"/>
              </w:rPr>
              <w:t>Net unrealized gains (losses) on interest rate swaps (net of tax of $0 and $(32) for the three months ended</w:t>
            </w:r>
          </w:p>
        </w:tc>
        <w:tc>
          <w:tcPr>
            <w:tcW w:w="360" w:type="dxa"/>
            <w:vAlign w:val="bottom"/>
            <w:shd w:val="clear" w:color="auto" w:fill="CEFFE7"/>
          </w:tcPr>
          <w:p>
            <w:pPr>
              <w:spacing w:after="0"/>
              <w:rPr>
                <w:sz w:val="19"/>
                <w:szCs w:val="19"/>
                <w:color w:val="auto"/>
              </w:rPr>
            </w:pPr>
          </w:p>
        </w:tc>
        <w:tc>
          <w:tcPr>
            <w:tcW w:w="1220" w:type="dxa"/>
            <w:vAlign w:val="bottom"/>
            <w:shd w:val="clear" w:color="auto" w:fill="CEFFE7"/>
          </w:tcPr>
          <w:p>
            <w:pPr>
              <w:spacing w:after="0"/>
              <w:rPr>
                <w:sz w:val="19"/>
                <w:szCs w:val="19"/>
                <w:color w:val="auto"/>
              </w:rPr>
            </w:pPr>
          </w:p>
        </w:tc>
        <w:tc>
          <w:tcPr>
            <w:tcW w:w="580" w:type="dxa"/>
            <w:vAlign w:val="bottom"/>
            <w:shd w:val="clear" w:color="auto" w:fill="CEFFE7"/>
          </w:tcPr>
          <w:p>
            <w:pPr>
              <w:spacing w:after="0"/>
              <w:rPr>
                <w:sz w:val="19"/>
                <w:szCs w:val="19"/>
                <w:color w:val="auto"/>
              </w:rPr>
            </w:pPr>
          </w:p>
        </w:tc>
        <w:tc>
          <w:tcPr>
            <w:tcW w:w="10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March 31, 2018 and 2017, respectively)</w:t>
            </w:r>
          </w:p>
        </w:tc>
        <w:tc>
          <w:tcPr>
            <w:tcW w:w="360" w:type="dxa"/>
            <w:vAlign w:val="bottom"/>
            <w:tcBorders>
              <w:bottom w:val="single" w:sz="8" w:color="CEFFE7"/>
            </w:tcBorders>
            <w:shd w:val="clear" w:color="auto" w:fill="CEFFE7"/>
          </w:tcPr>
          <w:p>
            <w:pPr>
              <w:spacing w:after="0"/>
              <w:rPr>
                <w:sz w:val="20"/>
                <w:szCs w:val="20"/>
                <w:color w:val="auto"/>
              </w:rPr>
            </w:pPr>
          </w:p>
        </w:tc>
        <w:tc>
          <w:tcPr>
            <w:tcW w:w="12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EFFE7"/>
            </w:tcBorders>
            <w:shd w:val="clear" w:color="auto" w:fill="CEFFE7"/>
          </w:tcPr>
          <w:p>
            <w:pPr>
              <w:spacing w:after="0"/>
              <w:rPr>
                <w:sz w:val="20"/>
                <w:szCs w:val="20"/>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8240" w:type="dxa"/>
            <w:vAlign w:val="bottom"/>
          </w:tcPr>
          <w:p>
            <w:pPr>
              <w:ind w:left="380"/>
              <w:spacing w:after="0"/>
              <w:rPr>
                <w:sz w:val="20"/>
                <w:szCs w:val="20"/>
                <w:color w:val="auto"/>
              </w:rPr>
            </w:pPr>
            <w:r>
              <w:rPr>
                <w:rFonts w:ascii="Arial" w:cs="Arial" w:eastAsia="Arial" w:hAnsi="Arial"/>
                <w:sz w:val="18"/>
                <w:szCs w:val="18"/>
                <w:color w:val="auto"/>
                <w:w w:val="92"/>
              </w:rPr>
              <w:t>Reclassification of net realized (gains) losses on settled/amortized interest rate swaps (net of tax of $(152)</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80"/>
              <w:spacing w:after="0"/>
              <w:rPr>
                <w:sz w:val="20"/>
                <w:szCs w:val="20"/>
                <w:color w:val="auto"/>
              </w:rPr>
            </w:pPr>
            <w:r>
              <w:rPr>
                <w:rFonts w:ascii="Arial" w:cs="Arial" w:eastAsia="Arial" w:hAnsi="Arial"/>
                <w:sz w:val="18"/>
                <w:szCs w:val="18"/>
                <w:color w:val="auto"/>
              </w:rPr>
              <w:t>and $(249) for the three months ended March 31, 2018 and 2017, respectively)</w:t>
            </w:r>
          </w:p>
        </w:tc>
        <w:tc>
          <w:tcPr>
            <w:tcW w:w="3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561</w:t>
            </w:r>
          </w:p>
        </w:tc>
        <w:tc>
          <w:tcPr>
            <w:tcW w:w="5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4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3"/>
              </w:rPr>
              <w:t>Net unrealized gains (losses) on commodity derivatives (net of tax of $69 and $(342) for the three months</w:t>
            </w:r>
          </w:p>
        </w:tc>
        <w:tc>
          <w:tcPr>
            <w:tcW w:w="360" w:type="dxa"/>
            <w:vAlign w:val="bottom"/>
            <w:shd w:val="clear" w:color="auto" w:fill="CEFFE7"/>
          </w:tcPr>
          <w:p>
            <w:pPr>
              <w:spacing w:after="0"/>
              <w:rPr>
                <w:sz w:val="19"/>
                <w:szCs w:val="19"/>
                <w:color w:val="auto"/>
              </w:rPr>
            </w:pPr>
          </w:p>
        </w:tc>
        <w:tc>
          <w:tcPr>
            <w:tcW w:w="1220" w:type="dxa"/>
            <w:vAlign w:val="bottom"/>
            <w:shd w:val="clear" w:color="auto" w:fill="CEFFE7"/>
          </w:tcPr>
          <w:p>
            <w:pPr>
              <w:spacing w:after="0"/>
              <w:rPr>
                <w:sz w:val="19"/>
                <w:szCs w:val="19"/>
                <w:color w:val="auto"/>
              </w:rPr>
            </w:pPr>
          </w:p>
        </w:tc>
        <w:tc>
          <w:tcPr>
            <w:tcW w:w="580" w:type="dxa"/>
            <w:vAlign w:val="bottom"/>
            <w:shd w:val="clear" w:color="auto" w:fill="CEFFE7"/>
          </w:tcPr>
          <w:p>
            <w:pPr>
              <w:spacing w:after="0"/>
              <w:rPr>
                <w:sz w:val="19"/>
                <w:szCs w:val="19"/>
                <w:color w:val="auto"/>
              </w:rPr>
            </w:pPr>
          </w:p>
        </w:tc>
        <w:tc>
          <w:tcPr>
            <w:tcW w:w="10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ended March 31, 2018 and 2017, respectively)</w:t>
            </w:r>
          </w:p>
        </w:tc>
        <w:tc>
          <w:tcPr>
            <w:tcW w:w="360" w:type="dxa"/>
            <w:vAlign w:val="bottom"/>
            <w:tcBorders>
              <w:bottom w:val="single" w:sz="8" w:color="CEFFE7"/>
            </w:tcBorders>
            <w:shd w:val="clear" w:color="auto" w:fill="CEFFE7"/>
          </w:tcPr>
          <w:p>
            <w:pPr>
              <w:spacing w:after="0"/>
              <w:rPr>
                <w:sz w:val="20"/>
                <w:szCs w:val="20"/>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(228)</w:t>
            </w:r>
          </w:p>
        </w:tc>
        <w:tc>
          <w:tcPr>
            <w:tcW w:w="580" w:type="dxa"/>
            <w:vAlign w:val="bottom"/>
            <w:tcBorders>
              <w:bottom w:val="single" w:sz="8" w:color="CEFFE7"/>
            </w:tcBorders>
            <w:shd w:val="clear" w:color="auto" w:fill="CEFFE7"/>
          </w:tcPr>
          <w:p>
            <w:pPr>
              <w:spacing w:after="0"/>
              <w:rPr>
                <w:sz w:val="20"/>
                <w:szCs w:val="20"/>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9"/>
        </w:trPr>
        <w:tc>
          <w:tcPr>
            <w:tcW w:w="8240" w:type="dxa"/>
            <w:vAlign w:val="bottom"/>
          </w:tcPr>
          <w:p>
            <w:pPr>
              <w:ind w:left="380"/>
              <w:spacing w:after="0"/>
              <w:rPr>
                <w:sz w:val="20"/>
                <w:szCs w:val="20"/>
                <w:color w:val="auto"/>
              </w:rPr>
            </w:pPr>
            <w:r>
              <w:rPr>
                <w:rFonts w:ascii="Arial" w:cs="Arial" w:eastAsia="Arial" w:hAnsi="Arial"/>
                <w:sz w:val="18"/>
                <w:szCs w:val="18"/>
                <w:color w:val="auto"/>
                <w:w w:val="95"/>
              </w:rPr>
              <w:t>Reclassification of net realized (gains) losses on settled commodity derivatives (net of tax of $(145) and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80"/>
              <w:spacing w:after="0"/>
              <w:rPr>
                <w:sz w:val="20"/>
                <w:szCs w:val="20"/>
                <w:color w:val="auto"/>
              </w:rPr>
            </w:pPr>
            <w:r>
              <w:rPr>
                <w:rFonts w:ascii="Arial" w:cs="Arial" w:eastAsia="Arial" w:hAnsi="Arial"/>
                <w:sz w:val="18"/>
                <w:szCs w:val="18"/>
                <w:color w:val="auto"/>
              </w:rPr>
              <w:t>$106 for the three months ended March 31, 2018 and 2017, respectively)</w:t>
            </w:r>
          </w:p>
        </w:tc>
        <w:tc>
          <w:tcPr>
            <w:tcW w:w="3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476</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1,260</w:t>
            </w:r>
          </w:p>
        </w:tc>
        <w:tc>
          <w:tcPr>
            <w:tcW w:w="58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318"/>
        </w:trPr>
        <w:tc>
          <w:tcPr>
            <w:tcW w:w="8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137,894</w:t>
            </w:r>
          </w:p>
        </w:tc>
        <w:tc>
          <w:tcPr>
            <w:tcW w:w="5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81,299</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(3,630)</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Comprehensive income available for common stock</w:t>
            </w:r>
          </w:p>
        </w:tc>
        <w:tc>
          <w:tcPr>
            <w:tcW w:w="3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134,264</w:t>
            </w:r>
          </w:p>
        </w:tc>
        <w:tc>
          <w:tcPr>
            <w:tcW w:w="58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77,676</w:t>
            </w:r>
          </w:p>
        </w:tc>
        <w:tc>
          <w:tcPr>
            <w:tcW w:w="0" w:type="dxa"/>
            <w:vAlign w:val="bottom"/>
          </w:tcPr>
          <w:p>
            <w:pPr>
              <w:spacing w:after="0"/>
              <w:rPr>
                <w:sz w:val="1"/>
                <w:szCs w:val="1"/>
                <w:color w:val="auto"/>
              </w:rPr>
            </w:pPr>
          </w:p>
        </w:tc>
      </w:tr>
      <w:tr>
        <w:trPr>
          <w:trHeight w:val="20"/>
        </w:trPr>
        <w:tc>
          <w:tcPr>
            <w:tcW w:w="8240" w:type="dxa"/>
            <w:vAlign w:val="bottom"/>
            <w:tcBorders>
              <w:top w:val="single" w:sz="8" w:color="CEFFE7"/>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 14 for additional disclosures.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9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ind w:left="600"/>
              <w:spacing w:after="0"/>
              <w:rPr>
                <w:sz w:val="20"/>
                <w:szCs w:val="20"/>
                <w:color w:val="auto"/>
              </w:rPr>
            </w:pPr>
            <w:r>
              <w:rPr>
                <w:rFonts w:ascii="Arial" w:cs="Arial" w:eastAsia="Arial" w:hAnsi="Arial"/>
                <w:sz w:val="18"/>
                <w:szCs w:val="18"/>
                <w:color w:val="auto"/>
              </w:rPr>
              <w:t>(unaudited)</w:t>
            </w: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92"/>
              </w:rPr>
              <w:t>As of</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6"/>
        </w:trPr>
        <w:tc>
          <w:tcPr>
            <w:tcW w:w="46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March 31,</w:t>
            </w: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March 31,</w:t>
            </w:r>
          </w:p>
        </w:tc>
      </w:tr>
      <w:tr>
        <w:trPr>
          <w:trHeight w:val="230"/>
        </w:trPr>
        <w:tc>
          <w:tcPr>
            <w:tcW w:w="4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2018</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December 31, 2017</w:t>
            </w:r>
          </w:p>
        </w:tc>
        <w:tc>
          <w:tcPr>
            <w:tcW w:w="38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89"/>
              </w:rPr>
              <w:t>(in thousands)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4600" w:type="dxa"/>
            <w:vAlign w:val="bottom"/>
          </w:tcPr>
          <w:p>
            <w:pPr>
              <w:ind w:left="2880"/>
              <w:spacing w:after="0"/>
              <w:rPr>
                <w:sz w:val="20"/>
                <w:szCs w:val="20"/>
                <w:color w:val="auto"/>
              </w:rPr>
            </w:pPr>
            <w:r>
              <w:rPr>
                <w:rFonts w:ascii="Arial" w:cs="Arial" w:eastAsia="Arial" w:hAnsi="Arial"/>
                <w:sz w:val="18"/>
                <w:szCs w:val="18"/>
                <w:b w:val="1"/>
                <w:bCs w:val="1"/>
                <w:color w:val="auto"/>
              </w:rPr>
              <w:t>ASSETS</w:t>
            </w:r>
          </w:p>
        </w:tc>
        <w:tc>
          <w:tcPr>
            <w:tcW w:w="1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46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Cash and cash equivalents</w:t>
            </w:r>
          </w:p>
        </w:tc>
        <w:tc>
          <w:tcPr>
            <w:tcW w:w="2080" w:type="dxa"/>
            <w:vAlign w:val="bottom"/>
            <w:tcBorders>
              <w:bottom w:val="single" w:sz="8" w:color="CEFFE7"/>
            </w:tcBorders>
            <w:gridSpan w:val="2"/>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30,947</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15,420</w:t>
            </w:r>
          </w:p>
        </w:tc>
        <w:tc>
          <w:tcPr>
            <w:tcW w:w="38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11,291</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2,958</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2,820</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2,409</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Accounts receivable, net</w:t>
            </w:r>
          </w:p>
        </w:tc>
        <w:tc>
          <w:tcPr>
            <w:tcW w:w="18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257,772</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248,330</w:t>
            </w:r>
          </w:p>
        </w:tc>
        <w:tc>
          <w:tcPr>
            <w:tcW w:w="3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221,775</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Materials, supplies and fuel</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82,045</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113,283</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80,863</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Derivative assets, current</w:t>
            </w:r>
          </w:p>
        </w:tc>
        <w:tc>
          <w:tcPr>
            <w:tcW w:w="18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295</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304</w:t>
            </w:r>
          </w:p>
        </w:tc>
        <w:tc>
          <w:tcPr>
            <w:tcW w:w="3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982</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Income tax receivable, net</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13,900</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Regulatory assets, current</w:t>
            </w:r>
          </w:p>
        </w:tc>
        <w:tc>
          <w:tcPr>
            <w:tcW w:w="18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54,492</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81,016</w:t>
            </w:r>
          </w:p>
        </w:tc>
        <w:tc>
          <w:tcPr>
            <w:tcW w:w="3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53,476</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24,972</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25,367</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21,558</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Current assets held for sale</w:t>
            </w:r>
          </w:p>
        </w:tc>
        <w:tc>
          <w:tcPr>
            <w:tcW w:w="180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1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24,724</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84,242</w:t>
            </w:r>
          </w:p>
        </w:tc>
        <w:tc>
          <w:tcPr>
            <w:tcW w:w="38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9,048</w:t>
            </w:r>
          </w:p>
        </w:tc>
      </w:tr>
      <w:tr>
        <w:trPr>
          <w:trHeight w:val="237"/>
        </w:trPr>
        <w:tc>
          <w:tcPr>
            <w:tcW w:w="46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492,105</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570,782</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401,402</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40,927</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13,090</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12,712</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5,608,539</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5,567,518</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5,337,031</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Less: accumulated depreciation and depletion</w:t>
            </w:r>
          </w:p>
        </w:tc>
        <w:tc>
          <w:tcPr>
            <w:tcW w:w="180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1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(1,048,933)</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(1,026,088)</w:t>
            </w:r>
          </w:p>
        </w:tc>
        <w:tc>
          <w:tcPr>
            <w:tcW w:w="38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(928,306)</w:t>
            </w:r>
          </w:p>
        </w:tc>
      </w:tr>
      <w:tr>
        <w:trPr>
          <w:trHeight w:val="237"/>
        </w:trPr>
        <w:tc>
          <w:tcPr>
            <w:tcW w:w="4600" w:type="dxa"/>
            <w:vAlign w:val="bottom"/>
          </w:tcPr>
          <w:p>
            <w:pPr>
              <w:ind w:left="600"/>
              <w:spacing w:after="0"/>
              <w:rPr>
                <w:sz w:val="20"/>
                <w:szCs w:val="20"/>
                <w:color w:val="auto"/>
              </w:rPr>
            </w:pPr>
            <w:r>
              <w:rPr>
                <w:rFonts w:ascii="Arial" w:cs="Arial" w:eastAsia="Arial" w:hAnsi="Arial"/>
                <w:sz w:val="18"/>
                <w:szCs w:val="18"/>
                <w:color w:val="auto"/>
              </w:rPr>
              <w:t>Total property, plant and equipment, net</w:t>
            </w:r>
          </w:p>
        </w:tc>
        <w:tc>
          <w:tcPr>
            <w:tcW w:w="1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4,559,606</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4,541,430</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4,408,725</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Goodwill</w:t>
            </w:r>
          </w:p>
        </w:tc>
        <w:tc>
          <w:tcPr>
            <w:tcW w:w="18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1,299,454</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1,299,454</w:t>
            </w:r>
          </w:p>
        </w:tc>
        <w:tc>
          <w:tcPr>
            <w:tcW w:w="3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1,299,454</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7,357</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7,559</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8,182</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Regulatory assets, non-current</w:t>
            </w:r>
          </w:p>
        </w:tc>
        <w:tc>
          <w:tcPr>
            <w:tcW w:w="18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212,740</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216,438</w:t>
            </w:r>
          </w:p>
        </w:tc>
        <w:tc>
          <w:tcPr>
            <w:tcW w:w="3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249,113</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Other assets, non-current</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14,800</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10,149</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11,291</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Noncurrent assets held for sale</w:t>
            </w:r>
          </w:p>
        </w:tc>
        <w:tc>
          <w:tcPr>
            <w:tcW w:w="180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1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108,692</w:t>
            </w:r>
          </w:p>
        </w:tc>
      </w:tr>
      <w:tr>
        <w:trPr>
          <w:trHeight w:val="237"/>
        </w:trPr>
        <w:tc>
          <w:tcPr>
            <w:tcW w:w="4600" w:type="dxa"/>
            <w:vAlign w:val="bottom"/>
          </w:tcPr>
          <w:p>
            <w:pPr>
              <w:ind w:left="600"/>
              <w:spacing w:after="0"/>
              <w:rPr>
                <w:sz w:val="20"/>
                <w:szCs w:val="20"/>
                <w:color w:val="auto"/>
              </w:rPr>
            </w:pPr>
            <w:r>
              <w:rPr>
                <w:rFonts w:ascii="Arial" w:cs="Arial" w:eastAsia="Arial" w:hAnsi="Arial"/>
                <w:sz w:val="18"/>
                <w:szCs w:val="18"/>
                <w:color w:val="auto"/>
              </w:rPr>
              <w:t>Total other assets, non-current</w:t>
            </w:r>
          </w:p>
        </w:tc>
        <w:tc>
          <w:tcPr>
            <w:tcW w:w="1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1,534,351</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1,533,600</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1,676,732</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r>
      <w:tr>
        <w:trPr>
          <w:trHeight w:val="264"/>
        </w:trPr>
        <w:tc>
          <w:tcPr>
            <w:tcW w:w="46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6,626,989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6,658,902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6,499,571</w:t>
            </w:r>
          </w:p>
        </w:tc>
      </w:tr>
      <w:tr>
        <w:trPr>
          <w:trHeight w:val="20"/>
        </w:trPr>
        <w:tc>
          <w:tcPr>
            <w:tcW w:w="6400" w:type="dxa"/>
            <w:vAlign w:val="bottom"/>
            <w:gridSpan w:val="2"/>
          </w:tcPr>
          <w:p>
            <w:pPr>
              <w:spacing w:after="0" w:line="20" w:lineRule="exact"/>
              <w:rPr>
                <w:sz w:val="1"/>
                <w:szCs w:val="1"/>
                <w:color w:val="auto"/>
              </w:rPr>
            </w:pPr>
          </w:p>
        </w:tc>
        <w:tc>
          <w:tcPr>
            <w:tcW w:w="3740" w:type="dxa"/>
            <w:vAlign w:val="bottom"/>
            <w:tcBorders>
              <w:bottom w:val="single" w:sz="8" w:color="auto"/>
            </w:tcBorders>
            <w:gridSpan w:val="5"/>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67"/>
        </w:trPr>
        <w:tc>
          <w:tcPr>
            <w:tcW w:w="10140" w:type="dxa"/>
            <w:vAlign w:val="bottom"/>
            <w:gridSpan w:val="7"/>
          </w:tcPr>
          <w:p>
            <w:pPr>
              <w:jc w:val="center"/>
              <w:ind w:left="1211"/>
              <w:spacing w:after="0"/>
              <w:rPr>
                <w:sz w:val="20"/>
                <w:szCs w:val="20"/>
                <w:color w:val="auto"/>
              </w:rPr>
            </w:pPr>
            <w:r>
              <w:rPr>
                <w:rFonts w:ascii="Arial" w:cs="Arial" w:eastAsia="Arial" w:hAnsi="Arial"/>
                <w:sz w:val="14"/>
                <w:szCs w:val="14"/>
                <w:color w:val="auto"/>
                <w:w w:val="91"/>
              </w:rPr>
              <w:t>The accompanying Notes to Condensed Consolidated Financial Statements are an integral part of these Condensed Consolidated Financial Statements.</w:t>
            </w:r>
          </w:p>
        </w:tc>
        <w:tc>
          <w:tcPr>
            <w:tcW w:w="1280" w:type="dxa"/>
            <w:vAlign w:val="bottom"/>
          </w:tcPr>
          <w:p>
            <w:pPr>
              <w:spacing w:after="0"/>
              <w:rPr>
                <w:sz w:val="24"/>
                <w:szCs w:val="24"/>
                <w:color w:val="auto"/>
              </w:rPr>
            </w:pPr>
          </w:p>
        </w:tc>
      </w:tr>
      <w:tr>
        <w:trPr>
          <w:trHeight w:val="458"/>
        </w:trPr>
        <w:tc>
          <w:tcPr>
            <w:tcW w:w="4600" w:type="dxa"/>
            <w:vAlign w:val="bottom"/>
          </w:tcPr>
          <w:p>
            <w:pPr>
              <w:spacing w:after="0"/>
              <w:rPr>
                <w:sz w:val="24"/>
                <w:szCs w:val="24"/>
                <w:color w:val="auto"/>
              </w:rPr>
            </w:pP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(unaudited)</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center"/>
              <w:ind w:right="310"/>
              <w:spacing w:after="0"/>
              <w:rPr>
                <w:sz w:val="20"/>
                <w:szCs w:val="20"/>
                <w:color w:val="auto"/>
              </w:rPr>
            </w:pPr>
            <w:r>
              <w:rPr>
                <w:rFonts w:ascii="Arial" w:cs="Arial" w:eastAsia="Arial" w:hAnsi="Arial"/>
                <w:sz w:val="18"/>
                <w:szCs w:val="18"/>
                <w:color w:val="auto"/>
                <w:w w:val="92"/>
              </w:rPr>
              <w:t>As of</w:t>
            </w: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6"/>
        </w:trPr>
        <w:tc>
          <w:tcPr>
            <w:tcW w:w="6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March 31,</w:t>
            </w: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w w:val="99"/>
              </w:rPr>
              <w:t>March 31,</w:t>
            </w:r>
          </w:p>
        </w:tc>
      </w:tr>
      <w:tr>
        <w:trPr>
          <w:trHeight w:val="230"/>
        </w:trPr>
        <w:tc>
          <w:tcPr>
            <w:tcW w:w="6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9"/>
              </w:rPr>
              <w:t>December 31, 2017</w:t>
            </w:r>
          </w:p>
        </w:tc>
        <w:tc>
          <w:tcPr>
            <w:tcW w:w="40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6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gridSpan w:val="5"/>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740" w:type="dxa"/>
            <w:vAlign w:val="bottom"/>
            <w:gridSpan w:val="5"/>
          </w:tcPr>
          <w:p>
            <w:pPr>
              <w:jc w:val="center"/>
              <w:ind w:right="150"/>
              <w:spacing w:after="0"/>
              <w:rPr>
                <w:sz w:val="20"/>
                <w:szCs w:val="20"/>
                <w:color w:val="auto"/>
              </w:rPr>
            </w:pPr>
            <w:r>
              <w:rPr>
                <w:rFonts w:ascii="Arial" w:cs="Arial" w:eastAsia="Arial" w:hAnsi="Arial"/>
                <w:sz w:val="18"/>
                <w:szCs w:val="18"/>
                <w:color w:val="auto"/>
                <w:w w:val="88"/>
              </w:rPr>
              <w:t>(in thousands, except share amounts)</w:t>
            </w:r>
          </w:p>
        </w:tc>
      </w:tr>
      <w:tr>
        <w:trPr>
          <w:trHeight w:val="270"/>
        </w:trPr>
        <w:tc>
          <w:tcPr>
            <w:tcW w:w="6360" w:type="dxa"/>
            <w:vAlign w:val="bottom"/>
          </w:tcPr>
          <w:p>
            <w:pPr>
              <w:ind w:left="1700"/>
              <w:spacing w:after="0"/>
              <w:rPr>
                <w:sz w:val="20"/>
                <w:szCs w:val="20"/>
                <w:color w:val="auto"/>
              </w:rPr>
            </w:pPr>
            <w:r>
              <w:rPr>
                <w:rFonts w:ascii="Arial" w:cs="Arial" w:eastAsia="Arial" w:hAnsi="Arial"/>
                <w:sz w:val="18"/>
                <w:szCs w:val="18"/>
                <w:b w:val="1"/>
                <w:bCs w:val="1"/>
                <w:color w:val="auto"/>
              </w:rPr>
              <w:t>LIABILITIES AND TOTAL EQUITY</w:t>
            </w: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106,281</w:t>
            </w:r>
          </w:p>
        </w:tc>
        <w:tc>
          <w:tcPr>
            <w:tcW w:w="42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160,887</w:t>
            </w:r>
          </w:p>
        </w:tc>
        <w:tc>
          <w:tcPr>
            <w:tcW w:w="40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104,375</w:t>
            </w: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194,040</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219,462</w:t>
            </w:r>
          </w:p>
        </w:tc>
        <w:tc>
          <w:tcPr>
            <w:tcW w:w="4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196,576</w:t>
            </w: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Derivative liabilities, current</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891</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2,081</w:t>
            </w:r>
          </w:p>
        </w:tc>
        <w:tc>
          <w:tcPr>
            <w:tcW w:w="4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75</w:t>
            </w: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Accrued income taxes, net</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1,022</w:t>
            </w:r>
          </w:p>
        </w:tc>
        <w:tc>
          <w:tcPr>
            <w:tcW w:w="4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3,726</w:t>
            </w: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Regulatory liabilities, current</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42,499</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6,832</w:t>
            </w:r>
          </w:p>
        </w:tc>
        <w:tc>
          <w:tcPr>
            <w:tcW w:w="4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22,118</w:t>
            </w: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164,200</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211,300</w:t>
            </w:r>
          </w:p>
        </w:tc>
        <w:tc>
          <w:tcPr>
            <w:tcW w:w="4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50,950</w:t>
            </w: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255,743</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5,743</w:t>
            </w:r>
          </w:p>
        </w:tc>
        <w:tc>
          <w:tcPr>
            <w:tcW w:w="4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5,743</w:t>
            </w: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Current liabilities held for sale</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24,910</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41,774</w:t>
            </w:r>
          </w:p>
        </w:tc>
        <w:tc>
          <w:tcPr>
            <w:tcW w:w="4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7,979</w:t>
            </w:r>
          </w:p>
        </w:tc>
      </w:tr>
      <w:tr>
        <w:trPr>
          <w:trHeight w:val="27"/>
        </w:trPr>
        <w:tc>
          <w:tcPr>
            <w:tcW w:w="63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360" w:type="dxa"/>
            <w:vAlign w:val="bottom"/>
            <w:tcBorders>
              <w:bottom w:val="single" w:sz="8" w:color="CEFFE7"/>
            </w:tcBorders>
            <w:shd w:val="clear" w:color="auto" w:fill="CEFFE7"/>
          </w:tcPr>
          <w:p>
            <w:pPr>
              <w:ind w:left="5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EFFE7"/>
            </w:tcBorders>
            <w:shd w:val="clear" w:color="auto" w:fill="CEFFE7"/>
          </w:tcPr>
          <w:p>
            <w:pPr>
              <w:spacing w:after="0"/>
              <w:rPr>
                <w:sz w:val="22"/>
                <w:szCs w:val="22"/>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788,564</w:t>
            </w:r>
          </w:p>
        </w:tc>
        <w:tc>
          <w:tcPr>
            <w:tcW w:w="420" w:type="dxa"/>
            <w:vAlign w:val="bottom"/>
            <w:tcBorders>
              <w:bottom w:val="single" w:sz="8" w:color="CEFFE7"/>
            </w:tcBorders>
            <w:shd w:val="clear" w:color="auto" w:fill="CEFFE7"/>
          </w:tcPr>
          <w:p>
            <w:pPr>
              <w:spacing w:after="0"/>
              <w:rPr>
                <w:sz w:val="22"/>
                <w:szCs w:val="22"/>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649,101</w:t>
            </w:r>
          </w:p>
        </w:tc>
        <w:tc>
          <w:tcPr>
            <w:tcW w:w="400" w:type="dxa"/>
            <w:vAlign w:val="bottom"/>
            <w:tcBorders>
              <w:bottom w:val="single" w:sz="8" w:color="CEFFE7"/>
            </w:tcBorders>
            <w:shd w:val="clear" w:color="auto" w:fill="CEFFE7"/>
          </w:tcPr>
          <w:p>
            <w:pPr>
              <w:spacing w:after="0"/>
              <w:rPr>
                <w:sz w:val="22"/>
                <w:szCs w:val="22"/>
                <w:color w:val="auto"/>
              </w:rPr>
            </w:pPr>
          </w:p>
        </w:tc>
        <w:tc>
          <w:tcPr>
            <w:tcW w:w="1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391,542</w:t>
            </w:r>
          </w:p>
        </w:tc>
      </w:tr>
      <w:tr>
        <w:trPr>
          <w:trHeight w:val="291"/>
        </w:trPr>
        <w:tc>
          <w:tcPr>
            <w:tcW w:w="63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70"/>
        </w:trPr>
        <w:tc>
          <w:tcPr>
            <w:tcW w:w="6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2,858,787</w:t>
            </w:r>
          </w:p>
        </w:tc>
        <w:tc>
          <w:tcPr>
            <w:tcW w:w="42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3,109,400</w:t>
            </w:r>
          </w:p>
        </w:tc>
        <w:tc>
          <w:tcPr>
            <w:tcW w:w="40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3,210,730</w:t>
            </w:r>
          </w:p>
        </w:tc>
      </w:tr>
      <w:tr>
        <w:trPr>
          <w:trHeight w:val="291"/>
        </w:trPr>
        <w:tc>
          <w:tcPr>
            <w:tcW w:w="63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6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Deferred credits and other liabilities:</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Deferred income tax liabilities, net</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290,491</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336,520</w:t>
            </w:r>
          </w:p>
        </w:tc>
        <w:tc>
          <w:tcPr>
            <w:tcW w:w="4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600,933</w:t>
            </w: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Regulatory liabilities, non-current</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495,362</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478,294</w:t>
            </w:r>
          </w:p>
        </w:tc>
        <w:tc>
          <w:tcPr>
            <w:tcW w:w="4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196,538</w:t>
            </w: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Benefit plan liabilities</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160,580</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159,646</w:t>
            </w:r>
          </w:p>
        </w:tc>
        <w:tc>
          <w:tcPr>
            <w:tcW w:w="4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174,827</w:t>
            </w: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Other deferred credits and other liabilities</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105,221</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105,735</w:t>
            </w:r>
          </w:p>
        </w:tc>
        <w:tc>
          <w:tcPr>
            <w:tcW w:w="4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112,828</w:t>
            </w: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Non-current liabilities held for sale</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23,195</w:t>
            </w:r>
          </w:p>
        </w:tc>
      </w:tr>
      <w:tr>
        <w:trPr>
          <w:trHeight w:val="27"/>
        </w:trPr>
        <w:tc>
          <w:tcPr>
            <w:tcW w:w="63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360" w:type="dxa"/>
            <w:vAlign w:val="bottom"/>
            <w:tcBorders>
              <w:bottom w:val="single" w:sz="8" w:color="CEFFE7"/>
            </w:tcBorders>
            <w:shd w:val="clear" w:color="auto" w:fill="CEFFE7"/>
          </w:tcPr>
          <w:p>
            <w:pPr>
              <w:ind w:left="580"/>
              <w:spacing w:after="0"/>
              <w:rPr>
                <w:sz w:val="20"/>
                <w:szCs w:val="20"/>
                <w:color w:val="auto"/>
              </w:rPr>
            </w:pPr>
            <w:r>
              <w:rPr>
                <w:rFonts w:ascii="Arial" w:cs="Arial" w:eastAsia="Arial" w:hAnsi="Arial"/>
                <w:sz w:val="18"/>
                <w:szCs w:val="18"/>
                <w:color w:val="auto"/>
              </w:rPr>
              <w:t>Total deferred credits and other liabilities</w:t>
            </w:r>
          </w:p>
        </w:tc>
        <w:tc>
          <w:tcPr>
            <w:tcW w:w="260" w:type="dxa"/>
            <w:vAlign w:val="bottom"/>
            <w:tcBorders>
              <w:bottom w:val="single" w:sz="8" w:color="CEFFE7"/>
            </w:tcBorders>
            <w:shd w:val="clear" w:color="auto" w:fill="CEFFE7"/>
          </w:tcPr>
          <w:p>
            <w:pPr>
              <w:spacing w:after="0"/>
              <w:rPr>
                <w:sz w:val="22"/>
                <w:szCs w:val="22"/>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1,051,654</w:t>
            </w:r>
          </w:p>
        </w:tc>
        <w:tc>
          <w:tcPr>
            <w:tcW w:w="420" w:type="dxa"/>
            <w:vAlign w:val="bottom"/>
            <w:tcBorders>
              <w:bottom w:val="single" w:sz="8" w:color="CEFFE7"/>
            </w:tcBorders>
            <w:shd w:val="clear" w:color="auto" w:fill="CEFFE7"/>
          </w:tcPr>
          <w:p>
            <w:pPr>
              <w:spacing w:after="0"/>
              <w:rPr>
                <w:sz w:val="22"/>
                <w:szCs w:val="22"/>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1,080,195</w:t>
            </w:r>
          </w:p>
        </w:tc>
        <w:tc>
          <w:tcPr>
            <w:tcW w:w="400" w:type="dxa"/>
            <w:vAlign w:val="bottom"/>
            <w:tcBorders>
              <w:bottom w:val="single" w:sz="8" w:color="CEFFE7"/>
            </w:tcBorders>
            <w:shd w:val="clear" w:color="auto" w:fill="CEFFE7"/>
          </w:tcPr>
          <w:p>
            <w:pPr>
              <w:spacing w:after="0"/>
              <w:rPr>
                <w:sz w:val="22"/>
                <w:szCs w:val="22"/>
                <w:color w:val="auto"/>
              </w:rPr>
            </w:pPr>
          </w:p>
        </w:tc>
        <w:tc>
          <w:tcPr>
            <w:tcW w:w="1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1,108,321</w:t>
            </w:r>
          </w:p>
        </w:tc>
      </w:tr>
      <w:tr>
        <w:trPr>
          <w:trHeight w:val="291"/>
        </w:trPr>
        <w:tc>
          <w:tcPr>
            <w:tcW w:w="63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6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Commitments and contingencies (See Notes 9, 11, 16, 17)</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r>
      <w:tr>
        <w:trPr>
          <w:trHeight w:val="297"/>
        </w:trPr>
        <w:tc>
          <w:tcPr>
            <w:tcW w:w="6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Stockholders’ equity —</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6360" w:type="dxa"/>
            <w:vAlign w:val="bottom"/>
            <w:shd w:val="clear" w:color="auto" w:fill="CEFFE7"/>
          </w:tcPr>
          <w:p>
            <w:pPr>
              <w:ind w:left="260"/>
              <w:spacing w:after="0"/>
              <w:rPr>
                <w:sz w:val="20"/>
                <w:szCs w:val="20"/>
                <w:color w:val="auto"/>
              </w:rPr>
            </w:pPr>
            <w:r>
              <w:rPr>
                <w:rFonts w:ascii="Arial" w:cs="Arial" w:eastAsia="Arial" w:hAnsi="Arial"/>
                <w:sz w:val="18"/>
                <w:szCs w:val="18"/>
                <w:color w:val="auto"/>
                <w:w w:val="94"/>
              </w:rPr>
              <w:t>Common stock $1 par value; 100,000,000 shares authorized; issued 53,648,817;</w:t>
            </w:r>
          </w:p>
        </w:tc>
        <w:tc>
          <w:tcPr>
            <w:tcW w:w="260" w:type="dxa"/>
            <w:vAlign w:val="bottom"/>
            <w:shd w:val="clear" w:color="auto" w:fill="CEFFE7"/>
          </w:tcPr>
          <w:p>
            <w:pPr>
              <w:spacing w:after="0"/>
              <w:rPr>
                <w:sz w:val="19"/>
                <w:szCs w:val="19"/>
                <w:color w:val="auto"/>
              </w:rPr>
            </w:pPr>
          </w:p>
        </w:tc>
        <w:tc>
          <w:tcPr>
            <w:tcW w:w="1400" w:type="dxa"/>
            <w:vAlign w:val="bottom"/>
            <w:shd w:val="clear" w:color="auto" w:fill="CEFFE7"/>
          </w:tcPr>
          <w:p>
            <w:pPr>
              <w:spacing w:after="0"/>
              <w:rPr>
                <w:sz w:val="19"/>
                <w:szCs w:val="19"/>
                <w:color w:val="auto"/>
              </w:rPr>
            </w:pPr>
          </w:p>
        </w:tc>
        <w:tc>
          <w:tcPr>
            <w:tcW w:w="420" w:type="dxa"/>
            <w:vAlign w:val="bottom"/>
            <w:shd w:val="clear" w:color="auto" w:fill="CEFFE7"/>
          </w:tcPr>
          <w:p>
            <w:pPr>
              <w:spacing w:after="0"/>
              <w:rPr>
                <w:sz w:val="19"/>
                <w:szCs w:val="19"/>
                <w:color w:val="auto"/>
              </w:rPr>
            </w:pPr>
          </w:p>
        </w:tc>
        <w:tc>
          <w:tcPr>
            <w:tcW w:w="126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260" w:type="dxa"/>
            <w:vAlign w:val="bottom"/>
            <w:shd w:val="clear" w:color="auto" w:fill="CEFFE7"/>
          </w:tcPr>
          <w:p>
            <w:pPr>
              <w:spacing w:after="0"/>
              <w:rPr>
                <w:sz w:val="19"/>
                <w:szCs w:val="19"/>
                <w:color w:val="auto"/>
              </w:rPr>
            </w:pPr>
          </w:p>
        </w:tc>
      </w:tr>
      <w:tr>
        <w:trPr>
          <w:trHeight w:val="237"/>
        </w:trPr>
        <w:tc>
          <w:tcPr>
            <w:tcW w:w="63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53,579,986; and 53,502,252 shares, respectively</w:t>
            </w:r>
          </w:p>
        </w:tc>
        <w:tc>
          <w:tcPr>
            <w:tcW w:w="260" w:type="dxa"/>
            <w:vAlign w:val="bottom"/>
            <w:tcBorders>
              <w:bottom w:val="single" w:sz="8" w:color="CEFFE7"/>
            </w:tcBorders>
            <w:shd w:val="clear" w:color="auto" w:fill="CEFFE7"/>
          </w:tcPr>
          <w:p>
            <w:pPr>
              <w:spacing w:after="0"/>
              <w:rPr>
                <w:sz w:val="20"/>
                <w:szCs w:val="20"/>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53,649</w:t>
            </w:r>
          </w:p>
        </w:tc>
        <w:tc>
          <w:tcPr>
            <w:tcW w:w="420" w:type="dxa"/>
            <w:vAlign w:val="bottom"/>
            <w:tcBorders>
              <w:bottom w:val="single" w:sz="8" w:color="CEFFE7"/>
            </w:tcBorders>
            <w:shd w:val="clear" w:color="auto" w:fill="CEFFE7"/>
          </w:tcPr>
          <w:p>
            <w:pPr>
              <w:spacing w:after="0"/>
              <w:rPr>
                <w:sz w:val="20"/>
                <w:szCs w:val="20"/>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53,580</w:t>
            </w:r>
          </w:p>
        </w:tc>
        <w:tc>
          <w:tcPr>
            <w:tcW w:w="400" w:type="dxa"/>
            <w:vAlign w:val="bottom"/>
            <w:tcBorders>
              <w:bottom w:val="single" w:sz="8" w:color="CEFFE7"/>
            </w:tcBorders>
            <w:shd w:val="clear" w:color="auto" w:fill="CEFFE7"/>
          </w:tcPr>
          <w:p>
            <w:pPr>
              <w:spacing w:after="0"/>
              <w:rPr>
                <w:sz w:val="20"/>
                <w:szCs w:val="20"/>
                <w:color w:val="auto"/>
              </w:rPr>
            </w:pPr>
          </w:p>
        </w:tc>
        <w:tc>
          <w:tcPr>
            <w:tcW w:w="1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53,502</w:t>
            </w:r>
          </w:p>
        </w:tc>
      </w:tr>
      <w:tr>
        <w:trPr>
          <w:trHeight w:val="243"/>
        </w:trPr>
        <w:tc>
          <w:tcPr>
            <w:tcW w:w="63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1,151,933</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1,150,285</w:t>
            </w:r>
          </w:p>
        </w:tc>
        <w:tc>
          <w:tcPr>
            <w:tcW w:w="4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1,143,102</w:t>
            </w: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656,161</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548,617</w:t>
            </w:r>
          </w:p>
        </w:tc>
        <w:tc>
          <w:tcPr>
            <w:tcW w:w="4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513,885</w:t>
            </w:r>
          </w:p>
        </w:tc>
      </w:tr>
      <w:tr>
        <w:trPr>
          <w:trHeight w:val="243"/>
        </w:trPr>
        <w:tc>
          <w:tcPr>
            <w:tcW w:w="6360" w:type="dxa"/>
            <w:vAlign w:val="bottom"/>
          </w:tcPr>
          <w:p>
            <w:pPr>
              <w:ind w:left="260"/>
              <w:spacing w:after="0"/>
              <w:rPr>
                <w:sz w:val="20"/>
                <w:szCs w:val="20"/>
                <w:color w:val="auto"/>
              </w:rPr>
            </w:pPr>
            <w:r>
              <w:rPr>
                <w:rFonts w:ascii="Arial" w:cs="Arial" w:eastAsia="Arial" w:hAnsi="Arial"/>
                <w:sz w:val="18"/>
                <w:szCs w:val="18"/>
                <w:color w:val="auto"/>
              </w:rPr>
              <w:t>Treasury stock, at cost – 53,959; 39,064; and 41,443 shares, respectively</w:t>
            </w:r>
          </w:p>
        </w:tc>
        <w:tc>
          <w:tcPr>
            <w:tcW w:w="2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(3,049)</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(2,306)</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(2,443)</w:t>
            </w: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3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(39,924)</w:t>
            </w:r>
          </w:p>
        </w:tc>
        <w:tc>
          <w:tcPr>
            <w:tcW w:w="42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(41,202)</w:t>
            </w:r>
          </w:p>
        </w:tc>
        <w:tc>
          <w:tcPr>
            <w:tcW w:w="40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(33,730)</w:t>
            </w:r>
          </w:p>
        </w:tc>
      </w:tr>
      <w:tr>
        <w:trPr>
          <w:trHeight w:val="237"/>
        </w:trPr>
        <w:tc>
          <w:tcPr>
            <w:tcW w:w="6360" w:type="dxa"/>
            <w:vAlign w:val="bottom"/>
          </w:tcPr>
          <w:p>
            <w:pPr>
              <w:ind w:left="6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1,818,770</w:t>
            </w: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1,708,974</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1,674,316</w:t>
            </w: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109,214</w:t>
            </w:r>
          </w:p>
        </w:tc>
        <w:tc>
          <w:tcPr>
            <w:tcW w:w="42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111,232</w:t>
            </w:r>
          </w:p>
        </w:tc>
        <w:tc>
          <w:tcPr>
            <w:tcW w:w="40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114,662</w:t>
            </w:r>
          </w:p>
        </w:tc>
      </w:tr>
      <w:tr>
        <w:trPr>
          <w:trHeight w:val="237"/>
        </w:trPr>
        <w:tc>
          <w:tcPr>
            <w:tcW w:w="6360" w:type="dxa"/>
            <w:vAlign w:val="bottom"/>
          </w:tcPr>
          <w:p>
            <w:pPr>
              <w:ind w:left="62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1,927,984</w:t>
            </w: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1,820,206</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1,788,978</w:t>
            </w:r>
          </w:p>
        </w:tc>
      </w:tr>
      <w:tr>
        <w:trPr>
          <w:trHeight w:val="27"/>
        </w:trPr>
        <w:tc>
          <w:tcPr>
            <w:tcW w:w="63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3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40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r>
      <w:tr>
        <w:trPr>
          <w:trHeight w:val="264"/>
        </w:trPr>
        <w:tc>
          <w:tcPr>
            <w:tcW w:w="6360" w:type="dxa"/>
            <w:vAlign w:val="bottom"/>
          </w:tcPr>
          <w:p>
            <w:pPr>
              <w:ind w:left="20"/>
              <w:spacing w:after="0"/>
              <w:rPr>
                <w:sz w:val="20"/>
                <w:szCs w:val="20"/>
                <w:color w:val="auto"/>
              </w:rPr>
            </w:pPr>
            <w:r>
              <w:rPr>
                <w:rFonts w:ascii="Arial" w:cs="Arial" w:eastAsia="Arial" w:hAnsi="Arial"/>
                <w:sz w:val="18"/>
                <w:szCs w:val="18"/>
                <w:color w:val="auto"/>
              </w:rPr>
              <w:t>TOTAL LIABILITIES AND TOTAL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6,626,989</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6,658,902</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6,499,571</w:t>
            </w:r>
          </w:p>
        </w:tc>
      </w:tr>
      <w:tr>
        <w:trPr>
          <w:trHeight w:val="20"/>
        </w:trPr>
        <w:tc>
          <w:tcPr>
            <w:tcW w:w="6360" w:type="dxa"/>
            <w:vAlign w:val="bottom"/>
          </w:tcPr>
          <w:p>
            <w:pPr>
              <w:spacing w:after="0" w:line="20" w:lineRule="exact"/>
              <w:rPr>
                <w:sz w:val="1"/>
                <w:szCs w:val="1"/>
                <w:color w:val="auto"/>
              </w:rPr>
            </w:pPr>
          </w:p>
        </w:tc>
        <w:tc>
          <w:tcPr>
            <w:tcW w:w="3740" w:type="dxa"/>
            <w:vAlign w:val="bottom"/>
            <w:tcBorders>
              <w:bottom w:val="single" w:sz="8" w:color="auto"/>
            </w:tcBorders>
            <w:gridSpan w:val="5"/>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67"/>
        </w:trPr>
        <w:tc>
          <w:tcPr>
            <w:tcW w:w="10100" w:type="dxa"/>
            <w:vAlign w:val="bottom"/>
            <w:gridSpan w:val="6"/>
          </w:tcPr>
          <w:p>
            <w:pPr>
              <w:ind w:left="1340"/>
              <w:spacing w:after="0"/>
              <w:rPr>
                <w:sz w:val="20"/>
                <w:szCs w:val="20"/>
                <w:color w:val="auto"/>
              </w:rPr>
            </w:pPr>
            <w:r>
              <w:rPr>
                <w:rFonts w:ascii="Arial" w:cs="Arial" w:eastAsia="Arial" w:hAnsi="Arial"/>
                <w:sz w:val="14"/>
                <w:szCs w:val="14"/>
                <w:color w:val="auto"/>
                <w:w w:val="92"/>
              </w:rPr>
              <w:t>The accompanying Notes to Condensed Consolidated Financial Statements are an integral part of these Condensed Consolidated Financial Statements.</w:t>
            </w:r>
          </w:p>
        </w:tc>
        <w:tc>
          <w:tcPr>
            <w:tcW w:w="1260" w:type="dxa"/>
            <w:vAlign w:val="bottom"/>
          </w:tcPr>
          <w:p>
            <w:pPr>
              <w:spacing w:after="0"/>
              <w:rPr>
                <w:sz w:val="24"/>
                <w:szCs w:val="24"/>
                <w:color w:val="auto"/>
              </w:rPr>
            </w:pPr>
          </w:p>
        </w:tc>
      </w:tr>
      <w:tr>
        <w:trPr>
          <w:trHeight w:val="458"/>
        </w:trPr>
        <w:tc>
          <w:tcPr>
            <w:tcW w:w="6360" w:type="dxa"/>
            <w:vAlign w:val="bottom"/>
          </w:tcPr>
          <w:p>
            <w:pPr>
              <w:ind w:left="562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60" w:type="dxa"/>
            <w:vAlign w:val="bottom"/>
          </w:tcPr>
          <w:p>
            <w:pPr>
              <w:ind w:left="40"/>
              <w:spacing w:after="0"/>
              <w:rPr>
                <w:sz w:val="20"/>
                <w:szCs w:val="20"/>
                <w:color w:val="auto"/>
              </w:rPr>
            </w:pPr>
            <w:r>
              <w:rPr>
                <w:rFonts w:ascii="Arial" w:cs="Arial" w:eastAsia="Arial" w:hAnsi="Arial"/>
                <w:sz w:val="14"/>
                <w:szCs w:val="14"/>
                <w:color w:val="auto"/>
              </w:rPr>
              <w:t>(unaudited)</w:t>
            </w:r>
          </w:p>
        </w:tc>
        <w:tc>
          <w:tcPr>
            <w:tcW w:w="340" w:type="dxa"/>
            <w:vAlign w:val="bottom"/>
          </w:tcPr>
          <w:p>
            <w:pPr>
              <w:spacing w:after="0"/>
              <w:rPr>
                <w:sz w:val="15"/>
                <w:szCs w:val="15"/>
                <w:color w:val="auto"/>
              </w:rPr>
            </w:pPr>
          </w:p>
        </w:tc>
        <w:tc>
          <w:tcPr>
            <w:tcW w:w="2620" w:type="dxa"/>
            <w:vAlign w:val="bottom"/>
            <w:gridSpan w:val="3"/>
          </w:tcPr>
          <w:p>
            <w:pPr>
              <w:jc w:val="center"/>
              <w:ind w:right="228"/>
              <w:spacing w:after="0"/>
              <w:rPr>
                <w:sz w:val="20"/>
                <w:szCs w:val="20"/>
                <w:color w:val="auto"/>
              </w:rPr>
            </w:pPr>
            <w:r>
              <w:rPr>
                <w:rFonts w:ascii="Arial" w:cs="Arial" w:eastAsia="Arial" w:hAnsi="Arial"/>
                <w:sz w:val="14"/>
                <w:szCs w:val="14"/>
                <w:color w:val="auto"/>
                <w:w w:val="93"/>
              </w:rPr>
              <w:t>Three Months Ended March 31,</w:t>
            </w:r>
          </w:p>
        </w:tc>
      </w:tr>
      <w:tr>
        <w:trPr>
          <w:trHeight w:val="276"/>
        </w:trPr>
        <w:tc>
          <w:tcPr>
            <w:tcW w:w="84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2017</w:t>
            </w:r>
          </w:p>
        </w:tc>
      </w:tr>
      <w:tr>
        <w:trPr>
          <w:trHeight w:val="196"/>
        </w:trPr>
        <w:tc>
          <w:tcPr>
            <w:tcW w:w="8460" w:type="dxa"/>
            <w:vAlign w:val="bottom"/>
          </w:tcPr>
          <w:p>
            <w:pPr>
              <w:ind w:left="40"/>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spacing w:after="0"/>
              <w:rPr>
                <w:sz w:val="17"/>
                <w:szCs w:val="17"/>
                <w:color w:val="auto"/>
              </w:rPr>
            </w:pPr>
          </w:p>
        </w:tc>
        <w:tc>
          <w:tcPr>
            <w:tcW w:w="1660" w:type="dxa"/>
            <w:vAlign w:val="bottom"/>
            <w:gridSpan w:val="2"/>
          </w:tcPr>
          <w:p>
            <w:pPr>
              <w:jc w:val="center"/>
              <w:ind w:left="568"/>
              <w:spacing w:after="0"/>
              <w:rPr>
                <w:sz w:val="20"/>
                <w:szCs w:val="20"/>
                <w:color w:val="auto"/>
              </w:rPr>
            </w:pPr>
            <w:r>
              <w:rPr>
                <w:rFonts w:ascii="Arial" w:cs="Arial" w:eastAsia="Arial" w:hAnsi="Arial"/>
                <w:sz w:val="14"/>
                <w:szCs w:val="14"/>
                <w:color w:val="auto"/>
                <w:w w:val="92"/>
              </w:rPr>
              <w:t>(in thousands)</w:t>
            </w:r>
          </w:p>
        </w:tc>
        <w:tc>
          <w:tcPr>
            <w:tcW w:w="960" w:type="dxa"/>
            <w:vAlign w:val="bottom"/>
          </w:tcPr>
          <w:p>
            <w:pPr>
              <w:spacing w:after="0"/>
              <w:rPr>
                <w:sz w:val="17"/>
                <w:szCs w:val="17"/>
                <w:color w:val="auto"/>
              </w:rPr>
            </w:pPr>
          </w:p>
        </w:tc>
      </w:tr>
      <w:tr>
        <w:trPr>
          <w:trHeight w:val="222"/>
        </w:trPr>
        <w:tc>
          <w:tcPr>
            <w:tcW w:w="8460" w:type="dxa"/>
            <w:vAlign w:val="bottom"/>
            <w:shd w:val="clear" w:color="auto" w:fill="CEFFE7"/>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EFFE7"/>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136,634</w:t>
            </w:r>
          </w:p>
        </w:tc>
        <w:tc>
          <w:tcPr>
            <w:tcW w:w="520" w:type="dxa"/>
            <w:vAlign w:val="bottom"/>
            <w:shd w:val="clear" w:color="auto" w:fill="CEFFE7"/>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80,146</w:t>
            </w:r>
          </w:p>
        </w:tc>
      </w:tr>
      <w:tr>
        <w:trPr>
          <w:trHeight w:val="210"/>
        </w:trPr>
        <w:tc>
          <w:tcPr>
            <w:tcW w:w="846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2,343</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1,569</w:t>
            </w:r>
          </w:p>
        </w:tc>
      </w:tr>
      <w:tr>
        <w:trPr>
          <w:trHeight w:val="216"/>
        </w:trPr>
        <w:tc>
          <w:tcPr>
            <w:tcW w:w="8460" w:type="dxa"/>
            <w:vAlign w:val="bottom"/>
            <w:shd w:val="clear" w:color="auto" w:fill="CEFFE7"/>
          </w:tcPr>
          <w:p>
            <w:pPr>
              <w:ind w:left="40"/>
              <w:spacing w:after="0"/>
              <w:rPr>
                <w:sz w:val="20"/>
                <w:szCs w:val="20"/>
                <w:color w:val="auto"/>
              </w:rPr>
            </w:pPr>
            <w:r>
              <w:rPr>
                <w:rFonts w:ascii="Arial" w:cs="Arial" w:eastAsia="Arial" w:hAnsi="Arial"/>
                <w:sz w:val="14"/>
                <w:szCs w:val="14"/>
                <w:color w:val="auto"/>
              </w:rPr>
              <w:t>Income (loss) from continuing operations</w:t>
            </w:r>
          </w:p>
        </w:tc>
        <w:tc>
          <w:tcPr>
            <w:tcW w:w="340" w:type="dxa"/>
            <w:vAlign w:val="bottom"/>
            <w:shd w:val="clear" w:color="auto" w:fill="CEFFE7"/>
          </w:tcPr>
          <w:p>
            <w:pPr>
              <w:spacing w:after="0"/>
              <w:rPr>
                <w:sz w:val="18"/>
                <w:szCs w:val="18"/>
                <w:color w:val="auto"/>
              </w:rPr>
            </w:pPr>
          </w:p>
        </w:tc>
        <w:tc>
          <w:tcPr>
            <w:tcW w:w="11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138,977</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81,715</w:t>
            </w:r>
          </w:p>
        </w:tc>
      </w:tr>
      <w:tr>
        <w:trPr>
          <w:trHeight w:val="264"/>
        </w:trPr>
        <w:tc>
          <w:tcPr>
            <w:tcW w:w="8460" w:type="dxa"/>
            <w:vAlign w:val="bottom"/>
          </w:tcPr>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340" w:type="dxa"/>
            <w:vAlign w:val="bottom"/>
            <w:shd w:val="clear" w:color="auto" w:fill="CEFFE7"/>
          </w:tcPr>
          <w:p>
            <w:pPr>
              <w:spacing w:after="0"/>
              <w:rPr>
                <w:sz w:val="19"/>
                <w:szCs w:val="19"/>
                <w:color w:val="auto"/>
              </w:rPr>
            </w:pPr>
          </w:p>
        </w:tc>
        <w:tc>
          <w:tcPr>
            <w:tcW w:w="11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48,590</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46,702</w:t>
            </w: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Deferred financing cost amortization</w:t>
            </w:r>
          </w:p>
        </w:tc>
        <w:tc>
          <w:tcPr>
            <w:tcW w:w="3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1,900</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1,690</w:t>
            </w: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Stock compensation</w:t>
            </w:r>
          </w:p>
        </w:tc>
        <w:tc>
          <w:tcPr>
            <w:tcW w:w="340" w:type="dxa"/>
            <w:vAlign w:val="bottom"/>
            <w:shd w:val="clear" w:color="auto" w:fill="CEFFE7"/>
          </w:tcPr>
          <w:p>
            <w:pPr>
              <w:spacing w:after="0"/>
              <w:rPr>
                <w:sz w:val="19"/>
                <w:szCs w:val="19"/>
                <w:color w:val="auto"/>
              </w:rPr>
            </w:pPr>
          </w:p>
        </w:tc>
        <w:tc>
          <w:tcPr>
            <w:tcW w:w="11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2,209</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3,091</w:t>
            </w: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(25,430)</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41,213</w:t>
            </w: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Employee benefit plans</w:t>
            </w:r>
          </w:p>
        </w:tc>
        <w:tc>
          <w:tcPr>
            <w:tcW w:w="340" w:type="dxa"/>
            <w:vAlign w:val="bottom"/>
            <w:shd w:val="clear" w:color="auto" w:fill="CEFFE7"/>
          </w:tcPr>
          <w:p>
            <w:pPr>
              <w:spacing w:after="0"/>
              <w:rPr>
                <w:sz w:val="19"/>
                <w:szCs w:val="19"/>
                <w:color w:val="auto"/>
              </w:rPr>
            </w:pPr>
          </w:p>
        </w:tc>
        <w:tc>
          <w:tcPr>
            <w:tcW w:w="11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3,378</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3,242</w:t>
            </w: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Other adjustments, net</w:t>
            </w:r>
          </w:p>
        </w:tc>
        <w:tc>
          <w:tcPr>
            <w:tcW w:w="3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3,053</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(2,303)</w:t>
            </w:r>
          </w:p>
        </w:tc>
      </w:tr>
      <w:tr>
        <w:trPr>
          <w:trHeight w:val="276"/>
        </w:trPr>
        <w:tc>
          <w:tcPr>
            <w:tcW w:w="8460" w:type="dxa"/>
            <w:vAlign w:val="bottom"/>
            <w:shd w:val="clear" w:color="auto" w:fill="CEFFE7"/>
          </w:tcPr>
          <w:p>
            <w:pPr>
              <w:ind w:left="240"/>
              <w:spacing w:after="0"/>
              <w:rPr>
                <w:sz w:val="20"/>
                <w:szCs w:val="20"/>
                <w:color w:val="auto"/>
              </w:rPr>
            </w:pPr>
            <w:r>
              <w:rPr>
                <w:rFonts w:ascii="Arial" w:cs="Arial" w:eastAsia="Arial" w:hAnsi="Arial"/>
                <w:sz w:val="14"/>
                <w:szCs w:val="14"/>
                <w:color w:val="auto"/>
              </w:rPr>
              <w:t>Changes in certain operating assets and liabilities:</w:t>
            </w:r>
          </w:p>
        </w:tc>
        <w:tc>
          <w:tcPr>
            <w:tcW w:w="34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Materials, supplies and fuel</w:t>
            </w:r>
          </w:p>
        </w:tc>
        <w:tc>
          <w:tcPr>
            <w:tcW w:w="3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31,196</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22,461</w:t>
            </w: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Accounts receivable, unbilled revenues and other operating assets</w:t>
            </w:r>
          </w:p>
        </w:tc>
        <w:tc>
          <w:tcPr>
            <w:tcW w:w="34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(25,113)</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38,746</w:t>
            </w:r>
          </w:p>
        </w:tc>
      </w:tr>
      <w:tr>
        <w:trPr>
          <w:trHeight w:val="197"/>
        </w:trPr>
        <w:tc>
          <w:tcPr>
            <w:tcW w:w="8460" w:type="dxa"/>
            <w:vAlign w:val="bottom"/>
          </w:tcPr>
          <w:p>
            <w:pPr>
              <w:ind w:left="380"/>
              <w:spacing w:after="0"/>
              <w:rPr>
                <w:sz w:val="20"/>
                <w:szCs w:val="20"/>
                <w:color w:val="auto"/>
              </w:rPr>
            </w:pPr>
            <w:r>
              <w:rPr>
                <w:rFonts w:ascii="Arial" w:cs="Arial" w:eastAsia="Arial" w:hAnsi="Arial"/>
                <w:sz w:val="14"/>
                <w:szCs w:val="14"/>
                <w:color w:val="auto"/>
              </w:rPr>
              <w:t>Accounts payable and other operating liabilities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(71,149)</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(98,559)</w:t>
            </w: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Regulatory assets - current</w:t>
            </w:r>
          </w:p>
        </w:tc>
        <w:tc>
          <w:tcPr>
            <w:tcW w:w="340" w:type="dxa"/>
            <w:vAlign w:val="bottom"/>
            <w:shd w:val="clear" w:color="auto" w:fill="CEFFE7"/>
          </w:tcPr>
          <w:p>
            <w:pPr>
              <w:spacing w:after="0"/>
              <w:rPr>
                <w:sz w:val="19"/>
                <w:szCs w:val="19"/>
                <w:color w:val="auto"/>
              </w:rPr>
            </w:pPr>
          </w:p>
        </w:tc>
        <w:tc>
          <w:tcPr>
            <w:tcW w:w="11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47,903</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236</w:t>
            </w: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Regulatory liabilities - current</w:t>
            </w:r>
          </w:p>
        </w:tc>
        <w:tc>
          <w:tcPr>
            <w:tcW w:w="3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16,098</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9,083</w:t>
            </w:r>
          </w:p>
        </w:tc>
      </w:tr>
      <w:tr>
        <w:trPr>
          <w:trHeight w:val="203"/>
        </w:trPr>
        <w:tc>
          <w:tcPr>
            <w:tcW w:w="8460" w:type="dxa"/>
            <w:vAlign w:val="bottom"/>
            <w:shd w:val="clear" w:color="auto" w:fill="CEFFE7"/>
          </w:tcPr>
          <w:p>
            <w:pPr>
              <w:ind w:left="280"/>
              <w:spacing w:after="0"/>
              <w:rPr>
                <w:sz w:val="20"/>
                <w:szCs w:val="20"/>
                <w:color w:val="auto"/>
              </w:rPr>
            </w:pPr>
            <w:r>
              <w:rPr>
                <w:rFonts w:ascii="Arial" w:cs="Arial" w:eastAsia="Arial" w:hAnsi="Arial"/>
                <w:sz w:val="14"/>
                <w:szCs w:val="14"/>
                <w:color w:val="auto"/>
              </w:rPr>
              <w:t>Other operating activities, net</w:t>
            </w:r>
          </w:p>
        </w:tc>
        <w:tc>
          <w:tcPr>
            <w:tcW w:w="340" w:type="dxa"/>
            <w:vAlign w:val="bottom"/>
            <w:tcBorders>
              <w:bottom w:val="single" w:sz="8" w:color="auto"/>
            </w:tcBorders>
            <w:shd w:val="clear" w:color="auto" w:fill="CEFFE7"/>
          </w:tcPr>
          <w:p>
            <w:pPr>
              <w:spacing w:after="0"/>
              <w:rPr>
                <w:sz w:val="17"/>
                <w:szCs w:val="17"/>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(278)</w:t>
            </w:r>
          </w:p>
        </w:tc>
        <w:tc>
          <w:tcPr>
            <w:tcW w:w="520" w:type="dxa"/>
            <w:vAlign w:val="bottom"/>
            <w:tcBorders>
              <w:bottom w:val="single" w:sz="8" w:color="auto"/>
            </w:tcBorders>
            <w:shd w:val="clear" w:color="auto" w:fill="CEFFE7"/>
          </w:tcPr>
          <w:p>
            <w:pPr>
              <w:spacing w:after="0"/>
              <w:rPr>
                <w:sz w:val="17"/>
                <w:szCs w:val="17"/>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(1,644)</w:t>
            </w:r>
          </w:p>
        </w:tc>
      </w:tr>
      <w:tr>
        <w:trPr>
          <w:trHeight w:val="210"/>
        </w:trPr>
        <w:tc>
          <w:tcPr>
            <w:tcW w:w="846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171,334</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145,673</w:t>
            </w:r>
          </w:p>
        </w:tc>
      </w:tr>
      <w:tr>
        <w:trPr>
          <w:trHeight w:val="216"/>
        </w:trPr>
        <w:tc>
          <w:tcPr>
            <w:tcW w:w="8460" w:type="dxa"/>
            <w:vAlign w:val="bottom"/>
            <w:shd w:val="clear" w:color="auto" w:fill="CEFFE7"/>
          </w:tcPr>
          <w:p>
            <w:pPr>
              <w:ind w:left="40"/>
              <w:spacing w:after="0"/>
              <w:rPr>
                <w:sz w:val="20"/>
                <w:szCs w:val="20"/>
                <w:color w:val="auto"/>
              </w:rPr>
            </w:pPr>
            <w:r>
              <w:rPr>
                <w:rFonts w:ascii="Arial" w:cs="Arial" w:eastAsia="Arial" w:hAnsi="Arial"/>
                <w:sz w:val="14"/>
                <w:szCs w:val="14"/>
                <w:color w:val="auto"/>
              </w:rPr>
              <w:t>Net cash provided by (used in) operating activities of discontinued operations</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(1,459)</w:t>
            </w:r>
          </w:p>
        </w:tc>
        <w:tc>
          <w:tcPr>
            <w:tcW w:w="52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1,167</w:t>
            </w:r>
          </w:p>
        </w:tc>
      </w:tr>
      <w:tr>
        <w:trPr>
          <w:trHeight w:val="210"/>
        </w:trPr>
        <w:tc>
          <w:tcPr>
            <w:tcW w:w="846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169,875</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146,840</w:t>
            </w:r>
          </w:p>
        </w:tc>
      </w:tr>
      <w:tr>
        <w:trPr>
          <w:trHeight w:val="175"/>
        </w:trPr>
        <w:tc>
          <w:tcPr>
            <w:tcW w:w="846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14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960" w:type="dxa"/>
            <w:vAlign w:val="bottom"/>
            <w:shd w:val="clear" w:color="auto" w:fill="CEFFE7"/>
          </w:tcPr>
          <w:p>
            <w:pPr>
              <w:spacing w:after="0"/>
              <w:rPr>
                <w:sz w:val="15"/>
                <w:szCs w:val="15"/>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9"/>
        </w:trPr>
        <w:tc>
          <w:tcPr>
            <w:tcW w:w="8460" w:type="dxa"/>
            <w:vAlign w:val="bottom"/>
            <w:shd w:val="clear" w:color="auto" w:fill="CEFFE7"/>
          </w:tcPr>
          <w:p>
            <w:pPr>
              <w:ind w:left="240"/>
              <w:spacing w:after="0"/>
              <w:rPr>
                <w:sz w:val="20"/>
                <w:szCs w:val="20"/>
                <w:color w:val="auto"/>
              </w:rPr>
            </w:pPr>
            <w:r>
              <w:rPr>
                <w:rFonts w:ascii="Arial" w:cs="Arial" w:eastAsia="Arial" w:hAnsi="Arial"/>
                <w:sz w:val="14"/>
                <w:szCs w:val="14"/>
                <w:color w:val="auto"/>
              </w:rPr>
              <w:t>Property, plant and equipment additions</w:t>
            </w:r>
          </w:p>
        </w:tc>
        <w:tc>
          <w:tcPr>
            <w:tcW w:w="3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(69,972)</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(66,480)</w:t>
            </w:r>
          </w:p>
        </w:tc>
      </w:tr>
      <w:tr>
        <w:trPr>
          <w:trHeight w:val="210"/>
        </w:trPr>
        <w:tc>
          <w:tcPr>
            <w:tcW w:w="8460" w:type="dxa"/>
            <w:vAlign w:val="bottom"/>
          </w:tcPr>
          <w:p>
            <w:pPr>
              <w:ind w:left="240"/>
              <w:spacing w:after="0"/>
              <w:rPr>
                <w:sz w:val="20"/>
                <w:szCs w:val="20"/>
                <w:color w:val="auto"/>
              </w:rPr>
            </w:pPr>
            <w:r>
              <w:rPr>
                <w:rFonts w:ascii="Arial" w:cs="Arial" w:eastAsia="Arial" w:hAnsi="Arial"/>
                <w:sz w:val="14"/>
                <w:szCs w:val="14"/>
                <w:color w:val="auto"/>
              </w:rPr>
              <w:t>Purchase of investment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(23,500)</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3"/>
        </w:trPr>
        <w:tc>
          <w:tcPr>
            <w:tcW w:w="8460" w:type="dxa"/>
            <w:vAlign w:val="bottom"/>
            <w:shd w:val="clear" w:color="auto" w:fill="CEFFE7"/>
          </w:tcPr>
          <w:p>
            <w:pPr>
              <w:ind w:left="240"/>
              <w:spacing w:after="0"/>
              <w:rPr>
                <w:sz w:val="20"/>
                <w:szCs w:val="20"/>
                <w:color w:val="auto"/>
              </w:rPr>
            </w:pPr>
            <w:r>
              <w:rPr>
                <w:rFonts w:ascii="Arial" w:cs="Arial" w:eastAsia="Arial" w:hAnsi="Arial"/>
                <w:sz w:val="14"/>
                <w:szCs w:val="14"/>
                <w:color w:val="auto"/>
              </w:rPr>
              <w:t>Other investing activities</w:t>
            </w:r>
          </w:p>
        </w:tc>
        <w:tc>
          <w:tcPr>
            <w:tcW w:w="340" w:type="dxa"/>
            <w:vAlign w:val="bottom"/>
            <w:tcBorders>
              <w:bottom w:val="single" w:sz="8" w:color="auto"/>
            </w:tcBorders>
            <w:shd w:val="clear" w:color="auto" w:fill="CEFFE7"/>
          </w:tcPr>
          <w:p>
            <w:pPr>
              <w:spacing w:after="0"/>
              <w:rPr>
                <w:sz w:val="17"/>
                <w:szCs w:val="17"/>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(261)</w:t>
            </w:r>
          </w:p>
        </w:tc>
        <w:tc>
          <w:tcPr>
            <w:tcW w:w="520" w:type="dxa"/>
            <w:vAlign w:val="bottom"/>
            <w:tcBorders>
              <w:bottom w:val="single" w:sz="8" w:color="auto"/>
            </w:tcBorders>
            <w:shd w:val="clear" w:color="auto" w:fill="CEFFE7"/>
          </w:tcPr>
          <w:p>
            <w:pPr>
              <w:spacing w:after="0"/>
              <w:rPr>
                <w:sz w:val="17"/>
                <w:szCs w:val="17"/>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(50)</w:t>
            </w:r>
          </w:p>
        </w:tc>
      </w:tr>
      <w:tr>
        <w:trPr>
          <w:trHeight w:val="196"/>
        </w:trPr>
        <w:tc>
          <w:tcPr>
            <w:tcW w:w="8460" w:type="dxa"/>
            <w:vAlign w:val="bottom"/>
          </w:tcPr>
          <w:p>
            <w:pPr>
              <w:ind w:left="40"/>
              <w:spacing w:after="0"/>
              <w:rPr>
                <w:sz w:val="20"/>
                <w:szCs w:val="20"/>
                <w:color w:val="auto"/>
              </w:rPr>
            </w:pPr>
            <w:r>
              <w:rPr>
                <w:rFonts w:ascii="Arial" w:cs="Arial" w:eastAsia="Arial" w:hAnsi="Arial"/>
                <w:sz w:val="14"/>
                <w:szCs w:val="14"/>
                <w:color w:val="auto"/>
              </w:rPr>
              <w:t>Net cash provided by (used in) investing activities of continuing operations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(93,733)</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(66,530)</w:t>
            </w:r>
          </w:p>
        </w:tc>
      </w:tr>
      <w:tr>
        <w:trPr>
          <w:trHeight w:val="216"/>
        </w:trPr>
        <w:tc>
          <w:tcPr>
            <w:tcW w:w="8460" w:type="dxa"/>
            <w:vAlign w:val="bottom"/>
            <w:shd w:val="clear" w:color="auto" w:fill="CEFFE7"/>
          </w:tcPr>
          <w:p>
            <w:pPr>
              <w:ind w:left="40"/>
              <w:spacing w:after="0"/>
              <w:rPr>
                <w:sz w:val="20"/>
                <w:szCs w:val="20"/>
                <w:color w:val="auto"/>
              </w:rPr>
            </w:pPr>
            <w:r>
              <w:rPr>
                <w:rFonts w:ascii="Arial" w:cs="Arial" w:eastAsia="Arial" w:hAnsi="Arial"/>
                <w:sz w:val="14"/>
                <w:szCs w:val="14"/>
                <w:color w:val="auto"/>
              </w:rPr>
              <w:t>Net cash provided by (used in) investing activities of discontinued operations</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20,179</w:t>
            </w:r>
          </w:p>
        </w:tc>
        <w:tc>
          <w:tcPr>
            <w:tcW w:w="52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(2,829)</w:t>
            </w:r>
          </w:p>
        </w:tc>
      </w:tr>
      <w:tr>
        <w:trPr>
          <w:trHeight w:val="196"/>
        </w:trPr>
        <w:tc>
          <w:tcPr>
            <w:tcW w:w="846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(73,554)</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(69,359)</w:t>
            </w:r>
          </w:p>
        </w:tc>
      </w:tr>
      <w:tr>
        <w:trPr>
          <w:trHeight w:val="270"/>
        </w:trPr>
        <w:tc>
          <w:tcPr>
            <w:tcW w:w="846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114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r>
    </w:tbl>
    <w:p>
      <w:pPr>
        <w:spacing w:after="0" w:line="76" w:lineRule="exact"/>
        <w:rPr>
          <w:sz w:val="20"/>
          <w:szCs w:val="20"/>
          <w:color w:val="auto"/>
        </w:rPr>
      </w:pPr>
    </w:p>
    <w:p>
      <w:pPr>
        <w:sectPr>
          <w:pgSz w:w="11900" w:h="16838" w:orient="portrait"/>
          <w:cols w:equalWidth="0" w:num="1">
            <w:col w:w="11420"/>
          </w:cols>
          <w:pgMar w:left="240" w:top="585" w:right="239" w:bottom="1440" w:gutter="0" w:footer="0" w:header="0"/>
        </w:sectPr>
      </w:pPr>
    </w:p>
    <w:p>
      <w:pPr>
        <w:ind w:left="40"/>
        <w:spacing w:after="0"/>
        <w:rPr>
          <w:sz w:val="20"/>
          <w:szCs w:val="20"/>
          <w:color w:val="auto"/>
        </w:rPr>
      </w:pPr>
      <w:r>
        <w:rPr>
          <w:rFonts w:ascii="Arial" w:cs="Arial" w:eastAsia="Arial" w:hAnsi="Arial"/>
          <w:sz w:val="14"/>
          <w:szCs w:val="14"/>
          <w:color w:val="auto"/>
        </w:rPr>
        <w:t>Financing activities:</w:t>
      </w:r>
    </w:p>
    <w:p>
      <w:pPr>
        <w:spacing w:after="0" w:line="42" w:lineRule="exact"/>
        <w:rPr>
          <w:sz w:val="20"/>
          <w:szCs w:val="20"/>
          <w:color w:val="auto"/>
        </w:rPr>
      </w:pPr>
    </w:p>
    <w:p>
      <w:pPr>
        <w:ind w:left="280" w:right="1540"/>
        <w:spacing w:after="0" w:line="312" w:lineRule="auto"/>
        <w:rPr>
          <w:sz w:val="20"/>
          <w:szCs w:val="20"/>
          <w:color w:val="auto"/>
        </w:rPr>
      </w:pPr>
      <w:r>
        <w:rPr>
          <w:rFonts w:ascii="Arial" w:cs="Arial" w:eastAsia="Arial" w:hAnsi="Arial"/>
          <w:sz w:val="14"/>
          <w:szCs w:val="14"/>
          <w:color w:val="auto"/>
        </w:rPr>
        <w:t>Dividends paid on common stock Common stock issued</w:t>
      </w:r>
    </w:p>
    <w:p>
      <w:pPr>
        <w:ind w:left="280"/>
        <w:spacing w:after="0"/>
        <w:rPr>
          <w:sz w:val="20"/>
          <w:szCs w:val="20"/>
          <w:color w:val="auto"/>
        </w:rPr>
      </w:pPr>
      <w:r>
        <w:rPr>
          <w:rFonts w:ascii="Arial" w:cs="Arial" w:eastAsia="Arial" w:hAnsi="Arial"/>
          <w:sz w:val="14"/>
          <w:szCs w:val="14"/>
          <w:color w:val="auto"/>
        </w:rPr>
        <w:t>Net (payments) borrowings of short-term debt</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Long-term debt - repayments</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Distributions to noncontrolling interest</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 financing activities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provided by (used in) financing activities</w:t>
      </w:r>
    </w:p>
    <w:p>
      <w:pPr>
        <w:spacing w:after="0" w:line="69" w:lineRule="exact"/>
        <w:rPr>
          <w:sz w:val="20"/>
          <w:szCs w:val="20"/>
          <w:color w:val="auto"/>
        </w:rPr>
      </w:pPr>
    </w:p>
    <w:p>
      <w:pPr>
        <w:jc w:val="center"/>
        <w:ind w:left="20"/>
        <w:spacing w:after="0"/>
        <w:rPr>
          <w:sz w:val="20"/>
          <w:szCs w:val="20"/>
          <w:color w:val="auto"/>
        </w:rPr>
      </w:pPr>
      <w:r>
        <w:rPr>
          <w:rFonts w:ascii="Arial" w:cs="Arial" w:eastAsia="Arial" w:hAnsi="Arial"/>
          <w:sz w:val="14"/>
          <w:szCs w:val="14"/>
          <w:color w:val="auto"/>
        </w:rPr>
        <w:t>Net change in cash, cash equivalents and restricted cash</w:t>
      </w:r>
    </w:p>
    <w:p>
      <w:pPr>
        <w:spacing w:after="0" w:line="55" w:lineRule="exact"/>
        <w:rPr>
          <w:sz w:val="20"/>
          <w:szCs w:val="20"/>
          <w:color w:val="auto"/>
        </w:rPr>
      </w:pPr>
    </w:p>
    <w:p>
      <w:pPr>
        <w:jc w:val="center"/>
        <w:ind w:left="40"/>
        <w:spacing w:after="0"/>
        <w:rPr>
          <w:sz w:val="20"/>
          <w:szCs w:val="20"/>
          <w:color w:val="auto"/>
        </w:rPr>
      </w:pPr>
      <w:r>
        <w:rPr>
          <w:rFonts w:ascii="Arial" w:cs="Arial" w:eastAsia="Arial" w:hAnsi="Arial"/>
          <w:sz w:val="12"/>
          <w:szCs w:val="12"/>
          <w:color w:val="auto"/>
        </w:rPr>
        <w:t>Cash, cash equivalents and restricted cash at beginning of period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cash equivalents and restricted cash at end of period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4660" w:type="dxa"/>
        <w:tblCellMar>
          <w:top w:w="0" w:type="dxa"/>
          <w:left w:w="0" w:type="dxa"/>
          <w:bottom w:w="0" w:type="dxa"/>
          <w:right w:w="0" w:type="dxa"/>
        </w:tblCellMar>
      </w:tblPr>
      <w:tr>
        <w:trPr>
          <w:trHeight w:val="182"/>
        </w:trPr>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(25,444)</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(23,754)</w:t>
            </w:r>
          </w:p>
        </w:tc>
      </w:tr>
      <w:tr>
        <w:trPr>
          <w:trHeight w:val="216"/>
        </w:trPr>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372</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2,171</w:t>
            </w:r>
          </w:p>
        </w:tc>
      </w:tr>
      <w:tr>
        <w:trPr>
          <w:trHeight w:val="203"/>
        </w:trPr>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(47,100)</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(45,650)</w:t>
            </w:r>
          </w:p>
        </w:tc>
      </w:tr>
      <w:tr>
        <w:trPr>
          <w:trHeight w:val="203"/>
        </w:trPr>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(1,436)</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(1,436)</w:t>
            </w:r>
          </w:p>
        </w:tc>
      </w:tr>
      <w:tr>
        <w:trPr>
          <w:trHeight w:val="203"/>
        </w:trPr>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(5,648)</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(4,349)</w:t>
            </w:r>
          </w:p>
        </w:tc>
      </w:tr>
      <w:tr>
        <w:trPr>
          <w:trHeight w:val="209"/>
        </w:trPr>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(6,555)</w:t>
            </w:r>
          </w:p>
        </w:tc>
      </w:tr>
      <w:tr>
        <w:trPr>
          <w:trHeight w:val="196"/>
        </w:trPr>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(80,656)</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(79,573)</w:t>
            </w:r>
          </w:p>
        </w:tc>
      </w:tr>
      <w:tr>
        <w:trPr>
          <w:trHeight w:val="204"/>
        </w:trPr>
        <w:tc>
          <w:tcPr>
            <w:tcW w:w="5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15,665</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(2,092)</w:t>
            </w:r>
          </w:p>
        </w:tc>
      </w:tr>
      <w:tr>
        <w:trPr>
          <w:trHeight w:val="222"/>
        </w:trPr>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18,240</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15,792</w:t>
            </w:r>
          </w:p>
        </w:tc>
      </w:tr>
      <w:tr>
        <w:trPr>
          <w:trHeight w:val="210"/>
        </w:trPr>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33,905</w:t>
            </w:r>
          </w:p>
        </w:tc>
        <w:tc>
          <w:tcPr>
            <w:tcW w:w="5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13,700</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-1371600</wp:posOffset>
            </wp:positionV>
            <wp:extent cx="72466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-1105535</wp:posOffset>
            </wp:positionV>
            <wp:extent cx="72466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-848360</wp:posOffset>
            </wp:positionV>
            <wp:extent cx="72466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-591185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-307975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See Note 15 for supplemental disclosure of cash flow information.</w:t>
      </w:r>
    </w:p>
    <w:p>
      <w:pPr>
        <w:spacing w:after="0" w:line="109" w:lineRule="exact"/>
        <w:rPr>
          <w:sz w:val="20"/>
          <w:szCs w:val="20"/>
          <w:color w:val="auto"/>
        </w:rPr>
      </w:pPr>
    </w:p>
    <w:p>
      <w:pPr>
        <w:sectPr>
          <w:pgSz w:w="11900" w:h="16838" w:orient="portrait"/>
          <w:cols w:equalWidth="0" w:num="2">
            <w:col w:w="3760" w:space="40"/>
            <w:col w:w="7620"/>
          </w:cols>
          <w:pgMar w:left="240" w:top="585" w:right="239" w:bottom="1440" w:gutter="0" w:footer="0" w:header="0"/>
          <w:type w:val="continuous"/>
        </w:sectPr>
      </w:pPr>
    </w:p>
    <w:p>
      <w:pPr>
        <w:jc w:val="center"/>
        <w:ind w:right="-19"/>
        <w:spacing w:after="0"/>
        <w:rPr>
          <w:sz w:val="20"/>
          <w:szCs w:val="20"/>
          <w:color w:val="auto"/>
        </w:rPr>
      </w:pPr>
      <w:r>
        <w:rPr>
          <w:rFonts w:ascii="Arial" w:cs="Arial" w:eastAsia="Arial" w:hAnsi="Arial"/>
          <w:sz w:val="12"/>
          <w:szCs w:val="12"/>
          <w:color w:val="auto"/>
        </w:rPr>
        <w:t>The accompanying Notes to Condensed Consolidated Financial Statements are an integral part of these Condensed Consolidated Financial Statements.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5" w:right="2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BLACK HILLS CORPORATION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is made to 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included in the Company’s 2017 Annual Report on Form 10-K)</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MANAGEMENT’S STATEMENT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thereto included in our 2017 Annual Report on Form 10-K filed with the SEC.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We conduct our operations through the following reportable segments: Electric Utilities, Gas Utilities, Power Generation and Mining. Our reportable segments are based on our method of internal reporting, which is generally segregated by differences in products, services and regulation. All of our operations and assets are located within the United States.</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November 1, 2017, the BHC board of directors approved a complete divestiture of our Oil and Gas segment. The Oil and Gas segment assets and liabilities are classified as held for sale and the results of operations are shown in income (loss) from discontinued operations, excluding certain general and administrative costs and interest expense which do not meet the criteria for income (loss) from discontinued operations. As of May 4, 2018, we have executed agreements to sell or we have closed on sales transactions for approximately 96% of our oil and gas properties. We expect to execute agreements to sell all remaining assets by mid-year 2018. See Note 18 for more information on discontinued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Basis of Presentation</w:t>
      </w:r>
    </w:p>
    <w:p>
      <w:pPr>
        <w:spacing w:after="0" w:line="229"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The information furnished in the accompanying Condensed Consolidated Financial Statements reflects certain estimates required and all adjustments, including accruals, which are, in the opinion of management, necessary for a fair presentation of the March 31, 2018, December 31, 2017, and March 31,</w:t>
      </w:r>
    </w:p>
    <w:p>
      <w:pPr>
        <w:spacing w:after="0" w:line="252" w:lineRule="auto"/>
        <w:rPr>
          <w:sz w:val="20"/>
          <w:szCs w:val="20"/>
          <w:color w:val="auto"/>
        </w:rPr>
      </w:pPr>
      <w:r>
        <w:rPr>
          <w:rFonts w:ascii="Arial" w:cs="Arial" w:eastAsia="Arial" w:hAnsi="Arial"/>
          <w:sz w:val="18"/>
          <w:szCs w:val="18"/>
          <w:color w:val="auto"/>
        </w:rPr>
        <w:t>2017 financial information and are of a normal recurring nature. 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as well as changes in market prices. In particular, the normal peak usage season for electric utilities is June through August while the normal peak usage season for gas utilities is November through March. Significant earnings variances can be expected between the Gas Utilities segment’s peak and off-peak seasons. Due to this seasonal nature, our results of operations for the three months ended March 31, 2018 and March 31, 2017, and our financial condition as of March 31, 2018, December 31, 2017, and March 31, 2017, are not necessarily indicative of the results of operations and financial condition to be expected as of or for any other period. All earnings per share amounts discussed refer to diluted earnings per share unless otherwise noted.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purposes of the cash flow statements, we consider all highly liquid investments with original maturities of three months or less at the time of purchase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account for investments that we do not control under the cost method of accounting as we do not have the ability to exercise significant influence over the operating and financial policies of the investee. The cost method investments are recorded at cost and we record dividend income when applicable dividends are declared.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 ASU 2016-02</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which supersedes ASC 840, </w:t>
      </w:r>
      <w:r>
        <w:rPr>
          <w:rFonts w:ascii="Arial" w:cs="Arial" w:eastAsia="Arial" w:hAnsi="Arial"/>
          <w:sz w:val="16"/>
          <w:szCs w:val="16"/>
          <w:i w:val="1"/>
          <w:iCs w:val="1"/>
          <w:color w:val="auto"/>
        </w:rPr>
        <w:t>Leases</w:t>
      </w:r>
      <w:r>
        <w:rPr>
          <w:rFonts w:ascii="Arial" w:cs="Arial" w:eastAsia="Arial" w:hAnsi="Arial"/>
          <w:sz w:val="16"/>
          <w:szCs w:val="16"/>
          <w:color w:val="auto"/>
        </w:rPr>
        <w:t>. This ASU requires lessees to recognize a right-of-use asset and lease liability on the balance sheet for most leases, whereas today only financing-type lease liabilities (capital leases) are recognized on the balance sheet. In addition, the definition of a lease has been revised in regards to when an arrangement conveys the right to control the use of the identified asset under the arrangement which may result in changes to the classification of an arrangement as a lease. The ASU does not significantly change the lessees’ recognition, measurement and presentation of expenses and cash flows from the previous accounting standard. Lessors’ accounting under the ASU is largely unchanged from the previous accounting standard. The ASU expands the disclosure requirements of lease arrangements. Under the current guidance, lessees and lessors will use a modified retrospective transition approach, which requires application of the new guidance at the beginning of the earliest comparative period presented in the year of adoption. The guidance is effective for interim and annual reporting periods beginning after December 15, 2018, with early adoption permitted. In January 2018, the FASB issued amendments to the new lease standard, ASU No. 2018-01, allowing an entity to elect not to assess whether certain land easements are, or contain, leases when transitioning to the new lease standard.</w:t>
      </w:r>
    </w:p>
    <w:p>
      <w:pPr>
        <w:spacing w:after="0" w:line="16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currently expect to adopt this standard on January 1, 2019 and anticipate electing not to assess existing or expired land easements that were not previously accounted for as a lease when transitioning to the new standard. We continue to evaluate the impact of this new standard on our financial position, results of operations and cash flows as well as monitor utility industry implementation guidance. We continue the process of identifying and categorizing our lease contracts and evaluating our current business processes relating to leases. We have selected and initiated implementation of a new lease software solution.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and Hedging: Targeted Improvements to Accounting for Hedging Activities, 2017-12</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xml:space="preserve"> This standard better aligns risk management activities and financial reporting for hedging relationships, simplifies hedge accounting requirements and improves disclosures of hedging arrangements. This ASU is effective for fiscal years beginning after December 15, 2018, with early adoption permitted. We do not anticipate the adoption of this guidance to have a material impact on our financial position, results of operations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Simplifying the Test for Goodwill Impairment, 2017-04</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by eliminating step 2 from the goodwill impairment test. Under the new guidance, if the carrying amount of a reporting unit exceeds its fair value, an impairment loss will be recognized in an amount equal to that excess, limited to the amount of goodwill allocated to that reporting unit. The new standard is effective for interim and annual reporting periods beginning after December 15, 2019, applied on a prospective basis with early adoption permitted. We do not anticipate the adoption of this standard to have any impact on our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from Contracts with Customers, ASU 2014-09</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Effective January 1, 2018, we adopted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its related amendments (collectively known as ASC 606). Under this standard, revenue is recognized when a customer obtains control of promised goods or services in an amount that reflects the consideration the entity expects to receive in exchange for those goods or services. In addition, the standard requires disclosure of the nature, amount, timing and uncertainty of revenue and cash flows arising from contracts with customers. We applied the five-step method outlined in the ASU to all in-scope revenue streams and elected the modified retrospective implementation method. Implementation of the standard did not have a material impact on our financial position, results of operations or cash flows. Implementation of the standard did not have a significant impact on the measurement or recognition of revenue; therefore, no cumulative adoption adjustment to the opening balance of Retained earnings at the date of initial application was necessary. The additional disclosures required by the ASU are included in Note 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0" w:right="25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auto"/>
        </w:rPr>
        <w:t>Compensation - Retirement Benefits: Improving the Presentation of Net Periodic Pension Cost and Net Periodic Post-Retirement Benefit Cost, ASU 2017-07</w:t>
      </w:r>
    </w:p>
    <w:p>
      <w:pPr>
        <w:spacing w:after="0" w:line="24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Effective January 1, 2018, we adopted ASU 2017-07, </w:t>
      </w:r>
      <w:r>
        <w:rPr>
          <w:rFonts w:ascii="Arial" w:cs="Arial" w:eastAsia="Arial" w:hAnsi="Arial"/>
          <w:sz w:val="16"/>
          <w:szCs w:val="16"/>
          <w:i w:val="1"/>
          <w:iCs w:val="1"/>
          <w:color w:val="auto"/>
        </w:rPr>
        <w:t>Compensation – 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The standard requires employers to report the service cost component in the same line item(s) as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costs, and require the other components of net periodic pension and post-retirement benefit costs to be separately presented in the income statement outside of income from operations. Additionally, only the service cost component may be eligible for capitalization, when applicable. However, all cost components remain eligible for capitalization under FERC regulations. The capitalization of only the service cost component of net periodic pension and post-retirement benefit costs in assets was applied on a prospective basis. For our rate-regulated entities, we capitalize the other components of net periodic benefit costs into regulatory assets or regulatory liabilities and maintain a FERC-to-GAAP reporting difference for these capitalized costs. The presentation changes required for net periodic pension and post-retirement costs resulted in offsetting changes to Operating income and Other income. Implementation of the standard did not have a material impact on our financial position,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 of Cash Flows: Classification of Certain Cash Receipts and Cash Payments, ASU 2016-15</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Effective January 1, 2018, we adopted ASU 2016-15, </w:t>
      </w:r>
      <w:r>
        <w:rPr>
          <w:rFonts w:ascii="Arial" w:cs="Arial" w:eastAsia="Arial" w:hAnsi="Arial"/>
          <w:sz w:val="18"/>
          <w:szCs w:val="18"/>
          <w:i w:val="1"/>
          <w:iCs w:val="1"/>
          <w:color w:val="auto"/>
        </w:rPr>
        <w:t>Statement of Cash Flows (Topic 230): Classification of Certain Cash Receipts and Cash Payments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consensus of the Emerging Issues Task Force). </w:t>
      </w:r>
      <w:r>
        <w:rPr>
          <w:rFonts w:ascii="Arial" w:cs="Arial" w:eastAsia="Arial" w:hAnsi="Arial"/>
          <w:sz w:val="18"/>
          <w:szCs w:val="18"/>
          <w:color w:val="auto"/>
        </w:rPr>
        <w:t>This ASU requires changes in the presentation of certain items, including but not limited to, debt prepayment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or debt extinguishment costs; contingent consideration payments made after a business combination; proceeds from the settlement of insurance claims; proceeds from the settlement of corporate-owned life insurance policies and distributions received from equity method investees. We implemented this standard effective January 1, 2018 using the retrospective transition method. This standard had no impact on our financial position,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 of Cash Flows: Restricted Cash, ASU 2016-18</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Effective January 1, 2018, we adopted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This ASU provides guidance on the presentation of restricted cash or restricted cash equivalents and reduces the diversity in practice. This ASU requires amounts generally described as restricted cash and restricted cash equivalents to be included with cash and cash equivalents when reconciling beginning-of-period and end-of-period total amounts on the statement of cash flows. We elected, as permitted by the standard, to early adopt ASU 2016-18 retrospectively as of January 1, 2017 and have applied it to all periods presented herein. The adoption of ASU 2016-18 did not have a material impact to our condensed consolidated financial statements. The effect of the adoption of ASU 2016-18 on our Condensed Consolidated Statements of Cash Flows was to include restricted cash balances in the beginning and end of period balances of cash, cash equivalents, and restricted cash. The change in restricted cash was previously disclosed in investing activities in the Condensed Consolidated Statements of Cash Flows.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12" w:name="page13"/>
    <w:bookmarkEnd w:id="12"/>
    <w:p>
      <w:pPr>
        <w:spacing w:after="0"/>
        <w:tabs>
          <w:tab w:leader="none" w:pos="3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Revenues are recognized in an amount that reflects the consideration we expect to receive in exchange for goods or services, when control of the promised goods or services is transferred to our customers. Our primary types of revenue contracts are:</w:t>
      </w:r>
    </w:p>
    <w:p>
      <w:pPr>
        <w:spacing w:after="0" w:line="170" w:lineRule="exact"/>
        <w:rPr>
          <w:sz w:val="20"/>
          <w:szCs w:val="20"/>
          <w:color w:val="auto"/>
        </w:rPr>
      </w:pPr>
    </w:p>
    <w:p>
      <w:pPr>
        <w:ind w:left="660" w:right="80" w:hanging="328"/>
        <w:spacing w:after="0" w:line="27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Regulated natural gas and electric utility services tariffs</w:t>
      </w:r>
      <w:r>
        <w:rPr>
          <w:rFonts w:ascii="Arial" w:cs="Arial" w:eastAsia="Arial" w:hAnsi="Arial"/>
          <w:sz w:val="17"/>
          <w:szCs w:val="17"/>
          <w:color w:val="auto"/>
        </w:rPr>
        <w:t xml:space="preserve"> - Our utilities have regulated operations, as defined by ASC 980, that provide services to regulated customers under rates, charges, terms and conditions of service, and prices determined by the jurisdictional regulators designated for our service territories. Collectively, these rates, charges, terms and conditions are included in a tariff, which governs all aspects of the provision of our regulated services. Our regulated services primarily encompass single performance obligations material to the context of the contract for delivery of either commodity natural gas, commodity electricity, natural gas transportation or electric transmission services. These service revenues are variable based on quantities delivered, influenced by seasonal business and weather patterns. Tariffs are only permitted to be changed through a rate-setting process involving the regulator-empowered statute to establish contractual rates between the utility and its customers. All of our utilities’ regulated sales are subject to regulatory-approved tariffs.</w:t>
      </w:r>
    </w:p>
    <w:p>
      <w:pPr>
        <w:spacing w:after="0" w:line="178" w:lineRule="exact"/>
        <w:rPr>
          <w:rFonts w:ascii="Arial" w:cs="Arial" w:eastAsia="Arial" w:hAnsi="Arial"/>
          <w:sz w:val="17"/>
          <w:szCs w:val="17"/>
          <w:color w:val="auto"/>
        </w:rPr>
      </w:pPr>
    </w:p>
    <w:p>
      <w:pPr>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Power sales agreements</w:t>
      </w:r>
      <w:r>
        <w:rPr>
          <w:rFonts w:ascii="Arial" w:cs="Arial" w:eastAsia="Arial" w:hAnsi="Arial"/>
          <w:sz w:val="18"/>
          <w:szCs w:val="18"/>
          <w:color w:val="auto"/>
        </w:rPr>
        <w:t xml:space="preserve"> - Our electric utilities and power generation segments have long-term wholesale power sales agreements with other load-serving entities, including affiliates, for the sale of excess power from owned generating units. These agreements include a combination of “take or pay” arrangements, where the customer is obligated to pay for the energy regardless of whether it actually takes delivery, as well as “requirements only” arrangements, where the customer is only obligated to pay for the energy the customer needs. In addition to these long-term contracts, Black Hills also sells excess energy to other load-serving entities on a short-term basis as a member of the Western States Power Pool. The pricing for all of these arrangements is included in the executed contracts or confirmations, reflecting the standalone selling price and is variable based on energy delivered.</w:t>
      </w:r>
    </w:p>
    <w:p>
      <w:pPr>
        <w:spacing w:after="0" w:line="189" w:lineRule="exact"/>
        <w:rPr>
          <w:rFonts w:ascii="Arial" w:cs="Arial" w:eastAsia="Arial" w:hAnsi="Arial"/>
          <w:sz w:val="18"/>
          <w:szCs w:val="18"/>
          <w:color w:val="auto"/>
        </w:rPr>
      </w:pPr>
    </w:p>
    <w:p>
      <w:pPr>
        <w:ind w:left="660" w:right="4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Coal supply agreements</w:t>
      </w:r>
      <w:r>
        <w:rPr>
          <w:rFonts w:ascii="Arial" w:cs="Arial" w:eastAsia="Arial" w:hAnsi="Arial"/>
          <w:sz w:val="17"/>
          <w:szCs w:val="17"/>
          <w:color w:val="auto"/>
        </w:rPr>
        <w:t xml:space="preserve"> - Our mining segment sells coal primarily under long-term contracts to utilities for use at their power generating plants, including affiliate electric utilities, and an affiliate non-regulated power generation entity. The contracts include a single promise to supply coal necessary to fuel the customers’ facilities during the contract term. The transaction price is established in the coal supply agreements, including cost-based agreements with the affiliated regulated utilities, and is variable based on tons of coal delivered.</w:t>
      </w:r>
    </w:p>
    <w:p>
      <w:pPr>
        <w:spacing w:after="0" w:line="184" w:lineRule="exact"/>
        <w:rPr>
          <w:rFonts w:ascii="Arial" w:cs="Arial" w:eastAsia="Arial" w:hAnsi="Arial"/>
          <w:sz w:val="17"/>
          <w:szCs w:val="17"/>
          <w:color w:val="auto"/>
        </w:rPr>
      </w:pPr>
    </w:p>
    <w:p>
      <w:pPr>
        <w:ind w:left="660" w:right="18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Other non-regulated services</w:t>
      </w:r>
      <w:r>
        <w:rPr>
          <w:rFonts w:ascii="Arial" w:cs="Arial" w:eastAsia="Arial" w:hAnsi="Arial"/>
          <w:sz w:val="18"/>
          <w:szCs w:val="18"/>
          <w:color w:val="auto"/>
        </w:rPr>
        <w:t xml:space="preserve"> - Our natural gas and electric utility segments also provide non-regulated services primarily comprised of appliance repair service and protection plans, electric and natural gas technical infrastructure construction and maintenance services, and in Nebraska and Wyoming, an unbundled natural gas commodity offering under the regulatory-approved Choice Gas Program. Revenue contracts for these services generally represent a single performance obligation with the price reflecting the standalone selling price stated in the agreement, and the revenue is variable based on the units delivered or services provided.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3" w:name="page14"/>
    <w:bookmarkEnd w:id="13"/>
    <w:p>
      <w:pPr>
        <w:ind w:right="260"/>
        <w:spacing w:after="0" w:line="277" w:lineRule="auto"/>
        <w:rPr>
          <w:sz w:val="20"/>
          <w:szCs w:val="20"/>
          <w:color w:val="auto"/>
        </w:rPr>
      </w:pPr>
      <w:r>
        <w:rPr>
          <w:rFonts w:ascii="Arial" w:cs="Arial" w:eastAsia="Arial" w:hAnsi="Arial"/>
          <w:sz w:val="18"/>
          <w:szCs w:val="18"/>
          <w:color w:val="auto"/>
        </w:rPr>
        <w:t>The following table depicts the disaggregation of revenue, including intercompany revenue, from contracts with customers by customer type and timing of revenue recognition for each of the reporting segments. Sales tax and other similar taxes are excluded from revenues.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Electric</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Power</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Inter-company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880" w:type="dxa"/>
            <w:vAlign w:val="bottom"/>
            <w:gridSpan w:val="4"/>
          </w:tcPr>
          <w:p>
            <w:pPr>
              <w:ind w:left="40"/>
              <w:spacing w:after="0"/>
              <w:rPr>
                <w:sz w:val="20"/>
                <w:szCs w:val="20"/>
                <w:color w:val="auto"/>
              </w:rPr>
            </w:pPr>
            <w:r>
              <w:rPr>
                <w:rFonts w:ascii="Arial" w:cs="Arial" w:eastAsia="Arial" w:hAnsi="Arial"/>
                <w:sz w:val="18"/>
                <w:szCs w:val="18"/>
                <w:color w:val="auto"/>
              </w:rPr>
              <w:t>Three Months Ended March 31, 2018</w:t>
            </w:r>
          </w:p>
        </w:tc>
        <w:tc>
          <w:tcPr>
            <w:tcW w:w="24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Utilities</w:t>
            </w:r>
          </w:p>
        </w:tc>
        <w:tc>
          <w:tcPr>
            <w:tcW w:w="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w w:val="95"/>
              </w:rPr>
              <w:t>Gas Utilities</w:t>
            </w:r>
          </w:p>
        </w:tc>
        <w:tc>
          <w:tcPr>
            <w:tcW w:w="2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w w:val="94"/>
              </w:rPr>
              <w:t>Generation</w:t>
            </w:r>
          </w:p>
        </w:tc>
        <w:tc>
          <w:tcPr>
            <w:tcW w:w="2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Mining</w:t>
            </w:r>
          </w:p>
        </w:tc>
        <w:tc>
          <w:tcPr>
            <w:tcW w:w="24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w w:val="93"/>
              </w:rPr>
              <w:t>Revenues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27"/>
        </w:trPr>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388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Customer types: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3"/>
          </w:tcPr>
          <w:p>
            <w:pPr>
              <w:jc w:val="right"/>
              <w:ind w:right="590"/>
              <w:spacing w:after="0" w:line="196" w:lineRule="exact"/>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384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Retail</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147,057</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341,394</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16,557</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(7,842)</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497,166</w:t>
            </w:r>
          </w:p>
        </w:tc>
      </w:tr>
      <w:tr>
        <w:trPr>
          <w:trHeight w:val="243"/>
        </w:trPr>
        <w:tc>
          <w:tcPr>
            <w:tcW w:w="40" w:type="dxa"/>
            <w:vAlign w:val="bottom"/>
          </w:tcPr>
          <w:p>
            <w:pPr>
              <w:spacing w:after="0"/>
              <w:rPr>
                <w:sz w:val="21"/>
                <w:szCs w:val="21"/>
                <w:color w:val="auto"/>
              </w:rPr>
            </w:pPr>
          </w:p>
        </w:tc>
        <w:tc>
          <w:tcPr>
            <w:tcW w:w="3840" w:type="dxa"/>
            <w:vAlign w:val="bottom"/>
            <w:gridSpan w:val="3"/>
          </w:tcPr>
          <w:p>
            <w:pPr>
              <w:ind w:left="1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41,669</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41,260</w:t>
            </w: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384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Wholesale</w:t>
            </w:r>
          </w:p>
        </w:tc>
        <w:tc>
          <w:tcPr>
            <w:tcW w:w="2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9,050</w:t>
            </w:r>
          </w:p>
        </w:tc>
        <w:tc>
          <w:tcPr>
            <w:tcW w:w="2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13,933</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(12,213)</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10,770</w:t>
            </w:r>
          </w:p>
        </w:tc>
      </w:tr>
      <w:tr>
        <w:trPr>
          <w:trHeight w:val="243"/>
        </w:trPr>
        <w:tc>
          <w:tcPr>
            <w:tcW w:w="40" w:type="dxa"/>
            <w:vAlign w:val="bottom"/>
          </w:tcPr>
          <w:p>
            <w:pPr>
              <w:spacing w:after="0"/>
              <w:rPr>
                <w:sz w:val="21"/>
                <w:szCs w:val="21"/>
                <w:color w:val="auto"/>
              </w:rPr>
            </w:pPr>
          </w:p>
        </w:tc>
        <w:tc>
          <w:tcPr>
            <w:tcW w:w="3840" w:type="dxa"/>
            <w:vAlign w:val="bottom"/>
            <w:gridSpan w:val="3"/>
          </w:tcPr>
          <w:p>
            <w:pPr>
              <w:ind w:left="140"/>
              <w:spacing w:after="0"/>
              <w:rPr>
                <w:sz w:val="20"/>
                <w:szCs w:val="20"/>
                <w:color w:val="auto"/>
              </w:rPr>
            </w:pPr>
            <w:r>
              <w:rPr>
                <w:rFonts w:ascii="Arial" w:cs="Arial" w:eastAsia="Arial" w:hAnsi="Arial"/>
                <w:sz w:val="18"/>
                <w:szCs w:val="18"/>
                <w:color w:val="auto"/>
              </w:rPr>
              <w:t>Market - off-system sales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4,144</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(2,522)</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2,049</w:t>
            </w: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tcBorders>
              <w:bottom w:val="single" w:sz="8" w:color="CEFFE7"/>
            </w:tcBorders>
            <w:shd w:val="clear" w:color="auto" w:fill="CEFFE7"/>
          </w:tcPr>
          <w:p>
            <w:pPr>
              <w:spacing w:after="0"/>
              <w:rPr>
                <w:sz w:val="23"/>
                <w:szCs w:val="23"/>
                <w:color w:val="auto"/>
              </w:rPr>
            </w:pPr>
          </w:p>
        </w:tc>
        <w:tc>
          <w:tcPr>
            <w:tcW w:w="384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Transmission/Other</w:t>
            </w:r>
          </w:p>
        </w:tc>
        <w:tc>
          <w:tcPr>
            <w:tcW w:w="24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13,071</w:t>
            </w:r>
          </w:p>
        </w:tc>
        <w:tc>
          <w:tcPr>
            <w:tcW w:w="20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12,670</w:t>
            </w:r>
          </w:p>
        </w:tc>
        <w:tc>
          <w:tcPr>
            <w:tcW w:w="20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(3,631)</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22,110</w:t>
            </w:r>
          </w:p>
        </w:tc>
      </w:tr>
      <w:tr>
        <w:trPr>
          <w:trHeight w:val="237"/>
        </w:trPr>
        <w:tc>
          <w:tcPr>
            <w:tcW w:w="40" w:type="dxa"/>
            <w:vAlign w:val="bottom"/>
          </w:tcPr>
          <w:p>
            <w:pPr>
              <w:spacing w:after="0"/>
              <w:rPr>
                <w:sz w:val="20"/>
                <w:szCs w:val="20"/>
                <w:color w:val="auto"/>
              </w:rPr>
            </w:pPr>
          </w:p>
        </w:tc>
        <w:tc>
          <w:tcPr>
            <w:tcW w:w="3840" w:type="dxa"/>
            <w:vAlign w:val="bottom"/>
            <w:gridSpan w:val="3"/>
          </w:tcPr>
          <w:p>
            <w:pPr>
              <w:ind w:left="140"/>
              <w:spacing w:after="0"/>
              <w:rPr>
                <w:sz w:val="20"/>
                <w:szCs w:val="20"/>
                <w:color w:val="auto"/>
              </w:rPr>
            </w:pPr>
            <w:r>
              <w:rPr>
                <w:rFonts w:ascii="Arial" w:cs="Arial" w:eastAsia="Arial" w:hAnsi="Arial"/>
                <w:sz w:val="18"/>
                <w:szCs w:val="18"/>
                <w:color w:val="auto"/>
              </w:rPr>
              <w:t>Revenue from contracts with customers</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173,322</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396,160</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13,933</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16,557</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(26,617)</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573,355</w:t>
            </w: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tcBorders>
              <w:bottom w:val="single" w:sz="8" w:color="CEFFE7"/>
            </w:tcBorders>
            <w:shd w:val="clear" w:color="auto" w:fill="CEFFE7"/>
          </w:tcPr>
          <w:p>
            <w:pPr>
              <w:spacing w:after="0"/>
              <w:rPr>
                <w:sz w:val="23"/>
                <w:szCs w:val="23"/>
                <w:color w:val="auto"/>
              </w:rPr>
            </w:pPr>
          </w:p>
        </w:tc>
        <w:tc>
          <w:tcPr>
            <w:tcW w:w="384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1,184</w:t>
            </w:r>
          </w:p>
        </w:tc>
        <w:tc>
          <w:tcPr>
            <w:tcW w:w="20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9,170</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571</w:t>
            </w:r>
          </w:p>
        </w:tc>
        <w:tc>
          <w:tcPr>
            <w:tcW w:w="24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(9,124)</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2,034</w:t>
            </w:r>
          </w:p>
        </w:tc>
      </w:tr>
      <w:tr>
        <w:trPr>
          <w:trHeight w:val="297"/>
        </w:trPr>
        <w:tc>
          <w:tcPr>
            <w:tcW w:w="3880" w:type="dxa"/>
            <w:vAlign w:val="bottom"/>
            <w:tcBorders>
              <w:bottom w:val="single" w:sz="8" w:color="CEFFE7"/>
            </w:tcBorders>
            <w:gridSpan w:val="4"/>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173,555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397,344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23,103</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17,128</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(35,741)</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575,389</w:t>
            </w:r>
          </w:p>
        </w:tc>
      </w:tr>
      <w:tr>
        <w:trPr>
          <w:trHeight w:val="311"/>
        </w:trPr>
        <w:tc>
          <w:tcPr>
            <w:tcW w:w="40" w:type="dxa"/>
            <w:vAlign w:val="bottom"/>
            <w:shd w:val="clear" w:color="auto" w:fill="CEFFE7"/>
          </w:tcPr>
          <w:p>
            <w:pPr>
              <w:spacing w:after="0"/>
              <w:rPr>
                <w:sz w:val="24"/>
                <w:szCs w:val="24"/>
                <w:color w:val="auto"/>
              </w:rPr>
            </w:pPr>
          </w:p>
        </w:tc>
        <w:tc>
          <w:tcPr>
            <w:tcW w:w="1160" w:type="dxa"/>
            <w:vAlign w:val="bottom"/>
            <w:shd w:val="clear" w:color="auto" w:fill="CEFFE7"/>
          </w:tcPr>
          <w:p>
            <w:pPr>
              <w:spacing w:after="0"/>
              <w:rPr>
                <w:sz w:val="24"/>
                <w:szCs w:val="24"/>
                <w:color w:val="auto"/>
              </w:rPr>
            </w:pPr>
          </w:p>
        </w:tc>
        <w:tc>
          <w:tcPr>
            <w:tcW w:w="1080" w:type="dxa"/>
            <w:vAlign w:val="bottom"/>
            <w:shd w:val="clear" w:color="auto" w:fill="CEFFE7"/>
          </w:tcPr>
          <w:p>
            <w:pPr>
              <w:spacing w:after="0"/>
              <w:rPr>
                <w:sz w:val="24"/>
                <w:szCs w:val="24"/>
                <w:color w:val="auto"/>
              </w:rPr>
            </w:pPr>
          </w:p>
        </w:tc>
        <w:tc>
          <w:tcPr>
            <w:tcW w:w="160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9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80" w:type="dxa"/>
            <w:vAlign w:val="bottom"/>
            <w:shd w:val="clear" w:color="auto" w:fill="CEFFE7"/>
          </w:tcPr>
          <w:p>
            <w:pPr>
              <w:spacing w:after="0"/>
              <w:rPr>
                <w:sz w:val="24"/>
                <w:szCs w:val="24"/>
                <w:color w:val="auto"/>
              </w:rPr>
            </w:pPr>
          </w:p>
        </w:tc>
      </w:tr>
      <w:tr>
        <w:trPr>
          <w:trHeight w:val="203"/>
        </w:trPr>
        <w:tc>
          <w:tcPr>
            <w:tcW w:w="388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Timing of revenue recognition:</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384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Services transferred at a point in time</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16,557</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(7,842)</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8,715</w:t>
            </w:r>
          </w:p>
        </w:tc>
      </w:tr>
      <w:tr>
        <w:trPr>
          <w:trHeight w:val="243"/>
        </w:trPr>
        <w:tc>
          <w:tcPr>
            <w:tcW w:w="40" w:type="dxa"/>
            <w:vAlign w:val="bottom"/>
          </w:tcPr>
          <w:p>
            <w:pPr>
              <w:spacing w:after="0"/>
              <w:rPr>
                <w:sz w:val="21"/>
                <w:szCs w:val="21"/>
                <w:color w:val="auto"/>
              </w:rPr>
            </w:pPr>
          </w:p>
        </w:tc>
        <w:tc>
          <w:tcPr>
            <w:tcW w:w="3840" w:type="dxa"/>
            <w:vAlign w:val="bottom"/>
            <w:gridSpan w:val="3"/>
          </w:tcPr>
          <w:p>
            <w:pPr>
              <w:ind w:left="140"/>
              <w:spacing w:after="0"/>
              <w:rPr>
                <w:sz w:val="20"/>
                <w:szCs w:val="20"/>
                <w:color w:val="auto"/>
              </w:rPr>
            </w:pPr>
            <w:r>
              <w:rPr>
                <w:rFonts w:ascii="Arial" w:cs="Arial" w:eastAsia="Arial" w:hAnsi="Arial"/>
                <w:sz w:val="18"/>
                <w:szCs w:val="18"/>
                <w:color w:val="auto"/>
              </w:rPr>
              <w:t>Services transferred over time</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173,322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396,160</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13,933</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(18,775)</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564,640</w:t>
            </w:r>
          </w:p>
        </w:tc>
      </w:tr>
      <w:tr>
        <w:trPr>
          <w:trHeight w:val="27"/>
        </w:trPr>
        <w:tc>
          <w:tcPr>
            <w:tcW w:w="40" w:type="dxa"/>
            <w:vAlign w:val="bottom"/>
            <w:tcBorders>
              <w:bottom w:val="single" w:sz="8" w:color="CEFFE7"/>
            </w:tcBorders>
          </w:tcPr>
          <w:p>
            <w:pPr>
              <w:spacing w:after="0"/>
              <w:rPr>
                <w:sz w:val="2"/>
                <w:szCs w:val="2"/>
                <w:color w:val="auto"/>
              </w:rPr>
            </w:pPr>
          </w:p>
        </w:tc>
        <w:tc>
          <w:tcPr>
            <w:tcW w:w="1160" w:type="dxa"/>
            <w:vAlign w:val="bottom"/>
            <w:tcBorders>
              <w:bottom w:val="single" w:sz="8" w:color="CEFFE7"/>
            </w:tcBorders>
          </w:tcPr>
          <w:p>
            <w:pPr>
              <w:spacing w:after="0"/>
              <w:rPr>
                <w:sz w:val="2"/>
                <w:szCs w:val="2"/>
                <w:color w:val="auto"/>
              </w:rPr>
            </w:pPr>
          </w:p>
        </w:tc>
        <w:tc>
          <w:tcPr>
            <w:tcW w:w="1080" w:type="dxa"/>
            <w:vAlign w:val="bottom"/>
            <w:tcBorders>
              <w:bottom w:val="single" w:sz="8" w:color="CEFFE7"/>
            </w:tcBorders>
          </w:tcPr>
          <w:p>
            <w:pPr>
              <w:spacing w:after="0"/>
              <w:rPr>
                <w:sz w:val="2"/>
                <w:szCs w:val="2"/>
                <w:color w:val="auto"/>
              </w:rPr>
            </w:pPr>
          </w:p>
        </w:tc>
        <w:tc>
          <w:tcPr>
            <w:tcW w:w="16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384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Revenue from contracts with customers</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173,322</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396,160</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13,933</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16,557</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(26,617)</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573,355</w:t>
            </w: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majority of our revenue contracts are based on variable quantities delivered; any fixed consideration contracts with an expected duration of one year or more are immaterial to our consolidated revenues. Variable consideration constraints in the form of discounts, rebates, credits, price concessions, incentives, performance bonuses, penalties or other similar items are not material for our revenue contracts. We are the principal in our revenue contracts, as we have control over the services prior to those services being transferred to the customer.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Not in Scope of ASC 606</w:t>
      </w:r>
    </w:p>
    <w:p>
      <w:pPr>
        <w:spacing w:after="0" w:line="18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Other revenues included in the table include our revenue accounted for under separate accounting guidance, including lease revenue under ASC 840 and alternative revenue programs revenue under ASC 980. The majority of our lease revenue is related to a 20-year power sale agreement between Colorado IPP and affiliate Colorado Electric. This agreement is accounted for as a direct financing lease whereby Colorado IPP receives revenue for energy delivered and related capacity payments. This lease revenue is eliminated in our consolidated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and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TCJA Revenue Reserve</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TCJA or “tax reform” signed into law on December 22, 2017, reduced the federal corporate income tax rate from 35% to 21% effective for tax years beginning after December 31, 2017. Many of Black Hills’ regulators have directed the utilities to calculate the impact of tax reform on existing customer rates and tariffs caused by the income tax rate reduction. Until the regulators have a chance to review and approve these calculations, the utilities continue to charge customers existing rates with the embedded 35% tax rate, resulting in a reserve to revenue until new rates reflecting the 21% federal tax rate are effective. We estimated and recorded a reserve to revenue of approximately $15 million during the three months ended March 31,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Unbilled Revenue</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Revenues attributable to natural gas and electricity delivered to customers but not yet billed are estimated and accrued, and the related costs are charged to expense. Factors influencing the determination of unbilled revenues include estimates of delivered sales volumes based on weather information and customer consumption trends.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nature of our primary revenue contracts provides an unconditional right to consideration upon service delivery; therefore, no customer contract assets or liabilities exist. The unconditional right to consideration is represented by the balance in our Accounts Receivable further discussed in Note 4. We do not typically incur costs that would be capitalized to obtain or fulfill a contract.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revenue contracts generally provide for performance obligations that are fulfilled and transfer control to customers over time, represent a series of distinct services that are substantially the same, involve the same pattern of transfer to the customer, and provide a right to consideration from our customers in an amount that corresponds directly with the value to the customer for the performance completed to date. Therefore, we recognize revenue in the amount to which we have a right to invoice.</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have revenue contract performance obligations with similar characteristics, and we reasonably expect that the financial statement impact of applying the new revenue recognition guidance to a portfolio of contracts would not differ materially from applying this guidance to the individual contracts or performance obligations within the portfolio. Therefore, we have elected the portfolio approach in applying the new revenue guidance.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00" w:right="259" w:bottom="1440" w:gutter="0" w:footer="0" w:header="0"/>
        </w:sectPr>
      </w:pPr>
    </w:p>
    <w:bookmarkStart w:id="15" w:name="page16"/>
    <w:bookmarkEnd w:id="15"/>
    <w:p>
      <w:pPr>
        <w:spacing w:after="0"/>
        <w:tabs>
          <w:tab w:leader="none" w:pos="3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Segment information and Corporate and Other included in the accompanying Condensed Consolidated Statements of Income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4"/>
          </w:tcPr>
          <w:p>
            <w:pPr>
              <w:jc w:val="right"/>
              <w:ind w:right="420"/>
              <w:spacing w:after="0"/>
              <w:rPr>
                <w:sz w:val="20"/>
                <w:szCs w:val="20"/>
                <w:color w:val="auto"/>
              </w:rPr>
            </w:pPr>
            <w:r>
              <w:rPr>
                <w:rFonts w:ascii="Arial" w:cs="Arial" w:eastAsia="Arial" w:hAnsi="Arial"/>
                <w:sz w:val="18"/>
                <w:szCs w:val="18"/>
                <w:color w:val="auto"/>
                <w:w w:val="95"/>
              </w:rPr>
              <w:t>Inter-company Operating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0"/>
        </w:trPr>
        <w:tc>
          <w:tcPr>
            <w:tcW w:w="3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40" w:type="dxa"/>
            <w:vAlign w:val="bottom"/>
            <w:gridSpan w:val="4"/>
          </w:tcPr>
          <w:p>
            <w:pPr>
              <w:ind w:left="40"/>
              <w:spacing w:after="0"/>
              <w:rPr>
                <w:sz w:val="20"/>
                <w:szCs w:val="20"/>
                <w:color w:val="auto"/>
              </w:rPr>
            </w:pPr>
            <w:r>
              <w:rPr>
                <w:rFonts w:ascii="Arial" w:cs="Arial" w:eastAsia="Arial" w:hAnsi="Arial"/>
                <w:sz w:val="18"/>
                <w:szCs w:val="18"/>
                <w:color w:val="auto"/>
              </w:rPr>
              <w:t>External Operating Revenue</w:t>
            </w:r>
          </w:p>
        </w:tc>
        <w:tc>
          <w:tcPr>
            <w:tcW w:w="140" w:type="dxa"/>
            <w:vAlign w:val="bottom"/>
          </w:tcPr>
          <w:p>
            <w:pPr>
              <w:spacing w:after="0"/>
              <w:rPr>
                <w:sz w:val="23"/>
                <w:szCs w:val="23"/>
                <w:color w:val="auto"/>
              </w:rPr>
            </w:pPr>
          </w:p>
        </w:tc>
        <w:tc>
          <w:tcPr>
            <w:tcW w:w="2340" w:type="dxa"/>
            <w:vAlign w:val="bottom"/>
            <w:gridSpan w:val="4"/>
          </w:tcPr>
          <w:p>
            <w:pPr>
              <w:ind w:left="68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Net income (loss)</w:t>
            </w:r>
          </w:p>
        </w:tc>
      </w:tr>
      <w:tr>
        <w:trPr>
          <w:trHeight w:val="216"/>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Contract</w:t>
            </w:r>
          </w:p>
        </w:tc>
        <w:tc>
          <w:tcPr>
            <w:tcW w:w="2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Contract</w:t>
            </w:r>
          </w:p>
        </w:tc>
        <w:tc>
          <w:tcPr>
            <w:tcW w:w="18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from continuing</w:t>
            </w: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Three Months Ended March 31, 2018</w:t>
            </w: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w w:val="94"/>
              </w:rPr>
              <w:t>Customers</w:t>
            </w:r>
          </w:p>
        </w:tc>
        <w:tc>
          <w:tcPr>
            <w:tcW w:w="22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Revenues</w:t>
            </w:r>
          </w:p>
        </w:tc>
        <w:tc>
          <w:tcPr>
            <w:tcW w:w="14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w w:val="89"/>
              </w:rPr>
              <w:t>Customers</w:t>
            </w:r>
          </w:p>
        </w:tc>
        <w:tc>
          <w:tcPr>
            <w:tcW w:w="1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Revenues</w:t>
            </w: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Revenues</w:t>
            </w:r>
          </w:p>
        </w:tc>
        <w:tc>
          <w:tcPr>
            <w:tcW w:w="1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operations</w:t>
            </w:r>
          </w:p>
        </w:tc>
      </w:tr>
      <w:tr>
        <w:trPr>
          <w:trHeight w:val="27"/>
        </w:trPr>
        <w:tc>
          <w:tcPr>
            <w:tcW w:w="3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Segment:</w:t>
            </w:r>
          </w:p>
        </w:tc>
        <w:tc>
          <w:tcPr>
            <w:tcW w:w="1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Electric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167,178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6,144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173,555</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19,845</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540" w:type="dxa"/>
            <w:vAlign w:val="bottom"/>
            <w:shd w:val="clear" w:color="auto" w:fill="CEFFE7"/>
          </w:tcPr>
          <w:p>
            <w:pPr>
              <w:ind w:left="200"/>
              <w:spacing w:after="0" w:line="270" w:lineRule="exact"/>
              <w:rPr>
                <w:sz w:val="20"/>
                <w:szCs w:val="20"/>
                <w:color w:val="auto"/>
              </w:rPr>
            </w:pPr>
            <w:r>
              <w:rPr>
                <w:rFonts w:ascii="Arial" w:cs="Arial" w:eastAsia="Arial" w:hAnsi="Arial"/>
                <w:sz w:val="18"/>
                <w:szCs w:val="18"/>
                <w:color w:val="auto"/>
              </w:rPr>
              <w:t xml:space="preserve">Gas </w:t>
            </w:r>
            <w:r>
              <w:rPr>
                <w:rFonts w:ascii="Arial" w:cs="Arial" w:eastAsia="Arial" w:hAnsi="Arial"/>
                <w:sz w:val="25"/>
                <w:szCs w:val="25"/>
                <w:color w:val="auto"/>
                <w:vertAlign w:val="superscript"/>
              </w:rPr>
              <w:t>(a)</w:t>
            </w:r>
          </w:p>
        </w:tc>
        <w:tc>
          <w:tcPr>
            <w:tcW w:w="140" w:type="dxa"/>
            <w:vAlign w:val="bottom"/>
            <w:shd w:val="clear" w:color="auto" w:fill="CEFFE7"/>
          </w:tcPr>
          <w:p>
            <w:pPr>
              <w:spacing w:after="0"/>
              <w:rPr>
                <w:sz w:val="23"/>
                <w:szCs w:val="23"/>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395,742</w:t>
            </w:r>
          </w:p>
        </w:tc>
        <w:tc>
          <w:tcPr>
            <w:tcW w:w="220" w:type="dxa"/>
            <w:vAlign w:val="bottom"/>
            <w:shd w:val="clear" w:color="auto" w:fill="CEFFE7"/>
          </w:tcPr>
          <w:p>
            <w:pPr>
              <w:spacing w:after="0"/>
              <w:rPr>
                <w:sz w:val="23"/>
                <w:szCs w:val="23"/>
                <w:color w:val="auto"/>
              </w:rPr>
            </w:pPr>
          </w:p>
        </w:tc>
        <w:tc>
          <w:tcPr>
            <w:tcW w:w="10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1,184</w:t>
            </w:r>
          </w:p>
        </w:tc>
        <w:tc>
          <w:tcPr>
            <w:tcW w:w="2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EFFE7"/>
          </w:tcPr>
          <w:p>
            <w:pPr>
              <w:spacing w:after="0"/>
              <w:rPr>
                <w:sz w:val="23"/>
                <w:szCs w:val="23"/>
                <w:color w:val="auto"/>
              </w:rPr>
            </w:pPr>
          </w:p>
        </w:tc>
        <w:tc>
          <w:tcPr>
            <w:tcW w:w="1180" w:type="dxa"/>
            <w:vAlign w:val="bottom"/>
            <w:gridSpan w:val="2"/>
            <w:shd w:val="clear" w:color="auto" w:fill="CEFFE7"/>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EFFE7"/>
          </w:tcPr>
          <w:p>
            <w:pPr>
              <w:spacing w:after="0"/>
              <w:rPr>
                <w:sz w:val="23"/>
                <w:szCs w:val="23"/>
                <w:color w:val="auto"/>
              </w:rPr>
            </w:pPr>
          </w:p>
        </w:tc>
        <w:tc>
          <w:tcPr>
            <w:tcW w:w="9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397,344</w:t>
            </w:r>
          </w:p>
        </w:tc>
        <w:tc>
          <w:tcPr>
            <w:tcW w:w="20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107,620</w:t>
            </w:r>
          </w:p>
        </w:tc>
      </w:tr>
      <w:tr>
        <w:trPr>
          <w:trHeight w:val="270"/>
        </w:trPr>
        <w:tc>
          <w:tcPr>
            <w:tcW w:w="354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(b)</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1,720</w:t>
            </w:r>
          </w:p>
        </w:tc>
        <w:tc>
          <w:tcPr>
            <w:tcW w:w="2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12,213</w:t>
            </w: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8,799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23,103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5,856</w:t>
            </w:r>
          </w:p>
        </w:tc>
      </w:tr>
      <w:tr>
        <w:trPr>
          <w:trHeight w:val="250"/>
        </w:trPr>
        <w:tc>
          <w:tcPr>
            <w:tcW w:w="354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8"/>
                <w:szCs w:val="18"/>
                <w:color w:val="auto"/>
              </w:rPr>
              <w:t>Mining</w:t>
            </w:r>
          </w:p>
        </w:tc>
        <w:tc>
          <w:tcPr>
            <w:tcW w:w="1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8,715</w:t>
            </w: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246</w:t>
            </w:r>
          </w:p>
        </w:tc>
        <w:tc>
          <w:tcPr>
            <w:tcW w:w="2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7,842</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325</w:t>
            </w:r>
          </w:p>
        </w:tc>
        <w:tc>
          <w:tcPr>
            <w:tcW w:w="2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17,128</w:t>
            </w: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2,984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Inter-company eliminations</w:t>
            </w:r>
          </w:p>
        </w:tc>
        <w:tc>
          <w:tcPr>
            <w:tcW w:w="14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gridSpan w:val="2"/>
            <w:shd w:val="clear" w:color="auto" w:fill="CEFFE7"/>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(26,617)</w:t>
            </w:r>
          </w:p>
        </w:tc>
        <w:tc>
          <w:tcPr>
            <w:tcW w:w="1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(9,124)</w:t>
            </w:r>
          </w:p>
        </w:tc>
        <w:tc>
          <w:tcPr>
            <w:tcW w:w="22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(35,741)</w:t>
            </w:r>
          </w:p>
        </w:tc>
        <w:tc>
          <w:tcPr>
            <w:tcW w:w="20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573,355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2,034</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575,389</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135,347</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Under our modified retrospective adoption of ASU 2014-09, revenues for the three months ended March 31, 2017 are not presented by contract type.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Net income (loss)</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External Operating</w:t>
            </w:r>
          </w:p>
        </w:tc>
        <w:tc>
          <w:tcPr>
            <w:tcW w:w="16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Inter-company</w:t>
            </w: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from continuing</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Three Months Ended March 31, 2017</w:t>
            </w:r>
          </w:p>
        </w:tc>
        <w:tc>
          <w:tcPr>
            <w:tcW w:w="300" w:type="dxa"/>
            <w:vAlign w:val="bottom"/>
          </w:tcPr>
          <w:p>
            <w:pPr>
              <w:spacing w:after="0"/>
              <w:rPr>
                <w:sz w:val="20"/>
                <w:szCs w:val="20"/>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Revenue</w:t>
            </w:r>
          </w:p>
        </w:tc>
        <w:tc>
          <w:tcPr>
            <w:tcW w:w="160" w:type="dxa"/>
            <w:vAlign w:val="bottom"/>
          </w:tcPr>
          <w:p>
            <w:pPr>
              <w:spacing w:after="0"/>
              <w:rPr>
                <w:sz w:val="20"/>
                <w:szCs w:val="20"/>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Operating Revenue</w:t>
            </w:r>
          </w:p>
        </w:tc>
        <w:tc>
          <w:tcPr>
            <w:tcW w:w="1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operations</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6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Segment:</w:t>
            </w:r>
          </w:p>
        </w:tc>
        <w:tc>
          <w:tcPr>
            <w:tcW w:w="3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140" w:type="dxa"/>
            <w:vAlign w:val="bottom"/>
          </w:tcPr>
          <w:p>
            <w:pPr>
              <w:ind w:left="160"/>
              <w:spacing w:after="0" w:line="270" w:lineRule="exact"/>
              <w:rPr>
                <w:sz w:val="20"/>
                <w:szCs w:val="20"/>
                <w:color w:val="auto"/>
              </w:rPr>
            </w:pPr>
            <w:r>
              <w:rPr>
                <w:rFonts w:ascii="Arial" w:cs="Arial" w:eastAsia="Arial" w:hAnsi="Arial"/>
                <w:sz w:val="18"/>
                <w:szCs w:val="18"/>
                <w:color w:val="auto"/>
              </w:rPr>
              <w:t>Electric</w:t>
            </w:r>
            <w:r>
              <w:rPr>
                <w:rFonts w:ascii="Arial" w:cs="Arial" w:eastAsia="Arial" w:hAnsi="Arial"/>
                <w:sz w:val="25"/>
                <w:szCs w:val="25"/>
                <w:color w:val="auto"/>
                <w:vertAlign w:val="superscript"/>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172,170</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3,854</w:t>
            </w:r>
          </w:p>
        </w:tc>
        <w:tc>
          <w:tcPr>
            <w:tcW w:w="2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22,230</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1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Gas</w:t>
            </w:r>
          </w:p>
        </w:tc>
        <w:tc>
          <w:tcPr>
            <w:tcW w:w="3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364,901</w:t>
            </w:r>
          </w:p>
        </w:tc>
        <w:tc>
          <w:tcPr>
            <w:tcW w:w="2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46,010</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14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(b)</w:t>
            </w: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2,102</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21,465</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6,530</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1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Mining</w:t>
            </w:r>
          </w:p>
        </w:tc>
        <w:tc>
          <w:tcPr>
            <w:tcW w:w="3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8,355</w:t>
            </w:r>
          </w:p>
        </w:tc>
        <w:tc>
          <w:tcPr>
            <w:tcW w:w="2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8,191</w:t>
            </w:r>
          </w:p>
        </w:tc>
        <w:tc>
          <w:tcPr>
            <w:tcW w:w="2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1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5"/>
                <w:szCs w:val="25"/>
                <w:color w:val="auto"/>
                <w:vertAlign w:val="superscript"/>
              </w:rPr>
              <w:t>(c)</w:t>
            </w:r>
          </w:p>
        </w:tc>
        <w:tc>
          <w:tcPr>
            <w:tcW w:w="300" w:type="dxa"/>
            <w:vAlign w:val="bottom"/>
          </w:tcPr>
          <w:p>
            <w:pPr>
              <w:spacing w:after="0"/>
              <w:rPr>
                <w:sz w:val="23"/>
                <w:szCs w:val="23"/>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Inter-company eliminations</w:t>
            </w:r>
          </w:p>
        </w:tc>
        <w:tc>
          <w:tcPr>
            <w:tcW w:w="300" w:type="dxa"/>
            <w:vAlign w:val="bottom"/>
            <w:tcBorders>
              <w:bottom w:val="single" w:sz="8" w:color="CEFFE7"/>
            </w:tcBorders>
            <w:shd w:val="clear" w:color="auto" w:fill="CEFFE7"/>
          </w:tcPr>
          <w:p>
            <w:pPr>
              <w:spacing w:after="0"/>
              <w:rPr>
                <w:sz w:val="23"/>
                <w:szCs w:val="23"/>
                <w:color w:val="auto"/>
              </w:rPr>
            </w:pPr>
          </w:p>
        </w:tc>
        <w:tc>
          <w:tcPr>
            <w:tcW w:w="1520" w:type="dxa"/>
            <w:vAlign w:val="bottom"/>
            <w:tcBorders>
              <w:bottom w:val="single" w:sz="8" w:color="CEFFE7"/>
            </w:tcBorders>
            <w:gridSpan w:val="2"/>
            <w:shd w:val="clear" w:color="auto" w:fill="CEFFE7"/>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(33,519)</w:t>
            </w:r>
          </w:p>
        </w:tc>
        <w:tc>
          <w:tcPr>
            <w:tcW w:w="200" w:type="dxa"/>
            <w:vAlign w:val="bottom"/>
            <w:tcBorders>
              <w:bottom w:val="single" w:sz="8" w:color="CEFFE7"/>
            </w:tcBorders>
            <w:shd w:val="clear" w:color="auto" w:fill="CEFFE7"/>
          </w:tcPr>
          <w:p>
            <w:pPr>
              <w:spacing w:after="0"/>
              <w:rPr>
                <w:sz w:val="23"/>
                <w:szCs w:val="23"/>
                <w:color w:val="auto"/>
              </w:rPr>
            </w:pPr>
          </w:p>
        </w:tc>
        <w:tc>
          <w:tcPr>
            <w:tcW w:w="180" w:type="dxa"/>
            <w:vAlign w:val="bottom"/>
            <w:tcBorders>
              <w:bottom w:val="single" w:sz="8" w:color="CEFFE7"/>
            </w:tcBorders>
            <w:shd w:val="clear" w:color="auto" w:fill="CEFFE7"/>
          </w:tcPr>
          <w:p>
            <w:pPr>
              <w:spacing w:after="0"/>
              <w:rPr>
                <w:sz w:val="23"/>
                <w:szCs w:val="23"/>
                <w:color w:val="auto"/>
              </w:rPr>
            </w:pP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547,528</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78,092</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jc w:val="right"/>
              <w:ind w:right="5210"/>
              <w:spacing w:after="0"/>
              <w:rPr>
                <w:sz w:val="20"/>
                <w:szCs w:val="20"/>
                <w:color w:val="auto"/>
              </w:rPr>
            </w:pPr>
            <w:r>
              <w:rPr>
                <w:rFonts w:ascii="Arial" w:cs="Arial" w:eastAsia="Arial" w:hAnsi="Arial"/>
                <w:sz w:val="16"/>
                <w:szCs w:val="16"/>
                <w:color w:val="auto"/>
                <w:w w:val="89"/>
              </w:rPr>
              <w:t>___________</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8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income from continuing operations available for common stock for the three months ended March 31, 2018 included a $49 million tax benefit resulting from legal entity restructuring. See Note 19 of the Notes to Condensed Consolidated Financial Statements for more information.</w:t>
      </w:r>
    </w:p>
    <w:p>
      <w:pPr>
        <w:ind w:left="340" w:right="28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income from continuing operations available for common stock for the three months ended March 31, 2018 and March 31, 2017 reflects net income attributable to noncontrolling interests of $3.6 million and $3.5 million, respectively.</w:t>
      </w:r>
    </w:p>
    <w:p>
      <w:pPr>
        <w:ind w:left="340" w:right="60" w:hanging="332"/>
        <w:spacing w:after="0" w:line="257"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income (loss) from continuing operations available for common stock for the three months ended March 31, 2017 included a $1.4 million tax benefit recognized from carryback claims for specified liability losses involving prior tax years.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Segment information and Corporate balances included in the accompanying Condensed Consolidated Balance Sheets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Total Assets (net of inter-company eliminations) as of:</w:t>
            </w:r>
          </w:p>
        </w:tc>
        <w:tc>
          <w:tcPr>
            <w:tcW w:w="280" w:type="dxa"/>
            <w:vAlign w:val="bottom"/>
          </w:tcPr>
          <w:p>
            <w:pPr>
              <w:spacing w:after="0"/>
              <w:rPr>
                <w:sz w:val="20"/>
                <w:szCs w:val="20"/>
                <w:color w:val="auto"/>
              </w:rPr>
            </w:pP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March 31, 2018</w:t>
            </w:r>
          </w:p>
        </w:tc>
        <w:tc>
          <w:tcPr>
            <w:tcW w:w="300" w:type="dxa"/>
            <w:vAlign w:val="bottom"/>
          </w:tcPr>
          <w:p>
            <w:pPr>
              <w:spacing w:after="0"/>
              <w:rPr>
                <w:sz w:val="20"/>
                <w:szCs w:val="20"/>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color w:val="auto"/>
                <w:w w:val="94"/>
              </w:rPr>
              <w:t>December 31, 2017</w:t>
            </w:r>
          </w:p>
        </w:tc>
        <w:tc>
          <w:tcPr>
            <w:tcW w:w="380" w:type="dxa"/>
            <w:vAlign w:val="bottom"/>
          </w:tcPr>
          <w:p>
            <w:pPr>
              <w:spacing w:after="0"/>
              <w:rPr>
                <w:sz w:val="20"/>
                <w:szCs w:val="20"/>
                <w:color w:val="auto"/>
              </w:rPr>
            </w:pP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March 31, 2017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Segment:</w:t>
            </w: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Electric </w:t>
            </w:r>
            <w:r>
              <w:rPr>
                <w:rFonts w:ascii="Arial" w:cs="Arial" w:eastAsia="Arial" w:hAnsi="Arial"/>
                <w:sz w:val="25"/>
                <w:szCs w:val="25"/>
                <w:color w:val="auto"/>
                <w:vertAlign w:val="superscript"/>
              </w:rPr>
              <w:t>(a)</w:t>
            </w:r>
          </w:p>
        </w:tc>
        <w:tc>
          <w:tcPr>
            <w:tcW w:w="28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2,890,708</w:t>
            </w:r>
          </w:p>
        </w:tc>
        <w:tc>
          <w:tcPr>
            <w:tcW w:w="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2,906,275</w:t>
            </w:r>
          </w:p>
        </w:tc>
        <w:tc>
          <w:tcPr>
            <w:tcW w:w="38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2,872,989</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Gas</w:t>
            </w:r>
          </w:p>
        </w:tc>
        <w:tc>
          <w:tcPr>
            <w:tcW w:w="28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3,398,473</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3,426,466</w:t>
            </w:r>
          </w:p>
        </w:tc>
        <w:tc>
          <w:tcPr>
            <w:tcW w:w="3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3,260,989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280" w:type="dxa"/>
            <w:vAlign w:val="bottom"/>
            <w:shd w:val="clear" w:color="auto" w:fill="CEFFE7"/>
          </w:tcPr>
          <w:p>
            <w:pPr>
              <w:spacing w:after="0"/>
              <w:rPr>
                <w:sz w:val="23"/>
                <w:szCs w:val="23"/>
                <w:color w:val="auto"/>
              </w:rPr>
            </w:pPr>
          </w:p>
        </w:tc>
        <w:tc>
          <w:tcPr>
            <w:tcW w:w="18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53,323</w:t>
            </w:r>
          </w:p>
        </w:tc>
        <w:tc>
          <w:tcPr>
            <w:tcW w:w="300" w:type="dxa"/>
            <w:vAlign w:val="bottom"/>
            <w:shd w:val="clear" w:color="auto" w:fill="CEFFE7"/>
          </w:tcPr>
          <w:p>
            <w:pPr>
              <w:spacing w:after="0"/>
              <w:rPr>
                <w:sz w:val="23"/>
                <w:szCs w:val="23"/>
                <w:color w:val="auto"/>
              </w:rPr>
            </w:pPr>
          </w:p>
        </w:tc>
        <w:tc>
          <w:tcPr>
            <w:tcW w:w="18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60,852</w:t>
            </w:r>
          </w:p>
        </w:tc>
        <w:tc>
          <w:tcPr>
            <w:tcW w:w="380" w:type="dxa"/>
            <w:vAlign w:val="bottom"/>
            <w:shd w:val="clear" w:color="auto" w:fill="CEFFE7"/>
          </w:tcPr>
          <w:p>
            <w:pPr>
              <w:spacing w:after="0"/>
              <w:rPr>
                <w:sz w:val="23"/>
                <w:szCs w:val="23"/>
                <w:color w:val="auto"/>
              </w:rPr>
            </w:pPr>
          </w:p>
        </w:tc>
        <w:tc>
          <w:tcPr>
            <w:tcW w:w="17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69,737</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Mining</w:t>
            </w:r>
          </w:p>
        </w:tc>
        <w:tc>
          <w:tcPr>
            <w:tcW w:w="28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65,568</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65,455</w:t>
            </w:r>
          </w:p>
        </w:tc>
        <w:tc>
          <w:tcPr>
            <w:tcW w:w="3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64,973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Corporate activities</w:t>
            </w:r>
          </w:p>
        </w:tc>
        <w:tc>
          <w:tcPr>
            <w:tcW w:w="28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194,193</w:t>
            </w:r>
          </w:p>
        </w:tc>
        <w:tc>
          <w:tcPr>
            <w:tcW w:w="30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115,612</w:t>
            </w:r>
          </w:p>
        </w:tc>
        <w:tc>
          <w:tcPr>
            <w:tcW w:w="38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113,143</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24,724</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84,242</w:t>
            </w:r>
          </w:p>
        </w:tc>
        <w:tc>
          <w:tcPr>
            <w:tcW w:w="3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117,740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6,626,989</w:t>
            </w:r>
          </w:p>
        </w:tc>
        <w:tc>
          <w:tcPr>
            <w:tcW w:w="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6,658,902</w:t>
            </w:r>
          </w:p>
        </w:tc>
        <w:tc>
          <w:tcPr>
            <w:tcW w:w="38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6,499,571</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40" w:hanging="332"/>
        <w:spacing w:after="0" w:line="290" w:lineRule="auto"/>
        <w:tabs>
          <w:tab w:leader="none" w:pos="3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PPA under which Black Hills Colorado IPP provides generation to support Colorado Electric customers from the Pueblo Airport Generation Station is accounted for as a capital lease. As such, assets owned by our Power Generation segment are recorded at Colorado Electric under accounting for a capital lease.</w:t>
      </w:r>
    </w:p>
    <w:p>
      <w:pPr>
        <w:spacing w:after="0" w:line="13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Accounts receivable, net included in the accompanying Condensed Consolidated Balance Sheets (in thousands) as 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Accounts</w:t>
            </w:r>
          </w:p>
        </w:tc>
        <w:tc>
          <w:tcPr>
            <w:tcW w:w="30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March 31, 2018</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8"/>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8"/>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40,492</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33,907</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73,775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120,910</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60,142</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(3,684)</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177,368</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1,580</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1,580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3,133</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3,133</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1,916</w:t>
            </w:r>
          </w:p>
        </w:tc>
        <w:tc>
          <w:tcPr>
            <w:tcW w:w="30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1,916</w:t>
            </w:r>
          </w:p>
        </w:tc>
      </w:tr>
      <w:tr>
        <w:trPr>
          <w:trHeight w:val="257"/>
        </w:trPr>
        <w:tc>
          <w:tcPr>
            <w:tcW w:w="446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168,031</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94,049</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257,772</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81"/>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Accounts</w:t>
            </w:r>
          </w:p>
        </w:tc>
        <w:tc>
          <w:tcPr>
            <w:tcW w:w="30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4"/>
                <w:szCs w:val="24"/>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8"/>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8"/>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39,347</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36,384</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75,145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81,256</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88,967</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(2,495)</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167,728</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1,196</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1,196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2,804</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2,804</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1,457</w:t>
            </w:r>
          </w:p>
        </w:tc>
        <w:tc>
          <w:tcPr>
            <w:tcW w:w="30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1,457</w:t>
            </w:r>
          </w:p>
        </w:tc>
      </w:tr>
      <w:tr>
        <w:trPr>
          <w:trHeight w:val="257"/>
        </w:trPr>
        <w:tc>
          <w:tcPr>
            <w:tcW w:w="446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126,060</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125,351</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248,330</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81"/>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Accounts</w:t>
            </w:r>
          </w:p>
        </w:tc>
        <w:tc>
          <w:tcPr>
            <w:tcW w:w="30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4"/>
                <w:szCs w:val="24"/>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March 31, 2017</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8"/>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8"/>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39,679</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30,778</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69,818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98,027</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51,926</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(3,646)</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146,307</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1,353</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1,353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3,197</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3,197</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1,100</w:t>
            </w:r>
          </w:p>
        </w:tc>
        <w:tc>
          <w:tcPr>
            <w:tcW w:w="30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1,100</w:t>
            </w:r>
          </w:p>
        </w:tc>
      </w:tr>
      <w:tr>
        <w:trPr>
          <w:trHeight w:val="257"/>
        </w:trPr>
        <w:tc>
          <w:tcPr>
            <w:tcW w:w="446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143,356</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82,704</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221,775</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35"/>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right"/>
              <w:ind w:right="39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(5)  REGULATORY ACCOUNTING</w:t>
            </w: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We had the following regulatory assets and liabilities (in thousands) as of:</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0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6"/>
              </w:rPr>
              <w:t>Maximum Amortization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140" w:type="dxa"/>
            <w:vAlign w:val="bottom"/>
          </w:tcPr>
          <w:p>
            <w:pPr>
              <w:spacing w:after="0"/>
              <w:rPr>
                <w:sz w:val="20"/>
                <w:szCs w:val="20"/>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color w:val="auto"/>
                <w:w w:val="94"/>
              </w:rPr>
              <w:t>March 31, 2018  December 31, 2017</w:t>
            </w:r>
          </w:p>
        </w:tc>
        <w:tc>
          <w:tcPr>
            <w:tcW w:w="1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w w:val="92"/>
              </w:rPr>
              <w:t>March 31, 2017</w:t>
            </w:r>
          </w:p>
        </w:tc>
        <w:tc>
          <w:tcPr>
            <w:tcW w:w="0" w:type="dxa"/>
            <w:vAlign w:val="bottom"/>
          </w:tcPr>
          <w:p>
            <w:pPr>
              <w:spacing w:after="0"/>
              <w:rPr>
                <w:sz w:val="1"/>
                <w:szCs w:val="1"/>
                <w:color w:val="auto"/>
              </w:rPr>
            </w:pPr>
          </w:p>
        </w:tc>
      </w:tr>
      <w:tr>
        <w:trPr>
          <w:trHeight w:val="27"/>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Regulatory assets</w:t>
            </w:r>
          </w:p>
        </w:tc>
        <w:tc>
          <w:tcPr>
            <w:tcW w:w="1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shd w:val="clear" w:color="auto" w:fill="CEFFE7"/>
          </w:tcPr>
          <w:p>
            <w:pPr>
              <w:ind w:left="180"/>
              <w:spacing w:after="0"/>
              <w:rPr>
                <w:sz w:val="20"/>
                <w:szCs w:val="20"/>
                <w:color w:val="auto"/>
              </w:rPr>
            </w:pPr>
            <w:r>
              <w:rPr>
                <w:rFonts w:ascii="Arial" w:cs="Arial" w:eastAsia="Arial" w:hAnsi="Arial"/>
                <w:sz w:val="18"/>
                <w:szCs w:val="18"/>
                <w:color w:val="auto"/>
              </w:rPr>
              <w:t>Deferred energy and fuel cost adjustments -</w:t>
            </w:r>
          </w:p>
        </w:tc>
        <w:tc>
          <w:tcPr>
            <w:tcW w:w="194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340" w:type="dxa"/>
            <w:vAlign w:val="bottom"/>
            <w:shd w:val="clear" w:color="auto" w:fill="CEFFE7"/>
          </w:tcPr>
          <w:p>
            <w:pPr>
              <w:spacing w:after="0"/>
              <w:rPr>
                <w:sz w:val="19"/>
                <w:szCs w:val="19"/>
                <w:color w:val="auto"/>
              </w:rPr>
            </w:pPr>
          </w:p>
        </w:tc>
        <w:tc>
          <w:tcPr>
            <w:tcW w:w="460" w:type="dxa"/>
            <w:vAlign w:val="bottom"/>
            <w:shd w:val="clear" w:color="auto" w:fill="CEFFE7"/>
          </w:tcPr>
          <w:p>
            <w:pPr>
              <w:spacing w:after="0"/>
              <w:rPr>
                <w:sz w:val="19"/>
                <w:szCs w:val="19"/>
                <w:color w:val="auto"/>
              </w:rPr>
            </w:pPr>
          </w:p>
        </w:tc>
        <w:tc>
          <w:tcPr>
            <w:tcW w:w="102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34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EFFE7"/>
          </w:tcPr>
          <w:p>
            <w:pPr>
              <w:ind w:left="180"/>
              <w:spacing w:after="0" w:line="257" w:lineRule="exact"/>
              <w:rPr>
                <w:sz w:val="20"/>
                <w:szCs w:val="20"/>
                <w:color w:val="auto"/>
              </w:rPr>
            </w:pPr>
            <w:r>
              <w:rPr>
                <w:rFonts w:ascii="Arial" w:cs="Arial" w:eastAsia="Arial" w:hAnsi="Arial"/>
                <w:sz w:val="18"/>
                <w:szCs w:val="18"/>
                <w:color w:val="auto"/>
              </w:rPr>
              <w:t xml:space="preserve">current </w:t>
            </w:r>
            <w:r>
              <w:rPr>
                <w:rFonts w:ascii="Arial" w:cs="Arial" w:eastAsia="Arial" w:hAnsi="Arial"/>
                <w:sz w:val="25"/>
                <w:szCs w:val="25"/>
                <w:color w:val="auto"/>
                <w:vertAlign w:val="superscript"/>
              </w:rPr>
              <w:t>(a)</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25,056</w:t>
            </w:r>
          </w:p>
        </w:tc>
        <w:tc>
          <w:tcPr>
            <w:tcW w:w="460" w:type="dxa"/>
            <w:vAlign w:val="bottom"/>
            <w:shd w:val="clear" w:color="auto" w:fill="CEFFE7"/>
          </w:tcPr>
          <w:p>
            <w:pPr>
              <w:jc w:val="center"/>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20,187</w:t>
            </w:r>
          </w:p>
        </w:tc>
        <w:tc>
          <w:tcPr>
            <w:tcW w:w="14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23,756</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gas cost adjustments </w:t>
            </w:r>
            <w:r>
              <w:rPr>
                <w:rFonts w:ascii="Arial" w:cs="Arial" w:eastAsia="Arial" w:hAnsi="Arial"/>
                <w:sz w:val="25"/>
                <w:szCs w:val="25"/>
                <w:color w:val="auto"/>
                <w:vertAlign w:val="superscript"/>
              </w:rPr>
              <w:t>(a)</w:t>
            </w:r>
          </w:p>
        </w:tc>
        <w:tc>
          <w:tcPr>
            <w:tcW w:w="19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2,118</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31,844</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8,610</w:t>
            </w:r>
          </w:p>
        </w:tc>
        <w:tc>
          <w:tcPr>
            <w:tcW w:w="0" w:type="dxa"/>
            <w:vAlign w:val="bottom"/>
          </w:tcPr>
          <w:p>
            <w:pPr>
              <w:spacing w:after="0"/>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Gas price derivatives </w:t>
            </w:r>
            <w:r>
              <w:rPr>
                <w:rFonts w:ascii="Arial" w:cs="Arial" w:eastAsia="Arial" w:hAnsi="Arial"/>
                <w:sz w:val="25"/>
                <w:szCs w:val="25"/>
                <w:color w:val="auto"/>
                <w:vertAlign w:val="superscript"/>
              </w:rPr>
              <w:t>(a)</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11,045</w:t>
            </w:r>
          </w:p>
        </w:tc>
        <w:tc>
          <w:tcPr>
            <w:tcW w:w="46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11,935</w:t>
            </w:r>
          </w:p>
        </w:tc>
        <w:tc>
          <w:tcPr>
            <w:tcW w:w="14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11,520</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taxes on AFUDC </w:t>
            </w:r>
            <w:r>
              <w:rPr>
                <w:rFonts w:ascii="Arial" w:cs="Arial" w:eastAsia="Arial" w:hAnsi="Arial"/>
                <w:sz w:val="25"/>
                <w:szCs w:val="25"/>
                <w:color w:val="auto"/>
                <w:vertAlign w:val="superscript"/>
              </w:rPr>
              <w:t>(b) (f)</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7,808</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7,847</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14,976</w:t>
            </w:r>
          </w:p>
        </w:tc>
        <w:tc>
          <w:tcPr>
            <w:tcW w:w="0" w:type="dxa"/>
            <w:vAlign w:val="bottom"/>
          </w:tcPr>
          <w:p>
            <w:pPr>
              <w:spacing w:after="0"/>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Employee benefit plans </w:t>
            </w:r>
            <w:r>
              <w:rPr>
                <w:rFonts w:ascii="Arial" w:cs="Arial" w:eastAsia="Arial" w:hAnsi="Arial"/>
                <w:sz w:val="25"/>
                <w:szCs w:val="25"/>
                <w:color w:val="auto"/>
                <w:vertAlign w:val="superscript"/>
              </w:rPr>
              <w:t>(c)</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12</w:t>
            </w:r>
          </w:p>
        </w:tc>
        <w:tc>
          <w:tcPr>
            <w:tcW w:w="14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109,999</w:t>
            </w:r>
          </w:p>
        </w:tc>
        <w:tc>
          <w:tcPr>
            <w:tcW w:w="46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109,235</w:t>
            </w:r>
          </w:p>
        </w:tc>
        <w:tc>
          <w:tcPr>
            <w:tcW w:w="14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109,172</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Environmental </w:t>
            </w:r>
            <w:r>
              <w:rPr>
                <w:rFonts w:ascii="Arial" w:cs="Arial" w:eastAsia="Arial" w:hAnsi="Arial"/>
                <w:sz w:val="25"/>
                <w:szCs w:val="25"/>
                <w:color w:val="auto"/>
                <w:vertAlign w:val="superscript"/>
              </w:rPr>
              <w:t>(a)</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subject to approval</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25"/>
                <w:szCs w:val="25"/>
                <w:color w:val="auto"/>
                <w:vertAlign w:val="superscript"/>
              </w:rPr>
              <w:t>(a)</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44</w:t>
            </w:r>
          </w:p>
        </w:tc>
        <w:tc>
          <w:tcPr>
            <w:tcW w:w="14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521</w:t>
            </w:r>
          </w:p>
        </w:tc>
        <w:tc>
          <w:tcPr>
            <w:tcW w:w="46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Loss on reacquired debt </w:t>
            </w:r>
            <w:r>
              <w:rPr>
                <w:rFonts w:ascii="Arial" w:cs="Arial" w:eastAsia="Arial" w:hAnsi="Arial"/>
                <w:sz w:val="25"/>
                <w:szCs w:val="25"/>
                <w:color w:val="auto"/>
                <w:vertAlign w:val="superscript"/>
              </w:rPr>
              <w:t>(a)</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20,267</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20,667</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21,866</w:t>
            </w:r>
          </w:p>
        </w:tc>
        <w:tc>
          <w:tcPr>
            <w:tcW w:w="0" w:type="dxa"/>
            <w:vAlign w:val="bottom"/>
          </w:tcPr>
          <w:p>
            <w:pPr>
              <w:spacing w:after="0"/>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Renewable energy standard adjustment </w:t>
            </w:r>
            <w:r>
              <w:rPr>
                <w:rFonts w:ascii="Arial" w:cs="Arial" w:eastAsia="Arial" w:hAnsi="Arial"/>
                <w:sz w:val="25"/>
                <w:szCs w:val="25"/>
                <w:color w:val="auto"/>
                <w:vertAlign w:val="superscript"/>
              </w:rPr>
              <w:t>(a)</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subject to approval</w:t>
            </w:r>
          </w:p>
        </w:tc>
        <w:tc>
          <w:tcPr>
            <w:tcW w:w="14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1,600</w:t>
            </w:r>
          </w:p>
        </w:tc>
        <w:tc>
          <w:tcPr>
            <w:tcW w:w="46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1,088</w:t>
            </w:r>
          </w:p>
        </w:tc>
        <w:tc>
          <w:tcPr>
            <w:tcW w:w="14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taxes on flow through accounting </w:t>
            </w:r>
            <w:r>
              <w:rPr>
                <w:rFonts w:ascii="Arial" w:cs="Arial" w:eastAsia="Arial" w:hAnsi="Arial"/>
                <w:sz w:val="25"/>
                <w:szCs w:val="25"/>
                <w:color w:val="auto"/>
                <w:vertAlign w:val="superscript"/>
              </w:rPr>
              <w:t>(c) (f)</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28,014</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26,978</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39,152</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Decommissioning costs</w:t>
            </w:r>
          </w:p>
        </w:tc>
        <w:tc>
          <w:tcPr>
            <w:tcW w:w="19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10</w:t>
            </w: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12,552</w:t>
            </w:r>
          </w:p>
        </w:tc>
        <w:tc>
          <w:tcPr>
            <w:tcW w:w="4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13,287</w:t>
            </w: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15,745</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Gas supply contract termination </w:t>
            </w:r>
            <w:r>
              <w:rPr>
                <w:rFonts w:ascii="Arial" w:cs="Arial" w:eastAsia="Arial" w:hAnsi="Arial"/>
                <w:sz w:val="25"/>
                <w:szCs w:val="25"/>
                <w:color w:val="auto"/>
                <w:vertAlign w:val="superscript"/>
              </w:rPr>
              <w:t>(a)</w:t>
            </w:r>
          </w:p>
        </w:tc>
        <w:tc>
          <w:tcPr>
            <w:tcW w:w="19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18,590</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20,001</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24,178</w:t>
            </w:r>
          </w:p>
        </w:tc>
        <w:tc>
          <w:tcPr>
            <w:tcW w:w="0" w:type="dxa"/>
            <w:vAlign w:val="bottom"/>
          </w:tcPr>
          <w:p>
            <w:pPr>
              <w:spacing w:after="0"/>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Other regulatory assets </w:t>
            </w:r>
            <w:r>
              <w:rPr>
                <w:rFonts w:ascii="Arial" w:cs="Arial" w:eastAsia="Arial" w:hAnsi="Arial"/>
                <w:sz w:val="25"/>
                <w:szCs w:val="25"/>
                <w:color w:val="auto"/>
                <w:vertAlign w:val="superscript"/>
              </w:rPr>
              <w:t>(a)</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30</w:t>
            </w:r>
          </w:p>
        </w:tc>
        <w:tc>
          <w:tcPr>
            <w:tcW w:w="140" w:type="dxa"/>
            <w:vAlign w:val="bottom"/>
            <w:tcBorders>
              <w:bottom w:val="single" w:sz="8" w:color="auto"/>
            </w:tcBorders>
            <w:shd w:val="clear" w:color="auto" w:fill="CEFFE7"/>
          </w:tcPr>
          <w:p>
            <w:pPr>
              <w:spacing w:after="0"/>
              <w:rPr>
                <w:sz w:val="23"/>
                <w:szCs w:val="23"/>
                <w:color w:val="auto"/>
              </w:rPr>
            </w:pPr>
          </w:p>
        </w:tc>
        <w:tc>
          <w:tcPr>
            <w:tcW w:w="13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28,650</w:t>
            </w:r>
          </w:p>
        </w:tc>
        <w:tc>
          <w:tcPr>
            <w:tcW w:w="460" w:type="dxa"/>
            <w:vAlign w:val="bottom"/>
            <w:tcBorders>
              <w:bottom w:val="single" w:sz="8" w:color="auto"/>
            </w:tcBorders>
            <w:shd w:val="clear" w:color="auto" w:fill="CEFFE7"/>
          </w:tcPr>
          <w:p>
            <w:pPr>
              <w:spacing w:after="0"/>
              <w:rPr>
                <w:sz w:val="23"/>
                <w:szCs w:val="23"/>
                <w:color w:val="auto"/>
              </w:rPr>
            </w:pP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32,837</w:t>
            </w:r>
          </w:p>
        </w:tc>
        <w:tc>
          <w:tcPr>
            <w:tcW w:w="140" w:type="dxa"/>
            <w:vAlign w:val="bottom"/>
            <w:tcBorders>
              <w:bottom w:val="single" w:sz="8" w:color="auto"/>
            </w:tcBorders>
            <w:shd w:val="clear" w:color="auto" w:fill="CEFFE7"/>
          </w:tcPr>
          <w:p>
            <w:pPr>
              <w:spacing w:after="0"/>
              <w:rPr>
                <w:sz w:val="23"/>
                <w:szCs w:val="23"/>
                <w:color w:val="auto"/>
              </w:rPr>
            </w:pPr>
          </w:p>
        </w:tc>
        <w:tc>
          <w:tcPr>
            <w:tcW w:w="13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31,055</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regulatory assets</w:t>
            </w: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267,232</w:t>
            </w: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297,454</w:t>
            </w: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302,589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Less current regulatory assets</w:t>
            </w:r>
          </w:p>
        </w:tc>
        <w:tc>
          <w:tcPr>
            <w:tcW w:w="194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(54,492)</w:t>
            </w:r>
          </w:p>
        </w:tc>
        <w:tc>
          <w:tcPr>
            <w:tcW w:w="46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(81,016)</w:t>
            </w:r>
          </w:p>
        </w:tc>
        <w:tc>
          <w:tcPr>
            <w:tcW w:w="140" w:type="dxa"/>
            <w:vAlign w:val="bottom"/>
            <w:tcBorders>
              <w:bottom w:val="single" w:sz="8" w:color="CEFFE7"/>
            </w:tcBorders>
            <w:shd w:val="clear" w:color="auto" w:fill="CEFFE7"/>
          </w:tcPr>
          <w:p>
            <w:pPr>
              <w:spacing w:after="0"/>
              <w:rPr>
                <w:sz w:val="23"/>
                <w:szCs w:val="23"/>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(53,476)</w:t>
            </w:r>
          </w:p>
        </w:tc>
        <w:tc>
          <w:tcPr>
            <w:tcW w:w="0" w:type="dxa"/>
            <w:vAlign w:val="bottom"/>
          </w:tcPr>
          <w:p>
            <w:pPr>
              <w:spacing w:after="0"/>
              <w:rPr>
                <w:sz w:val="1"/>
                <w:szCs w:val="1"/>
                <w:color w:val="auto"/>
              </w:rPr>
            </w:pPr>
          </w:p>
        </w:tc>
      </w:tr>
      <w:tr>
        <w:trPr>
          <w:trHeight w:val="297"/>
        </w:trPr>
        <w:tc>
          <w:tcPr>
            <w:tcW w:w="504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Regulatory assets, non-current</w:t>
            </w:r>
          </w:p>
        </w:tc>
        <w:tc>
          <w:tcPr>
            <w:tcW w:w="1940" w:type="dxa"/>
            <w:vAlign w:val="bottom"/>
            <w:tcBorders>
              <w:bottom w:val="single" w:sz="8" w:color="CEFFE7"/>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212,740</w:t>
            </w:r>
          </w:p>
        </w:tc>
        <w:tc>
          <w:tcPr>
            <w:tcW w:w="46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216,438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249,113</w:t>
            </w:r>
          </w:p>
        </w:tc>
        <w:tc>
          <w:tcPr>
            <w:tcW w:w="0" w:type="dxa"/>
            <w:vAlign w:val="bottom"/>
          </w:tcPr>
          <w:p>
            <w:pPr>
              <w:spacing w:after="0"/>
              <w:rPr>
                <w:sz w:val="1"/>
                <w:szCs w:val="1"/>
                <w:color w:val="auto"/>
              </w:rPr>
            </w:pPr>
          </w:p>
        </w:tc>
      </w:tr>
      <w:tr>
        <w:trPr>
          <w:trHeight w:val="230"/>
        </w:trPr>
        <w:tc>
          <w:tcPr>
            <w:tcW w:w="5040" w:type="dxa"/>
            <w:vAlign w:val="bottom"/>
            <w:shd w:val="clear" w:color="auto" w:fill="CEFFE7"/>
          </w:tcPr>
          <w:p>
            <w:pPr>
              <w:spacing w:after="0"/>
              <w:rPr>
                <w:sz w:val="20"/>
                <w:szCs w:val="20"/>
                <w:color w:val="auto"/>
              </w:rPr>
            </w:pPr>
          </w:p>
        </w:tc>
        <w:tc>
          <w:tcPr>
            <w:tcW w:w="1940" w:type="dxa"/>
            <w:vAlign w:val="bottom"/>
            <w:shd w:val="clear" w:color="auto" w:fill="CEFFE7"/>
          </w:tcPr>
          <w:p>
            <w:pPr>
              <w:spacing w:after="0"/>
              <w:rPr>
                <w:sz w:val="20"/>
                <w:szCs w:val="20"/>
                <w:color w:val="auto"/>
              </w:rPr>
            </w:pPr>
          </w:p>
        </w:tc>
        <w:tc>
          <w:tcPr>
            <w:tcW w:w="140" w:type="dxa"/>
            <w:vAlign w:val="bottom"/>
            <w:shd w:val="clear" w:color="auto" w:fill="CEFFE7"/>
          </w:tcPr>
          <w:p>
            <w:pPr>
              <w:spacing w:after="0"/>
              <w:rPr>
                <w:sz w:val="20"/>
                <w:szCs w:val="20"/>
                <w:color w:val="auto"/>
              </w:rPr>
            </w:pPr>
          </w:p>
        </w:tc>
        <w:tc>
          <w:tcPr>
            <w:tcW w:w="1340" w:type="dxa"/>
            <w:vAlign w:val="bottom"/>
            <w:shd w:val="clear" w:color="auto" w:fill="CEFFE7"/>
          </w:tcPr>
          <w:p>
            <w:pPr>
              <w:spacing w:after="0"/>
              <w:rPr>
                <w:sz w:val="20"/>
                <w:szCs w:val="20"/>
                <w:color w:val="auto"/>
              </w:rPr>
            </w:pPr>
          </w:p>
        </w:tc>
        <w:tc>
          <w:tcPr>
            <w:tcW w:w="460" w:type="dxa"/>
            <w:vAlign w:val="bottom"/>
            <w:shd w:val="clear" w:color="auto" w:fill="CEFFE7"/>
          </w:tcPr>
          <w:p>
            <w:pPr>
              <w:spacing w:after="0"/>
              <w:rPr>
                <w:sz w:val="20"/>
                <w:szCs w:val="20"/>
                <w:color w:val="auto"/>
              </w:rPr>
            </w:pPr>
          </w:p>
        </w:tc>
        <w:tc>
          <w:tcPr>
            <w:tcW w:w="1020" w:type="dxa"/>
            <w:vAlign w:val="bottom"/>
            <w:shd w:val="clear" w:color="auto" w:fill="CEFFE7"/>
          </w:tcPr>
          <w:p>
            <w:pPr>
              <w:spacing w:after="0"/>
              <w:rPr>
                <w:sz w:val="20"/>
                <w:szCs w:val="20"/>
                <w:color w:val="auto"/>
              </w:rPr>
            </w:pPr>
          </w:p>
        </w:tc>
        <w:tc>
          <w:tcPr>
            <w:tcW w:w="140" w:type="dxa"/>
            <w:vAlign w:val="bottom"/>
            <w:shd w:val="clear" w:color="auto" w:fill="CEFFE7"/>
          </w:tcPr>
          <w:p>
            <w:pPr>
              <w:spacing w:after="0"/>
              <w:rPr>
                <w:sz w:val="20"/>
                <w:szCs w:val="20"/>
                <w:color w:val="auto"/>
              </w:rPr>
            </w:pPr>
          </w:p>
        </w:tc>
        <w:tc>
          <w:tcPr>
            <w:tcW w:w="134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1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Deferred energy and gas costs </w:t>
            </w:r>
            <w:r>
              <w:rPr>
                <w:rFonts w:ascii="Arial" w:cs="Arial" w:eastAsia="Arial" w:hAnsi="Arial"/>
                <w:sz w:val="25"/>
                <w:szCs w:val="25"/>
                <w:color w:val="auto"/>
                <w:vertAlign w:val="superscript"/>
              </w:rPr>
              <w:t>(a)</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20,194</w:t>
            </w:r>
          </w:p>
        </w:tc>
        <w:tc>
          <w:tcPr>
            <w:tcW w:w="460" w:type="dxa"/>
            <w:vAlign w:val="bottom"/>
            <w:shd w:val="clear" w:color="auto" w:fill="CEFFE7"/>
          </w:tcPr>
          <w:p>
            <w:pPr>
              <w:jc w:val="center"/>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3,427</w:t>
            </w:r>
          </w:p>
        </w:tc>
        <w:tc>
          <w:tcPr>
            <w:tcW w:w="14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19,494</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Arial" w:cs="Arial" w:eastAsia="Arial" w:hAnsi="Arial"/>
                <w:sz w:val="18"/>
                <w:szCs w:val="18"/>
                <w:color w:val="auto"/>
                <w:w w:val="99"/>
              </w:rPr>
              <w:t xml:space="preserve">Employee benefit plan costs and related deferred taxes </w:t>
            </w:r>
            <w:r>
              <w:rPr>
                <w:rFonts w:ascii="Arial" w:cs="Arial" w:eastAsia="Arial" w:hAnsi="Arial"/>
                <w:sz w:val="25"/>
                <w:szCs w:val="25"/>
                <w:color w:val="auto"/>
                <w:w w:val="99"/>
                <w:vertAlign w:val="superscript"/>
              </w:rPr>
              <w:t>(c) (f)</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40,332</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40,629</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67,973</w:t>
            </w:r>
          </w:p>
        </w:tc>
        <w:tc>
          <w:tcPr>
            <w:tcW w:w="0" w:type="dxa"/>
            <w:vAlign w:val="bottom"/>
          </w:tcPr>
          <w:p>
            <w:pPr>
              <w:spacing w:after="0"/>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Cost of removal </w:t>
            </w:r>
            <w:r>
              <w:rPr>
                <w:rFonts w:ascii="Arial" w:cs="Arial" w:eastAsia="Arial" w:hAnsi="Arial"/>
                <w:sz w:val="25"/>
                <w:szCs w:val="25"/>
                <w:color w:val="auto"/>
                <w:vertAlign w:val="superscript"/>
              </w:rPr>
              <w:t>(a)</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44</w:t>
            </w:r>
          </w:p>
        </w:tc>
        <w:tc>
          <w:tcPr>
            <w:tcW w:w="14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139,002</w:t>
            </w:r>
          </w:p>
        </w:tc>
        <w:tc>
          <w:tcPr>
            <w:tcW w:w="46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130,932</w:t>
            </w:r>
          </w:p>
        </w:tc>
        <w:tc>
          <w:tcPr>
            <w:tcW w:w="14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122,548</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Excess deferred income taxes </w:t>
            </w:r>
            <w:r>
              <w:rPr>
                <w:rFonts w:ascii="Arial" w:cs="Arial" w:eastAsia="Arial" w:hAnsi="Arial"/>
                <w:sz w:val="25"/>
                <w:szCs w:val="25"/>
                <w:color w:val="auto"/>
                <w:vertAlign w:val="superscript"/>
              </w:rPr>
              <w:t>(c) (d)</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310,622</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301,553</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TCJA revenue reserve </w:t>
            </w:r>
            <w:r>
              <w:rPr>
                <w:rFonts w:ascii="Arial" w:cs="Arial" w:eastAsia="Arial" w:hAnsi="Arial"/>
                <w:sz w:val="25"/>
                <w:szCs w:val="25"/>
                <w:color w:val="auto"/>
                <w:vertAlign w:val="superscript"/>
              </w:rPr>
              <w:t>(e)</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subject to approval</w:t>
            </w:r>
          </w:p>
        </w:tc>
        <w:tc>
          <w:tcPr>
            <w:tcW w:w="14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15,239</w:t>
            </w:r>
          </w:p>
        </w:tc>
        <w:tc>
          <w:tcPr>
            <w:tcW w:w="46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EFFE7"/>
            </w:tcBorders>
          </w:tcPr>
          <w:p>
            <w:pPr>
              <w:ind w:left="180"/>
              <w:spacing w:after="0" w:line="270" w:lineRule="exact"/>
              <w:rPr>
                <w:sz w:val="20"/>
                <w:szCs w:val="20"/>
                <w:color w:val="auto"/>
              </w:rPr>
            </w:pPr>
            <w:r>
              <w:rPr>
                <w:rFonts w:ascii="Arial" w:cs="Arial" w:eastAsia="Arial" w:hAnsi="Arial"/>
                <w:sz w:val="18"/>
                <w:szCs w:val="18"/>
                <w:color w:val="auto"/>
              </w:rPr>
              <w:t xml:space="preserve">Other regulatory liabilities </w:t>
            </w:r>
            <w:r>
              <w:rPr>
                <w:rFonts w:ascii="Arial" w:cs="Arial" w:eastAsia="Arial" w:hAnsi="Arial"/>
                <w:sz w:val="25"/>
                <w:szCs w:val="25"/>
                <w:color w:val="auto"/>
                <w:vertAlign w:val="superscript"/>
              </w:rPr>
              <w:t>(c)</w:t>
            </w:r>
          </w:p>
        </w:tc>
        <w:tc>
          <w:tcPr>
            <w:tcW w:w="194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89"/>
              </w:rPr>
              <w:t>25</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12,472</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8,585</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8,582</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regulatory liabilities</w:t>
            </w:r>
          </w:p>
        </w:tc>
        <w:tc>
          <w:tcPr>
            <w:tcW w:w="19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537,861</w:t>
            </w:r>
          </w:p>
        </w:tc>
        <w:tc>
          <w:tcPr>
            <w:tcW w:w="4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485,126</w:t>
            </w: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218,656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Less current regulatory liabilities</w:t>
            </w:r>
          </w:p>
        </w:tc>
        <w:tc>
          <w:tcPr>
            <w:tcW w:w="1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(42,499)</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(6,832)</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(22,118)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EFFE7"/>
            </w:tcBorders>
          </w:tcPr>
          <w:p>
            <w:pPr>
              <w:spacing w:after="0"/>
              <w:rPr>
                <w:sz w:val="2"/>
                <w:szCs w:val="2"/>
                <w:color w:val="auto"/>
              </w:rPr>
            </w:pPr>
          </w:p>
        </w:tc>
        <w:tc>
          <w:tcPr>
            <w:tcW w:w="194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Regulatory liabilities, non-current</w:t>
            </w:r>
          </w:p>
        </w:tc>
        <w:tc>
          <w:tcPr>
            <w:tcW w:w="1940" w:type="dxa"/>
            <w:vAlign w:val="bottom"/>
            <w:tcBorders>
              <w:bottom w:val="single" w:sz="8" w:color="CEFFE7"/>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495,362</w:t>
            </w:r>
          </w:p>
        </w:tc>
        <w:tc>
          <w:tcPr>
            <w:tcW w:w="460" w:type="dxa"/>
            <w:vAlign w:val="bottom"/>
            <w:tcBorders>
              <w:bottom w:val="single" w:sz="8" w:color="auto"/>
            </w:tcBorders>
            <w:shd w:val="clear" w:color="auto" w:fill="CEFFE7"/>
          </w:tcPr>
          <w:p>
            <w:pPr>
              <w:jc w:val="center"/>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478,294</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196,538</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4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Recovery of costs, but we are not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addition to recovery of costs, we are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addition to recovery or repayment of costs, we are allowed a return on a portion of this amount or a reduction in rate base.</w:t>
      </w:r>
    </w:p>
    <w:p>
      <w:pPr>
        <w:spacing w:after="0" w:line="5" w:lineRule="exact"/>
        <w:rPr>
          <w:rFonts w:ascii="Arial" w:cs="Arial" w:eastAsia="Arial" w:hAnsi="Arial"/>
          <w:sz w:val="16"/>
          <w:szCs w:val="16"/>
          <w:color w:val="auto"/>
        </w:rPr>
      </w:pPr>
    </w:p>
    <w:p>
      <w:pPr>
        <w:ind w:left="340" w:right="18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increase in the regulatory tax liability is primarily related to the revaluation of deferred income tax balances at the lower income tax rate. As of March 31, 2018 and December 31, 2017, all of the liability was classified as non-current due to uncertainties around the timing and other regulatory decisions that will affect the amount of regulatory tax liability amortized and returned to customers through rate reductions of other revenue offsets in 2018.</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March 31, 2018, the amortization periods are yet to be determined and subject to approval by our regulators.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variance to the prior periods is primarily due to the TCJA.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Except as discussed below, there have been no other significant changes to our Regulatory Matters from those previously disclosed in Note 13 of the Notes to the Consolidated Financial Statements in our 2017 Annual Report on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ind w:right="80"/>
        <w:spacing w:after="0" w:line="272" w:lineRule="auto"/>
        <w:rPr>
          <w:sz w:val="20"/>
          <w:szCs w:val="20"/>
          <w:color w:val="auto"/>
        </w:rPr>
      </w:pPr>
      <w:r>
        <w:rPr>
          <w:rFonts w:ascii="Arial" w:cs="Arial" w:eastAsia="Arial" w:hAnsi="Arial"/>
          <w:sz w:val="17"/>
          <w:szCs w:val="17"/>
          <w:b w:val="1"/>
          <w:bCs w:val="1"/>
          <w:i w:val="1"/>
          <w:iCs w:val="1"/>
          <w:color w:val="auto"/>
        </w:rPr>
        <w:t xml:space="preserve">TCJA revenue reserve - </w:t>
      </w:r>
      <w:r>
        <w:rPr>
          <w:rFonts w:ascii="Arial" w:cs="Arial" w:eastAsia="Arial" w:hAnsi="Arial"/>
          <w:sz w:val="17"/>
          <w:szCs w:val="17"/>
          <w:color w:val="auto"/>
        </w:rPr>
        <w:t>The TCJA signed into law on December 22, 2017, reduced the federal corporate income tax rate from 35% to 21%.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1, 2018, the key impact of tax reform on existing utility revenues/tariffs established prior to tax reform results primarily from the change in the federal tax rate from 35% to 21% (including the effects of tax gross-ups not yet approved) affecting current income tax expense embedded in those tariffs. Many of Black Hills’ regulators have issued orders directing the utilities to calculate the impacts of tax reform on existing rates/tariffs caused by the income tax rate reduction. Until each regulator has a chance to review and approve the calculations, the utilities continue to charge customers existing rates with the embedded 35% federal tax rate, resulting in a reserve to revenue until new rates reflecting the 21% federal tax rate are effective. We estimated and recorded a reserve to revenue of approximately $15 million during the three months ended March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Each of our utilities is working with their respective regulators to address the impact of tax reform and the appropriate benefit to customers.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Rate Review - </w:t>
      </w:r>
      <w:r>
        <w:rPr>
          <w:rFonts w:ascii="Arial" w:cs="Arial" w:eastAsia="Arial" w:hAnsi="Arial"/>
          <w:sz w:val="16"/>
          <w:szCs w:val="16"/>
          <w:color w:val="auto"/>
        </w:rPr>
        <w:t>On April 16, 2018, RMNG received a recommended decision from a Colorado administrative law judge approving a settlement agreement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Colorado Office of Consumer Counsel and staff on its rate review application previously filed on October 3, 2017. The settlement included $1.1 million in annual revenue increases and an extension of SSIR to recover costs from 2018 through December 31, 2021. The annual increase is based on a return on equity of 9.9% and a capital structure of 46.63% equity and 53.37% debt. New rates are expected to be effective June 1, 2018 pending approval from the CPUC.</w:t>
      </w:r>
    </w:p>
    <w:p>
      <w:pPr>
        <w:spacing w:after="0" w:line="200" w:lineRule="exact"/>
        <w:rPr>
          <w:sz w:val="20"/>
          <w:szCs w:val="20"/>
          <w:color w:val="auto"/>
        </w:rPr>
      </w:pPr>
    </w:p>
    <w:p>
      <w:pPr>
        <w:spacing w:after="0" w:line="3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7"/>
          <w:szCs w:val="17"/>
          <w:color w:val="auto"/>
        </w:rPr>
        <w:t>MATERIALS, SUPPLIES AND FUEL</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amounts by major classification are included in Materials, supplies and fuel in the accompanying Condensed Consolidated Balance Sheets (in thousands)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March 31, 2018</w:t>
            </w:r>
          </w:p>
        </w:tc>
        <w:tc>
          <w:tcPr>
            <w:tcW w:w="340" w:type="dxa"/>
            <w:vAlign w:val="bottom"/>
          </w:tcPr>
          <w:p>
            <w:pPr>
              <w:spacing w:after="0"/>
              <w:rPr>
                <w:sz w:val="20"/>
                <w:szCs w:val="20"/>
                <w:color w:val="auto"/>
              </w:rPr>
            </w:pPr>
          </w:p>
        </w:tc>
        <w:tc>
          <w:tcPr>
            <w:tcW w:w="1940" w:type="dxa"/>
            <w:vAlign w:val="bottom"/>
          </w:tcPr>
          <w:p>
            <w:pPr>
              <w:jc w:val="right"/>
              <w:ind w:right="310"/>
              <w:spacing w:after="0"/>
              <w:rPr>
                <w:sz w:val="20"/>
                <w:szCs w:val="20"/>
                <w:color w:val="auto"/>
              </w:rPr>
            </w:pPr>
            <w:r>
              <w:rPr>
                <w:rFonts w:ascii="Arial" w:cs="Arial" w:eastAsia="Arial" w:hAnsi="Arial"/>
                <w:sz w:val="18"/>
                <w:szCs w:val="18"/>
                <w:color w:val="auto"/>
                <w:w w:val="96"/>
              </w:rPr>
              <w:t>December 31, 2017</w:t>
            </w:r>
          </w:p>
        </w:tc>
        <w:tc>
          <w:tcPr>
            <w:tcW w:w="340" w:type="dxa"/>
            <w:vAlign w:val="bottom"/>
          </w:tcPr>
          <w:p>
            <w:pPr>
              <w:spacing w:after="0"/>
              <w:rPr>
                <w:sz w:val="20"/>
                <w:szCs w:val="20"/>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March 31, 2017</w:t>
            </w:r>
          </w:p>
        </w:tc>
      </w:tr>
      <w:tr>
        <w:trPr>
          <w:trHeight w:val="27"/>
        </w:trPr>
        <w:tc>
          <w:tcPr>
            <w:tcW w:w="51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Materials and supplies</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72,045</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69,732</w:t>
            </w:r>
          </w:p>
        </w:tc>
        <w:tc>
          <w:tcPr>
            <w:tcW w:w="3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68,202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Fuel - Electric Utilities</w:t>
            </w:r>
          </w:p>
        </w:tc>
        <w:tc>
          <w:tcPr>
            <w:tcW w:w="26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2,903</w:t>
            </w:r>
          </w:p>
        </w:tc>
        <w:tc>
          <w:tcPr>
            <w:tcW w:w="3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2,962</w:t>
            </w:r>
          </w:p>
        </w:tc>
        <w:tc>
          <w:tcPr>
            <w:tcW w:w="3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3,433</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51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 in storage held for distribution</w:t>
            </w:r>
          </w:p>
        </w:tc>
        <w:tc>
          <w:tcPr>
            <w:tcW w:w="260" w:type="dxa"/>
            <w:vAlign w:val="bottom"/>
            <w:tcBorders>
              <w:bottom w:val="single" w:sz="8" w:color="CEFFE7"/>
            </w:tcBorders>
            <w:shd w:val="clear" w:color="auto" w:fill="CEFFE7"/>
          </w:tcPr>
          <w:p>
            <w:pPr>
              <w:spacing w:after="0"/>
              <w:rPr>
                <w:sz w:val="23"/>
                <w:szCs w:val="23"/>
                <w:color w:val="auto"/>
              </w:rPr>
            </w:pPr>
          </w:p>
        </w:tc>
        <w:tc>
          <w:tcPr>
            <w:tcW w:w="17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7,097</w:t>
            </w:r>
          </w:p>
        </w:tc>
        <w:tc>
          <w:tcPr>
            <w:tcW w:w="340" w:type="dxa"/>
            <w:vAlign w:val="bottom"/>
            <w:tcBorders>
              <w:bottom w:val="single" w:sz="8" w:color="CEFFE7"/>
            </w:tcBorders>
            <w:shd w:val="clear" w:color="auto" w:fill="CEFFE7"/>
          </w:tcPr>
          <w:p>
            <w:pPr>
              <w:spacing w:after="0"/>
              <w:rPr>
                <w:sz w:val="23"/>
                <w:szCs w:val="23"/>
                <w:color w:val="auto"/>
              </w:rPr>
            </w:pPr>
          </w:p>
        </w:tc>
        <w:tc>
          <w:tcPr>
            <w:tcW w:w="19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40,589</w:t>
            </w:r>
          </w:p>
        </w:tc>
        <w:tc>
          <w:tcPr>
            <w:tcW w:w="340" w:type="dxa"/>
            <w:vAlign w:val="bottom"/>
            <w:tcBorders>
              <w:bottom w:val="single" w:sz="8" w:color="CEFFE7"/>
            </w:tcBorders>
            <w:shd w:val="clear" w:color="auto" w:fill="CEFFE7"/>
          </w:tcPr>
          <w:p>
            <w:pPr>
              <w:spacing w:after="0"/>
              <w:rPr>
                <w:sz w:val="23"/>
                <w:szCs w:val="23"/>
                <w:color w:val="auto"/>
              </w:rPr>
            </w:pPr>
          </w:p>
        </w:tc>
        <w:tc>
          <w:tcPr>
            <w:tcW w:w="16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9,228</w:t>
            </w: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Total materials, supplies and fuel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82,045</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113,283</w:t>
            </w:r>
          </w:p>
        </w:tc>
        <w:tc>
          <w:tcPr>
            <w:tcW w:w="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80,863</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7"/>
          <w:szCs w:val="17"/>
          <w:color w:val="auto"/>
        </w:rPr>
        <w:t>INVESTMENTS</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2018, we contributed $28 million of assets in exchange for equity securities in a privately held company. The carrying value of our investment in the equity securities was determined using the cost method. We will review this investment on a periodic basis to determine whether a significant event or change in circumstances has occurred that may have an adverse effect on the value of the investment. We estimate that the fair value of this cost method investment approximated or exceeded its carrying value as of March 31,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value of our investments (in thousands) as of:</w:t>
      </w: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December 31,</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w w:val="91"/>
              </w:rPr>
              <w:t>March 31, 2018</w:t>
            </w:r>
          </w:p>
        </w:tc>
        <w:tc>
          <w:tcPr>
            <w:tcW w:w="2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w w:val="91"/>
              </w:rPr>
              <w:t>March 31, 2017</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EFFE7"/>
            </w:tcBorders>
          </w:tcPr>
          <w:p>
            <w:pPr>
              <w:spacing w:after="0"/>
              <w:rPr>
                <w:sz w:val="2"/>
                <w:szCs w:val="2"/>
                <w:color w:val="auto"/>
              </w:rPr>
            </w:pPr>
          </w:p>
        </w:tc>
        <w:tc>
          <w:tcPr>
            <w:tcW w:w="294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EFFE7"/>
            </w:tcBorders>
            <w:shd w:val="clear" w:color="auto" w:fill="CEFFE7"/>
          </w:tcPr>
          <w:p>
            <w:pPr>
              <w:jc w:val="right"/>
              <w:ind w:right="1750"/>
              <w:spacing w:after="0"/>
              <w:rPr>
                <w:sz w:val="20"/>
                <w:szCs w:val="20"/>
                <w:color w:val="auto"/>
              </w:rPr>
            </w:pPr>
            <w:r>
              <w:rPr>
                <w:rFonts w:ascii="Arial" w:cs="Arial" w:eastAsia="Arial" w:hAnsi="Arial"/>
                <w:sz w:val="18"/>
                <w:szCs w:val="18"/>
                <w:color w:val="auto"/>
                <w:w w:val="90"/>
              </w:rPr>
              <w:t>Cost method investment</w:t>
            </w:r>
          </w:p>
        </w:tc>
        <w:tc>
          <w:tcPr>
            <w:tcW w:w="3080" w:type="dxa"/>
            <w:vAlign w:val="bottom"/>
            <w:tcBorders>
              <w:bottom w:val="single" w:sz="8" w:color="CEFFE7"/>
            </w:tcBorders>
            <w:gridSpan w:val="2"/>
            <w:shd w:val="clear" w:color="auto" w:fill="CEFFE7"/>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28,100</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jc w:val="right"/>
              <w:ind w:right="1990"/>
              <w:spacing w:after="0"/>
              <w:rPr>
                <w:sz w:val="20"/>
                <w:szCs w:val="20"/>
                <w:color w:val="auto"/>
              </w:rPr>
            </w:pPr>
            <w:r>
              <w:rPr>
                <w:rFonts w:ascii="Arial" w:cs="Arial" w:eastAsia="Arial" w:hAnsi="Arial"/>
                <w:sz w:val="18"/>
                <w:szCs w:val="18"/>
                <w:color w:val="auto"/>
                <w:w w:val="88"/>
              </w:rPr>
              <w:t>Cash surrender value</w:t>
            </w:r>
          </w:p>
        </w:tc>
        <w:tc>
          <w:tcPr>
            <w:tcW w:w="2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12,827</w:t>
            </w:r>
          </w:p>
        </w:tc>
        <w:tc>
          <w:tcPr>
            <w:tcW w:w="2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13,090</w:t>
            </w:r>
          </w:p>
        </w:tc>
        <w:tc>
          <w:tcPr>
            <w:tcW w:w="2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12,712</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EFFE7"/>
            </w:tcBorders>
          </w:tcPr>
          <w:p>
            <w:pPr>
              <w:spacing w:after="0"/>
              <w:rPr>
                <w:sz w:val="2"/>
                <w:szCs w:val="2"/>
                <w:color w:val="auto"/>
              </w:rPr>
            </w:pPr>
          </w:p>
        </w:tc>
        <w:tc>
          <w:tcPr>
            <w:tcW w:w="294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EFFE7"/>
          </w:tcPr>
          <w:p>
            <w:pPr>
              <w:jc w:val="right"/>
              <w:ind w:right="1990"/>
              <w:spacing w:after="0"/>
              <w:rPr>
                <w:sz w:val="20"/>
                <w:szCs w:val="20"/>
                <w:color w:val="auto"/>
              </w:rPr>
            </w:pPr>
            <w:r>
              <w:rPr>
                <w:rFonts w:ascii="Arial" w:cs="Arial" w:eastAsia="Arial" w:hAnsi="Arial"/>
                <w:sz w:val="18"/>
                <w:szCs w:val="18"/>
                <w:color w:val="auto"/>
              </w:rPr>
              <w:t>Total investments</w:t>
            </w:r>
          </w:p>
        </w:tc>
        <w:tc>
          <w:tcPr>
            <w:tcW w:w="3080" w:type="dxa"/>
            <w:vAlign w:val="bottom"/>
            <w:gridSpan w:val="2"/>
            <w:shd w:val="clear" w:color="auto" w:fill="CEFFE7"/>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40,927</w:t>
            </w:r>
          </w:p>
        </w:tc>
        <w:tc>
          <w:tcPr>
            <w:tcW w:w="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13,090</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12,712</w:t>
            </w:r>
          </w:p>
        </w:tc>
        <w:tc>
          <w:tcPr>
            <w:tcW w:w="0" w:type="dxa"/>
            <w:vAlign w:val="bottom"/>
          </w:tcPr>
          <w:p>
            <w:pPr>
              <w:spacing w:after="0"/>
              <w:rPr>
                <w:sz w:val="1"/>
                <w:szCs w:val="1"/>
                <w:color w:val="auto"/>
              </w:rPr>
            </w:pPr>
          </w:p>
        </w:tc>
      </w:tr>
      <w:tr>
        <w:trPr>
          <w:trHeight w:val="20"/>
        </w:trPr>
        <w:tc>
          <w:tcPr>
            <w:tcW w:w="3620" w:type="dxa"/>
            <w:vAlign w:val="bottom"/>
            <w:tcBorders>
              <w:top w:val="single" w:sz="8" w:color="CEFFE7"/>
            </w:tcBorders>
          </w:tcPr>
          <w:p>
            <w:pPr>
              <w:spacing w:after="0" w:line="20" w:lineRule="exact"/>
              <w:rPr>
                <w:sz w:val="1"/>
                <w:szCs w:val="1"/>
                <w:color w:val="auto"/>
              </w:rPr>
            </w:pPr>
          </w:p>
        </w:tc>
        <w:tc>
          <w:tcPr>
            <w:tcW w:w="2940" w:type="dxa"/>
            <w:vAlign w:val="bottom"/>
            <w:tcBorders>
              <w:top w:val="single" w:sz="8" w:color="CEFFE7"/>
              <w:bottom w:val="single" w:sz="8" w:color="CEFFE7"/>
            </w:tcBorders>
            <w:vMerge w:val="restart"/>
          </w:tcPr>
          <w:p>
            <w:pPr>
              <w:jc w:val="right"/>
              <w:ind w:right="830"/>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9" w:name="page20"/>
    <w:bookmarkEnd w:id="19"/>
    <w:p>
      <w:pPr>
        <w:spacing w:after="0"/>
        <w:tabs>
          <w:tab w:leader="none" w:pos="3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EARNINGS PER SHARE</w:t>
      </w:r>
    </w:p>
    <w:p>
      <w:pPr>
        <w:spacing w:after="0" w:line="1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reconciliation of share amounts used to compute Earnings (loss) per share in the accompanying Condensed Consolidated Statements of Income was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80" w:type="dxa"/>
            <w:vAlign w:val="bottom"/>
            <w:gridSpan w:val="3"/>
          </w:tcPr>
          <w:p>
            <w:pPr>
              <w:jc w:val="right"/>
              <w:ind w:right="450"/>
              <w:spacing w:after="0"/>
              <w:rPr>
                <w:sz w:val="20"/>
                <w:szCs w:val="20"/>
                <w:color w:val="auto"/>
              </w:rPr>
            </w:pPr>
            <w:r>
              <w:rPr>
                <w:rFonts w:ascii="Arial" w:cs="Arial" w:eastAsia="Arial" w:hAnsi="Arial"/>
                <w:sz w:val="18"/>
                <w:szCs w:val="18"/>
                <w:color w:val="auto"/>
                <w:w w:val="99"/>
              </w:rPr>
              <w:t>Three Months Ended March 31,</w:t>
            </w: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available for common stock</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133,004</w:t>
            </w:r>
          </w:p>
        </w:tc>
        <w:tc>
          <w:tcPr>
            <w:tcW w:w="44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76,523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shares - basic</w:t>
            </w:r>
          </w:p>
        </w:tc>
        <w:tc>
          <w:tcPr>
            <w:tcW w:w="3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53,319</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53,152</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Dilutive effect of:</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Equity Units </w:t>
            </w:r>
            <w:r>
              <w:rPr>
                <w:rFonts w:ascii="Arial" w:cs="Arial" w:eastAsia="Arial" w:hAnsi="Arial"/>
                <w:sz w:val="25"/>
                <w:szCs w:val="25"/>
                <w:color w:val="auto"/>
                <w:vertAlign w:val="superscript"/>
              </w:rPr>
              <w:t>(a)</w:t>
            </w:r>
          </w:p>
        </w:tc>
        <w:tc>
          <w:tcPr>
            <w:tcW w:w="340" w:type="dxa"/>
            <w:vAlign w:val="bottom"/>
            <w:shd w:val="clear" w:color="auto" w:fill="CEFFE7"/>
          </w:tcPr>
          <w:p>
            <w:pPr>
              <w:spacing w:after="0"/>
              <w:rPr>
                <w:sz w:val="23"/>
                <w:szCs w:val="23"/>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733</w:t>
            </w:r>
          </w:p>
        </w:tc>
        <w:tc>
          <w:tcPr>
            <w:tcW w:w="44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Equity compensation</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shares - diluted</w:t>
            </w:r>
          </w:p>
        </w:tc>
        <w:tc>
          <w:tcPr>
            <w:tcW w:w="340" w:type="dxa"/>
            <w:vAlign w:val="bottom"/>
            <w:tcBorders>
              <w:bottom w:val="single" w:sz="8" w:color="auto"/>
            </w:tcBorders>
            <w:shd w:val="clear" w:color="auto" w:fill="CEFFE7"/>
          </w:tcPr>
          <w:p>
            <w:pPr>
              <w:spacing w:after="0"/>
              <w:rPr>
                <w:sz w:val="22"/>
                <w:szCs w:val="22"/>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54,122</w:t>
            </w:r>
          </w:p>
        </w:tc>
        <w:tc>
          <w:tcPr>
            <w:tcW w:w="440" w:type="dxa"/>
            <w:vAlign w:val="bottom"/>
            <w:tcBorders>
              <w:bottom w:val="single" w:sz="8" w:color="auto"/>
            </w:tcBorders>
            <w:shd w:val="clear" w:color="auto" w:fill="CEFFE7"/>
          </w:tcPr>
          <w:p>
            <w:pPr>
              <w:spacing w:after="0"/>
              <w:rPr>
                <w:sz w:val="22"/>
                <w:szCs w:val="22"/>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54,932</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000" w:type="dxa"/>
            <w:vAlign w:val="bottom"/>
          </w:tcPr>
          <w:p>
            <w:pPr>
              <w:spacing w:after="0"/>
              <w:rPr>
                <w:sz w:val="20"/>
                <w:szCs w:val="20"/>
                <w:color w:val="auto"/>
              </w:rPr>
            </w:pPr>
            <w:r>
              <w:rPr>
                <w:rFonts w:ascii="Arial" w:cs="Arial" w:eastAsia="Arial" w:hAnsi="Arial"/>
                <w:sz w:val="16"/>
                <w:szCs w:val="16"/>
                <w:color w:val="auto"/>
              </w:rPr>
              <w:t>(a)  Calculated using the treasury stock method.</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following outstanding securities were excluded in the computation of diluted net income (loss) per share as their inclusion would have been anti-dilutive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p>
        </w:tc>
        <w:tc>
          <w:tcPr>
            <w:tcW w:w="3000" w:type="dxa"/>
            <w:vAlign w:val="bottom"/>
            <w:gridSpan w:val="2"/>
          </w:tcPr>
          <w:p>
            <w:pPr>
              <w:jc w:val="right"/>
              <w:ind w:right="30"/>
              <w:spacing w:after="0"/>
              <w:rPr>
                <w:sz w:val="20"/>
                <w:szCs w:val="20"/>
                <w:color w:val="auto"/>
              </w:rPr>
            </w:pPr>
            <w:r>
              <w:rPr>
                <w:rFonts w:ascii="Arial" w:cs="Arial" w:eastAsia="Arial" w:hAnsi="Arial"/>
                <w:sz w:val="18"/>
                <w:szCs w:val="18"/>
                <w:color w:val="auto"/>
              </w:rPr>
              <w:t>Three Months Ended March 31,</w:t>
            </w:r>
          </w:p>
        </w:tc>
        <w:tc>
          <w:tcPr>
            <w:tcW w:w="420" w:type="dxa"/>
            <w:vAlign w:val="bottom"/>
          </w:tcPr>
          <w:p>
            <w:pPr>
              <w:spacing w:after="0"/>
              <w:rPr>
                <w:sz w:val="20"/>
                <w:szCs w:val="20"/>
                <w:color w:val="auto"/>
              </w:rPr>
            </w:pPr>
          </w:p>
        </w:tc>
      </w:tr>
      <w:tr>
        <w:trPr>
          <w:trHeight w:val="270"/>
        </w:trPr>
        <w:tc>
          <w:tcPr>
            <w:tcW w:w="9240" w:type="dxa"/>
            <w:vAlign w:val="bottom"/>
            <w:gridSpan w:val="2"/>
          </w:tcPr>
          <w:p>
            <w:pPr>
              <w:jc w:val="right"/>
              <w:ind w:right="110"/>
              <w:spacing w:after="0"/>
              <w:rPr>
                <w:sz w:val="20"/>
                <w:szCs w:val="20"/>
                <w:color w:val="auto"/>
              </w:rPr>
            </w:pPr>
            <w:r>
              <w:rPr>
                <w:rFonts w:ascii="Arial" w:cs="Arial" w:eastAsia="Arial" w:hAnsi="Arial"/>
                <w:sz w:val="18"/>
                <w:szCs w:val="18"/>
                <w:color w:val="auto"/>
              </w:rPr>
              <w:t>2018</w:t>
            </w: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3"/>
                <w:szCs w:val="23"/>
                <w:color w:val="auto"/>
              </w:rPr>
            </w:pPr>
          </w:p>
        </w:tc>
      </w:tr>
      <w:tr>
        <w:trPr>
          <w:trHeight w:val="27"/>
        </w:trPr>
        <w:tc>
          <w:tcPr>
            <w:tcW w:w="8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318"/>
        </w:trPr>
        <w:tc>
          <w:tcPr>
            <w:tcW w:w="8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0"/>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Equity compensation</w:t>
            </w:r>
          </w:p>
        </w:tc>
        <w:tc>
          <w:tcPr>
            <w:tcW w:w="1240" w:type="dxa"/>
            <w:vAlign w:val="bottom"/>
            <w:tcBorders>
              <w:bottom w:val="single" w:sz="8" w:color="CEFFE7"/>
            </w:tcBorders>
            <w:shd w:val="clear" w:color="auto" w:fill="CEFFE7"/>
          </w:tcPr>
          <w:p>
            <w:pPr>
              <w:spacing w:after="0"/>
              <w:rPr>
                <w:sz w:val="23"/>
                <w:szCs w:val="23"/>
                <w:color w:val="auto"/>
              </w:rPr>
            </w:pPr>
          </w:p>
        </w:tc>
        <w:tc>
          <w:tcPr>
            <w:tcW w:w="1760" w:type="dxa"/>
            <w:vAlign w:val="bottom"/>
            <w:tcBorders>
              <w:bottom w:val="single" w:sz="8" w:color="CEFFE7"/>
            </w:tcBorders>
            <w:shd w:val="clear" w:color="auto" w:fill="CEFFE7"/>
          </w:tcPr>
          <w:p>
            <w:pPr>
              <w:jc w:val="right"/>
              <w:ind w:right="1290"/>
              <w:spacing w:after="0"/>
              <w:rPr>
                <w:sz w:val="20"/>
                <w:szCs w:val="20"/>
                <w:color w:val="auto"/>
              </w:rPr>
            </w:pPr>
            <w:r>
              <w:rPr>
                <w:rFonts w:ascii="Arial" w:cs="Arial" w:eastAsia="Arial" w:hAnsi="Arial"/>
                <w:sz w:val="18"/>
                <w:szCs w:val="18"/>
                <w:color w:val="auto"/>
              </w:rPr>
              <w:t>71</w:t>
            </w:r>
          </w:p>
        </w:tc>
        <w:tc>
          <w:tcPr>
            <w:tcW w:w="42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8"/>
                <w:szCs w:val="18"/>
                <w:color w:val="auto"/>
              </w:rPr>
              <w:t>—</w:t>
            </w:r>
          </w:p>
        </w:tc>
      </w:tr>
      <w:tr>
        <w:trPr>
          <w:trHeight w:val="257"/>
        </w:trPr>
        <w:tc>
          <w:tcPr>
            <w:tcW w:w="8000" w:type="dxa"/>
            <w:vAlign w:val="bottom"/>
          </w:tcPr>
          <w:p>
            <w:pPr>
              <w:ind w:left="180"/>
              <w:spacing w:after="0"/>
              <w:rPr>
                <w:sz w:val="20"/>
                <w:szCs w:val="20"/>
                <w:color w:val="auto"/>
              </w:rPr>
            </w:pPr>
            <w:r>
              <w:rPr>
                <w:rFonts w:ascii="Arial" w:cs="Arial" w:eastAsia="Arial" w:hAnsi="Arial"/>
                <w:sz w:val="18"/>
                <w:szCs w:val="18"/>
                <w:color w:val="auto"/>
              </w:rPr>
              <w:t>Anti-dilutive shares</w:t>
            </w:r>
          </w:p>
        </w:tc>
        <w:tc>
          <w:tcPr>
            <w:tcW w:w="124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tcPr>
          <w:p>
            <w:pPr>
              <w:jc w:val="right"/>
              <w:ind w:right="1290"/>
              <w:spacing w:after="0"/>
              <w:rPr>
                <w:sz w:val="20"/>
                <w:szCs w:val="20"/>
                <w:color w:val="auto"/>
              </w:rPr>
            </w:pPr>
            <w:r>
              <w:rPr>
                <w:rFonts w:ascii="Arial" w:cs="Arial" w:eastAsia="Arial" w:hAnsi="Arial"/>
                <w:sz w:val="18"/>
                <w:szCs w:val="18"/>
                <w:color w:val="auto"/>
              </w:rPr>
              <w:t>71</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NOTES PAYABLE AND CURRENT MATURITIES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notes payable outstanding in the accompanying Condensed Consolidated Balance Sheets (in thousands)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March 31, 2018</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3"/>
          </w:tcPr>
          <w:p>
            <w:pPr>
              <w:jc w:val="right"/>
              <w:ind w:right="450"/>
              <w:spacing w:after="0"/>
              <w:rPr>
                <w:sz w:val="20"/>
                <w:szCs w:val="20"/>
                <w:color w:val="auto"/>
              </w:rPr>
            </w:pPr>
            <w:r>
              <w:rPr>
                <w:rFonts w:ascii="Arial" w:cs="Arial" w:eastAsia="Arial" w:hAnsi="Arial"/>
                <w:sz w:val="18"/>
                <w:szCs w:val="18"/>
                <w:color w:val="auto"/>
              </w:rPr>
              <w:t>December 31, 2017</w:t>
            </w:r>
          </w:p>
        </w:tc>
        <w:tc>
          <w:tcPr>
            <w:tcW w:w="160" w:type="dxa"/>
            <w:vAlign w:val="bottom"/>
          </w:tcPr>
          <w:p>
            <w:pPr>
              <w:spacing w:after="0"/>
              <w:rPr>
                <w:sz w:val="20"/>
                <w:szCs w:val="20"/>
                <w:color w:val="auto"/>
              </w:rPr>
            </w:pPr>
          </w:p>
        </w:tc>
        <w:tc>
          <w:tcPr>
            <w:tcW w:w="180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March 31, 2017</w:t>
            </w:r>
          </w:p>
        </w:tc>
        <w:tc>
          <w:tcPr>
            <w:tcW w:w="66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2"/>
        </w:trPr>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2"/>
              </w:rPr>
              <w:t>Outstanding</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Letters of Credit</w:t>
            </w:r>
          </w:p>
        </w:tc>
        <w:tc>
          <w:tcPr>
            <w:tcW w:w="18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2"/>
              </w:rPr>
              <w:t>Outstanding</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w w:val="93"/>
              </w:rPr>
              <w:t>Letters of Credit</w:t>
            </w:r>
          </w:p>
        </w:tc>
        <w:tc>
          <w:tcPr>
            <w:tcW w:w="16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w w:val="90"/>
              </w:rPr>
              <w:t>Outstanding</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Letters of Credit</w:t>
            </w:r>
          </w:p>
        </w:tc>
      </w:tr>
      <w:tr>
        <w:trPr>
          <w:trHeight w:val="27"/>
        </w:trPr>
        <w:tc>
          <w:tcPr>
            <w:tcW w:w="366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EFFE7"/>
            </w:tcBorders>
            <w:shd w:val="clear" w:color="auto" w:fill="CEFFE7"/>
          </w:tcPr>
          <w:p>
            <w:pPr>
              <w:jc w:val="center"/>
              <w:ind w:right="4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8"/>
              </w:rPr>
              <w:t>15,830</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26,848</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EFFE7"/>
            </w:tcBorders>
            <w:shd w:val="clear" w:color="auto" w:fill="CEFFE7"/>
          </w:tcPr>
          <w:p>
            <w:pPr>
              <w:jc w:val="center"/>
              <w:ind w:right="4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8"/>
              </w:rPr>
              <w:t>28,100</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CP Program</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164,200</w:t>
            </w:r>
          </w:p>
        </w:tc>
        <w:tc>
          <w:tcPr>
            <w:tcW w:w="7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211,300</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50,950</w:t>
            </w:r>
          </w:p>
        </w:tc>
        <w:tc>
          <w:tcPr>
            <w:tcW w:w="7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164,200</w:t>
            </w:r>
          </w:p>
        </w:tc>
        <w:tc>
          <w:tcPr>
            <w:tcW w:w="740" w:type="dxa"/>
            <w:vAlign w:val="bottom"/>
            <w:tcBorders>
              <w:bottom w:val="single" w:sz="8" w:color="auto"/>
            </w:tcBorders>
            <w:shd w:val="clear" w:color="auto" w:fill="CEFFE7"/>
          </w:tcPr>
          <w:p>
            <w:pPr>
              <w:jc w:val="center"/>
              <w:ind w:right="4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8"/>
              </w:rPr>
              <w:t>15,830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211,300</w:t>
            </w:r>
          </w:p>
        </w:tc>
        <w:tc>
          <w:tcPr>
            <w:tcW w:w="420" w:type="dxa"/>
            <w:vAlign w:val="bottom"/>
            <w:tcBorders>
              <w:bottom w:val="single" w:sz="8" w:color="auto"/>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26,848</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50,950</w:t>
            </w:r>
          </w:p>
        </w:tc>
        <w:tc>
          <w:tcPr>
            <w:tcW w:w="740" w:type="dxa"/>
            <w:vAlign w:val="bottom"/>
            <w:tcBorders>
              <w:bottom w:val="single" w:sz="8" w:color="auto"/>
            </w:tcBorders>
            <w:shd w:val="clear" w:color="auto" w:fill="CEFFE7"/>
          </w:tcPr>
          <w:p>
            <w:pPr>
              <w:jc w:val="center"/>
              <w:ind w:right="4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8"/>
              </w:rPr>
              <w:t>28,100</w:t>
            </w: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$750 million corporate Revolving Credit Facility extends through August 9, 2021 with two one-year extension options (subject to consent from lenders). This facility includes an accordion feature that allows us, with the consent of the administrative agent and issuing agents, to increase total commitments of the facility up to $1.0 billion. Borrowings are available under a base rate or various Eurodollar rate options. The interest costs associated with the letters of credit or borrowings and the commitment fee under the Revolving Credit Facility are determined based upon our most favorable Corporate credit rating from either S&amp;P or Moody’s for our unsecured debt. Based on our credit ratings, the margins for base rate borrowings, Eurodollar borrowings, and letters of credit were 0.250%, 1.250%, and 1.250%, respectively, at March 31, 2018. A 0.200% commitment fee is charged on the unused amount of the Revolving Credit Facility.</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jc w:val="both"/>
        <w:ind w:right="140"/>
        <w:spacing w:after="0" w:line="259" w:lineRule="auto"/>
        <w:rPr>
          <w:sz w:val="20"/>
          <w:szCs w:val="20"/>
          <w:color w:val="auto"/>
        </w:rPr>
      </w:pPr>
      <w:r>
        <w:rPr>
          <w:rFonts w:ascii="Arial" w:cs="Arial" w:eastAsia="Arial" w:hAnsi="Arial"/>
          <w:sz w:val="18"/>
          <w:szCs w:val="18"/>
          <w:color w:val="auto"/>
        </w:rPr>
        <w:t>note, the frequency of the issuance and our credit ratings. Under the CP Program, any borrowings rank equally with our unsecured debt. Notes under the CP Program are not registered and are offered and issued pursuant to a registration exemption. Our net amount borrowed under the CP Program during the three months ended March 31, 2018 and our notes outstanding as of March 31, 2018 were $164 million. As of March 31, 2018, the weighted average interest rate on CP Program borrowings was 2.34%.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Covenants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Revolving Credit Facility and term loan agreements allow for the exclusion of the Remarketable Junior Subordinated Notes (RSNs) from our Consolidated Indebtedness to Capitalization Ratio covenant calculation. Under our Revolving Credit Facility and term loan agreements, we are required to maintain a Consolidated Indebtedness to Capitalization Ratio not to exceed 0.65 to 1.00. Our Consolidated Indebtedness to Capitalization Ratio is calculated by dividing (i) Consolidated Indebtedness, which includes letters of credit and certain guarantees issued and excludes RSNs by (ii) Capital, which includes Consolidated Indebtedness plus Net Worth, which excludes noncontrolling interests in subsidiaries and includes the aggregate outstanding amount of the RSNs.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and Term Loans require compliance with the following financial covenant at the end of each quarter: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As of March 31, 2018</w:t>
            </w:r>
          </w:p>
        </w:tc>
        <w:tc>
          <w:tcPr>
            <w:tcW w:w="2520" w:type="dxa"/>
            <w:vAlign w:val="bottom"/>
            <w:gridSpan w:val="2"/>
          </w:tcPr>
          <w:p>
            <w:pPr>
              <w:jc w:val="right"/>
              <w:ind w:right="270"/>
              <w:spacing w:after="0"/>
              <w:rPr>
                <w:sz w:val="20"/>
                <w:szCs w:val="20"/>
                <w:color w:val="auto"/>
              </w:rPr>
            </w:pPr>
            <w:r>
              <w:rPr>
                <w:rFonts w:ascii="Arial" w:cs="Arial" w:eastAsia="Arial" w:hAnsi="Arial"/>
                <w:sz w:val="18"/>
                <w:szCs w:val="18"/>
                <w:color w:val="auto"/>
              </w:rPr>
              <w:t>Covenant Requirement</w:t>
            </w:r>
          </w:p>
        </w:tc>
      </w:tr>
      <w:tr>
        <w:trPr>
          <w:trHeight w:val="27"/>
        </w:trPr>
        <w:tc>
          <w:tcPr>
            <w:tcW w:w="6280" w:type="dxa"/>
            <w:vAlign w:val="bottom"/>
            <w:tcBorders>
              <w:bottom w:val="single" w:sz="8" w:color="CEFFE7"/>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28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Consolidated Indebtedness to Capitalization Ratio</w:t>
            </w:r>
          </w:p>
        </w:tc>
        <w:tc>
          <w:tcPr>
            <w:tcW w:w="2620" w:type="dxa"/>
            <w:vAlign w:val="bottom"/>
            <w:shd w:val="clear" w:color="auto" w:fill="CEFFE7"/>
          </w:tcPr>
          <w:p>
            <w:pPr>
              <w:jc w:val="right"/>
              <w:ind w:right="1050"/>
              <w:spacing w:after="0"/>
              <w:rPr>
                <w:sz w:val="20"/>
                <w:szCs w:val="20"/>
                <w:color w:val="auto"/>
              </w:rPr>
            </w:pPr>
            <w:r>
              <w:rPr>
                <w:rFonts w:ascii="Arial" w:cs="Arial" w:eastAsia="Arial" w:hAnsi="Arial"/>
                <w:sz w:val="18"/>
                <w:szCs w:val="18"/>
                <w:color w:val="auto"/>
              </w:rPr>
              <w:t>59%</w:t>
            </w:r>
          </w:p>
        </w:tc>
        <w:tc>
          <w:tcPr>
            <w:tcW w:w="1500" w:type="dxa"/>
            <w:vAlign w:val="bottom"/>
            <w:shd w:val="clear" w:color="auto" w:fill="CEFFE7"/>
          </w:tcPr>
          <w:p>
            <w:pPr>
              <w:ind w:left="560"/>
              <w:spacing w:after="0"/>
              <w:rPr>
                <w:sz w:val="20"/>
                <w:szCs w:val="20"/>
                <w:color w:val="auto"/>
              </w:rPr>
            </w:pPr>
            <w:r>
              <w:rPr>
                <w:rFonts w:ascii="Arial" w:cs="Arial" w:eastAsia="Arial" w:hAnsi="Arial"/>
                <w:sz w:val="18"/>
                <w:szCs w:val="18"/>
                <w:color w:val="auto"/>
              </w:rPr>
              <w:t>Less than</w:t>
            </w:r>
          </w:p>
        </w:tc>
        <w:tc>
          <w:tcPr>
            <w:tcW w:w="1020" w:type="dxa"/>
            <w:vAlign w:val="bottom"/>
            <w:shd w:val="clear" w:color="auto" w:fill="CEFFE7"/>
          </w:tcPr>
          <w:p>
            <w:pPr>
              <w:jc w:val="right"/>
              <w:ind w:right="370"/>
              <w:spacing w:after="0"/>
              <w:rPr>
                <w:sz w:val="20"/>
                <w:szCs w:val="20"/>
                <w:color w:val="auto"/>
              </w:rPr>
            </w:pPr>
            <w:r>
              <w:rPr>
                <w:rFonts w:ascii="Arial" w:cs="Arial" w:eastAsia="Arial" w:hAnsi="Arial"/>
                <w:sz w:val="18"/>
                <w:szCs w:val="18"/>
                <w:color w:val="auto"/>
              </w:rPr>
              <w:t>65%</w:t>
            </w:r>
          </w:p>
        </w:tc>
      </w:tr>
      <w:tr>
        <w:trPr>
          <w:trHeight w:val="27"/>
        </w:trPr>
        <w:tc>
          <w:tcPr>
            <w:tcW w:w="6280" w:type="dxa"/>
            <w:vAlign w:val="bottom"/>
            <w:shd w:val="clear" w:color="auto" w:fill="CEFFE7"/>
          </w:tcPr>
          <w:p>
            <w:pPr>
              <w:spacing w:after="0"/>
              <w:rPr>
                <w:sz w:val="2"/>
                <w:szCs w:val="2"/>
                <w:color w:val="auto"/>
              </w:rPr>
            </w:pPr>
          </w:p>
        </w:tc>
        <w:tc>
          <w:tcPr>
            <w:tcW w:w="2620" w:type="dxa"/>
            <w:vAlign w:val="bottom"/>
            <w:shd w:val="clear" w:color="auto" w:fill="CEFFE7"/>
          </w:tcPr>
          <w:p>
            <w:pPr>
              <w:spacing w:after="0"/>
              <w:rPr>
                <w:sz w:val="2"/>
                <w:szCs w:val="2"/>
                <w:color w:val="auto"/>
              </w:rPr>
            </w:pPr>
          </w:p>
        </w:tc>
        <w:tc>
          <w:tcPr>
            <w:tcW w:w="1500" w:type="dxa"/>
            <w:vAlign w:val="bottom"/>
            <w:shd w:val="clear" w:color="auto" w:fill="CEFFE7"/>
          </w:tcPr>
          <w:p>
            <w:pPr>
              <w:spacing w:after="0"/>
              <w:rPr>
                <w:sz w:val="2"/>
                <w:szCs w:val="2"/>
                <w:color w:val="auto"/>
              </w:rPr>
            </w:pPr>
          </w:p>
        </w:tc>
        <w:tc>
          <w:tcPr>
            <w:tcW w:w="102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were in compliance with this covenant.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Maturities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March 31, 2018, our $250 million Senior unsecured notes due January 11, 2019 and $5.7 million of principal due in the next twelve months on our Corporate term loan due June 7, 2021 are classified as Current maturities of long-term debt.</w:t>
      </w:r>
    </w:p>
    <w:p>
      <w:pPr>
        <w:spacing w:after="0" w:line="15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w:t>
        <w:tab/>
        <w:t>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equity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92"/>
              </w:rPr>
              <w:t>Total Stockholders’</w:t>
            </w:r>
          </w:p>
        </w:tc>
        <w:tc>
          <w:tcPr>
            <w:tcW w:w="22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95"/>
              </w:rPr>
              <w:t>Noncontrolling</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40"/>
              <w:spacing w:after="0"/>
              <w:rPr>
                <w:sz w:val="20"/>
                <w:szCs w:val="20"/>
                <w:color w:val="auto"/>
              </w:rPr>
            </w:pPr>
            <w:r>
              <w:rPr>
                <w:rFonts w:ascii="Arial" w:cs="Arial" w:eastAsia="Arial" w:hAnsi="Arial"/>
                <w:sz w:val="18"/>
                <w:szCs w:val="18"/>
                <w:color w:val="auto"/>
              </w:rPr>
              <w:t>Three Months Ended March 31, 2018</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Interest</w:t>
            </w:r>
          </w:p>
        </w:tc>
        <w:tc>
          <w:tcPr>
            <w:tcW w:w="28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Total Equity</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FFFE7"/>
            </w:tcBorders>
            <w:shd w:val="clear" w:color="auto" w:fill="CFFFE7"/>
          </w:tcPr>
          <w:p>
            <w:pPr>
              <w:ind w:left="40"/>
              <w:spacing w:after="0"/>
              <w:rPr>
                <w:sz w:val="20"/>
                <w:szCs w:val="20"/>
                <w:color w:val="auto"/>
              </w:rPr>
            </w:pPr>
            <w:r>
              <w:rPr>
                <w:rFonts w:ascii="Arial" w:cs="Arial" w:eastAsia="Arial" w:hAnsi="Arial"/>
                <w:sz w:val="18"/>
                <w:szCs w:val="18"/>
                <w:color w:val="auto"/>
              </w:rPr>
              <w:t>Balance at December 31, 2017</w:t>
            </w:r>
          </w:p>
        </w:tc>
        <w:tc>
          <w:tcPr>
            <w:tcW w:w="1740" w:type="dxa"/>
            <w:vAlign w:val="bottom"/>
            <w:tcBorders>
              <w:bottom w:val="single" w:sz="8" w:color="CFFFE7"/>
            </w:tcBorders>
            <w:shd w:val="clear" w:color="auto" w:fill="CFFFE7"/>
          </w:tcPr>
          <w:p>
            <w:pPr>
              <w:spacing w:after="0"/>
              <w:rPr>
                <w:sz w:val="21"/>
                <w:szCs w:val="21"/>
                <w:color w:val="auto"/>
              </w:rPr>
            </w:pP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1,708,974</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111,232</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1,820,206</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133,004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3,630</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136,634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w:t>
            </w:r>
          </w:p>
        </w:tc>
        <w:tc>
          <w:tcPr>
            <w:tcW w:w="17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1,260</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Dividends on common stock</w:t>
            </w: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(25,444)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(25,444)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Share-based compensation</w:t>
            </w:r>
          </w:p>
        </w:tc>
        <w:tc>
          <w:tcPr>
            <w:tcW w:w="17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755</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Issuance of common stock</w:t>
            </w: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Dividend reinvestment and stock purchase plan</w:t>
            </w:r>
          </w:p>
        </w:tc>
        <w:tc>
          <w:tcPr>
            <w:tcW w:w="17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219</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Distribution to noncontrolling interest</w:t>
            </w:r>
          </w:p>
        </w:tc>
        <w:tc>
          <w:tcPr>
            <w:tcW w:w="174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(5,648)</w:t>
            </w:r>
          </w:p>
        </w:tc>
        <w:tc>
          <w:tcPr>
            <w:tcW w:w="28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(5,648)</w:t>
            </w:r>
          </w:p>
        </w:tc>
        <w:tc>
          <w:tcPr>
            <w:tcW w:w="0" w:type="dxa"/>
            <w:vAlign w:val="bottom"/>
          </w:tcPr>
          <w:p>
            <w:pPr>
              <w:spacing w:after="0"/>
              <w:rPr>
                <w:sz w:val="1"/>
                <w:szCs w:val="1"/>
                <w:color w:val="auto"/>
              </w:rPr>
            </w:pPr>
          </w:p>
        </w:tc>
      </w:tr>
      <w:tr>
        <w:trPr>
          <w:trHeight w:val="257"/>
        </w:trPr>
        <w:tc>
          <w:tcPr>
            <w:tcW w:w="4540" w:type="dxa"/>
            <w:vAlign w:val="bottom"/>
          </w:tcPr>
          <w:p>
            <w:pPr>
              <w:ind w:left="40"/>
              <w:spacing w:after="0"/>
              <w:rPr>
                <w:sz w:val="20"/>
                <w:szCs w:val="20"/>
                <w:color w:val="auto"/>
              </w:rPr>
            </w:pPr>
            <w:r>
              <w:rPr>
                <w:rFonts w:ascii="Arial" w:cs="Arial" w:eastAsia="Arial" w:hAnsi="Arial"/>
                <w:sz w:val="18"/>
                <w:szCs w:val="18"/>
                <w:color w:val="auto"/>
              </w:rPr>
              <w:t>Balance at March 31, 2018</w:t>
            </w:r>
          </w:p>
        </w:tc>
        <w:tc>
          <w:tcPr>
            <w:tcW w:w="17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1,818,770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109,214</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1,927,984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740" w:type="dxa"/>
            <w:vAlign w:val="bottom"/>
            <w:vMerge w:val="restart"/>
          </w:tcPr>
          <w:p>
            <w:pPr>
              <w:jc w:val="right"/>
              <w:ind w:right="39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4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92"/>
              </w:rPr>
              <w:t>Total Stockholders’</w:t>
            </w:r>
          </w:p>
        </w:tc>
        <w:tc>
          <w:tcPr>
            <w:tcW w:w="22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95"/>
              </w:rPr>
              <w:t>Noncontrolling</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6280" w:type="dxa"/>
            <w:vAlign w:val="bottom"/>
          </w:tcPr>
          <w:p>
            <w:pPr>
              <w:ind w:left="40"/>
              <w:spacing w:after="0"/>
              <w:rPr>
                <w:sz w:val="20"/>
                <w:szCs w:val="20"/>
                <w:color w:val="auto"/>
              </w:rPr>
            </w:pPr>
            <w:r>
              <w:rPr>
                <w:rFonts w:ascii="Arial" w:cs="Arial" w:eastAsia="Arial" w:hAnsi="Arial"/>
                <w:sz w:val="18"/>
                <w:szCs w:val="18"/>
                <w:color w:val="2C2C2C"/>
              </w:rPr>
              <w:t>Three Months Ended March 31, 2017</w:t>
            </w:r>
          </w:p>
        </w:tc>
        <w:tc>
          <w:tcPr>
            <w:tcW w:w="14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Interest</w:t>
            </w:r>
          </w:p>
        </w:tc>
        <w:tc>
          <w:tcPr>
            <w:tcW w:w="28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Total Equity</w:t>
            </w: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Balance at December 31, 2016</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1,614,639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115,495</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1,730,134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76,523</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3,516</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80,039</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1,153</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1,153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Dividends on common stock</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(23,754)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(23,754)</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2,392</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2,392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Dividend reinvestment and stock purchase plan</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748</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748</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Redeemable noncontrolling interest</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(1,096)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Cumulative effect of ASU 2016-09 implementation</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3,714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3,714</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stock transactions</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Distribution to noncontrolling interest</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(4,349)</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(4,349)</w:t>
            </w:r>
          </w:p>
        </w:tc>
      </w:tr>
      <w:tr>
        <w:trPr>
          <w:trHeight w:val="27"/>
        </w:trPr>
        <w:tc>
          <w:tcPr>
            <w:tcW w:w="628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Balance at March 31, 2017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1,674,316</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114,662</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1,788,978</w:t>
            </w: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At-the-Market Equity Offering Program</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August 4, 2017, we renewed our ATM equity offering program which reset the size of the program to an aggregate value of up to $300 million. The renewed program, which allows us to sell shares of our common stock, is the same as the prior program other than the aggregate value increased from $200 million to $300 million. The shares may be offered from time to time pursuant to a sales agreement dated August 4, 2017. Shares of common stock are offered pursuant to our shelf registration statement filed with the SEC. We did not issue any common shares during the three months ended March 31, 2018 and March 31, 2017 under the ATM equity offering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Noncontrolling Interest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Colorado IPP owns a 200 MW, combined-cycle natural gas generating facility located in Pueblo, Colorado. On April 14, 2016, Black Hills Electric Generation sold a 49.9%, noncontrolling interest in Colorado IPP to a third-party buyer. Black Hills Electric Generation is the operator of the facility, which is contracted to provide capacity and energy through 2031 to Black Hills Colorado Electric.</w:t>
      </w:r>
    </w:p>
    <w:p>
      <w:pPr>
        <w:spacing w:after="0" w:line="18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Colorado IPP has been determined to be a variable interest entity (VIE) in which the Company has a variable interest. Black Hills Electric Generation has been determined to be the primary beneficiary of the VIE as Black Hills Electric Generation is the operator and manager of the generation facility and, as such, has the power to direct the activities that most significantly impact Colorado IPP’s economic performance. Black Hills Electric Generation, as the primary beneficiary, continues to consolidate Colorado IPP. Colorado IPP has not received financial or other support from the Company outside of pre-existing contractual arrangements during the reporting period. Colorado IPP does not have any debt and its cash flows from operations are sufficient to support its ongoing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have recorded the following assets and liabilities on our Condensed Consolidated Balance Sheets related to the VIE described above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color w:val="auto"/>
                <w:w w:val="99"/>
              </w:rPr>
              <w:t>March 31, 2018</w:t>
            </w:r>
          </w:p>
        </w:tc>
        <w:tc>
          <w:tcPr>
            <w:tcW w:w="24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w w:val="91"/>
              </w:rPr>
              <w:t>December 31, 2017</w:t>
            </w:r>
          </w:p>
        </w:tc>
        <w:tc>
          <w:tcPr>
            <w:tcW w:w="320" w:type="dxa"/>
            <w:vAlign w:val="bottom"/>
          </w:tcPr>
          <w:p>
            <w:pPr>
              <w:spacing w:after="0"/>
              <w:rPr>
                <w:sz w:val="20"/>
                <w:szCs w:val="20"/>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color w:val="auto"/>
                <w:w w:val="99"/>
              </w:rPr>
              <w:t>March 31, 2017</w:t>
            </w:r>
          </w:p>
        </w:tc>
      </w:tr>
      <w:tr>
        <w:trPr>
          <w:trHeight w:val="27"/>
        </w:trPr>
        <w:tc>
          <w:tcPr>
            <w:tcW w:w="5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Assets</w:t>
            </w: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
        </w:trPr>
        <w:tc>
          <w:tcPr>
            <w:tcW w:w="5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Current assets</w:t>
            </w:r>
          </w:p>
        </w:tc>
        <w:tc>
          <w:tcPr>
            <w:tcW w:w="840" w:type="dxa"/>
            <w:vAlign w:val="bottom"/>
            <w:tcBorders>
              <w:bottom w:val="single" w:sz="8" w:color="CEFFE7"/>
            </w:tcBorders>
            <w:gridSpan w:val="2"/>
            <w:shd w:val="clear" w:color="auto" w:fill="CEFFE7"/>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12,567</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14,837</w:t>
            </w:r>
          </w:p>
        </w:tc>
        <w:tc>
          <w:tcPr>
            <w:tcW w:w="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12,167</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Property, plant and equipment of variable interest entities, net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205,725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208,595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217,083</w:t>
            </w:r>
          </w:p>
        </w:tc>
      </w:tr>
      <w:tr>
        <w:trPr>
          <w:trHeight w:val="27"/>
        </w:trPr>
        <w:tc>
          <w:tcPr>
            <w:tcW w:w="5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5120" w:type="dxa"/>
            <w:vAlign w:val="bottom"/>
            <w:shd w:val="clear" w:color="auto" w:fill="CEFFE7"/>
          </w:tcPr>
          <w:p>
            <w:pPr>
              <w:spacing w:after="0"/>
              <w:rPr>
                <w:sz w:val="24"/>
                <w:szCs w:val="24"/>
                <w:color w:val="auto"/>
              </w:rPr>
            </w:pPr>
          </w:p>
        </w:tc>
        <w:tc>
          <w:tcPr>
            <w:tcW w:w="60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6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68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600" w:type="dxa"/>
            <w:vAlign w:val="bottom"/>
            <w:shd w:val="clear" w:color="auto" w:fill="CEFFE7"/>
          </w:tcPr>
          <w:p>
            <w:pPr>
              <w:spacing w:after="0"/>
              <w:rPr>
                <w:sz w:val="24"/>
                <w:szCs w:val="24"/>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Current liabilities</w:t>
            </w:r>
          </w:p>
        </w:tc>
        <w:tc>
          <w:tcPr>
            <w:tcW w:w="840" w:type="dxa"/>
            <w:vAlign w:val="bottom"/>
            <w:tcBorders>
              <w:bottom w:val="single" w:sz="8" w:color="CEFFE7"/>
            </w:tcBorders>
            <w:gridSpan w:val="2"/>
            <w:shd w:val="clear" w:color="auto" w:fill="CEFFE7"/>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3,404</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4,565</w:t>
            </w:r>
          </w:p>
        </w:tc>
        <w:tc>
          <w:tcPr>
            <w:tcW w:w="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3,464</w:t>
            </w:r>
          </w:p>
        </w:tc>
      </w:tr>
      <w:tr>
        <w:trPr>
          <w:trHeight w:val="675"/>
        </w:trPr>
        <w:tc>
          <w:tcPr>
            <w:tcW w:w="51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2" w:name="page23"/>
    <w:bookmarkEnd w:id="22"/>
    <w:p>
      <w:pPr>
        <w:spacing w:after="0"/>
        <w:tabs>
          <w:tab w:leader="none" w:pos="460" w:val="left"/>
        </w:tabs>
        <w:rPr>
          <w:sz w:val="20"/>
          <w:szCs w:val="20"/>
          <w:color w:val="auto"/>
        </w:rPr>
      </w:pPr>
      <w:r>
        <w:rPr>
          <w:rFonts w:ascii="Arial" w:cs="Arial" w:eastAsia="Arial" w:hAnsi="Arial"/>
          <w:sz w:val="18"/>
          <w:szCs w:val="18"/>
          <w:color w:val="auto"/>
        </w:rPr>
        <w:t>(11)</w:t>
        <w:tab/>
        <w:t>RISK MANAGEMENT ACTIVITIES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activities in the regulated and non-regulated energy sectors expose us to a number of risks in the normal operation of our businesses. Depending on the activity, we are exposed to varying degrees of market risk and credit risk. To manage and mitigate these identified risks, we have adopted the Black Hills Corporation Risk Policies and Procedures as discussed in our 2017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Risk</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Market risk is the potential loss that might occur as a result of an adverse change in market price or rate. We are exposed to the following market risks including, but not limited to:</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Commodity price risk associated with our retail natural gas marketing activities and our fuel procurement for certain gas-fired generation assets;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 risk associated with our variable rate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risk is the risk of financial loss resulting from non-performance of contractual obligations by a counterparty.</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For production and generation activities,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prepayments, letters of credit, and other security agreements.</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perform ongoing credit evaluations of our customers and adjust credit limits based on payment history and the customer’s current creditworthiness, as determined by review of their current credit information. We maintain a provision for estimated credit losses based upon historical experience and any specific customer collection issue that is identified.</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derivative and hedging activities recorded in the accompanying Condensed Consolidated Balance Sheets, Condensed Consolidated Statements of Income and Condensed Consolidated Statements of Comprehensive Income are detailed below and in Note 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Utilities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volatility in natural gas prices. Therefore, as allowed or required by state utility commissions, we have entered into commission-approved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spacing w:after="0" w:line="16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state commission guidelines. When the related costs are recovered through our rates, the hedging activity is recognized in the Condensed Consolidated Statements of Income.</w:t>
      </w:r>
    </w:p>
    <w:p>
      <w:pPr>
        <w:spacing w:after="0" w:line="1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and/or sales during time frames ranging from April 2018 through May 2020. A portion of our over-the-counter swaps have been designated as cash flow hedges to mitigate the commodity price risk associated with forward contracts to deliver gas to our Choice Gas Program customers. The effective portion of the gain or loss on these designated derivatives is reported in AOCI in the accompanying Condensed Consolidated Balance Sheets and the ineffective portion, if any, is reported in Fuel, purchased power and cost of natural gas sold in the accompanying Condensed Consolidated Statements of Income. Effectiveness of our hedging position is evaluated at inception of the hedge, upon occurrence of a triggering event</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584"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and as of the end of each quarter.</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contract or notional amounts and terms of the natural gas derivative commodity instruments held at our Utilities are composed of both long and short positions. We were in a net long position as of:</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40" w:type="dxa"/>
            <w:vAlign w:val="bottom"/>
          </w:tcPr>
          <w:p>
            <w:pPr>
              <w:spacing w:after="0"/>
              <w:rPr>
                <w:sz w:val="17"/>
                <w:szCs w:val="17"/>
                <w:color w:val="auto"/>
              </w:rPr>
            </w:pPr>
          </w:p>
        </w:tc>
        <w:tc>
          <w:tcPr>
            <w:tcW w:w="2760" w:type="dxa"/>
            <w:vAlign w:val="bottom"/>
            <w:gridSpan w:val="2"/>
          </w:tcPr>
          <w:p>
            <w:pPr>
              <w:ind w:left="820"/>
              <w:spacing w:after="0"/>
              <w:rPr>
                <w:sz w:val="20"/>
                <w:szCs w:val="20"/>
                <w:color w:val="auto"/>
              </w:rPr>
            </w:pPr>
            <w:r>
              <w:rPr>
                <w:rFonts w:ascii="Arial" w:cs="Arial" w:eastAsia="Arial" w:hAnsi="Arial"/>
                <w:sz w:val="16"/>
                <w:szCs w:val="16"/>
                <w:color w:val="auto"/>
              </w:rPr>
              <w:t>March 31, 2018</w:t>
            </w:r>
          </w:p>
        </w:tc>
        <w:tc>
          <w:tcPr>
            <w:tcW w:w="2740" w:type="dxa"/>
            <w:vAlign w:val="bottom"/>
            <w:gridSpan w:val="2"/>
          </w:tcPr>
          <w:p>
            <w:pPr>
              <w:ind w:left="680"/>
              <w:spacing w:after="0"/>
              <w:rPr>
                <w:sz w:val="20"/>
                <w:szCs w:val="20"/>
                <w:color w:val="auto"/>
              </w:rPr>
            </w:pPr>
            <w:r>
              <w:rPr>
                <w:rFonts w:ascii="Arial" w:cs="Arial" w:eastAsia="Arial" w:hAnsi="Arial"/>
                <w:sz w:val="16"/>
                <w:szCs w:val="16"/>
                <w:color w:val="auto"/>
              </w:rPr>
              <w:t>December 31, 2017</w:t>
            </w:r>
          </w:p>
        </w:tc>
        <w:tc>
          <w:tcPr>
            <w:tcW w:w="2580" w:type="dxa"/>
            <w:vAlign w:val="bottom"/>
            <w:gridSpan w:val="2"/>
          </w:tcPr>
          <w:p>
            <w:pPr>
              <w:ind w:left="780"/>
              <w:spacing w:after="0"/>
              <w:rPr>
                <w:sz w:val="20"/>
                <w:szCs w:val="20"/>
                <w:color w:val="auto"/>
              </w:rPr>
            </w:pPr>
            <w:r>
              <w:rPr>
                <w:rFonts w:ascii="Arial" w:cs="Arial" w:eastAsia="Arial" w:hAnsi="Arial"/>
                <w:sz w:val="16"/>
                <w:szCs w:val="16"/>
                <w:color w:val="auto"/>
              </w:rPr>
              <w:t>March 31, 2017</w:t>
            </w:r>
          </w:p>
        </w:tc>
      </w:tr>
      <w:tr>
        <w:trPr>
          <w:trHeight w:val="33"/>
        </w:trPr>
        <w:tc>
          <w:tcPr>
            <w:tcW w:w="33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3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98"/>
              </w:rPr>
              <w:t>Maximum</w:t>
            </w:r>
          </w:p>
        </w:tc>
        <w:tc>
          <w:tcPr>
            <w:tcW w:w="1480" w:type="dxa"/>
            <w:vAlign w:val="bottom"/>
          </w:tcPr>
          <w:p>
            <w:pPr>
              <w:spacing w:after="0"/>
              <w:rPr>
                <w:sz w:val="18"/>
                <w:szCs w:val="18"/>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color w:val="auto"/>
                <w:w w:val="95"/>
              </w:rPr>
              <w:t>Maximum</w:t>
            </w:r>
          </w:p>
        </w:tc>
        <w:tc>
          <w:tcPr>
            <w:tcW w:w="14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Maximum</w:t>
            </w:r>
          </w:p>
        </w:tc>
      </w:tr>
      <w:tr>
        <w:trPr>
          <w:trHeight w:val="203"/>
        </w:trPr>
        <w:tc>
          <w:tcPr>
            <w:tcW w:w="3340" w:type="dxa"/>
            <w:vAlign w:val="bottom"/>
          </w:tcPr>
          <w:p>
            <w:pPr>
              <w:spacing w:after="0"/>
              <w:rPr>
                <w:sz w:val="17"/>
                <w:szCs w:val="17"/>
                <w:color w:val="auto"/>
              </w:rPr>
            </w:pPr>
          </w:p>
        </w:tc>
        <w:tc>
          <w:tcPr>
            <w:tcW w:w="1480" w:type="dxa"/>
            <w:vAlign w:val="bottom"/>
          </w:tcPr>
          <w:p>
            <w:pPr>
              <w:jc w:val="right"/>
              <w:ind w:right="439"/>
              <w:spacing w:after="0"/>
              <w:rPr>
                <w:sz w:val="20"/>
                <w:szCs w:val="20"/>
                <w:color w:val="auto"/>
              </w:rPr>
            </w:pPr>
            <w:r>
              <w:rPr>
                <w:rFonts w:ascii="Arial" w:cs="Arial" w:eastAsia="Arial" w:hAnsi="Arial"/>
                <w:sz w:val="16"/>
                <w:szCs w:val="16"/>
                <w:color w:val="auto"/>
              </w:rPr>
              <w:t>Notional</w:t>
            </w:r>
          </w:p>
        </w:tc>
        <w:tc>
          <w:tcPr>
            <w:tcW w:w="1280" w:type="dxa"/>
            <w:vAlign w:val="bottom"/>
          </w:tcPr>
          <w:p>
            <w:pPr>
              <w:jc w:val="center"/>
              <w:ind w:right="19"/>
              <w:spacing w:after="0"/>
              <w:rPr>
                <w:sz w:val="20"/>
                <w:szCs w:val="20"/>
                <w:color w:val="auto"/>
              </w:rPr>
            </w:pPr>
            <w:r>
              <w:rPr>
                <w:rFonts w:ascii="Arial" w:cs="Arial" w:eastAsia="Arial" w:hAnsi="Arial"/>
                <w:sz w:val="16"/>
                <w:szCs w:val="16"/>
                <w:color w:val="auto"/>
                <w:w w:val="90"/>
              </w:rPr>
              <w:t>Term</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Notional</w:t>
            </w:r>
          </w:p>
        </w:tc>
        <w:tc>
          <w:tcPr>
            <w:tcW w:w="1260" w:type="dxa"/>
            <w:vAlign w:val="bottom"/>
          </w:tcPr>
          <w:p>
            <w:pPr>
              <w:jc w:val="center"/>
              <w:ind w:right="39"/>
              <w:spacing w:after="0"/>
              <w:rPr>
                <w:sz w:val="20"/>
                <w:szCs w:val="20"/>
                <w:color w:val="auto"/>
              </w:rPr>
            </w:pPr>
            <w:r>
              <w:rPr>
                <w:rFonts w:ascii="Arial" w:cs="Arial" w:eastAsia="Arial" w:hAnsi="Arial"/>
                <w:sz w:val="16"/>
                <w:szCs w:val="16"/>
                <w:color w:val="auto"/>
                <w:w w:val="90"/>
              </w:rPr>
              <w:t>Term</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Notional</w:t>
            </w: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Term</w:t>
            </w:r>
          </w:p>
        </w:tc>
      </w:tr>
      <w:tr>
        <w:trPr>
          <w:trHeight w:val="239"/>
        </w:trPr>
        <w:tc>
          <w:tcPr>
            <w:tcW w:w="3340" w:type="dxa"/>
            <w:vAlign w:val="bottom"/>
            <w:tcBorders>
              <w:bottom w:val="single" w:sz="8" w:color="CEFFE7"/>
            </w:tcBorders>
          </w:tcPr>
          <w:p>
            <w:pPr>
              <w:spacing w:after="0"/>
              <w:rPr>
                <w:sz w:val="20"/>
                <w:szCs w:val="20"/>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(MMBtus)</w:t>
            </w:r>
          </w:p>
        </w:tc>
        <w:tc>
          <w:tcPr>
            <w:tcW w:w="1280" w:type="dxa"/>
            <w:vAlign w:val="bottom"/>
            <w:tcBorders>
              <w:bottom w:val="single" w:sz="8" w:color="auto"/>
            </w:tcBorders>
          </w:tcPr>
          <w:p>
            <w:pPr>
              <w:jc w:val="center"/>
              <w:ind w:right="39"/>
              <w:spacing w:after="0" w:line="239" w:lineRule="exact"/>
              <w:rPr>
                <w:sz w:val="20"/>
                <w:szCs w:val="20"/>
                <w:color w:val="auto"/>
              </w:rPr>
            </w:pPr>
            <w:r>
              <w:rPr>
                <w:rFonts w:ascii="Arial" w:cs="Arial" w:eastAsia="Arial" w:hAnsi="Arial"/>
                <w:sz w:val="16"/>
                <w:szCs w:val="16"/>
                <w:color w:val="auto"/>
                <w:w w:val="84"/>
              </w:rPr>
              <w:t xml:space="preserve">(months) </w:t>
            </w:r>
            <w:r>
              <w:rPr>
                <w:rFonts w:ascii="Arial" w:cs="Arial" w:eastAsia="Arial" w:hAnsi="Arial"/>
                <w:sz w:val="21"/>
                <w:szCs w:val="21"/>
                <w:color w:val="auto"/>
                <w:w w:val="84"/>
                <w:vertAlign w:val="superscript"/>
              </w:rPr>
              <w:t>(a)</w:t>
            </w: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(MMBtus)</w:t>
            </w:r>
          </w:p>
        </w:tc>
        <w:tc>
          <w:tcPr>
            <w:tcW w:w="1260" w:type="dxa"/>
            <w:vAlign w:val="bottom"/>
            <w:tcBorders>
              <w:bottom w:val="single" w:sz="8" w:color="auto"/>
            </w:tcBorders>
          </w:tcPr>
          <w:p>
            <w:pPr>
              <w:jc w:val="center"/>
              <w:ind w:right="39"/>
              <w:spacing w:after="0" w:line="239" w:lineRule="exact"/>
              <w:rPr>
                <w:sz w:val="20"/>
                <w:szCs w:val="20"/>
                <w:color w:val="auto"/>
              </w:rPr>
            </w:pPr>
            <w:r>
              <w:rPr>
                <w:rFonts w:ascii="Arial" w:cs="Arial" w:eastAsia="Arial" w:hAnsi="Arial"/>
                <w:sz w:val="16"/>
                <w:szCs w:val="16"/>
                <w:color w:val="auto"/>
                <w:w w:val="87"/>
              </w:rPr>
              <w:t xml:space="preserve">(months) </w:t>
            </w:r>
            <w:r>
              <w:rPr>
                <w:rFonts w:ascii="Arial" w:cs="Arial" w:eastAsia="Arial" w:hAnsi="Arial"/>
                <w:sz w:val="21"/>
                <w:szCs w:val="21"/>
                <w:color w:val="auto"/>
                <w:w w:val="87"/>
                <w:vertAlign w:val="superscript"/>
              </w:rPr>
              <w:t>(a)</w:t>
            </w: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(MMBtus)</w:t>
            </w:r>
          </w:p>
        </w:tc>
        <w:tc>
          <w:tcPr>
            <w:tcW w:w="1140" w:type="dxa"/>
            <w:vAlign w:val="bottom"/>
            <w:tcBorders>
              <w:bottom w:val="single" w:sz="8" w:color="auto"/>
            </w:tcBorders>
          </w:tcPr>
          <w:p>
            <w:pPr>
              <w:jc w:val="center"/>
              <w:spacing w:after="0" w:line="239" w:lineRule="exact"/>
              <w:rPr>
                <w:sz w:val="20"/>
                <w:szCs w:val="20"/>
                <w:color w:val="auto"/>
              </w:rPr>
            </w:pPr>
            <w:r>
              <w:rPr>
                <w:rFonts w:ascii="Arial" w:cs="Arial" w:eastAsia="Arial" w:hAnsi="Arial"/>
                <w:sz w:val="16"/>
                <w:szCs w:val="16"/>
                <w:color w:val="auto"/>
                <w:w w:val="87"/>
              </w:rPr>
              <w:t xml:space="preserve">(months) </w:t>
            </w:r>
            <w:r>
              <w:rPr>
                <w:rFonts w:ascii="Arial" w:cs="Arial" w:eastAsia="Arial" w:hAnsi="Arial"/>
                <w:sz w:val="21"/>
                <w:szCs w:val="21"/>
                <w:color w:val="auto"/>
                <w:w w:val="87"/>
                <w:vertAlign w:val="superscript"/>
              </w:rPr>
              <w:t>(a)</w:t>
            </w:r>
          </w:p>
        </w:tc>
      </w:tr>
      <w:tr>
        <w:trPr>
          <w:trHeight w:val="244"/>
        </w:trPr>
        <w:tc>
          <w:tcPr>
            <w:tcW w:w="3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Natural gas futures purchased</w:t>
            </w:r>
          </w:p>
        </w:tc>
        <w:tc>
          <w:tcPr>
            <w:tcW w:w="148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6,760,000</w:t>
            </w:r>
          </w:p>
        </w:tc>
        <w:tc>
          <w:tcPr>
            <w:tcW w:w="1280" w:type="dxa"/>
            <w:vAlign w:val="bottom"/>
            <w:tcBorders>
              <w:bottom w:val="single" w:sz="8" w:color="CEFFE7"/>
            </w:tcBorders>
            <w:shd w:val="clear" w:color="auto" w:fill="CEFFE7"/>
          </w:tcPr>
          <w:p>
            <w:pPr>
              <w:jc w:val="center"/>
              <w:ind w:right="39"/>
              <w:spacing w:after="0"/>
              <w:rPr>
                <w:sz w:val="20"/>
                <w:szCs w:val="20"/>
                <w:color w:val="auto"/>
              </w:rPr>
            </w:pPr>
            <w:r>
              <w:rPr>
                <w:rFonts w:ascii="Arial" w:cs="Arial" w:eastAsia="Arial" w:hAnsi="Arial"/>
                <w:sz w:val="16"/>
                <w:szCs w:val="16"/>
                <w:color w:val="auto"/>
                <w:w w:val="89"/>
              </w:rPr>
              <w:t>33</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8,330,000</w:t>
            </w:r>
          </w:p>
        </w:tc>
        <w:tc>
          <w:tcPr>
            <w:tcW w:w="1260" w:type="dxa"/>
            <w:vAlign w:val="bottom"/>
            <w:tcBorders>
              <w:bottom w:val="single" w:sz="8" w:color="CEFFE7"/>
            </w:tcBorders>
            <w:shd w:val="clear" w:color="auto" w:fill="CEFFE7"/>
          </w:tcPr>
          <w:p>
            <w:pPr>
              <w:jc w:val="center"/>
              <w:ind w:right="19"/>
              <w:spacing w:after="0"/>
              <w:rPr>
                <w:sz w:val="20"/>
                <w:szCs w:val="20"/>
                <w:color w:val="auto"/>
              </w:rPr>
            </w:pPr>
            <w:r>
              <w:rPr>
                <w:rFonts w:ascii="Arial" w:cs="Arial" w:eastAsia="Arial" w:hAnsi="Arial"/>
                <w:sz w:val="16"/>
                <w:szCs w:val="16"/>
                <w:color w:val="auto"/>
                <w:w w:val="89"/>
              </w:rPr>
              <w:t>36</w:t>
            </w:r>
          </w:p>
        </w:tc>
        <w:tc>
          <w:tcPr>
            <w:tcW w:w="14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12,330,000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45</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Natural gas options purchased, net</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170,000</w:t>
            </w: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89"/>
              </w:rPr>
              <w:t>11</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3,540,000</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w w:val="89"/>
              </w:rPr>
              <w:t>14</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500,000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21</w:t>
            </w:r>
          </w:p>
        </w:tc>
      </w:tr>
      <w:tr>
        <w:trPr>
          <w:trHeight w:val="33"/>
        </w:trPr>
        <w:tc>
          <w:tcPr>
            <w:tcW w:w="3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Natural gas basis swaps purchased</w:t>
            </w:r>
          </w:p>
        </w:tc>
        <w:tc>
          <w:tcPr>
            <w:tcW w:w="148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6,770,000</w:t>
            </w:r>
          </w:p>
        </w:tc>
        <w:tc>
          <w:tcPr>
            <w:tcW w:w="1280" w:type="dxa"/>
            <w:vAlign w:val="bottom"/>
            <w:tcBorders>
              <w:bottom w:val="single" w:sz="8" w:color="CEFFE7"/>
            </w:tcBorders>
            <w:shd w:val="clear" w:color="auto" w:fill="CEFFE7"/>
          </w:tcPr>
          <w:p>
            <w:pPr>
              <w:jc w:val="center"/>
              <w:ind w:right="39"/>
              <w:spacing w:after="0"/>
              <w:rPr>
                <w:sz w:val="20"/>
                <w:szCs w:val="20"/>
                <w:color w:val="auto"/>
              </w:rPr>
            </w:pPr>
            <w:r>
              <w:rPr>
                <w:rFonts w:ascii="Arial" w:cs="Arial" w:eastAsia="Arial" w:hAnsi="Arial"/>
                <w:sz w:val="16"/>
                <w:szCs w:val="16"/>
                <w:color w:val="auto"/>
                <w:w w:val="89"/>
              </w:rPr>
              <w:t>33</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8,060,000</w:t>
            </w:r>
          </w:p>
        </w:tc>
        <w:tc>
          <w:tcPr>
            <w:tcW w:w="1260" w:type="dxa"/>
            <w:vAlign w:val="bottom"/>
            <w:tcBorders>
              <w:bottom w:val="single" w:sz="8" w:color="CEFFE7"/>
            </w:tcBorders>
            <w:shd w:val="clear" w:color="auto" w:fill="CEFFE7"/>
          </w:tcPr>
          <w:p>
            <w:pPr>
              <w:jc w:val="center"/>
              <w:ind w:right="19"/>
              <w:spacing w:after="0"/>
              <w:rPr>
                <w:sz w:val="20"/>
                <w:szCs w:val="20"/>
                <w:color w:val="auto"/>
              </w:rPr>
            </w:pPr>
            <w:r>
              <w:rPr>
                <w:rFonts w:ascii="Arial" w:cs="Arial" w:eastAsia="Arial" w:hAnsi="Arial"/>
                <w:sz w:val="16"/>
                <w:szCs w:val="16"/>
                <w:color w:val="auto"/>
                <w:w w:val="89"/>
              </w:rPr>
              <w:t>36</w:t>
            </w:r>
          </w:p>
        </w:tc>
        <w:tc>
          <w:tcPr>
            <w:tcW w:w="14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11,230,000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45</w:t>
            </w:r>
          </w:p>
        </w:tc>
      </w:tr>
      <w:tr>
        <w:trPr>
          <w:trHeight w:val="270"/>
        </w:trPr>
        <w:tc>
          <w:tcPr>
            <w:tcW w:w="3340" w:type="dxa"/>
            <w:vAlign w:val="bottom"/>
          </w:tcPr>
          <w:p>
            <w:pPr>
              <w:ind w:left="40"/>
              <w:spacing w:after="0"/>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2,760,000</w:t>
            </w: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89"/>
              </w:rPr>
              <w:t>26</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3,820,000</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w w:val="89"/>
              </w:rPr>
              <w:t>29</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3,165,952</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26</w:t>
            </w:r>
          </w:p>
        </w:tc>
      </w:tr>
      <w:tr>
        <w:trPr>
          <w:trHeight w:val="270"/>
        </w:trPr>
        <w:tc>
          <w:tcPr>
            <w:tcW w:w="3340" w:type="dxa"/>
            <w:vAlign w:val="bottom"/>
            <w:shd w:val="clear" w:color="auto" w:fill="CEFFE7"/>
          </w:tcPr>
          <w:p>
            <w:pPr>
              <w:ind w:left="40"/>
              <w:spacing w:after="0"/>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48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386,250</w:t>
            </w:r>
          </w:p>
        </w:tc>
        <w:tc>
          <w:tcPr>
            <w:tcW w:w="128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w w:val="89"/>
              </w:rPr>
              <w:t>32</w:t>
            </w:r>
          </w:p>
        </w:tc>
        <w:tc>
          <w:tcPr>
            <w:tcW w:w="148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12,826,605</w:t>
            </w:r>
          </w:p>
        </w:tc>
        <w:tc>
          <w:tcPr>
            <w:tcW w:w="1260" w:type="dxa"/>
            <w:vAlign w:val="bottom"/>
            <w:shd w:val="clear" w:color="auto" w:fill="CEFFE7"/>
          </w:tcPr>
          <w:p>
            <w:pPr>
              <w:jc w:val="center"/>
              <w:ind w:right="19"/>
              <w:spacing w:after="0"/>
              <w:rPr>
                <w:sz w:val="20"/>
                <w:szCs w:val="20"/>
                <w:color w:val="auto"/>
              </w:rPr>
            </w:pPr>
            <w:r>
              <w:rPr>
                <w:rFonts w:ascii="Arial" w:cs="Arial" w:eastAsia="Arial" w:hAnsi="Arial"/>
                <w:sz w:val="16"/>
                <w:szCs w:val="16"/>
                <w:color w:val="auto"/>
                <w:w w:val="89"/>
              </w:rPr>
              <w:t>35</w:t>
            </w:r>
          </w:p>
        </w:tc>
        <w:tc>
          <w:tcPr>
            <w:tcW w:w="14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3,015,234</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12</w:t>
            </w:r>
          </w:p>
        </w:tc>
      </w:tr>
      <w:tr>
        <w:trPr>
          <w:trHeight w:val="220"/>
        </w:trPr>
        <w:tc>
          <w:tcPr>
            <w:tcW w:w="3340" w:type="dxa"/>
            <w:vAlign w:val="bottom"/>
          </w:tcPr>
          <w:p>
            <w:pPr>
              <w:spacing w:after="0"/>
              <w:rPr>
                <w:sz w:val="20"/>
                <w:szCs w:val="20"/>
                <w:color w:val="auto"/>
              </w:rPr>
            </w:pPr>
            <w:r>
              <w:rPr>
                <w:rFonts w:ascii="Arial" w:cs="Arial" w:eastAsia="Arial" w:hAnsi="Arial"/>
                <w:sz w:val="18"/>
                <w:szCs w:val="18"/>
                <w:color w:val="auto"/>
              </w:rPr>
              <w:t>__________</w:t>
            </w:r>
          </w:p>
        </w:tc>
        <w:tc>
          <w:tcPr>
            <w:tcW w:w="1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Term reflects the maximum forward period hedged.</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March 31, 2018</w:t>
      </w:r>
      <w:r>
        <w:rPr>
          <w:rFonts w:ascii="Arial" w:cs="Arial" w:eastAsia="Arial" w:hAnsi="Arial"/>
          <w:sz w:val="18"/>
          <w:szCs w:val="18"/>
          <w:color w:val="auto"/>
        </w:rPr>
        <w:t>,</w:t>
      </w:r>
      <w:r>
        <w:rPr>
          <w:rFonts w:ascii="Arial" w:cs="Arial" w:eastAsia="Arial" w:hAnsi="Arial"/>
          <w:sz w:val="16"/>
          <w:szCs w:val="16"/>
          <w:color w:val="auto"/>
        </w:rPr>
        <w:t xml:space="preserve"> 675,000 MMBtus were designated as cash flow hedges for the natural gas over-the-counter swaps purchased.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Volumes exclude contracts that qualify for the normal purchase, normal sales exception.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Based on March 31, 2018 prices, a $0.4 million loss would be realized, reported in pre-tax earnings and reclassified from AOCI during the next 12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market prices fluctuate, estimated and actual realized gains or losses will change during future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March 31, 2018, we had no outstanding interest rate swap agreements. Our last interest rate swap agreement with a $50 million notional value, which was designated to borrowings on our Revolving Credit Facility, expired in January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Oil and Gas segment was exposed to risks associated with changes in the market prices of oil and gas. Through December 2017, we used exchange traded futures, swaps and options to hedge portions of our crude oil and natural gas production to mitigate commodity price risk and preserve cash flows. Hedge accounting was elected on the swaps and futures contracts. These transactions were designated upon inception as cash flow hedges, documented under accounting standards for derivatives and hedging and initially met prospective effectiveness testing. As a result of divesting our Oil and Gas assets, these activities were discontinued and there were no outstanding derivative agreements as of March 31, 2018 or December 31, 2017. At March 31, 2017, we had outstanding crude oil futures and swap contracts with notional volumes of 90,000 Bbls, crude oil option contracts with notional volumes of 27,000 Bbls and natural gas futures and swap contracts with notional volumes of 1,890,000 MMBtus.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 Hedges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impacts of cash flow hedges on our Condensed Consolidated Statements of Income is presented below for the three months ended March 31, 2018 and 2017 (in thousands). Note that this presentation does not reflect gains or losses arising from the underlying physical transactions; therefore, it is not indicative of the economic gross profit we realized when the underlying physical and financial transactions were settled.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472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 March 31, 2018</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25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240" w:type="dxa"/>
            <w:vAlign w:val="bottom"/>
          </w:tcPr>
          <w:p>
            <w:pPr>
              <w:spacing w:after="0"/>
              <w:rPr>
                <w:sz w:val="21"/>
                <w:szCs w:val="21"/>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5"/>
              </w:rPr>
              <w:t>Amount of</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Gain/(Loss)</w:t>
            </w: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4"/>
              </w:rPr>
              <w:t>Gain/(Loss)</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5"/>
              </w:rPr>
              <w:t>Amount of</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Recognized in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Recognized in</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39"/>
              <w:spacing w:after="0"/>
              <w:rPr>
                <w:sz w:val="20"/>
                <w:szCs w:val="20"/>
                <w:color w:val="auto"/>
              </w:rPr>
            </w:pPr>
            <w:r>
              <w:rPr>
                <w:rFonts w:ascii="Arial" w:cs="Arial" w:eastAsia="Arial" w:hAnsi="Arial"/>
                <w:sz w:val="16"/>
                <w:szCs w:val="16"/>
                <w:color w:val="auto"/>
                <w:w w:val="92"/>
              </w:rPr>
              <w:t>Gain/(Loss) Reclassified</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Income 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Income on</w:t>
            </w:r>
          </w:p>
        </w:tc>
      </w:tr>
      <w:tr>
        <w:trPr>
          <w:trHeight w:val="203"/>
        </w:trPr>
        <w:tc>
          <w:tcPr>
            <w:tcW w:w="25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4"/>
              </w:rPr>
              <w:t>Location of</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7"/>
              </w:rPr>
              <w:t>from AOCI</w:t>
            </w:r>
          </w:p>
        </w:tc>
        <w:tc>
          <w:tcPr>
            <w:tcW w:w="250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5"/>
              </w:rPr>
              <w:t>Derivative</w:t>
            </w:r>
          </w:p>
        </w:tc>
      </w:tr>
      <w:tr>
        <w:trPr>
          <w:trHeight w:val="203"/>
        </w:trPr>
        <w:tc>
          <w:tcPr>
            <w:tcW w:w="2520" w:type="dxa"/>
            <w:vAlign w:val="bottom"/>
          </w:tcPr>
          <w:p>
            <w:pPr>
              <w:jc w:val="center"/>
              <w:spacing w:after="0"/>
              <w:rPr>
                <w:sz w:val="20"/>
                <w:szCs w:val="20"/>
                <w:color w:val="auto"/>
              </w:rPr>
            </w:pPr>
            <w:r>
              <w:rPr>
                <w:rFonts w:ascii="Arial" w:cs="Arial" w:eastAsia="Arial" w:hAnsi="Arial"/>
                <w:sz w:val="16"/>
                <w:szCs w:val="16"/>
                <w:color w:val="auto"/>
                <w:w w:val="93"/>
              </w:rPr>
              <w:t>Derivatives in Cash Flow Hedging</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Reclassifications from AOCI into</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4"/>
              </w:rPr>
              <w:t>into Income</w:t>
            </w: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(Ineffective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7"/>
              </w:rPr>
              <w:t>(Ineffective</w:t>
            </w:r>
          </w:p>
        </w:tc>
      </w:tr>
      <w:tr>
        <w:trPr>
          <w:trHeight w:val="206"/>
        </w:trPr>
        <w:tc>
          <w:tcPr>
            <w:tcW w:w="2520" w:type="dxa"/>
            <w:vAlign w:val="bottom"/>
          </w:tcPr>
          <w:p>
            <w:pPr>
              <w:jc w:val="center"/>
              <w:spacing w:after="0"/>
              <w:rPr>
                <w:sz w:val="20"/>
                <w:szCs w:val="20"/>
                <w:color w:val="auto"/>
              </w:rPr>
            </w:pPr>
            <w:r>
              <w:rPr>
                <w:rFonts w:ascii="Arial" w:cs="Arial" w:eastAsia="Arial" w:hAnsi="Arial"/>
                <w:sz w:val="16"/>
                <w:szCs w:val="16"/>
                <w:color w:val="auto"/>
                <w:w w:val="91"/>
              </w:rPr>
              <w:t>Relationships</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Income</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0"/>
              </w:rPr>
              <w:t>(Settlements)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Portion)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2"/>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(713)</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20"/>
        </w:trPr>
        <w:tc>
          <w:tcPr>
            <w:tcW w:w="252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1"/>
              </w:rPr>
              <w:t>Fuel, purchased power and cost of</w:t>
            </w: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Fuel, purchased power and cost of</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6"/>
        </w:trPr>
        <w:tc>
          <w:tcPr>
            <w:tcW w:w="252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tcPr>
          <w:p>
            <w:pPr>
              <w:ind w:left="140"/>
              <w:spacing w:after="0"/>
              <w:rPr>
                <w:sz w:val="20"/>
                <w:szCs w:val="20"/>
                <w:color w:val="auto"/>
              </w:rPr>
            </w:pPr>
            <w:r>
              <w:rPr>
                <w:rFonts w:ascii="Arial" w:cs="Arial" w:eastAsia="Arial" w:hAnsi="Arial"/>
                <w:sz w:val="16"/>
                <w:szCs w:val="16"/>
                <w:color w:val="auto"/>
              </w:rPr>
              <w:t>natural gas sold</w:t>
            </w:r>
          </w:p>
        </w:tc>
        <w:tc>
          <w:tcPr>
            <w:tcW w:w="2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(621)</w:t>
            </w:r>
          </w:p>
        </w:tc>
        <w:tc>
          <w:tcPr>
            <w:tcW w:w="2500" w:type="dxa"/>
            <w:vAlign w:val="bottom"/>
          </w:tcPr>
          <w:p>
            <w:pPr>
              <w:ind w:left="120"/>
              <w:spacing w:after="0"/>
              <w:rPr>
                <w:sz w:val="20"/>
                <w:szCs w:val="20"/>
                <w:color w:val="auto"/>
              </w:rPr>
            </w:pPr>
            <w:r>
              <w:rPr>
                <w:rFonts w:ascii="Arial" w:cs="Arial" w:eastAsia="Arial" w:hAnsi="Arial"/>
                <w:sz w:val="16"/>
                <w:szCs w:val="16"/>
                <w:color w:val="auto"/>
              </w:rPr>
              <w:t>natural gas sold</w:t>
            </w:r>
          </w:p>
        </w:tc>
        <w:tc>
          <w:tcPr>
            <w:tcW w:w="240" w:type="dxa"/>
            <w:vAlign w:val="bottom"/>
          </w:tcPr>
          <w:p>
            <w:pPr>
              <w:spacing w:after="0"/>
              <w:rPr>
                <w:sz w:val="17"/>
                <w:szCs w:val="17"/>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Borders>
              <w:bottom w:val="single" w:sz="8" w:color="CEFFE7"/>
            </w:tcBorders>
          </w:tcPr>
          <w:p>
            <w:pPr>
              <w:spacing w:after="0"/>
              <w:rPr>
                <w:sz w:val="2"/>
                <w:szCs w:val="2"/>
                <w:color w:val="auto"/>
              </w:rPr>
            </w:pPr>
          </w:p>
        </w:tc>
        <w:tc>
          <w:tcPr>
            <w:tcW w:w="254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Total</w:t>
            </w:r>
          </w:p>
        </w:tc>
        <w:tc>
          <w:tcPr>
            <w:tcW w:w="25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(1,334)</w:t>
            </w:r>
          </w:p>
        </w:tc>
        <w:tc>
          <w:tcPr>
            <w:tcW w:w="25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0"/>
        </w:trPr>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4720" w:type="dxa"/>
            <w:vAlign w:val="bottom"/>
            <w:gridSpan w:val="3"/>
          </w:tcPr>
          <w:p>
            <w:pPr>
              <w:ind w:left="1900"/>
              <w:spacing w:after="0"/>
              <w:rPr>
                <w:sz w:val="20"/>
                <w:szCs w:val="20"/>
                <w:color w:val="auto"/>
              </w:rPr>
            </w:pPr>
            <w:r>
              <w:rPr>
                <w:rFonts w:ascii="Arial" w:cs="Arial" w:eastAsia="Arial" w:hAnsi="Arial"/>
                <w:sz w:val="16"/>
                <w:szCs w:val="16"/>
                <w:b w:val="1"/>
                <w:bCs w:val="1"/>
                <w:color w:val="auto"/>
              </w:rPr>
              <w:t>Three Months Ended March 31, 2017</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25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240" w:type="dxa"/>
            <w:vAlign w:val="bottom"/>
          </w:tcPr>
          <w:p>
            <w:pPr>
              <w:spacing w:after="0"/>
              <w:rPr>
                <w:sz w:val="21"/>
                <w:szCs w:val="21"/>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5"/>
              </w:rPr>
              <w:t>Amount of</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Gain/(Loss)</w:t>
            </w: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4"/>
              </w:rPr>
              <w:t>Gain/(Loss)</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5"/>
              </w:rPr>
              <w:t>Amount of</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Recognized in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Recognized in</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39"/>
              <w:spacing w:after="0"/>
              <w:rPr>
                <w:sz w:val="20"/>
                <w:szCs w:val="20"/>
                <w:color w:val="auto"/>
              </w:rPr>
            </w:pPr>
            <w:r>
              <w:rPr>
                <w:rFonts w:ascii="Arial" w:cs="Arial" w:eastAsia="Arial" w:hAnsi="Arial"/>
                <w:sz w:val="16"/>
                <w:szCs w:val="16"/>
                <w:color w:val="auto"/>
                <w:w w:val="92"/>
              </w:rPr>
              <w:t>Gain/(Loss) Reclassified</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Income 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Income on</w:t>
            </w:r>
          </w:p>
        </w:tc>
      </w:tr>
      <w:tr>
        <w:trPr>
          <w:trHeight w:val="203"/>
        </w:trPr>
        <w:tc>
          <w:tcPr>
            <w:tcW w:w="25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4"/>
              </w:rPr>
              <w:t>Location of</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7"/>
              </w:rPr>
              <w:t>from AOCI</w:t>
            </w:r>
          </w:p>
        </w:tc>
        <w:tc>
          <w:tcPr>
            <w:tcW w:w="250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5"/>
              </w:rPr>
              <w:t>Derivative</w:t>
            </w:r>
          </w:p>
        </w:tc>
      </w:tr>
      <w:tr>
        <w:trPr>
          <w:trHeight w:val="203"/>
        </w:trPr>
        <w:tc>
          <w:tcPr>
            <w:tcW w:w="2520" w:type="dxa"/>
            <w:vAlign w:val="bottom"/>
          </w:tcPr>
          <w:p>
            <w:pPr>
              <w:jc w:val="center"/>
              <w:spacing w:after="0"/>
              <w:rPr>
                <w:sz w:val="20"/>
                <w:szCs w:val="20"/>
                <w:color w:val="auto"/>
              </w:rPr>
            </w:pPr>
            <w:r>
              <w:rPr>
                <w:rFonts w:ascii="Arial" w:cs="Arial" w:eastAsia="Arial" w:hAnsi="Arial"/>
                <w:sz w:val="16"/>
                <w:szCs w:val="16"/>
                <w:color w:val="auto"/>
                <w:w w:val="93"/>
              </w:rPr>
              <w:t>Derivatives in Cash Flow Hedging</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Reclassifications from AOCI into</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4"/>
              </w:rPr>
              <w:t>into Income</w:t>
            </w: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(Ineffective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7"/>
              </w:rPr>
              <w:t>(Ineffective</w:t>
            </w:r>
          </w:p>
        </w:tc>
      </w:tr>
      <w:tr>
        <w:trPr>
          <w:trHeight w:val="206"/>
        </w:trPr>
        <w:tc>
          <w:tcPr>
            <w:tcW w:w="2520" w:type="dxa"/>
            <w:vAlign w:val="bottom"/>
          </w:tcPr>
          <w:p>
            <w:pPr>
              <w:jc w:val="center"/>
              <w:spacing w:after="0"/>
              <w:rPr>
                <w:sz w:val="20"/>
                <w:szCs w:val="20"/>
                <w:color w:val="auto"/>
              </w:rPr>
            </w:pPr>
            <w:r>
              <w:rPr>
                <w:rFonts w:ascii="Arial" w:cs="Arial" w:eastAsia="Arial" w:hAnsi="Arial"/>
                <w:sz w:val="16"/>
                <w:szCs w:val="16"/>
                <w:color w:val="auto"/>
                <w:w w:val="91"/>
              </w:rPr>
              <w:t>Relationships</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Income</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0"/>
              </w:rPr>
              <w:t>(Settlements)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Portion)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2"/>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(712)</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20"/>
        </w:trPr>
        <w:tc>
          <w:tcPr>
            <w:tcW w:w="2520" w:type="dxa"/>
            <w:vAlign w:val="bottom"/>
          </w:tcPr>
          <w:p>
            <w:pPr>
              <w:spacing w:after="0"/>
              <w:rPr>
                <w:sz w:val="19"/>
                <w:szCs w:val="19"/>
                <w:color w:val="auto"/>
              </w:rPr>
            </w:pPr>
          </w:p>
        </w:tc>
        <w:tc>
          <w:tcPr>
            <w:tcW w:w="2540" w:type="dxa"/>
            <w:vAlign w:val="bottom"/>
          </w:tcPr>
          <w:p>
            <w:pPr>
              <w:ind w:left="140"/>
              <w:spacing w:after="0"/>
              <w:rPr>
                <w:sz w:val="20"/>
                <w:szCs w:val="20"/>
                <w:color w:val="auto"/>
              </w:rPr>
            </w:pPr>
            <w:r>
              <w:rPr>
                <w:rFonts w:ascii="Arial" w:cs="Arial" w:eastAsia="Arial" w:hAnsi="Arial"/>
                <w:sz w:val="16"/>
                <w:szCs w:val="16"/>
                <w:color w:val="auto"/>
              </w:rPr>
              <w:t>Net (loss) from discontinued</w:t>
            </w: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500" w:type="dxa"/>
            <w:vAlign w:val="bottom"/>
          </w:tcPr>
          <w:p>
            <w:pPr>
              <w:ind w:left="120"/>
              <w:spacing w:after="0"/>
              <w:rPr>
                <w:sz w:val="20"/>
                <w:szCs w:val="20"/>
                <w:color w:val="auto"/>
              </w:rPr>
            </w:pPr>
            <w:r>
              <w:rPr>
                <w:rFonts w:ascii="Arial" w:cs="Arial" w:eastAsia="Arial" w:hAnsi="Arial"/>
                <w:sz w:val="16"/>
                <w:szCs w:val="16"/>
                <w:color w:val="auto"/>
              </w:rPr>
              <w:t>Net (loss) from discontinued</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6"/>
        </w:trPr>
        <w:tc>
          <w:tcPr>
            <w:tcW w:w="252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tcPr>
          <w:p>
            <w:pPr>
              <w:ind w:left="140"/>
              <w:spacing w:after="0"/>
              <w:rPr>
                <w:sz w:val="20"/>
                <w:szCs w:val="20"/>
                <w:color w:val="auto"/>
              </w:rPr>
            </w:pPr>
            <w:r>
              <w:rPr>
                <w:rFonts w:ascii="Arial" w:cs="Arial" w:eastAsia="Arial" w:hAnsi="Arial"/>
                <w:sz w:val="16"/>
                <w:szCs w:val="16"/>
                <w:color w:val="auto"/>
              </w:rPr>
              <w:t>operations</w:t>
            </w:r>
          </w:p>
        </w:tc>
        <w:tc>
          <w:tcPr>
            <w:tcW w:w="200" w:type="dxa"/>
            <w:vAlign w:val="bottom"/>
          </w:tcPr>
          <w:p>
            <w:pPr>
              <w:spacing w:after="0"/>
              <w:rPr>
                <w:sz w:val="17"/>
                <w:szCs w:val="17"/>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2500" w:type="dxa"/>
            <w:vAlign w:val="bottom"/>
          </w:tcPr>
          <w:p>
            <w:pPr>
              <w:ind w:left="120"/>
              <w:spacing w:after="0"/>
              <w:rPr>
                <w:sz w:val="20"/>
                <w:szCs w:val="20"/>
                <w:color w:val="auto"/>
              </w:rPr>
            </w:pPr>
            <w:r>
              <w:rPr>
                <w:rFonts w:ascii="Arial" w:cs="Arial" w:eastAsia="Arial" w:hAnsi="Arial"/>
                <w:sz w:val="16"/>
                <w:szCs w:val="16"/>
                <w:color w:val="auto"/>
              </w:rPr>
              <w:t>operations</w:t>
            </w:r>
          </w:p>
        </w:tc>
        <w:tc>
          <w:tcPr>
            <w:tcW w:w="240" w:type="dxa"/>
            <w:vAlign w:val="bottom"/>
          </w:tcPr>
          <w:p>
            <w:pPr>
              <w:spacing w:after="0"/>
              <w:rPr>
                <w:sz w:val="17"/>
                <w:szCs w:val="17"/>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2520" w:type="dxa"/>
            <w:vAlign w:val="bottom"/>
            <w:shd w:val="clear" w:color="auto" w:fill="CEFFE7"/>
          </w:tcPr>
          <w:p>
            <w:pPr>
              <w:spacing w:after="0"/>
              <w:rPr>
                <w:sz w:val="19"/>
                <w:szCs w:val="19"/>
                <w:color w:val="auto"/>
              </w:rPr>
            </w:pPr>
          </w:p>
        </w:tc>
        <w:tc>
          <w:tcPr>
            <w:tcW w:w="2540" w:type="dxa"/>
            <w:vAlign w:val="bottom"/>
            <w:shd w:val="clear" w:color="auto" w:fill="CEFFE7"/>
          </w:tcPr>
          <w:p>
            <w:pPr>
              <w:ind w:left="140"/>
              <w:spacing w:after="0"/>
              <w:rPr>
                <w:sz w:val="20"/>
                <w:szCs w:val="20"/>
                <w:color w:val="auto"/>
              </w:rPr>
            </w:pPr>
            <w:r>
              <w:rPr>
                <w:rFonts w:ascii="Arial" w:cs="Arial" w:eastAsia="Arial" w:hAnsi="Arial"/>
                <w:sz w:val="16"/>
                <w:szCs w:val="16"/>
                <w:color w:val="auto"/>
                <w:w w:val="96"/>
              </w:rPr>
              <w:t>Fuel, purchased power and cost of</w:t>
            </w:r>
          </w:p>
        </w:tc>
        <w:tc>
          <w:tcPr>
            <w:tcW w:w="200" w:type="dxa"/>
            <w:vAlign w:val="bottom"/>
            <w:shd w:val="clear" w:color="auto" w:fill="CEFFE7"/>
          </w:tcPr>
          <w:p>
            <w:pPr>
              <w:spacing w:after="0"/>
              <w:rPr>
                <w:sz w:val="19"/>
                <w:szCs w:val="19"/>
                <w:color w:val="auto"/>
              </w:rPr>
            </w:pPr>
          </w:p>
        </w:tc>
        <w:tc>
          <w:tcPr>
            <w:tcW w:w="1980" w:type="dxa"/>
            <w:vAlign w:val="bottom"/>
            <w:shd w:val="clear" w:color="auto" w:fill="CEFFE7"/>
          </w:tcPr>
          <w:p>
            <w:pPr>
              <w:spacing w:after="0"/>
              <w:rPr>
                <w:sz w:val="19"/>
                <w:szCs w:val="19"/>
                <w:color w:val="auto"/>
              </w:rPr>
            </w:pPr>
          </w:p>
        </w:tc>
        <w:tc>
          <w:tcPr>
            <w:tcW w:w="25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Fuel, purchased power and cost of</w:t>
            </w:r>
          </w:p>
        </w:tc>
        <w:tc>
          <w:tcPr>
            <w:tcW w:w="240" w:type="dxa"/>
            <w:vAlign w:val="bottom"/>
            <w:shd w:val="clear" w:color="auto" w:fill="CEFFE7"/>
          </w:tcPr>
          <w:p>
            <w:pPr>
              <w:spacing w:after="0"/>
              <w:rPr>
                <w:sz w:val="19"/>
                <w:szCs w:val="19"/>
                <w:color w:val="auto"/>
              </w:rPr>
            </w:pPr>
          </w:p>
        </w:tc>
        <w:tc>
          <w:tcPr>
            <w:tcW w:w="1440" w:type="dxa"/>
            <w:vAlign w:val="bottom"/>
            <w:shd w:val="clear" w:color="auto" w:fill="CEFFE7"/>
          </w:tcPr>
          <w:p>
            <w:pPr>
              <w:spacing w:after="0"/>
              <w:rPr>
                <w:sz w:val="19"/>
                <w:szCs w:val="19"/>
                <w:color w:val="auto"/>
              </w:rPr>
            </w:pPr>
          </w:p>
        </w:tc>
      </w:tr>
      <w:tr>
        <w:trPr>
          <w:trHeight w:val="239"/>
        </w:trPr>
        <w:tc>
          <w:tcPr>
            <w:tcW w:w="2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natural gas sold</w:t>
            </w:r>
          </w:p>
        </w:tc>
        <w:tc>
          <w:tcPr>
            <w:tcW w:w="200" w:type="dxa"/>
            <w:vAlign w:val="bottom"/>
            <w:tcBorders>
              <w:bottom w:val="single" w:sz="8" w:color="CEFFE7"/>
            </w:tcBorders>
            <w:shd w:val="clear" w:color="auto" w:fill="CEFFE7"/>
          </w:tcPr>
          <w:p>
            <w:pPr>
              <w:spacing w:after="0"/>
              <w:rPr>
                <w:sz w:val="20"/>
                <w:szCs w:val="20"/>
                <w:color w:val="auto"/>
              </w:rPr>
            </w:pPr>
          </w:p>
        </w:tc>
        <w:tc>
          <w:tcPr>
            <w:tcW w:w="19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58</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natural gas sold</w:t>
            </w:r>
          </w:p>
        </w:tc>
        <w:tc>
          <w:tcPr>
            <w:tcW w:w="24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44"/>
        </w:trPr>
        <w:tc>
          <w:tcPr>
            <w:tcW w:w="2520" w:type="dxa"/>
            <w:vAlign w:val="bottom"/>
          </w:tcPr>
          <w:p>
            <w:pPr>
              <w:ind w:left="380"/>
              <w:spacing w:after="0"/>
              <w:rPr>
                <w:sz w:val="20"/>
                <w:szCs w:val="20"/>
                <w:color w:val="auto"/>
              </w:rPr>
            </w:pPr>
            <w:r>
              <w:rPr>
                <w:rFonts w:ascii="Arial" w:cs="Arial" w:eastAsia="Arial" w:hAnsi="Arial"/>
                <w:sz w:val="16"/>
                <w:szCs w:val="16"/>
                <w:color w:val="auto"/>
              </w:rPr>
              <w:t>Total</w:t>
            </w:r>
          </w:p>
        </w:tc>
        <w:tc>
          <w:tcPr>
            <w:tcW w:w="25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25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6"/>
                <w:szCs w:val="16"/>
                <w:color w:val="auto"/>
              </w:rPr>
              <w:t>—</w:t>
            </w:r>
          </w:p>
        </w:tc>
      </w:tr>
      <w:tr>
        <w:trPr>
          <w:trHeight w:val="20"/>
        </w:trPr>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following table summarizes the gains and losses arising from hedging transactions that were recognized as a component of other comprehensive income (loss) for the three months ended March 31, 2018 and 2017. The amounts included in the table below exclude gains and losses arising from ineffectiveness because these amounts, if any, are immediately recognized in the Condensed Consolidated Statements of Income as incurred.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p>
        </w:tc>
        <w:tc>
          <w:tcPr>
            <w:tcW w:w="3140" w:type="dxa"/>
            <w:vAlign w:val="bottom"/>
            <w:gridSpan w:val="3"/>
          </w:tcPr>
          <w:p>
            <w:pPr>
              <w:ind w:left="740"/>
              <w:spacing w:after="0"/>
              <w:rPr>
                <w:sz w:val="20"/>
                <w:szCs w:val="20"/>
                <w:color w:val="auto"/>
              </w:rPr>
            </w:pPr>
            <w:r>
              <w:rPr>
                <w:rFonts w:ascii="Arial" w:cs="Arial" w:eastAsia="Arial" w:hAnsi="Arial"/>
                <w:sz w:val="18"/>
                <w:szCs w:val="18"/>
                <w:color w:val="auto"/>
                <w:w w:val="94"/>
              </w:rPr>
              <w:t>Three Months Ended March 31,</w:t>
            </w:r>
          </w:p>
        </w:tc>
        <w:tc>
          <w:tcPr>
            <w:tcW w:w="6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00" w:type="dxa"/>
            <w:vAlign w:val="bottom"/>
          </w:tcPr>
          <w:p>
            <w:pPr>
              <w:ind w:left="740"/>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6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40" w:type="dxa"/>
            <w:vAlign w:val="bottom"/>
            <w:gridSpan w:val="2"/>
          </w:tcPr>
          <w:p>
            <w:pPr>
              <w:jc w:val="right"/>
              <w:ind w:right="630"/>
              <w:spacing w:after="0"/>
              <w:rPr>
                <w:sz w:val="20"/>
                <w:szCs w:val="20"/>
                <w:color w:val="auto"/>
              </w:rPr>
            </w:pPr>
            <w:r>
              <w:rPr>
                <w:rFonts w:ascii="Arial" w:cs="Arial" w:eastAsia="Arial" w:hAnsi="Arial"/>
                <w:sz w:val="18"/>
                <w:szCs w:val="18"/>
                <w:color w:val="auto"/>
              </w:rPr>
              <w:t>(In thousands)</w:t>
            </w:r>
          </w:p>
        </w:tc>
        <w:tc>
          <w:tcPr>
            <w:tcW w:w="620" w:type="dxa"/>
            <w:vAlign w:val="bottom"/>
          </w:tcPr>
          <w:p>
            <w:pPr>
              <w:spacing w:after="0"/>
              <w:rPr>
                <w:sz w:val="20"/>
                <w:szCs w:val="20"/>
                <w:color w:val="auto"/>
              </w:rPr>
            </w:pPr>
          </w:p>
        </w:tc>
      </w:tr>
      <w:tr>
        <w:trPr>
          <w:trHeight w:val="270"/>
        </w:trPr>
        <w:tc>
          <w:tcPr>
            <w:tcW w:w="7660" w:type="dxa"/>
            <w:vAlign w:val="bottom"/>
          </w:tcPr>
          <w:p>
            <w:pPr>
              <w:ind w:left="40"/>
              <w:spacing w:after="0"/>
              <w:rPr>
                <w:sz w:val="20"/>
                <w:szCs w:val="20"/>
                <w:color w:val="auto"/>
              </w:rPr>
            </w:pPr>
            <w:r>
              <w:rPr>
                <w:rFonts w:ascii="Arial" w:cs="Arial" w:eastAsia="Arial" w:hAnsi="Arial"/>
                <w:sz w:val="18"/>
                <w:szCs w:val="18"/>
                <w:color w:val="auto"/>
              </w:rPr>
              <w:t>Increase (decrease) in fair value:</w:t>
            </w: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6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Interest rate swaps</w:t>
            </w:r>
          </w:p>
        </w:tc>
        <w:tc>
          <w:tcPr>
            <w:tcW w:w="1200" w:type="dxa"/>
            <w:vAlign w:val="bottom"/>
            <w:tcBorders>
              <w:bottom w:val="single" w:sz="8" w:color="CEFFE7"/>
            </w:tcBorders>
            <w:shd w:val="clear" w:color="auto" w:fill="CEFFE7"/>
          </w:tcPr>
          <w:p>
            <w:pPr>
              <w:jc w:val="right"/>
              <w:ind w:right="9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EFFE7"/>
            </w:tcBorders>
            <w:shd w:val="clear" w:color="auto" w:fill="CEFFE7"/>
          </w:tcPr>
          <w:p>
            <w:pPr>
              <w:jc w:val="right"/>
              <w:ind w:right="9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Forward commodity contracts</w:t>
            </w:r>
          </w:p>
        </w:tc>
        <w:tc>
          <w:tcPr>
            <w:tcW w:w="12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2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926</w:t>
            </w: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6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Recognition of (gains) losses in earnings due to settlements:</w:t>
            </w:r>
          </w:p>
        </w:tc>
        <w:tc>
          <w:tcPr>
            <w:tcW w:w="120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120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713</w:t>
            </w:r>
          </w:p>
        </w:tc>
        <w:tc>
          <w:tcPr>
            <w:tcW w:w="12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712</w:t>
            </w: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6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Forward commodity contracts</w:t>
            </w:r>
          </w:p>
        </w:tc>
        <w:tc>
          <w:tcPr>
            <w:tcW w:w="1200" w:type="dxa"/>
            <w:vAlign w:val="bottom"/>
            <w:tcBorders>
              <w:bottom w:val="single" w:sz="8" w:color="CEFFE7"/>
            </w:tcBorders>
            <w:shd w:val="clear" w:color="auto" w:fill="CEFFE7"/>
          </w:tcPr>
          <w:p>
            <w:pPr>
              <w:spacing w:after="0"/>
              <w:rPr>
                <w:sz w:val="23"/>
                <w:szCs w:val="23"/>
                <w:color w:val="auto"/>
              </w:rPr>
            </w:pPr>
          </w:p>
        </w:tc>
        <w:tc>
          <w:tcPr>
            <w:tcW w:w="6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621</w:t>
            </w:r>
          </w:p>
        </w:tc>
        <w:tc>
          <w:tcPr>
            <w:tcW w:w="1260" w:type="dxa"/>
            <w:vAlign w:val="bottom"/>
            <w:tcBorders>
              <w:bottom w:val="single" w:sz="8" w:color="CEFFE7"/>
            </w:tcBorders>
            <w:shd w:val="clear" w:color="auto" w:fill="CEFFE7"/>
          </w:tcPr>
          <w:p>
            <w:pPr>
              <w:spacing w:after="0"/>
              <w:rPr>
                <w:sz w:val="23"/>
                <w:szCs w:val="23"/>
                <w:color w:val="auto"/>
              </w:rPr>
            </w:pP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(287)</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other comprehensive income (loss) from hedging</w:t>
            </w: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1,037</w:t>
            </w:r>
          </w:p>
        </w:tc>
        <w:tc>
          <w:tcPr>
            <w:tcW w:w="126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1,441</w:t>
            </w:r>
          </w:p>
        </w:tc>
      </w:tr>
      <w:tr>
        <w:trPr>
          <w:trHeight w:val="20"/>
        </w:trPr>
        <w:tc>
          <w:tcPr>
            <w:tcW w:w="7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6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auto"/>
        </w:rPr>
        <w:t>Derivatives Not Designated as Hedge Instruments</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following table summarizes the impacts of derivative instruments not designated as hedge instruments on our Condensed Consolidated Statements of Income for the three months ended March 31, 2018 and 2017 (in thousands). Note that this presentation does not reflect gains or losses arising from the underlying physical transactions; therefore, it is not indicative of the economic gross profit we realized when the underlying physical and financial transactions were settled.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gridSpan w:val="3"/>
          </w:tcPr>
          <w:p>
            <w:pPr>
              <w:jc w:val="right"/>
              <w:ind w:right="670"/>
              <w:spacing w:after="0"/>
              <w:rPr>
                <w:sz w:val="20"/>
                <w:szCs w:val="20"/>
                <w:color w:val="auto"/>
              </w:rPr>
            </w:pPr>
            <w:r>
              <w:rPr>
                <w:rFonts w:ascii="Arial" w:cs="Arial" w:eastAsia="Arial" w:hAnsi="Arial"/>
                <w:sz w:val="18"/>
                <w:szCs w:val="18"/>
                <w:color w:val="auto"/>
              </w:rPr>
              <w:t>Three Months Ended March 31,</w:t>
            </w:r>
          </w:p>
        </w:tc>
      </w:tr>
      <w:tr>
        <w:trPr>
          <w:trHeight w:val="270"/>
        </w:trPr>
        <w:tc>
          <w:tcPr>
            <w:tcW w:w="524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jc w:val="center"/>
              <w:ind w:right="250"/>
              <w:spacing w:after="0"/>
              <w:rPr>
                <w:sz w:val="20"/>
                <w:szCs w:val="20"/>
                <w:color w:val="auto"/>
              </w:rPr>
            </w:pPr>
            <w:r>
              <w:rPr>
                <w:rFonts w:ascii="Arial" w:cs="Arial" w:eastAsia="Arial" w:hAnsi="Arial"/>
                <w:sz w:val="18"/>
                <w:szCs w:val="18"/>
                <w:color w:val="auto"/>
                <w:w w:val="89"/>
              </w:rPr>
              <w:t>2018</w:t>
            </w:r>
          </w:p>
        </w:tc>
        <w:tc>
          <w:tcPr>
            <w:tcW w:w="380" w:type="dxa"/>
            <w:vAlign w:val="bottom"/>
          </w:tcPr>
          <w:p>
            <w:pPr>
              <w:spacing w:after="0"/>
              <w:rPr>
                <w:sz w:val="23"/>
                <w:szCs w:val="23"/>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color w:val="auto"/>
                <w:w w:val="89"/>
              </w:rPr>
              <w:t>2017</w:t>
            </w:r>
          </w:p>
        </w:tc>
      </w:tr>
      <w:tr>
        <w:trPr>
          <w:trHeight w:val="27"/>
        </w:trPr>
        <w:tc>
          <w:tcPr>
            <w:tcW w:w="5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r>
      <w:tr>
        <w:trPr>
          <w:trHeight w:val="222"/>
        </w:trPr>
        <w:tc>
          <w:tcPr>
            <w:tcW w:w="5240" w:type="dxa"/>
            <w:vAlign w:val="bottom"/>
          </w:tcPr>
          <w:p>
            <w:pPr>
              <w:spacing w:after="0"/>
              <w:rPr>
                <w:sz w:val="19"/>
                <w:szCs w:val="19"/>
                <w:color w:val="auto"/>
              </w:rPr>
            </w:pPr>
          </w:p>
        </w:tc>
        <w:tc>
          <w:tcPr>
            <w:tcW w:w="2320" w:type="dxa"/>
            <w:vAlign w:val="bottom"/>
          </w:tcPr>
          <w:p>
            <w:pPr>
              <w:ind w:left="520"/>
              <w:spacing w:after="0"/>
              <w:rPr>
                <w:sz w:val="20"/>
                <w:szCs w:val="20"/>
                <w:color w:val="auto"/>
              </w:rPr>
            </w:pPr>
            <w:r>
              <w:rPr>
                <w:rFonts w:ascii="Arial" w:cs="Arial" w:eastAsia="Arial" w:hAnsi="Arial"/>
                <w:sz w:val="18"/>
                <w:szCs w:val="18"/>
                <w:color w:val="auto"/>
                <w:w w:val="95"/>
              </w:rPr>
              <w:t>Location of Gain/(Loss)</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4"/>
              </w:rPr>
              <w:t>Amount of Gain/(Loss)</w:t>
            </w:r>
          </w:p>
        </w:tc>
        <w:tc>
          <w:tcPr>
            <w:tcW w:w="196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Amount of Gain/(Loss)</w:t>
            </w:r>
          </w:p>
        </w:tc>
      </w:tr>
      <w:tr>
        <w:trPr>
          <w:trHeight w:val="216"/>
        </w:trPr>
        <w:tc>
          <w:tcPr>
            <w:tcW w:w="5240" w:type="dxa"/>
            <w:vAlign w:val="bottom"/>
          </w:tcPr>
          <w:p>
            <w:pPr>
              <w:spacing w:after="0"/>
              <w:rPr>
                <w:sz w:val="18"/>
                <w:szCs w:val="18"/>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on Derivatives</w:t>
            </w:r>
          </w:p>
        </w:tc>
        <w:tc>
          <w:tcPr>
            <w:tcW w:w="240" w:type="dxa"/>
            <w:vAlign w:val="bottom"/>
          </w:tcPr>
          <w:p>
            <w:pPr>
              <w:spacing w:after="0"/>
              <w:rPr>
                <w:sz w:val="18"/>
                <w:szCs w:val="18"/>
                <w:color w:val="auto"/>
              </w:rPr>
            </w:pPr>
          </w:p>
        </w:tc>
        <w:tc>
          <w:tcPr>
            <w:tcW w:w="1660" w:type="dxa"/>
            <w:vAlign w:val="bottom"/>
          </w:tcPr>
          <w:p>
            <w:pPr>
              <w:jc w:val="center"/>
              <w:ind w:right="230"/>
              <w:spacing w:after="0"/>
              <w:rPr>
                <w:sz w:val="20"/>
                <w:szCs w:val="20"/>
                <w:color w:val="auto"/>
              </w:rPr>
            </w:pPr>
            <w:r>
              <w:rPr>
                <w:rFonts w:ascii="Arial" w:cs="Arial" w:eastAsia="Arial" w:hAnsi="Arial"/>
                <w:sz w:val="18"/>
                <w:szCs w:val="18"/>
                <w:color w:val="auto"/>
                <w:w w:val="92"/>
              </w:rPr>
              <w:t>on Derivatives</w:t>
            </w:r>
          </w:p>
        </w:tc>
        <w:tc>
          <w:tcPr>
            <w:tcW w:w="380" w:type="dxa"/>
            <w:vAlign w:val="bottom"/>
          </w:tcPr>
          <w:p>
            <w:pPr>
              <w:spacing w:after="0"/>
              <w:rPr>
                <w:sz w:val="18"/>
                <w:szCs w:val="18"/>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color w:val="auto"/>
                <w:w w:val="92"/>
              </w:rPr>
              <w:t>on Derivatives</w:t>
            </w:r>
          </w:p>
        </w:tc>
      </w:tr>
      <w:tr>
        <w:trPr>
          <w:trHeight w:val="230"/>
        </w:trPr>
        <w:tc>
          <w:tcPr>
            <w:tcW w:w="5240" w:type="dxa"/>
            <w:vAlign w:val="bottom"/>
          </w:tcPr>
          <w:p>
            <w:pPr>
              <w:ind w:left="980"/>
              <w:spacing w:after="0"/>
              <w:rPr>
                <w:sz w:val="20"/>
                <w:szCs w:val="20"/>
                <w:color w:val="auto"/>
              </w:rPr>
            </w:pPr>
            <w:r>
              <w:rPr>
                <w:rFonts w:ascii="Arial" w:cs="Arial" w:eastAsia="Arial" w:hAnsi="Arial"/>
                <w:sz w:val="18"/>
                <w:szCs w:val="18"/>
                <w:color w:val="auto"/>
              </w:rPr>
              <w:t>Derivatives Not Designated as Hedging Instruments</w:t>
            </w:r>
          </w:p>
        </w:tc>
        <w:tc>
          <w:tcPr>
            <w:tcW w:w="2320" w:type="dxa"/>
            <w:vAlign w:val="bottom"/>
          </w:tcPr>
          <w:p>
            <w:pPr>
              <w:ind w:left="580"/>
              <w:spacing w:after="0"/>
              <w:rPr>
                <w:sz w:val="20"/>
                <w:szCs w:val="20"/>
                <w:color w:val="auto"/>
              </w:rPr>
            </w:pPr>
            <w:r>
              <w:rPr>
                <w:rFonts w:ascii="Arial" w:cs="Arial" w:eastAsia="Arial" w:hAnsi="Arial"/>
                <w:sz w:val="18"/>
                <w:szCs w:val="18"/>
                <w:color w:val="auto"/>
                <w:w w:val="96"/>
              </w:rPr>
              <w:t>Recognized in Income</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0"/>
              </w:rPr>
              <w:t>Recognized in Income</w:t>
            </w:r>
          </w:p>
        </w:tc>
        <w:tc>
          <w:tcPr>
            <w:tcW w:w="196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Recognized in Income</w:t>
            </w:r>
          </w:p>
        </w:tc>
      </w:tr>
      <w:tr>
        <w:trPr>
          <w:trHeight w:val="27"/>
        </w:trPr>
        <w:tc>
          <w:tcPr>
            <w:tcW w:w="52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318"/>
        </w:trPr>
        <w:tc>
          <w:tcPr>
            <w:tcW w:w="5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9"/>
        </w:trPr>
        <w:tc>
          <w:tcPr>
            <w:tcW w:w="5240" w:type="dxa"/>
            <w:vAlign w:val="bottom"/>
            <w:shd w:val="clear" w:color="auto" w:fill="CEFFE7"/>
          </w:tcPr>
          <w:p>
            <w:pPr>
              <w:spacing w:after="0"/>
              <w:rPr>
                <w:sz w:val="19"/>
                <w:szCs w:val="19"/>
                <w:color w:val="auto"/>
              </w:rPr>
            </w:pPr>
          </w:p>
        </w:tc>
        <w:tc>
          <w:tcPr>
            <w:tcW w:w="2320" w:type="dxa"/>
            <w:vAlign w:val="bottom"/>
            <w:shd w:val="clear" w:color="auto" w:fill="CEFFE7"/>
          </w:tcPr>
          <w:p>
            <w:pPr>
              <w:ind w:left="500"/>
              <w:spacing w:after="0"/>
              <w:rPr>
                <w:sz w:val="20"/>
                <w:szCs w:val="20"/>
                <w:color w:val="auto"/>
              </w:rPr>
            </w:pPr>
            <w:r>
              <w:rPr>
                <w:rFonts w:ascii="Arial" w:cs="Arial" w:eastAsia="Arial" w:hAnsi="Arial"/>
                <w:sz w:val="18"/>
                <w:szCs w:val="18"/>
                <w:color w:val="auto"/>
              </w:rPr>
              <w:t>Net (loss) from</w:t>
            </w:r>
          </w:p>
        </w:tc>
        <w:tc>
          <w:tcPr>
            <w:tcW w:w="240" w:type="dxa"/>
            <w:vAlign w:val="bottom"/>
            <w:shd w:val="clear" w:color="auto" w:fill="CFFFE7"/>
          </w:tcPr>
          <w:p>
            <w:pPr>
              <w:spacing w:after="0"/>
              <w:rPr>
                <w:sz w:val="19"/>
                <w:szCs w:val="19"/>
                <w:color w:val="auto"/>
              </w:rPr>
            </w:pPr>
          </w:p>
        </w:tc>
        <w:tc>
          <w:tcPr>
            <w:tcW w:w="1660" w:type="dxa"/>
            <w:vAlign w:val="bottom"/>
            <w:shd w:val="clear" w:color="auto" w:fill="CFFFE7"/>
          </w:tcPr>
          <w:p>
            <w:pPr>
              <w:spacing w:after="0"/>
              <w:rPr>
                <w:sz w:val="19"/>
                <w:szCs w:val="19"/>
                <w:color w:val="auto"/>
              </w:rPr>
            </w:pPr>
          </w:p>
        </w:tc>
        <w:tc>
          <w:tcPr>
            <w:tcW w:w="380" w:type="dxa"/>
            <w:vAlign w:val="bottom"/>
            <w:shd w:val="clear" w:color="auto" w:fill="CFFFE7"/>
          </w:tcPr>
          <w:p>
            <w:pPr>
              <w:spacing w:after="0"/>
              <w:rPr>
                <w:sz w:val="19"/>
                <w:szCs w:val="19"/>
                <w:color w:val="auto"/>
              </w:rPr>
            </w:pPr>
          </w:p>
        </w:tc>
        <w:tc>
          <w:tcPr>
            <w:tcW w:w="1580" w:type="dxa"/>
            <w:vAlign w:val="bottom"/>
            <w:shd w:val="clear" w:color="auto" w:fill="CFFFE7"/>
          </w:tcPr>
          <w:p>
            <w:pPr>
              <w:spacing w:after="0"/>
              <w:rPr>
                <w:sz w:val="19"/>
                <w:szCs w:val="19"/>
                <w:color w:val="auto"/>
              </w:rPr>
            </w:pPr>
          </w:p>
        </w:tc>
      </w:tr>
      <w:tr>
        <w:trPr>
          <w:trHeight w:val="237"/>
        </w:trPr>
        <w:tc>
          <w:tcPr>
            <w:tcW w:w="5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Commodity derivatives</w:t>
            </w:r>
          </w:p>
        </w:tc>
        <w:tc>
          <w:tcPr>
            <w:tcW w:w="2320" w:type="dxa"/>
            <w:vAlign w:val="bottom"/>
            <w:tcBorders>
              <w:bottom w:val="single" w:sz="8" w:color="CEFFE7"/>
            </w:tcBorders>
            <w:shd w:val="clear" w:color="auto" w:fill="CEFFE7"/>
          </w:tcPr>
          <w:p>
            <w:pPr>
              <w:ind w:left="500"/>
              <w:spacing w:after="0"/>
              <w:rPr>
                <w:sz w:val="20"/>
                <w:szCs w:val="20"/>
                <w:color w:val="auto"/>
              </w:rPr>
            </w:pPr>
            <w:r>
              <w:rPr>
                <w:rFonts w:ascii="Arial" w:cs="Arial" w:eastAsia="Arial" w:hAnsi="Arial"/>
                <w:sz w:val="18"/>
                <w:szCs w:val="18"/>
                <w:color w:val="auto"/>
                <w:w w:val="94"/>
              </w:rPr>
              <w:t>discontinued operations</w:t>
            </w:r>
          </w:p>
        </w:tc>
        <w:tc>
          <w:tcPr>
            <w:tcW w:w="240" w:type="dxa"/>
            <w:vAlign w:val="bottom"/>
            <w:tcBorders>
              <w:bottom w:val="single" w:sz="8" w:color="CFFFE7"/>
            </w:tcBorders>
            <w:shd w:val="clear" w:color="auto" w:fill="CFFFE7"/>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FFFE7"/>
            </w:tcBorders>
            <w:shd w:val="clear" w:color="auto" w:fill="CFFFE7"/>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FE7"/>
            </w:tcBorders>
            <w:shd w:val="clear" w:color="auto" w:fill="CFFFE7"/>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FFFE7"/>
            </w:tcBorders>
            <w:shd w:val="clear" w:color="auto" w:fill="CFFFE7"/>
          </w:tcPr>
          <w:p>
            <w:pPr>
              <w:jc w:val="right"/>
              <w:ind w:right="10"/>
              <w:spacing w:after="0"/>
              <w:rPr>
                <w:sz w:val="20"/>
                <w:szCs w:val="20"/>
                <w:color w:val="auto"/>
              </w:rPr>
            </w:pPr>
            <w:r>
              <w:rPr>
                <w:rFonts w:ascii="Arial" w:cs="Arial" w:eastAsia="Arial" w:hAnsi="Arial"/>
                <w:sz w:val="18"/>
                <w:szCs w:val="18"/>
                <w:color w:val="auto"/>
              </w:rPr>
              <w:t>117</w:t>
            </w:r>
          </w:p>
        </w:tc>
      </w:tr>
      <w:tr>
        <w:trPr>
          <w:trHeight w:val="229"/>
        </w:trPr>
        <w:tc>
          <w:tcPr>
            <w:tcW w:w="5240" w:type="dxa"/>
            <w:vAlign w:val="bottom"/>
          </w:tcPr>
          <w:p>
            <w:pPr>
              <w:spacing w:after="0"/>
              <w:rPr>
                <w:sz w:val="19"/>
                <w:szCs w:val="19"/>
                <w:color w:val="auto"/>
              </w:rPr>
            </w:pPr>
          </w:p>
        </w:tc>
        <w:tc>
          <w:tcPr>
            <w:tcW w:w="2320" w:type="dxa"/>
            <w:vAlign w:val="bottom"/>
          </w:tcPr>
          <w:p>
            <w:pPr>
              <w:ind w:left="500"/>
              <w:spacing w:after="0"/>
              <w:rPr>
                <w:sz w:val="20"/>
                <w:szCs w:val="20"/>
                <w:color w:val="auto"/>
              </w:rPr>
            </w:pPr>
            <w:r>
              <w:rPr>
                <w:rFonts w:ascii="Arial" w:cs="Arial" w:eastAsia="Arial" w:hAnsi="Arial"/>
                <w:sz w:val="18"/>
                <w:szCs w:val="18"/>
                <w:color w:val="auto"/>
                <w:w w:val="98"/>
              </w:rPr>
              <w:t>Fuel, purchased power</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6"/>
        </w:trPr>
        <w:tc>
          <w:tcPr>
            <w:tcW w:w="5240" w:type="dxa"/>
            <w:vAlign w:val="bottom"/>
          </w:tcPr>
          <w:p>
            <w:pPr>
              <w:spacing w:after="0"/>
              <w:rPr>
                <w:sz w:val="18"/>
                <w:szCs w:val="18"/>
                <w:color w:val="auto"/>
              </w:rPr>
            </w:pPr>
          </w:p>
        </w:tc>
        <w:tc>
          <w:tcPr>
            <w:tcW w:w="2320" w:type="dxa"/>
            <w:vAlign w:val="bottom"/>
          </w:tcPr>
          <w:p>
            <w:pPr>
              <w:ind w:left="500"/>
              <w:spacing w:after="0"/>
              <w:rPr>
                <w:sz w:val="20"/>
                <w:szCs w:val="20"/>
                <w:color w:val="auto"/>
              </w:rPr>
            </w:pPr>
            <w:r>
              <w:rPr>
                <w:rFonts w:ascii="Arial" w:cs="Arial" w:eastAsia="Arial" w:hAnsi="Arial"/>
                <w:sz w:val="18"/>
                <w:szCs w:val="18"/>
                <w:color w:val="auto"/>
                <w:w w:val="98"/>
              </w:rPr>
              <w:t>and cost of natural gas</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524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2320" w:type="dxa"/>
            <w:vAlign w:val="bottom"/>
          </w:tcPr>
          <w:p>
            <w:pPr>
              <w:ind w:left="500"/>
              <w:spacing w:after="0"/>
              <w:rPr>
                <w:sz w:val="20"/>
                <w:szCs w:val="20"/>
                <w:color w:val="auto"/>
              </w:rPr>
            </w:pPr>
            <w:r>
              <w:rPr>
                <w:rFonts w:ascii="Arial" w:cs="Arial" w:eastAsia="Arial" w:hAnsi="Arial"/>
                <w:sz w:val="18"/>
                <w:szCs w:val="18"/>
                <w:color w:val="auto"/>
              </w:rPr>
              <w:t>sold</w:t>
            </w:r>
          </w:p>
        </w:tc>
        <w:tc>
          <w:tcPr>
            <w:tcW w:w="24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254</w:t>
            </w:r>
          </w:p>
        </w:tc>
        <w:tc>
          <w:tcPr>
            <w:tcW w:w="3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7"/>
        </w:trPr>
        <w:tc>
          <w:tcPr>
            <w:tcW w:w="5240" w:type="dxa"/>
            <w:vAlign w:val="bottom"/>
            <w:tcBorders>
              <w:bottom w:val="single" w:sz="8" w:color="CEFFE7"/>
            </w:tcBorders>
          </w:tcPr>
          <w:p>
            <w:pPr>
              <w:spacing w:after="0"/>
              <w:rPr>
                <w:sz w:val="2"/>
                <w:szCs w:val="2"/>
                <w:color w:val="auto"/>
              </w:rPr>
            </w:pPr>
          </w:p>
        </w:tc>
        <w:tc>
          <w:tcPr>
            <w:tcW w:w="23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EFFE7"/>
            </w:tcBorders>
            <w:shd w:val="clear" w:color="auto" w:fill="CEFFE7"/>
          </w:tcPr>
          <w:p>
            <w:pPr>
              <w:spacing w:after="0"/>
              <w:rPr>
                <w:sz w:val="22"/>
                <w:szCs w:val="22"/>
                <w:color w:val="auto"/>
              </w:rPr>
            </w:pPr>
          </w:p>
        </w:tc>
        <w:tc>
          <w:tcPr>
            <w:tcW w:w="2320" w:type="dxa"/>
            <w:vAlign w:val="bottom"/>
            <w:tcBorders>
              <w:bottom w:val="single" w:sz="8" w:color="CEFFE7"/>
            </w:tcBorders>
            <w:shd w:val="clear" w:color="auto" w:fill="CEFFE7"/>
          </w:tcPr>
          <w:p>
            <w:pPr>
              <w:spacing w:after="0"/>
              <w:rPr>
                <w:sz w:val="22"/>
                <w:szCs w:val="22"/>
                <w:color w:val="auto"/>
              </w:rPr>
            </w:pP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254</w:t>
            </w:r>
          </w:p>
        </w:tc>
        <w:tc>
          <w:tcPr>
            <w:tcW w:w="3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(692)</w:t>
            </w:r>
          </w:p>
        </w:tc>
      </w:tr>
      <w:tr>
        <w:trPr>
          <w:trHeight w:val="20"/>
        </w:trPr>
        <w:tc>
          <w:tcPr>
            <w:tcW w:w="5240" w:type="dxa"/>
            <w:vAlign w:val="bottom"/>
            <w:tcBorders>
              <w:top w:val="single" w:sz="8" w:color="CEFFE7"/>
            </w:tcBorders>
          </w:tcPr>
          <w:p>
            <w:pPr>
              <w:spacing w:after="0" w:line="20" w:lineRule="exact"/>
              <w:rPr>
                <w:sz w:val="1"/>
                <w:szCs w:val="1"/>
                <w:color w:val="auto"/>
              </w:rPr>
            </w:pPr>
          </w:p>
        </w:tc>
        <w:tc>
          <w:tcPr>
            <w:tcW w:w="232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above, financial instruments used in our regulated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assets or Regulatory liability accounts related to the hedges in our Utilities were $11 million, $12 million and $12 million at March 31, 2018, December 31, 2017 and March 31, 2017,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380" w:firstLine="8"/>
        <w:spacing w:after="0" w:line="530"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FAIR VALUE MEASUREMENTS </w:t>
      </w:r>
      <w:r>
        <w:rPr>
          <w:rFonts w:ascii="Arial" w:cs="Arial" w:eastAsia="Arial" w:hAnsi="Arial"/>
          <w:sz w:val="17"/>
          <w:szCs w:val="17"/>
          <w:u w:val="single" w:color="auto"/>
          <w:color w:val="auto"/>
        </w:rPr>
        <w:t>Derivative Financial Instruments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accounting guidance for fair value measurements requires certain disclosures about assets and liabilities measured at fair value. This guidance establishes a hierarchical framework for disclosing the observability of the inputs utilized in measuring assets and liabilities at fair value. 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 For additional information, see Notes 1, 9, 10 and 11 to the Consolidated Financial Statements included in our 2017 Annual Report on Form 10-K filed with the SEC.</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Methodologies for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w:t>
      </w:r>
    </w:p>
    <w:p>
      <w:pPr>
        <w:spacing w:after="0" w:line="225" w:lineRule="exact"/>
        <w:rPr>
          <w:sz w:val="20"/>
          <w:szCs w:val="20"/>
          <w:color w:val="auto"/>
        </w:rPr>
      </w:pPr>
    </w:p>
    <w:p>
      <w:pPr>
        <w:ind w:left="5620" w:right="3180" w:hanging="5288"/>
        <w:spacing w:after="0" w:line="559"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Oil and gas derivative instruments are included in assets and liabilities held for sale discussed in Note 18. 26</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Utilities Segments:</w:t>
      </w:r>
    </w:p>
    <w:p>
      <w:pPr>
        <w:spacing w:after="0" w:line="225" w:lineRule="exact"/>
        <w:rPr>
          <w:sz w:val="20"/>
          <w:szCs w:val="20"/>
          <w:color w:val="auto"/>
        </w:rPr>
      </w:pPr>
    </w:p>
    <w:p>
      <w:pPr>
        <w:ind w:left="660" w:hanging="328"/>
        <w:spacing w:after="0" w:line="29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commodity contracts for our Utilities Segments, are valued using the market approach and include exchange-traded futures, options, basis swaps and over-the-counter swaps and options (Level 2) for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component based on the credit spreads of the counterparties when we are in an unrealized gain position or on our own credit spread when we are in an unrealized loss position.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Activities:</w:t>
      </w:r>
    </w:p>
    <w:p>
      <w:pPr>
        <w:spacing w:after="0" w:line="225" w:lineRule="exact"/>
        <w:rPr>
          <w:sz w:val="20"/>
          <w:szCs w:val="20"/>
          <w:color w:val="auto"/>
        </w:rPr>
      </w:pPr>
    </w:p>
    <w:p>
      <w:pPr>
        <w:ind w:right="700" w:firstLine="332"/>
        <w:spacing w:after="0" w:line="501"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As of March 31, 2018, we no longer have derivatives within our corporate activities as our last interest rate swaps matured in January 2017. </w:t>
      </w:r>
      <w:r>
        <w:rPr>
          <w:rFonts w:ascii="Arial" w:cs="Arial" w:eastAsia="Arial" w:hAnsi="Arial"/>
          <w:sz w:val="18"/>
          <w:szCs w:val="18"/>
          <w:u w:val="single" w:color="auto"/>
          <w:color w:val="auto"/>
        </w:rPr>
        <w:t>Recurring Fair Value Measurements</w:t>
      </w:r>
    </w:p>
    <w:p>
      <w:pPr>
        <w:ind w:right="40"/>
        <w:spacing w:after="0" w:line="312" w:lineRule="auto"/>
        <w:rPr>
          <w:sz w:val="20"/>
          <w:szCs w:val="20"/>
          <w:color w:val="auto"/>
        </w:rPr>
      </w:pPr>
      <w:r>
        <w:rPr>
          <w:rFonts w:ascii="Arial" w:cs="Arial" w:eastAsia="Arial" w:hAnsi="Arial"/>
          <w:sz w:val="16"/>
          <w:szCs w:val="16"/>
          <w:color w:val="auto"/>
        </w:rPr>
        <w:t>There have been no significant transfers between Level 1 and Level 2 derivative balances. Amounts included in cash collateral and counterparty netting in the following tables represent the impact of legally enforceable master netting agreements that allow us to settle positive and negative positions, netting of asset and liability positions permitted in accordance with accounting standards for offsetting as well as cash collateral posted with the same counterparties.</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Oil and gas derivative instruments are included in assets and liabilities held for sale discussed in Note 18. The following tables set forth by level within the fair value hierarchy are gross assets and gross liabilities and related offsetting cash collateral and counterparty netting as permitted by GAAP that were accounted for at fair value on a recurring basis for derivative instruments.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80" w:type="dxa"/>
            <w:vAlign w:val="bottom"/>
            <w:gridSpan w:val="6"/>
          </w:tcPr>
          <w:p>
            <w:pPr>
              <w:jc w:val="center"/>
              <w:ind w:right="1130"/>
              <w:spacing w:after="0"/>
              <w:rPr>
                <w:sz w:val="20"/>
                <w:szCs w:val="20"/>
                <w:color w:val="auto"/>
              </w:rPr>
            </w:pPr>
            <w:r>
              <w:rPr>
                <w:rFonts w:ascii="Arial" w:cs="Arial" w:eastAsia="Arial" w:hAnsi="Arial"/>
                <w:sz w:val="18"/>
                <w:szCs w:val="18"/>
                <w:color w:val="auto"/>
                <w:w w:val="92"/>
              </w:rPr>
              <w:t>As of March 31, 2018</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(in thousands)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(119)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spacing w:after="0"/>
              <w:rPr>
                <w:sz w:val="22"/>
                <w:szCs w:val="22"/>
                <w:color w:val="auto"/>
              </w:rPr>
            </w:pPr>
          </w:p>
        </w:tc>
        <w:tc>
          <w:tcPr>
            <w:tcW w:w="1040" w:type="dxa"/>
            <w:vAlign w:val="bottom"/>
            <w:tcBorders>
              <w:bottom w:val="single" w:sz="8" w:color="auto"/>
            </w:tcBorders>
            <w:shd w:val="clear" w:color="auto" w:fill="CEFFE7"/>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8"/>
                <w:szCs w:val="18"/>
                <w:color w:val="auto"/>
              </w:rPr>
              <w:t>(119)</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295</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4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Liabilities: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12,259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(11,175)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1,084</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12,259</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spacing w:after="0"/>
              <w:rPr>
                <w:sz w:val="22"/>
                <w:szCs w:val="22"/>
                <w:color w:val="auto"/>
              </w:rPr>
            </w:pPr>
          </w:p>
        </w:tc>
        <w:tc>
          <w:tcPr>
            <w:tcW w:w="1040" w:type="dxa"/>
            <w:vAlign w:val="bottom"/>
            <w:tcBorders>
              <w:bottom w:val="single" w:sz="8" w:color="auto"/>
            </w:tcBorders>
            <w:shd w:val="clear" w:color="auto" w:fill="CEFFE7"/>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8"/>
                <w:szCs w:val="18"/>
                <w:color w:val="auto"/>
              </w:rPr>
              <w:t>(11,175)</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1,084</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41"/>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7"/>
          </w:tcPr>
          <w:p>
            <w:pPr>
              <w:jc w:val="center"/>
              <w:ind w:right="1090"/>
              <w:spacing w:after="0"/>
              <w:rPr>
                <w:sz w:val="20"/>
                <w:szCs w:val="20"/>
                <w:color w:val="auto"/>
              </w:rPr>
            </w:pPr>
            <w:r>
              <w:rPr>
                <w:rFonts w:ascii="Arial" w:cs="Arial" w:eastAsia="Arial" w:hAnsi="Arial"/>
                <w:sz w:val="18"/>
                <w:szCs w:val="18"/>
                <w:color w:val="auto"/>
                <w:w w:val="91"/>
              </w:rPr>
              <w:t>As of December 31, 2017</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(in thousands)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—Utilities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1,586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(1,282)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1,586</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spacing w:after="0"/>
              <w:rPr>
                <w:sz w:val="22"/>
                <w:szCs w:val="22"/>
                <w:color w:val="auto"/>
              </w:rPr>
            </w:pPr>
          </w:p>
        </w:tc>
        <w:tc>
          <w:tcPr>
            <w:tcW w:w="1040" w:type="dxa"/>
            <w:vAlign w:val="bottom"/>
            <w:tcBorders>
              <w:bottom w:val="single" w:sz="8" w:color="auto"/>
            </w:tcBorders>
            <w:shd w:val="clear" w:color="auto" w:fill="CEFFE7"/>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8"/>
                <w:szCs w:val="18"/>
                <w:color w:val="auto"/>
              </w:rPr>
              <w:t>(1,282)</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304</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4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Liabilities: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13,756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(11,497)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2,259</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13,756</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spacing w:after="0"/>
              <w:rPr>
                <w:sz w:val="22"/>
                <w:szCs w:val="22"/>
                <w:color w:val="auto"/>
              </w:rPr>
            </w:pPr>
          </w:p>
        </w:tc>
        <w:tc>
          <w:tcPr>
            <w:tcW w:w="1040" w:type="dxa"/>
            <w:vAlign w:val="bottom"/>
            <w:tcBorders>
              <w:bottom w:val="single" w:sz="8" w:color="auto"/>
            </w:tcBorders>
            <w:shd w:val="clear" w:color="auto" w:fill="CEFFE7"/>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8"/>
                <w:szCs w:val="18"/>
                <w:color w:val="auto"/>
              </w:rPr>
              <w:t>(11,497)</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2,259</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35"/>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73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5"/>
          </w:tcPr>
          <w:p>
            <w:pPr>
              <w:ind w:left="120"/>
              <w:spacing w:after="0"/>
              <w:rPr>
                <w:sz w:val="20"/>
                <w:szCs w:val="20"/>
                <w:color w:val="auto"/>
              </w:rPr>
            </w:pPr>
            <w:r>
              <w:rPr>
                <w:rFonts w:ascii="Arial" w:cs="Arial" w:eastAsia="Arial" w:hAnsi="Arial"/>
                <w:sz w:val="18"/>
                <w:szCs w:val="18"/>
                <w:color w:val="auto"/>
              </w:rPr>
              <w:t>As of March 31, 2017</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25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color w:val="auto"/>
                <w:w w:val="94"/>
              </w:rPr>
              <w:t>(in thousands)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2,642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(1,651)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991</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2,642</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EFFE7"/>
          </w:tcPr>
          <w:p>
            <w:pPr>
              <w:spacing w:after="0"/>
              <w:rPr>
                <w:sz w:val="22"/>
                <w:szCs w:val="22"/>
                <w:color w:val="auto"/>
              </w:rPr>
            </w:pPr>
          </w:p>
        </w:tc>
        <w:tc>
          <w:tcPr>
            <w:tcW w:w="1040" w:type="dxa"/>
            <w:vAlign w:val="bottom"/>
            <w:tcBorders>
              <w:bottom w:val="single" w:sz="8" w:color="auto"/>
            </w:tcBorders>
            <w:shd w:val="clear" w:color="auto" w:fill="CEFFE7"/>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(1,651)</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991</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6"/>
        </w:trPr>
        <w:tc>
          <w:tcPr>
            <w:tcW w:w="4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Liabilities: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13,139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(12,933)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13,139</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EFFE7"/>
          </w:tcPr>
          <w:p>
            <w:pPr>
              <w:spacing w:after="0"/>
              <w:rPr>
                <w:sz w:val="22"/>
                <w:szCs w:val="22"/>
                <w:color w:val="auto"/>
              </w:rPr>
            </w:pPr>
          </w:p>
        </w:tc>
        <w:tc>
          <w:tcPr>
            <w:tcW w:w="1040" w:type="dxa"/>
            <w:vAlign w:val="bottom"/>
            <w:tcBorders>
              <w:bottom w:val="single" w:sz="8" w:color="auto"/>
            </w:tcBorders>
            <w:shd w:val="clear" w:color="auto" w:fill="CEFFE7"/>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(12,933)</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206</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Measures by Balance Sheet Classification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required by accounting standards for derivatives and hedges, fair values within the following tables are presented on a gross basis aside from the netting of asset and liability positions permitted in accordance with accounting standards for offsetting and under terms of our master netting agreements and the impact of legally enforceable master netting agreements that allow us to settle positive and negative positions.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and balance sheet classification of our derivative instruments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4"/>
          </w:tcPr>
          <w:p>
            <w:pPr>
              <w:jc w:val="center"/>
              <w:ind w:right="2160"/>
              <w:spacing w:after="0"/>
              <w:rPr>
                <w:sz w:val="20"/>
                <w:szCs w:val="20"/>
                <w:color w:val="auto"/>
              </w:rPr>
            </w:pPr>
            <w:r>
              <w:rPr>
                <w:rFonts w:ascii="Arial" w:cs="Arial" w:eastAsia="Arial" w:hAnsi="Arial"/>
                <w:sz w:val="16"/>
                <w:szCs w:val="16"/>
                <w:color w:val="auto"/>
                <w:w w:val="93"/>
              </w:rPr>
              <w:t>As of March 31, 2018</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0"/>
              </w:rPr>
              <w:t>Fair Value</w:t>
            </w:r>
          </w:p>
        </w:tc>
        <w:tc>
          <w:tcPr>
            <w:tcW w:w="280" w:type="dxa"/>
            <w:vAlign w:val="bottom"/>
          </w:tcPr>
          <w:p>
            <w:pPr>
              <w:spacing w:after="0"/>
              <w:rPr>
                <w:sz w:val="23"/>
                <w:szCs w:val="23"/>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w w:val="90"/>
              </w:rPr>
              <w:t>Fair Value</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of Asset</w:t>
            </w:r>
          </w:p>
        </w:tc>
        <w:tc>
          <w:tcPr>
            <w:tcW w:w="28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rPr>
              <w:t>of Liability</w:t>
            </w:r>
          </w:p>
        </w:tc>
        <w:tc>
          <w:tcPr>
            <w:tcW w:w="0" w:type="dxa"/>
            <w:vAlign w:val="bottom"/>
          </w:tcPr>
          <w:p>
            <w:pPr>
              <w:spacing w:after="0"/>
              <w:rPr>
                <w:sz w:val="1"/>
                <w:szCs w:val="1"/>
                <w:color w:val="auto"/>
              </w:rPr>
            </w:pPr>
          </w:p>
        </w:tc>
      </w:tr>
      <w:tr>
        <w:trPr>
          <w:trHeight w:val="206"/>
        </w:trPr>
        <w:tc>
          <w:tcPr>
            <w:tcW w:w="3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40" w:type="dxa"/>
            <w:vAlign w:val="bottom"/>
            <w:gridSpan w:val="3"/>
          </w:tcPr>
          <w:p>
            <w:pPr>
              <w:ind w:left="940"/>
              <w:spacing w:after="0"/>
              <w:rPr>
                <w:sz w:val="20"/>
                <w:szCs w:val="20"/>
                <w:color w:val="auto"/>
              </w:rPr>
            </w:pPr>
            <w:r>
              <w:rPr>
                <w:rFonts w:ascii="Arial" w:cs="Arial" w:eastAsia="Arial" w:hAnsi="Arial"/>
                <w:sz w:val="16"/>
                <w:szCs w:val="16"/>
                <w:color w:val="auto"/>
              </w:rPr>
              <w:t>Balance Sheet Location</w:t>
            </w: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Derivatives</w:t>
            </w:r>
          </w:p>
        </w:tc>
        <w:tc>
          <w:tcPr>
            <w:tcW w:w="28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w w:val="93"/>
              </w:rPr>
              <w:t>Derivatives</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EFFE7"/>
            </w:tcBorders>
          </w:tcPr>
          <w:p>
            <w:pPr>
              <w:spacing w:after="0"/>
              <w:rPr>
                <w:sz w:val="2"/>
                <w:szCs w:val="2"/>
                <w:color w:val="auto"/>
              </w:rPr>
            </w:pPr>
          </w:p>
        </w:tc>
        <w:tc>
          <w:tcPr>
            <w:tcW w:w="106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Derivatives designated as hedges:</w:t>
            </w:r>
          </w:p>
        </w:tc>
        <w:tc>
          <w:tcPr>
            <w:tcW w:w="10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0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Borders>
              <w:bottom w:val="single" w:sz="8" w:color="CEFFE7"/>
            </w:tcBorders>
            <w:shd w:val="clear" w:color="auto" w:fill="CEFFE7"/>
          </w:tcPr>
          <w:p>
            <w:pPr>
              <w:spacing w:after="0"/>
              <w:rPr>
                <w:sz w:val="23"/>
                <w:szCs w:val="23"/>
                <w:color w:val="auto"/>
              </w:rPr>
            </w:pPr>
          </w:p>
        </w:tc>
        <w:tc>
          <w:tcPr>
            <w:tcW w:w="12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22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84"/>
        </w:trPr>
        <w:tc>
          <w:tcPr>
            <w:tcW w:w="3820" w:type="dxa"/>
            <w:vAlign w:val="bottom"/>
            <w:tcBorders>
              <w:bottom w:val="single" w:sz="8" w:color="CEFFE7"/>
            </w:tcBorders>
          </w:tcPr>
          <w:p>
            <w:pPr>
              <w:ind w:left="40"/>
              <w:spacing w:after="0"/>
              <w:rPr>
                <w:sz w:val="20"/>
                <w:szCs w:val="20"/>
                <w:color w:val="auto"/>
              </w:rPr>
            </w:pPr>
            <w:r>
              <w:rPr>
                <w:rFonts w:ascii="Arial" w:cs="Arial" w:eastAsia="Arial" w:hAnsi="Arial"/>
                <w:sz w:val="16"/>
                <w:szCs w:val="16"/>
                <w:color w:val="auto"/>
              </w:rPr>
              <w:t>Total derivatives designated as hedges</w:t>
            </w:r>
          </w:p>
        </w:tc>
        <w:tc>
          <w:tcPr>
            <w:tcW w:w="1060" w:type="dxa"/>
            <w:vAlign w:val="bottom"/>
            <w:tcBorders>
              <w:bottom w:val="single" w:sz="8" w:color="CEFFE7"/>
            </w:tcBorders>
          </w:tcPr>
          <w:p>
            <w:pPr>
              <w:spacing w:after="0"/>
              <w:rPr>
                <w:sz w:val="24"/>
                <w:szCs w:val="24"/>
                <w:color w:val="auto"/>
              </w:rPr>
            </w:pPr>
          </w:p>
        </w:tc>
        <w:tc>
          <w:tcPr>
            <w:tcW w:w="120" w:type="dxa"/>
            <w:vAlign w:val="bottom"/>
            <w:tcBorders>
              <w:bottom w:val="single" w:sz="8" w:color="CEFFE7"/>
            </w:tcBorders>
          </w:tcPr>
          <w:p>
            <w:pPr>
              <w:spacing w:after="0"/>
              <w:rPr>
                <w:sz w:val="24"/>
                <w:szCs w:val="24"/>
                <w:color w:val="auto"/>
              </w:rPr>
            </w:pPr>
          </w:p>
        </w:tc>
        <w:tc>
          <w:tcPr>
            <w:tcW w:w="40" w:type="dxa"/>
            <w:vAlign w:val="bottom"/>
            <w:tcBorders>
              <w:bottom w:val="single" w:sz="8" w:color="CEFFE7"/>
            </w:tcBorders>
          </w:tcPr>
          <w:p>
            <w:pPr>
              <w:spacing w:after="0"/>
              <w:rPr>
                <w:sz w:val="24"/>
                <w:szCs w:val="24"/>
                <w:color w:val="auto"/>
              </w:rPr>
            </w:pPr>
          </w:p>
        </w:tc>
        <w:tc>
          <w:tcPr>
            <w:tcW w:w="1380" w:type="dxa"/>
            <w:vAlign w:val="bottom"/>
            <w:tcBorders>
              <w:bottom w:val="single" w:sz="8" w:color="CEFFE7"/>
            </w:tcBorders>
          </w:tcPr>
          <w:p>
            <w:pPr>
              <w:spacing w:after="0"/>
              <w:rPr>
                <w:sz w:val="24"/>
                <w:szCs w:val="24"/>
                <w:color w:val="auto"/>
              </w:rPr>
            </w:pPr>
          </w:p>
        </w:tc>
        <w:tc>
          <w:tcPr>
            <w:tcW w:w="120" w:type="dxa"/>
            <w:vAlign w:val="bottom"/>
            <w:tcBorders>
              <w:bottom w:val="single" w:sz="8" w:color="CEFFE7"/>
            </w:tcBorders>
          </w:tcPr>
          <w:p>
            <w:pPr>
              <w:spacing w:after="0"/>
              <w:rPr>
                <w:sz w:val="24"/>
                <w:szCs w:val="24"/>
                <w:color w:val="auto"/>
              </w:rPr>
            </w:pPr>
          </w:p>
        </w:tc>
        <w:tc>
          <w:tcPr>
            <w:tcW w:w="2040" w:type="dxa"/>
            <w:vAlign w:val="bottom"/>
            <w:tcBorders>
              <w:bottom w:val="single" w:sz="8" w:color="CEFFE7"/>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71"/>
        </w:trPr>
        <w:tc>
          <w:tcPr>
            <w:tcW w:w="3820" w:type="dxa"/>
            <w:vAlign w:val="bottom"/>
            <w:shd w:val="clear" w:color="auto" w:fill="CEFFE7"/>
          </w:tcPr>
          <w:p>
            <w:pPr>
              <w:spacing w:after="0"/>
              <w:rPr>
                <w:sz w:val="23"/>
                <w:szCs w:val="23"/>
                <w:color w:val="auto"/>
              </w:rPr>
            </w:pPr>
          </w:p>
        </w:tc>
        <w:tc>
          <w:tcPr>
            <w:tcW w:w="106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38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4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Derivatives not designated as hedges: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Derivative assets — current</w:t>
            </w: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295</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Borders>
              <w:bottom w:val="single" w:sz="8" w:color="CEFFE7"/>
            </w:tcBorders>
            <w:shd w:val="clear" w:color="auto" w:fill="CEFFE7"/>
          </w:tcPr>
          <w:p>
            <w:pPr>
              <w:spacing w:after="0"/>
              <w:rPr>
                <w:sz w:val="23"/>
                <w:szCs w:val="23"/>
                <w:color w:val="auto"/>
              </w:rPr>
            </w:pPr>
          </w:p>
        </w:tc>
        <w:tc>
          <w:tcPr>
            <w:tcW w:w="12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22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44"/>
        </w:trPr>
        <w:tc>
          <w:tcPr>
            <w:tcW w:w="3820" w:type="dxa"/>
            <w:vAlign w:val="bottom"/>
          </w:tcPr>
          <w:p>
            <w:pPr>
              <w:ind w:left="40"/>
              <w:spacing w:after="0"/>
              <w:rPr>
                <w:sz w:val="20"/>
                <w:szCs w:val="20"/>
                <w:color w:val="auto"/>
              </w:rPr>
            </w:pPr>
            <w:r>
              <w:rPr>
                <w:rFonts w:ascii="Arial" w:cs="Arial" w:eastAsia="Arial" w:hAnsi="Arial"/>
                <w:sz w:val="16"/>
                <w:szCs w:val="16"/>
                <w:color w:val="auto"/>
              </w:rPr>
              <w:t>Total derivatives not designated as hedges</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760" w:type="dxa"/>
            <w:vAlign w:val="bottom"/>
            <w:gridSpan w:val="6"/>
            <w:vMerge w:val="restart"/>
          </w:tcPr>
          <w:p>
            <w:pPr>
              <w:jc w:val="center"/>
              <w:ind w:right="980"/>
              <w:spacing w:after="0"/>
              <w:rPr>
                <w:sz w:val="20"/>
                <w:szCs w:val="20"/>
                <w:color w:val="auto"/>
              </w:rPr>
            </w:pPr>
            <w:r>
              <w:rPr>
                <w:rFonts w:ascii="Arial" w:cs="Arial" w:eastAsia="Arial" w:hAnsi="Arial"/>
                <w:sz w:val="16"/>
                <w:szCs w:val="16"/>
                <w:color w:val="auto"/>
                <w:w w:val="91"/>
              </w:rPr>
              <w:t>As of December 31, 2017</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820" w:type="dxa"/>
            <w:vAlign w:val="bottom"/>
          </w:tcPr>
          <w:p>
            <w:pPr>
              <w:spacing w:after="0"/>
              <w:rPr>
                <w:sz w:val="24"/>
                <w:szCs w:val="24"/>
                <w:color w:val="auto"/>
              </w:rPr>
            </w:pPr>
          </w:p>
        </w:tc>
        <w:tc>
          <w:tcPr>
            <w:tcW w:w="4760" w:type="dxa"/>
            <w:vAlign w:val="bottom"/>
            <w:gridSpan w:val="6"/>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0"/>
              </w:rPr>
              <w:t>Fair Value</w:t>
            </w:r>
          </w:p>
        </w:tc>
        <w:tc>
          <w:tcPr>
            <w:tcW w:w="280" w:type="dxa"/>
            <w:vAlign w:val="bottom"/>
          </w:tcPr>
          <w:p>
            <w:pPr>
              <w:spacing w:after="0"/>
              <w:rPr>
                <w:sz w:val="23"/>
                <w:szCs w:val="23"/>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w w:val="90"/>
              </w:rPr>
              <w:t>Fair Value</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of Asset</w:t>
            </w:r>
          </w:p>
        </w:tc>
        <w:tc>
          <w:tcPr>
            <w:tcW w:w="28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rPr>
              <w:t>of Liability</w:t>
            </w:r>
          </w:p>
        </w:tc>
        <w:tc>
          <w:tcPr>
            <w:tcW w:w="0" w:type="dxa"/>
            <w:vAlign w:val="bottom"/>
          </w:tcPr>
          <w:p>
            <w:pPr>
              <w:spacing w:after="0"/>
              <w:rPr>
                <w:sz w:val="1"/>
                <w:szCs w:val="1"/>
                <w:color w:val="auto"/>
              </w:rPr>
            </w:pPr>
          </w:p>
        </w:tc>
      </w:tr>
      <w:tr>
        <w:trPr>
          <w:trHeight w:val="206"/>
        </w:trPr>
        <w:tc>
          <w:tcPr>
            <w:tcW w:w="3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40" w:type="dxa"/>
            <w:vAlign w:val="bottom"/>
            <w:gridSpan w:val="3"/>
          </w:tcPr>
          <w:p>
            <w:pPr>
              <w:ind w:left="940"/>
              <w:spacing w:after="0"/>
              <w:rPr>
                <w:sz w:val="20"/>
                <w:szCs w:val="20"/>
                <w:color w:val="auto"/>
              </w:rPr>
            </w:pPr>
            <w:r>
              <w:rPr>
                <w:rFonts w:ascii="Arial" w:cs="Arial" w:eastAsia="Arial" w:hAnsi="Arial"/>
                <w:sz w:val="16"/>
                <w:szCs w:val="16"/>
                <w:color w:val="auto"/>
              </w:rPr>
              <w:t>Balance Sheet Location</w:t>
            </w: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Derivatives</w:t>
            </w:r>
          </w:p>
        </w:tc>
        <w:tc>
          <w:tcPr>
            <w:tcW w:w="28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w w:val="93"/>
              </w:rPr>
              <w:t>Derivatives</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EFFE7"/>
            </w:tcBorders>
          </w:tcPr>
          <w:p>
            <w:pPr>
              <w:spacing w:after="0"/>
              <w:rPr>
                <w:sz w:val="2"/>
                <w:szCs w:val="2"/>
                <w:color w:val="auto"/>
              </w:rPr>
            </w:pPr>
          </w:p>
        </w:tc>
        <w:tc>
          <w:tcPr>
            <w:tcW w:w="106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Derivatives designated as hedges:</w:t>
            </w:r>
          </w:p>
        </w:tc>
        <w:tc>
          <w:tcPr>
            <w:tcW w:w="10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0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Borders>
              <w:bottom w:val="single" w:sz="8" w:color="CEFFE7"/>
            </w:tcBorders>
            <w:shd w:val="clear" w:color="auto" w:fill="CEFFE7"/>
          </w:tcPr>
          <w:p>
            <w:pPr>
              <w:spacing w:after="0"/>
              <w:rPr>
                <w:sz w:val="23"/>
                <w:szCs w:val="23"/>
                <w:color w:val="auto"/>
              </w:rPr>
            </w:pPr>
          </w:p>
        </w:tc>
        <w:tc>
          <w:tcPr>
            <w:tcW w:w="12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22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84"/>
        </w:trPr>
        <w:tc>
          <w:tcPr>
            <w:tcW w:w="3820" w:type="dxa"/>
            <w:vAlign w:val="bottom"/>
            <w:tcBorders>
              <w:bottom w:val="single" w:sz="8" w:color="CEFFE7"/>
            </w:tcBorders>
          </w:tcPr>
          <w:p>
            <w:pPr>
              <w:ind w:left="40"/>
              <w:spacing w:after="0"/>
              <w:rPr>
                <w:sz w:val="20"/>
                <w:szCs w:val="20"/>
                <w:color w:val="auto"/>
              </w:rPr>
            </w:pPr>
            <w:r>
              <w:rPr>
                <w:rFonts w:ascii="Arial" w:cs="Arial" w:eastAsia="Arial" w:hAnsi="Arial"/>
                <w:sz w:val="16"/>
                <w:szCs w:val="16"/>
                <w:color w:val="auto"/>
              </w:rPr>
              <w:t>Total derivatives designated as hedges</w:t>
            </w:r>
          </w:p>
        </w:tc>
        <w:tc>
          <w:tcPr>
            <w:tcW w:w="1060" w:type="dxa"/>
            <w:vAlign w:val="bottom"/>
            <w:tcBorders>
              <w:bottom w:val="single" w:sz="8" w:color="CEFFE7"/>
            </w:tcBorders>
          </w:tcPr>
          <w:p>
            <w:pPr>
              <w:spacing w:after="0"/>
              <w:rPr>
                <w:sz w:val="24"/>
                <w:szCs w:val="24"/>
                <w:color w:val="auto"/>
              </w:rPr>
            </w:pPr>
          </w:p>
        </w:tc>
        <w:tc>
          <w:tcPr>
            <w:tcW w:w="120" w:type="dxa"/>
            <w:vAlign w:val="bottom"/>
            <w:tcBorders>
              <w:bottom w:val="single" w:sz="8" w:color="CEFFE7"/>
            </w:tcBorders>
          </w:tcPr>
          <w:p>
            <w:pPr>
              <w:spacing w:after="0"/>
              <w:rPr>
                <w:sz w:val="24"/>
                <w:szCs w:val="24"/>
                <w:color w:val="auto"/>
              </w:rPr>
            </w:pPr>
          </w:p>
        </w:tc>
        <w:tc>
          <w:tcPr>
            <w:tcW w:w="40" w:type="dxa"/>
            <w:vAlign w:val="bottom"/>
            <w:tcBorders>
              <w:bottom w:val="single" w:sz="8" w:color="CEFFE7"/>
            </w:tcBorders>
          </w:tcPr>
          <w:p>
            <w:pPr>
              <w:spacing w:after="0"/>
              <w:rPr>
                <w:sz w:val="24"/>
                <w:szCs w:val="24"/>
                <w:color w:val="auto"/>
              </w:rPr>
            </w:pPr>
          </w:p>
        </w:tc>
        <w:tc>
          <w:tcPr>
            <w:tcW w:w="1380" w:type="dxa"/>
            <w:vAlign w:val="bottom"/>
            <w:tcBorders>
              <w:bottom w:val="single" w:sz="8" w:color="CEFFE7"/>
            </w:tcBorders>
          </w:tcPr>
          <w:p>
            <w:pPr>
              <w:spacing w:after="0"/>
              <w:rPr>
                <w:sz w:val="24"/>
                <w:szCs w:val="24"/>
                <w:color w:val="auto"/>
              </w:rPr>
            </w:pPr>
          </w:p>
        </w:tc>
        <w:tc>
          <w:tcPr>
            <w:tcW w:w="120" w:type="dxa"/>
            <w:vAlign w:val="bottom"/>
            <w:tcBorders>
              <w:bottom w:val="single" w:sz="8" w:color="CEFFE7"/>
            </w:tcBorders>
          </w:tcPr>
          <w:p>
            <w:pPr>
              <w:spacing w:after="0"/>
              <w:rPr>
                <w:sz w:val="24"/>
                <w:szCs w:val="24"/>
                <w:color w:val="auto"/>
              </w:rPr>
            </w:pPr>
          </w:p>
        </w:tc>
        <w:tc>
          <w:tcPr>
            <w:tcW w:w="2040" w:type="dxa"/>
            <w:vAlign w:val="bottom"/>
            <w:tcBorders>
              <w:bottom w:val="single" w:sz="8" w:color="CEFFE7"/>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71"/>
        </w:trPr>
        <w:tc>
          <w:tcPr>
            <w:tcW w:w="3820" w:type="dxa"/>
            <w:vAlign w:val="bottom"/>
            <w:shd w:val="clear" w:color="auto" w:fill="CEFFE7"/>
          </w:tcPr>
          <w:p>
            <w:pPr>
              <w:spacing w:after="0"/>
              <w:rPr>
                <w:sz w:val="23"/>
                <w:szCs w:val="23"/>
                <w:color w:val="auto"/>
              </w:rPr>
            </w:pPr>
          </w:p>
        </w:tc>
        <w:tc>
          <w:tcPr>
            <w:tcW w:w="106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38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4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Derivatives not designated as hedges: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Derivative assets — current</w:t>
            </w: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304</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1,264</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Borders>
              <w:bottom w:val="single" w:sz="8" w:color="CEFFE7"/>
            </w:tcBorders>
            <w:shd w:val="clear" w:color="auto" w:fill="CEFFE7"/>
          </w:tcPr>
          <w:p>
            <w:pPr>
              <w:spacing w:after="0"/>
              <w:rPr>
                <w:sz w:val="23"/>
                <w:szCs w:val="23"/>
                <w:color w:val="auto"/>
              </w:rPr>
            </w:pPr>
          </w:p>
        </w:tc>
        <w:tc>
          <w:tcPr>
            <w:tcW w:w="12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22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44"/>
        </w:trPr>
        <w:tc>
          <w:tcPr>
            <w:tcW w:w="3820" w:type="dxa"/>
            <w:vAlign w:val="bottom"/>
          </w:tcPr>
          <w:p>
            <w:pPr>
              <w:ind w:left="40"/>
              <w:spacing w:after="0"/>
              <w:rPr>
                <w:sz w:val="20"/>
                <w:szCs w:val="20"/>
                <w:color w:val="auto"/>
              </w:rPr>
            </w:pPr>
            <w:r>
              <w:rPr>
                <w:rFonts w:ascii="Arial" w:cs="Arial" w:eastAsia="Arial" w:hAnsi="Arial"/>
                <w:sz w:val="16"/>
                <w:szCs w:val="16"/>
                <w:color w:val="auto"/>
              </w:rPr>
              <w:t>Total derivatives not designated as hedges</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29"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729" w:right="239" w:bottom="1440" w:gutter="0" w:footer="0" w:header="0"/>
          <w:type w:val="continuous"/>
        </w:sectPr>
      </w:pPr>
    </w:p>
    <w:bookmarkStart w:id="28" w:name="page29"/>
    <w:bookmarkEnd w:id="28"/>
    <w:tbl>
      <w:tblPr>
        <w:tblLayout w:type="fixed"/>
        <w:tblInd w:w="5000" w:type="dxa"/>
        <w:tblCellMar>
          <w:top w:w="0" w:type="dxa"/>
          <w:left w:w="0" w:type="dxa"/>
          <w:bottom w:w="0" w:type="dxa"/>
          <w:right w:w="0" w:type="dxa"/>
        </w:tblCellMar>
      </w:tblPr>
      <w:tr>
        <w:trPr>
          <w:trHeight w:val="184"/>
        </w:trPr>
        <w:tc>
          <w:tcPr>
            <w:tcW w:w="3200" w:type="dxa"/>
            <w:vAlign w:val="bottom"/>
            <w:gridSpan w:val="2"/>
          </w:tcPr>
          <w:p>
            <w:pPr>
              <w:spacing w:after="0"/>
              <w:rPr>
                <w:sz w:val="20"/>
                <w:szCs w:val="20"/>
                <w:color w:val="auto"/>
              </w:rPr>
            </w:pPr>
            <w:r>
              <w:rPr>
                <w:rFonts w:ascii="Arial" w:cs="Arial" w:eastAsia="Arial" w:hAnsi="Arial"/>
                <w:sz w:val="16"/>
                <w:szCs w:val="16"/>
                <w:color w:val="auto"/>
              </w:rPr>
              <w:t>As of March 31, 2017</w:t>
            </w:r>
          </w:p>
        </w:tc>
        <w:tc>
          <w:tcPr>
            <w:tcW w:w="17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7"/>
        </w:trPr>
        <w:tc>
          <w:tcPr>
            <w:tcW w:w="1420" w:type="dxa"/>
            <w:vAlign w:val="bottom"/>
            <w:tcBorders>
              <w:top w:val="single" w:sz="8" w:color="auto"/>
            </w:tcBorders>
          </w:tcPr>
          <w:p>
            <w:pPr>
              <w:spacing w:after="0"/>
              <w:rPr>
                <w:sz w:val="23"/>
                <w:szCs w:val="23"/>
                <w:color w:val="auto"/>
              </w:rPr>
            </w:pPr>
          </w:p>
        </w:tc>
        <w:tc>
          <w:tcPr>
            <w:tcW w:w="1780" w:type="dxa"/>
            <w:vAlign w:val="bottom"/>
          </w:tcPr>
          <w:p>
            <w:pPr>
              <w:spacing w:after="0"/>
              <w:rPr>
                <w:sz w:val="23"/>
                <w:szCs w:val="23"/>
                <w:color w:val="auto"/>
              </w:rPr>
            </w:pPr>
          </w:p>
        </w:tc>
        <w:tc>
          <w:tcPr>
            <w:tcW w:w="1780" w:type="dxa"/>
            <w:vAlign w:val="bottom"/>
          </w:tcPr>
          <w:p>
            <w:pPr>
              <w:jc w:val="center"/>
              <w:ind w:left="279"/>
              <w:spacing w:after="0"/>
              <w:rPr>
                <w:sz w:val="20"/>
                <w:szCs w:val="20"/>
                <w:color w:val="auto"/>
              </w:rPr>
            </w:pPr>
            <w:r>
              <w:rPr>
                <w:rFonts w:ascii="Arial" w:cs="Arial" w:eastAsia="Arial" w:hAnsi="Arial"/>
                <w:sz w:val="16"/>
                <w:szCs w:val="16"/>
                <w:color w:val="auto"/>
                <w:w w:val="90"/>
              </w:rPr>
              <w:t>Fair Value</w:t>
            </w:r>
          </w:p>
        </w:tc>
        <w:tc>
          <w:tcPr>
            <w:tcW w:w="1080" w:type="dxa"/>
            <w:vAlign w:val="bottom"/>
          </w:tcPr>
          <w:p>
            <w:pPr>
              <w:jc w:val="center"/>
              <w:ind w:left="259"/>
              <w:spacing w:after="0"/>
              <w:rPr>
                <w:sz w:val="20"/>
                <w:szCs w:val="20"/>
                <w:color w:val="auto"/>
              </w:rPr>
            </w:pPr>
            <w:r>
              <w:rPr>
                <w:rFonts w:ascii="Arial" w:cs="Arial" w:eastAsia="Arial" w:hAnsi="Arial"/>
                <w:sz w:val="16"/>
                <w:szCs w:val="16"/>
                <w:color w:val="auto"/>
                <w:w w:val="90"/>
              </w:rPr>
              <w:t>Fair Value</w:t>
            </w:r>
          </w:p>
        </w:tc>
      </w:tr>
      <w:tr>
        <w:trPr>
          <w:trHeight w:val="203"/>
        </w:trPr>
        <w:tc>
          <w:tcPr>
            <w:tcW w:w="1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80" w:type="dxa"/>
            <w:vAlign w:val="bottom"/>
          </w:tcPr>
          <w:p>
            <w:pPr>
              <w:jc w:val="center"/>
              <w:ind w:left="279"/>
              <w:spacing w:after="0"/>
              <w:rPr>
                <w:sz w:val="20"/>
                <w:szCs w:val="20"/>
                <w:color w:val="auto"/>
              </w:rPr>
            </w:pPr>
            <w:r>
              <w:rPr>
                <w:rFonts w:ascii="Arial" w:cs="Arial" w:eastAsia="Arial" w:hAnsi="Arial"/>
                <w:sz w:val="16"/>
                <w:szCs w:val="16"/>
                <w:color w:val="auto"/>
                <w:w w:val="93"/>
              </w:rPr>
              <w:t>of Asset</w:t>
            </w:r>
          </w:p>
        </w:tc>
        <w:tc>
          <w:tcPr>
            <w:tcW w:w="1080" w:type="dxa"/>
            <w:vAlign w:val="bottom"/>
          </w:tcPr>
          <w:p>
            <w:pPr>
              <w:jc w:val="center"/>
              <w:ind w:left="259"/>
              <w:spacing w:after="0"/>
              <w:rPr>
                <w:sz w:val="20"/>
                <w:szCs w:val="20"/>
                <w:color w:val="auto"/>
              </w:rPr>
            </w:pPr>
            <w:r>
              <w:rPr>
                <w:rFonts w:ascii="Arial" w:cs="Arial" w:eastAsia="Arial" w:hAnsi="Arial"/>
                <w:sz w:val="16"/>
                <w:szCs w:val="16"/>
                <w:color w:val="auto"/>
              </w:rPr>
              <w:t>of Liability</w:t>
            </w:r>
          </w:p>
        </w:tc>
      </w:tr>
      <w:tr>
        <w:trPr>
          <w:trHeight w:val="206"/>
        </w:trPr>
        <w:tc>
          <w:tcPr>
            <w:tcW w:w="3200" w:type="dxa"/>
            <w:vAlign w:val="bottom"/>
            <w:gridSpan w:val="2"/>
          </w:tcPr>
          <w:p>
            <w:pPr>
              <w:ind w:left="980"/>
              <w:spacing w:after="0"/>
              <w:rPr>
                <w:sz w:val="20"/>
                <w:szCs w:val="20"/>
                <w:color w:val="auto"/>
              </w:rPr>
            </w:pPr>
            <w:r>
              <w:rPr>
                <w:rFonts w:ascii="Arial" w:cs="Arial" w:eastAsia="Arial" w:hAnsi="Arial"/>
                <w:sz w:val="16"/>
                <w:szCs w:val="16"/>
                <w:color w:val="auto"/>
              </w:rPr>
              <w:t>Balance Sheet Location</w:t>
            </w:r>
          </w:p>
        </w:tc>
        <w:tc>
          <w:tcPr>
            <w:tcW w:w="1780" w:type="dxa"/>
            <w:vAlign w:val="bottom"/>
          </w:tcPr>
          <w:p>
            <w:pPr>
              <w:jc w:val="center"/>
              <w:ind w:left="279"/>
              <w:spacing w:after="0"/>
              <w:rPr>
                <w:sz w:val="20"/>
                <w:szCs w:val="20"/>
                <w:color w:val="auto"/>
              </w:rPr>
            </w:pPr>
            <w:r>
              <w:rPr>
                <w:rFonts w:ascii="Arial" w:cs="Arial" w:eastAsia="Arial" w:hAnsi="Arial"/>
                <w:sz w:val="16"/>
                <w:szCs w:val="16"/>
                <w:color w:val="auto"/>
                <w:w w:val="93"/>
              </w:rPr>
              <w:t>Derivatives</w:t>
            </w:r>
          </w:p>
        </w:tc>
        <w:tc>
          <w:tcPr>
            <w:tcW w:w="1080" w:type="dxa"/>
            <w:vAlign w:val="bottom"/>
          </w:tcPr>
          <w:p>
            <w:pPr>
              <w:jc w:val="center"/>
              <w:ind w:left="259"/>
              <w:spacing w:after="0"/>
              <w:rPr>
                <w:sz w:val="20"/>
                <w:szCs w:val="20"/>
                <w:color w:val="auto"/>
              </w:rPr>
            </w:pPr>
            <w:r>
              <w:rPr>
                <w:rFonts w:ascii="Arial" w:cs="Arial" w:eastAsia="Arial" w:hAnsi="Arial"/>
                <w:sz w:val="16"/>
                <w:szCs w:val="16"/>
                <w:color w:val="auto"/>
                <w:w w:val="93"/>
              </w:rPr>
              <w:t>Derivatives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Derivatives designated as hedges:</w:t>
      </w:r>
    </w:p>
    <w:p>
      <w:pPr>
        <w:sectPr>
          <w:pgSz w:w="11900" w:h="16838" w:orient="portrait"/>
          <w:cols w:equalWidth="0" w:num="1">
            <w:col w:w="11420"/>
          </w:cols>
          <w:pgMar w:left="240" w:top="739" w:right="239" w:bottom="1440" w:gutter="0" w:footer="0" w:header="0"/>
        </w:sectPr>
      </w:pPr>
    </w:p>
    <w:p>
      <w:pPr>
        <w:spacing w:after="0" w:line="8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Current assets held for sale</w:t>
      </w:r>
    </w:p>
    <w:p>
      <w:pPr>
        <w:spacing w:after="0" w:line="8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Other deferred credits and other liabilities</w:t>
      </w:r>
    </w:p>
    <w:p>
      <w:pPr>
        <w:spacing w:after="0" w:line="8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Current liabilities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Noncurrent liabilities held for sale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derivatives designated as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97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Derivatives not designated as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current</w:t>
      </w:r>
    </w:p>
    <w:p>
      <w:pPr>
        <w:spacing w:after="0" w:line="8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Other assets,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current</w:t>
      </w:r>
    </w:p>
    <w:p>
      <w:pPr>
        <w:spacing w:after="0" w:line="8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Other deferred credits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Current liabilities held for sale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derivatives not designated as hedges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163</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559</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293</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722</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376</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771"/>
        </w:trPr>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819</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105</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828</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264</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739" w:right="239" w:bottom="1440" w:gutter="0" w:footer="0" w:header="0"/>
          <w:type w:val="continuous"/>
        </w:sectPr>
      </w:pPr>
    </w:p>
    <w:p>
      <w:pPr>
        <w:spacing w:after="0" w:line="2"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18 to the Consolidated Financial Statements included in our 2017 Annual Report on Form 10-K.</w:t>
      </w:r>
    </w:p>
    <w:p>
      <w:pPr>
        <w:spacing w:after="0" w:line="14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our financial instruments, excluding derivatives which are presented in Note 12, were as follows (in thousands) as 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March 31, 2018</w:t>
            </w:r>
          </w:p>
        </w:tc>
        <w:tc>
          <w:tcPr>
            <w:tcW w:w="200" w:type="dxa"/>
            <w:vAlign w:val="bottom"/>
          </w:tcPr>
          <w:p>
            <w:pPr>
              <w:spacing w:after="0"/>
              <w:rPr>
                <w:sz w:val="20"/>
                <w:szCs w:val="20"/>
                <w:color w:val="auto"/>
              </w:rPr>
            </w:pPr>
          </w:p>
        </w:tc>
        <w:tc>
          <w:tcPr>
            <w:tcW w:w="2420" w:type="dxa"/>
            <w:vAlign w:val="bottom"/>
            <w:gridSpan w:val="4"/>
          </w:tcPr>
          <w:p>
            <w:pPr>
              <w:ind w:left="360"/>
              <w:spacing w:after="0"/>
              <w:rPr>
                <w:sz w:val="20"/>
                <w:szCs w:val="20"/>
                <w:color w:val="auto"/>
              </w:rPr>
            </w:pPr>
            <w:r>
              <w:rPr>
                <w:rFonts w:ascii="Arial" w:cs="Arial" w:eastAsia="Arial" w:hAnsi="Arial"/>
                <w:sz w:val="18"/>
                <w:szCs w:val="18"/>
                <w:color w:val="auto"/>
              </w:rPr>
              <w:t>December 31, 2017</w:t>
            </w:r>
          </w:p>
        </w:tc>
        <w:tc>
          <w:tcPr>
            <w:tcW w:w="180" w:type="dxa"/>
            <w:vAlign w:val="bottom"/>
          </w:tcPr>
          <w:p>
            <w:pPr>
              <w:spacing w:after="0"/>
              <w:rPr>
                <w:sz w:val="20"/>
                <w:szCs w:val="20"/>
                <w:color w:val="auto"/>
              </w:rPr>
            </w:pPr>
          </w:p>
        </w:tc>
        <w:tc>
          <w:tcPr>
            <w:tcW w:w="2080" w:type="dxa"/>
            <w:vAlign w:val="bottom"/>
            <w:gridSpan w:val="3"/>
          </w:tcPr>
          <w:p>
            <w:pPr>
              <w:jc w:val="right"/>
              <w:ind w:right="450"/>
              <w:spacing w:after="0"/>
              <w:rPr>
                <w:sz w:val="20"/>
                <w:szCs w:val="20"/>
                <w:color w:val="auto"/>
              </w:rPr>
            </w:pPr>
            <w:r>
              <w:rPr>
                <w:rFonts w:ascii="Arial" w:cs="Arial" w:eastAsia="Arial" w:hAnsi="Arial"/>
                <w:sz w:val="18"/>
                <w:szCs w:val="18"/>
                <w:color w:val="auto"/>
              </w:rPr>
              <w:t>March 31, 2017</w:t>
            </w:r>
          </w:p>
        </w:tc>
      </w:tr>
      <w:tr>
        <w:trPr>
          <w:trHeight w:val="27"/>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w w:val="99"/>
              </w:rPr>
              <w:t>Carrying</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Carrying</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w w:val="99"/>
              </w:rPr>
              <w:t>Carrying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2"/>
              </w:rPr>
              <w:t>Fair Value</w:t>
            </w:r>
          </w:p>
        </w:tc>
      </w:tr>
      <w:tr>
        <w:trPr>
          <w:trHeight w:val="27"/>
        </w:trPr>
        <w:tc>
          <w:tcPr>
            <w:tcW w:w="4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00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(a)</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30,947</w:t>
            </w:r>
          </w:p>
        </w:tc>
        <w:tc>
          <w:tcPr>
            <w:tcW w:w="2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30,947</w:t>
            </w:r>
          </w:p>
        </w:tc>
        <w:tc>
          <w:tcPr>
            <w:tcW w:w="120" w:type="dxa"/>
            <w:vAlign w:val="bottom"/>
            <w:shd w:val="clear" w:color="auto" w:fill="CEFFE7"/>
          </w:tcPr>
          <w:p>
            <w:pPr>
              <w:spacing w:after="0"/>
              <w:rPr>
                <w:sz w:val="22"/>
                <w:szCs w:val="22"/>
                <w:color w:val="auto"/>
              </w:rPr>
            </w:pPr>
          </w:p>
        </w:tc>
        <w:tc>
          <w:tcPr>
            <w:tcW w:w="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15,420</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15,420</w:t>
            </w:r>
          </w:p>
        </w:tc>
        <w:tc>
          <w:tcPr>
            <w:tcW w:w="120" w:type="dxa"/>
            <w:vAlign w:val="bottom"/>
            <w:shd w:val="clear" w:color="auto" w:fill="CEFFE7"/>
          </w:tcPr>
          <w:p>
            <w:pPr>
              <w:spacing w:after="0"/>
              <w:rPr>
                <w:sz w:val="22"/>
                <w:szCs w:val="22"/>
                <w:color w:val="auto"/>
              </w:rPr>
            </w:pP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11,291</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11,291</w:t>
            </w: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Restricted cash </w:t>
            </w:r>
            <w:r>
              <w:rPr>
                <w:rFonts w:ascii="Arial" w:cs="Arial" w:eastAsia="Arial" w:hAnsi="Arial"/>
                <w:sz w:val="25"/>
                <w:szCs w:val="25"/>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2,958</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2,958</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2,409</w:t>
            </w:r>
          </w:p>
        </w:tc>
      </w:tr>
      <w:tr>
        <w:trPr>
          <w:trHeight w:val="270"/>
        </w:trPr>
        <w:tc>
          <w:tcPr>
            <w:tcW w:w="40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5"/>
                <w:szCs w:val="25"/>
                <w:color w:val="auto"/>
                <w:vertAlign w:val="superscript"/>
              </w:rPr>
              <w:t>(b)</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164,200</w:t>
            </w:r>
          </w:p>
        </w:tc>
        <w:tc>
          <w:tcPr>
            <w:tcW w:w="2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164,200</w:t>
            </w: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211,300</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211,300</w:t>
            </w:r>
          </w:p>
        </w:tc>
        <w:tc>
          <w:tcPr>
            <w:tcW w:w="120" w:type="dxa"/>
            <w:vAlign w:val="bottom"/>
            <w:shd w:val="clear" w:color="auto" w:fill="CEFFE7"/>
          </w:tcPr>
          <w:p>
            <w:pPr>
              <w:spacing w:after="0"/>
              <w:rPr>
                <w:sz w:val="23"/>
                <w:szCs w:val="23"/>
                <w:color w:val="auto"/>
              </w:rPr>
            </w:pP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50,950</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50,950</w:t>
            </w:r>
          </w:p>
        </w:tc>
      </w:tr>
      <w:tr>
        <w:trPr>
          <w:trHeight w:val="256"/>
        </w:trPr>
        <w:tc>
          <w:tcPr>
            <w:tcW w:w="4000" w:type="dxa"/>
            <w:vAlign w:val="bottom"/>
          </w:tcPr>
          <w:p>
            <w:pPr>
              <w:ind w:left="40"/>
              <w:spacing w:after="0" w:line="256" w:lineRule="exact"/>
              <w:rPr>
                <w:sz w:val="20"/>
                <w:szCs w:val="20"/>
                <w:color w:val="auto"/>
              </w:rPr>
            </w:pPr>
            <w:r>
              <w:rPr>
                <w:rFonts w:ascii="Arial" w:cs="Arial" w:eastAsia="Arial" w:hAnsi="Arial"/>
                <w:sz w:val="18"/>
                <w:szCs w:val="18"/>
                <w:color w:val="auto"/>
                <w:w w:val="99"/>
              </w:rPr>
              <w:t xml:space="preserve">Long-term debt, including current maturities </w:t>
            </w:r>
            <w:r>
              <w:rPr>
                <w:rFonts w:ascii="Arial" w:cs="Arial" w:eastAsia="Arial" w:hAnsi="Arial"/>
                <w:sz w:val="25"/>
                <w:szCs w:val="25"/>
                <w:color w:val="auto"/>
                <w:w w:val="99"/>
                <w:vertAlign w:val="superscript"/>
              </w:rPr>
              <w:t>(c) (d)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3,114,530</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3,265,965</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3,115,143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3,350,544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3,216,473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3,388,809</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ind w:left="340" w:right="180" w:hanging="332"/>
        <w:spacing w:after="0" w:line="249"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Carrying value approximates fair value due to either the short-term length of maturity or variable interest rates that approximate prevailing market rates, and therefore is classified in Level 1 in the fair value hierarchy.</w:t>
      </w:r>
    </w:p>
    <w:p>
      <w:pPr>
        <w:ind w:left="340" w:right="300" w:hanging="332"/>
        <w:spacing w:after="0" w:line="246"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Notes payable consist of commercial paper borrowings and borrowings on our Revolving Credit Facility. Carrying value approximates fair value due to the short-term length of maturity; since these borrowings are not traded on an exchange, they are classified in Level 2 in the fair value hierarchy.</w:t>
      </w:r>
    </w:p>
    <w:p>
      <w:pPr>
        <w:ind w:left="340" w:right="180" w:hanging="332"/>
        <w:spacing w:after="0" w:line="246"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Long-term debt is valued based on observable inputs available either directly or indirectly for similar liabilities in active markets and therefore is classified in Level 2 in the fair value hierarchy.</w:t>
      </w: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Carrying amount of long-term debt is net of deferred financing costs.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39" w:right="239" w:bottom="1440" w:gutter="0" w:footer="0" w:header="0"/>
          <w:type w:val="continuous"/>
        </w:sectPr>
      </w:pPr>
    </w:p>
    <w:bookmarkStart w:id="29" w:name="page30"/>
    <w:bookmarkEnd w:id="29"/>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reclassifications out of AOCI and into net income. The amounts in parentheses below indicate decreases to net income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 for the period, net of tax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3"/>
          </w:tcPr>
          <w:p>
            <w:pPr>
              <w:jc w:val="right"/>
              <w:ind w:right="170"/>
              <w:spacing w:after="0"/>
              <w:rPr>
                <w:sz w:val="20"/>
                <w:szCs w:val="20"/>
                <w:color w:val="auto"/>
              </w:rPr>
            </w:pPr>
            <w:r>
              <w:rPr>
                <w:rFonts w:ascii="Arial" w:cs="Arial" w:eastAsia="Arial" w:hAnsi="Arial"/>
                <w:sz w:val="18"/>
                <w:szCs w:val="18"/>
                <w:color w:val="auto"/>
                <w:w w:val="99"/>
              </w:rPr>
              <w:t>Amount Reclassified from AOCI</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2900" w:type="dxa"/>
            <w:vAlign w:val="bottom"/>
            <w:vMerge w:val="restart"/>
          </w:tcPr>
          <w:p>
            <w:pPr>
              <w:ind w:left="540"/>
              <w:spacing w:after="0"/>
              <w:rPr>
                <w:sz w:val="20"/>
                <w:szCs w:val="20"/>
                <w:color w:val="auto"/>
              </w:rPr>
            </w:pPr>
            <w:r>
              <w:rPr>
                <w:rFonts w:ascii="Arial" w:cs="Arial" w:eastAsia="Arial" w:hAnsi="Arial"/>
                <w:sz w:val="18"/>
                <w:szCs w:val="18"/>
                <w:color w:val="auto"/>
              </w:rPr>
              <w:t>Location on the Condensed</w:t>
            </w:r>
          </w:p>
        </w:tc>
        <w:tc>
          <w:tcPr>
            <w:tcW w:w="140" w:type="dxa"/>
            <w:vAlign w:val="bottom"/>
          </w:tcPr>
          <w:p>
            <w:pPr>
              <w:spacing w:after="0"/>
              <w:rPr>
                <w:sz w:val="23"/>
                <w:szCs w:val="23"/>
                <w:color w:val="auto"/>
              </w:rPr>
            </w:pPr>
          </w:p>
        </w:tc>
        <w:tc>
          <w:tcPr>
            <w:tcW w:w="2820" w:type="dxa"/>
            <w:vAlign w:val="bottom"/>
            <w:gridSpan w:val="3"/>
          </w:tcPr>
          <w:p>
            <w:pPr>
              <w:jc w:val="right"/>
              <w:ind w:right="61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900" w:type="dxa"/>
            <w:vAlign w:val="bottom"/>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2900" w:type="dxa"/>
            <w:vAlign w:val="bottom"/>
          </w:tcPr>
          <w:p>
            <w:pPr>
              <w:ind w:left="240"/>
              <w:spacing w:after="0"/>
              <w:rPr>
                <w:sz w:val="20"/>
                <w:szCs w:val="20"/>
                <w:color w:val="auto"/>
              </w:rPr>
            </w:pPr>
            <w:r>
              <w:rPr>
                <w:rFonts w:ascii="Arial" w:cs="Arial" w:eastAsia="Arial" w:hAnsi="Arial"/>
                <w:sz w:val="18"/>
                <w:szCs w:val="18"/>
                <w:color w:val="auto"/>
                <w:w w:val="92"/>
              </w:rPr>
              <w:t>Consolidated Statements of Income</w:t>
            </w:r>
          </w:p>
        </w:tc>
        <w:tc>
          <w:tcPr>
            <w:tcW w:w="1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w w:val="92"/>
              </w:rPr>
              <w:t>March 31, 2018</w:t>
            </w:r>
          </w:p>
        </w:tc>
        <w:tc>
          <w:tcPr>
            <w:tcW w:w="1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w w:val="92"/>
              </w:rPr>
              <w:t>March 31, 2017</w:t>
            </w:r>
          </w:p>
        </w:tc>
        <w:tc>
          <w:tcPr>
            <w:tcW w:w="0" w:type="dxa"/>
            <w:vAlign w:val="bottom"/>
          </w:tcPr>
          <w:p>
            <w:pPr>
              <w:spacing w:after="0"/>
              <w:rPr>
                <w:sz w:val="1"/>
                <w:szCs w:val="1"/>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Gains and (losses) on cash flow hedges:</w:t>
            </w:r>
          </w:p>
        </w:tc>
        <w:tc>
          <w:tcPr>
            <w:tcW w:w="29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9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(713)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60" w:type="dxa"/>
            <w:vAlign w:val="bottom"/>
            <w:shd w:val="clear" w:color="auto" w:fill="CEFFE7"/>
          </w:tcPr>
          <w:p>
            <w:pPr>
              <w:spacing w:after="0"/>
              <w:rPr>
                <w:sz w:val="19"/>
                <w:szCs w:val="19"/>
                <w:color w:val="auto"/>
              </w:rPr>
            </w:pPr>
          </w:p>
        </w:tc>
        <w:tc>
          <w:tcPr>
            <w:tcW w:w="2900" w:type="dxa"/>
            <w:vAlign w:val="bottom"/>
            <w:shd w:val="clear" w:color="auto" w:fill="CEFFE7"/>
          </w:tcPr>
          <w:p>
            <w:pPr>
              <w:ind w:left="180"/>
              <w:spacing w:after="0"/>
              <w:rPr>
                <w:sz w:val="20"/>
                <w:szCs w:val="20"/>
                <w:color w:val="auto"/>
              </w:rPr>
            </w:pPr>
            <w:r>
              <w:rPr>
                <w:rFonts w:ascii="Arial" w:cs="Arial" w:eastAsia="Arial" w:hAnsi="Arial"/>
                <w:sz w:val="18"/>
                <w:szCs w:val="18"/>
                <w:color w:val="auto"/>
              </w:rPr>
              <w:t>Net (loss) from discontinued</w:t>
            </w:r>
          </w:p>
        </w:tc>
        <w:tc>
          <w:tcPr>
            <w:tcW w:w="140" w:type="dxa"/>
            <w:vAlign w:val="bottom"/>
            <w:shd w:val="clear" w:color="auto" w:fill="CEFFE7"/>
          </w:tcPr>
          <w:p>
            <w:pPr>
              <w:spacing w:after="0"/>
              <w:rPr>
                <w:sz w:val="19"/>
                <w:szCs w:val="19"/>
                <w:color w:val="auto"/>
              </w:rPr>
            </w:pPr>
          </w:p>
        </w:tc>
        <w:tc>
          <w:tcPr>
            <w:tcW w:w="134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34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contracts</w:t>
            </w:r>
          </w:p>
        </w:tc>
        <w:tc>
          <w:tcPr>
            <w:tcW w:w="2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operations</w:t>
            </w:r>
          </w:p>
        </w:tc>
        <w:tc>
          <w:tcPr>
            <w:tcW w:w="140" w:type="dxa"/>
            <w:vAlign w:val="bottom"/>
            <w:tcBorders>
              <w:bottom w:val="single" w:sz="8" w:color="CEFFE7"/>
            </w:tcBorders>
            <w:shd w:val="clear" w:color="auto" w:fill="CEFFE7"/>
          </w:tcPr>
          <w:p>
            <w:pPr>
              <w:spacing w:after="0"/>
              <w:rPr>
                <w:sz w:val="20"/>
                <w:szCs w:val="20"/>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EFFE7"/>
            </w:tcBorders>
            <w:shd w:val="clear" w:color="auto" w:fill="CEFFE7"/>
          </w:tcPr>
          <w:p>
            <w:pPr>
              <w:spacing w:after="0"/>
              <w:rPr>
                <w:sz w:val="20"/>
                <w:szCs w:val="20"/>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19"/>
                <w:szCs w:val="19"/>
                <w:color w:val="auto"/>
              </w:rPr>
            </w:pPr>
          </w:p>
        </w:tc>
        <w:tc>
          <w:tcPr>
            <w:tcW w:w="2900" w:type="dxa"/>
            <w:vAlign w:val="bottom"/>
          </w:tcPr>
          <w:p>
            <w:pPr>
              <w:ind w:left="180"/>
              <w:spacing w:after="0"/>
              <w:rPr>
                <w:sz w:val="20"/>
                <w:szCs w:val="20"/>
                <w:color w:val="auto"/>
              </w:rPr>
            </w:pPr>
            <w:r>
              <w:rPr>
                <w:rFonts w:ascii="Arial" w:cs="Arial" w:eastAsia="Arial" w:hAnsi="Arial"/>
                <w:sz w:val="18"/>
                <w:szCs w:val="18"/>
                <w:color w:val="auto"/>
                <w:w w:val="97"/>
              </w:rPr>
              <w:t>Fuel, purchased power and cost of</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vMerge w:val="restart"/>
          </w:tcPr>
          <w:p>
            <w:pPr>
              <w:ind w:left="180"/>
              <w:spacing w:after="0"/>
              <w:rPr>
                <w:sz w:val="20"/>
                <w:szCs w:val="20"/>
                <w:color w:val="auto"/>
              </w:rPr>
            </w:pPr>
            <w:r>
              <w:rPr>
                <w:rFonts w:ascii="Arial" w:cs="Arial" w:eastAsia="Arial" w:hAnsi="Arial"/>
                <w:sz w:val="18"/>
                <w:szCs w:val="18"/>
                <w:color w:val="auto"/>
              </w:rPr>
              <w:t>Commodity contracts</w:t>
            </w:r>
          </w:p>
        </w:tc>
        <w:tc>
          <w:tcPr>
            <w:tcW w:w="2900" w:type="dxa"/>
            <w:vAlign w:val="bottom"/>
          </w:tcPr>
          <w:p>
            <w:pPr>
              <w:ind w:left="180"/>
              <w:spacing w:after="0"/>
              <w:rPr>
                <w:sz w:val="20"/>
                <w:szCs w:val="20"/>
                <w:color w:val="auto"/>
              </w:rPr>
            </w:pPr>
            <w:r>
              <w:rPr>
                <w:rFonts w:ascii="Arial" w:cs="Arial" w:eastAsia="Arial" w:hAnsi="Arial"/>
                <w:sz w:val="18"/>
                <w:szCs w:val="18"/>
                <w:color w:val="auto"/>
              </w:rPr>
              <w:t>natural gas sold</w:t>
            </w:r>
          </w:p>
        </w:tc>
        <w:tc>
          <w:tcPr>
            <w:tcW w:w="14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20"/>
                <w:szCs w:val="20"/>
                <w:color w:val="auto"/>
              </w:rPr>
            </w:pP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560" w:type="dxa"/>
            <w:vAlign w:val="bottom"/>
            <w:vMerge w:val="continue"/>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EFFE7"/>
            </w:tcBorders>
          </w:tcPr>
          <w:p>
            <w:pPr>
              <w:spacing w:after="0"/>
              <w:rPr>
                <w:sz w:val="2"/>
                <w:szCs w:val="2"/>
                <w:color w:val="auto"/>
              </w:rPr>
            </w:pPr>
          </w:p>
        </w:tc>
        <w:tc>
          <w:tcPr>
            <w:tcW w:w="29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EFFE7"/>
            </w:tcBorders>
            <w:shd w:val="clear" w:color="auto" w:fill="CEFFE7"/>
          </w:tcPr>
          <w:p>
            <w:pPr>
              <w:spacing w:after="0"/>
              <w:rPr>
                <w:sz w:val="21"/>
                <w:szCs w:val="21"/>
                <w:color w:val="auto"/>
              </w:rPr>
            </w:pPr>
          </w:p>
        </w:tc>
        <w:tc>
          <w:tcPr>
            <w:tcW w:w="29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2900" w:type="dxa"/>
            <w:vAlign w:val="bottom"/>
          </w:tcPr>
          <w:p>
            <w:pPr>
              <w:ind w:left="180"/>
              <w:spacing w:after="0"/>
              <w:rPr>
                <w:sz w:val="20"/>
                <w:szCs w:val="20"/>
                <w:color w:val="auto"/>
              </w:rPr>
            </w:pPr>
            <w:r>
              <w:rPr>
                <w:rFonts w:ascii="Arial" w:cs="Arial" w:eastAsia="Arial" w:hAnsi="Arial"/>
                <w:sz w:val="18"/>
                <w:szCs w:val="18"/>
                <w:color w:val="auto"/>
              </w:rPr>
              <w:t>Income tax benefit (expense)</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EFFE7"/>
            </w:tcBorders>
          </w:tcPr>
          <w:p>
            <w:pPr>
              <w:spacing w:after="0"/>
              <w:rPr>
                <w:sz w:val="2"/>
                <w:szCs w:val="2"/>
                <w:color w:val="auto"/>
              </w:rPr>
            </w:pPr>
          </w:p>
        </w:tc>
        <w:tc>
          <w:tcPr>
            <w:tcW w:w="29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w w:val="95"/>
              </w:rPr>
              <w:t>Total reclassification adjustments related to cash flow hedges, net of tax</w:t>
            </w:r>
          </w:p>
        </w:tc>
        <w:tc>
          <w:tcPr>
            <w:tcW w:w="2900" w:type="dxa"/>
            <w:vAlign w:val="bottom"/>
            <w:tcBorders>
              <w:bottom w:val="single" w:sz="8" w:color="CEFFE7"/>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(1,037)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Amortization of components of defined benefit plans:</w:t>
            </w:r>
          </w:p>
        </w:tc>
        <w:tc>
          <w:tcPr>
            <w:tcW w:w="29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Prior service cost</w:t>
            </w:r>
          </w:p>
        </w:tc>
        <w:tc>
          <w:tcPr>
            <w:tcW w:w="2900" w:type="dxa"/>
            <w:vAlign w:val="bottom"/>
          </w:tcPr>
          <w:p>
            <w:pPr>
              <w:ind w:left="180"/>
              <w:spacing w:after="0"/>
              <w:rPr>
                <w:sz w:val="20"/>
                <w:szCs w:val="20"/>
                <w:color w:val="auto"/>
              </w:rPr>
            </w:pPr>
            <w:r>
              <w:rPr>
                <w:rFonts w:ascii="Arial" w:cs="Arial" w:eastAsia="Arial" w:hAnsi="Arial"/>
                <w:sz w:val="18"/>
                <w:szCs w:val="18"/>
                <w:color w:val="auto"/>
              </w:rPr>
              <w:t>Operations and maintenance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560" w:type="dxa"/>
            <w:vAlign w:val="bottom"/>
            <w:shd w:val="clear" w:color="auto" w:fill="CEFFE7"/>
          </w:tcPr>
          <w:p>
            <w:pPr>
              <w:spacing w:after="0"/>
              <w:rPr>
                <w:sz w:val="24"/>
                <w:szCs w:val="24"/>
                <w:color w:val="auto"/>
              </w:rPr>
            </w:pPr>
          </w:p>
        </w:tc>
        <w:tc>
          <w:tcPr>
            <w:tcW w:w="290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134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13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2900" w:type="dxa"/>
            <w:vAlign w:val="bottom"/>
          </w:tcPr>
          <w:p>
            <w:pPr>
              <w:ind w:left="180"/>
              <w:spacing w:after="0"/>
              <w:rPr>
                <w:sz w:val="20"/>
                <w:szCs w:val="20"/>
                <w:color w:val="auto"/>
              </w:rPr>
            </w:pPr>
            <w:r>
              <w:rPr>
                <w:rFonts w:ascii="Arial" w:cs="Arial" w:eastAsia="Arial" w:hAnsi="Arial"/>
                <w:sz w:val="18"/>
                <w:szCs w:val="18"/>
                <w:color w:val="auto"/>
              </w:rPr>
              <w:t>Operations and maintenance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EFFE7"/>
            </w:tcBorders>
          </w:tcPr>
          <w:p>
            <w:pPr>
              <w:spacing w:after="0"/>
              <w:rPr>
                <w:sz w:val="2"/>
                <w:szCs w:val="2"/>
                <w:color w:val="auto"/>
              </w:rPr>
            </w:pPr>
          </w:p>
        </w:tc>
        <w:tc>
          <w:tcPr>
            <w:tcW w:w="29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EFFE7"/>
            </w:tcBorders>
            <w:shd w:val="clear" w:color="auto" w:fill="CEFFE7"/>
          </w:tcPr>
          <w:p>
            <w:pPr>
              <w:spacing w:after="0"/>
              <w:rPr>
                <w:sz w:val="21"/>
                <w:szCs w:val="21"/>
                <w:color w:val="auto"/>
              </w:rPr>
            </w:pPr>
          </w:p>
        </w:tc>
        <w:tc>
          <w:tcPr>
            <w:tcW w:w="29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(577)</w:t>
            </w: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2900" w:type="dxa"/>
            <w:vAlign w:val="bottom"/>
          </w:tcPr>
          <w:p>
            <w:pPr>
              <w:ind w:left="180"/>
              <w:spacing w:after="0"/>
              <w:rPr>
                <w:sz w:val="20"/>
                <w:szCs w:val="20"/>
                <w:color w:val="auto"/>
              </w:rPr>
            </w:pPr>
            <w:r>
              <w:rPr>
                <w:rFonts w:ascii="Arial" w:cs="Arial" w:eastAsia="Arial" w:hAnsi="Arial"/>
                <w:sz w:val="18"/>
                <w:szCs w:val="18"/>
                <w:color w:val="auto"/>
              </w:rPr>
              <w:t>Income tax benefit (expense)</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EFFE7"/>
            </w:tcBorders>
          </w:tcPr>
          <w:p>
            <w:pPr>
              <w:spacing w:after="0"/>
              <w:rPr>
                <w:sz w:val="2"/>
                <w:szCs w:val="2"/>
                <w:color w:val="auto"/>
              </w:rPr>
            </w:pPr>
          </w:p>
        </w:tc>
        <w:tc>
          <w:tcPr>
            <w:tcW w:w="29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w w:val="91"/>
              </w:rPr>
              <w:t>Total reclassification adjustments related to defined benefit plans, net of tax</w:t>
            </w:r>
          </w:p>
        </w:tc>
        <w:tc>
          <w:tcPr>
            <w:tcW w:w="2900" w:type="dxa"/>
            <w:vAlign w:val="bottom"/>
            <w:tcBorders>
              <w:bottom w:val="single" w:sz="8" w:color="CEFFE7"/>
            </w:tcBorders>
            <w:shd w:val="clear" w:color="auto" w:fill="CEFFE7"/>
          </w:tcPr>
          <w:p>
            <w:pPr>
              <w:spacing w:after="0"/>
              <w:rPr>
                <w:sz w:val="22"/>
                <w:szCs w:val="22"/>
                <w:color w:val="auto"/>
              </w:rPr>
            </w:pP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57"/>
        </w:trPr>
        <w:tc>
          <w:tcPr>
            <w:tcW w:w="5560" w:type="dxa"/>
            <w:vAlign w:val="bottom"/>
          </w:tcPr>
          <w:p>
            <w:pPr>
              <w:ind w:left="40"/>
              <w:spacing w:after="0"/>
              <w:rPr>
                <w:sz w:val="20"/>
                <w:szCs w:val="20"/>
                <w:color w:val="auto"/>
              </w:rPr>
            </w:pPr>
            <w:r>
              <w:rPr>
                <w:rFonts w:ascii="Arial" w:cs="Arial" w:eastAsia="Arial" w:hAnsi="Arial"/>
                <w:sz w:val="18"/>
                <w:szCs w:val="18"/>
                <w:color w:val="auto"/>
              </w:rPr>
              <w:t>Total reclassifications</w:t>
            </w:r>
          </w:p>
        </w:tc>
        <w:tc>
          <w:tcPr>
            <w:tcW w:w="29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900" w:type="dxa"/>
            <w:vAlign w:val="bottom"/>
            <w:vMerge w:val="restart"/>
          </w:tcPr>
          <w:p>
            <w:pPr>
              <w:ind w:left="60"/>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Balances by classification included within AOCI, net of tax on the accompanying Condensed Consolidated Balance Sheets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60" w:type="dxa"/>
            <w:vAlign w:val="bottom"/>
            <w:gridSpan w:val="4"/>
          </w:tcPr>
          <w:p>
            <w:pPr>
              <w:jc w:val="right"/>
              <w:ind w:right="430"/>
              <w:spacing w:after="0"/>
              <w:rPr>
                <w:sz w:val="20"/>
                <w:szCs w:val="20"/>
                <w:color w:val="auto"/>
              </w:rPr>
            </w:pPr>
            <w:r>
              <w:rPr>
                <w:rFonts w:ascii="Arial" w:cs="Arial" w:eastAsia="Arial" w:hAnsi="Arial"/>
                <w:sz w:val="18"/>
                <w:szCs w:val="18"/>
                <w:color w:val="auto"/>
                <w:w w:val="96"/>
              </w:rPr>
              <w:t>Derivatives Designated as Cash Flow Hedges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w w:val="92"/>
              </w:rPr>
              <w:t>Employee Benefit</w:t>
            </w: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6"/>
              </w:rPr>
              <w:t>Interest Rate Swaps</w:t>
            </w:r>
          </w:p>
        </w:tc>
        <w:tc>
          <w:tcPr>
            <w:tcW w:w="160" w:type="dxa"/>
            <w:vAlign w:val="bottom"/>
          </w:tcPr>
          <w:p>
            <w:pPr>
              <w:spacing w:after="0"/>
              <w:rPr>
                <w:sz w:val="20"/>
                <w:szCs w:val="20"/>
                <w:color w:val="auto"/>
              </w:rPr>
            </w:pPr>
          </w:p>
        </w:tc>
        <w:tc>
          <w:tcPr>
            <w:tcW w:w="1900" w:type="dxa"/>
            <w:vAlign w:val="bottom"/>
            <w:gridSpan w:val="2"/>
          </w:tcPr>
          <w:p>
            <w:pPr>
              <w:jc w:val="right"/>
              <w:ind w:right="70"/>
              <w:spacing w:after="0"/>
              <w:rPr>
                <w:sz w:val="20"/>
                <w:szCs w:val="20"/>
                <w:color w:val="auto"/>
              </w:rPr>
            </w:pPr>
            <w:r>
              <w:rPr>
                <w:rFonts w:ascii="Arial" w:cs="Arial" w:eastAsia="Arial" w:hAnsi="Arial"/>
                <w:sz w:val="18"/>
                <w:szCs w:val="18"/>
                <w:color w:val="auto"/>
                <w:w w:val="92"/>
              </w:rPr>
              <w:t>Commodity Derivatives</w:t>
            </w:r>
          </w:p>
        </w:tc>
        <w:tc>
          <w:tcPr>
            <w:tcW w:w="160" w:type="dxa"/>
            <w:vAlign w:val="bottom"/>
          </w:tcPr>
          <w:p>
            <w:pPr>
              <w:spacing w:after="0"/>
              <w:rPr>
                <w:sz w:val="20"/>
                <w:szCs w:val="20"/>
                <w:color w:val="auto"/>
              </w:rPr>
            </w:pPr>
          </w:p>
        </w:tc>
        <w:tc>
          <w:tcPr>
            <w:tcW w:w="1160" w:type="dxa"/>
            <w:vAlign w:val="bottom"/>
          </w:tcPr>
          <w:p>
            <w:pPr>
              <w:jc w:val="center"/>
              <w:ind w:left="150"/>
              <w:spacing w:after="0"/>
              <w:rPr>
                <w:sz w:val="20"/>
                <w:szCs w:val="20"/>
                <w:color w:val="auto"/>
              </w:rPr>
            </w:pPr>
            <w:r>
              <w:rPr>
                <w:rFonts w:ascii="Arial" w:cs="Arial" w:eastAsia="Arial" w:hAnsi="Arial"/>
                <w:sz w:val="18"/>
                <w:szCs w:val="18"/>
                <w:color w:val="auto"/>
                <w:w w:val="88"/>
              </w:rPr>
              <w:t>Plans</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 of December 31, 2017</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(19,581)</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(21,103)</w:t>
            </w:r>
          </w:p>
        </w:tc>
        <w:tc>
          <w:tcPr>
            <w:tcW w:w="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(41,202)</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before reclassifications</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Amounts reclassified from AOCI</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160" w:type="dxa"/>
            <w:vAlign w:val="bottom"/>
          </w:tcPr>
          <w:p>
            <w:pPr>
              <w:spacing w:after="0"/>
              <w:rPr>
                <w:sz w:val="21"/>
                <w:szCs w:val="21"/>
                <w:color w:val="auto"/>
              </w:rPr>
            </w:pPr>
          </w:p>
        </w:tc>
        <w:tc>
          <w:tcPr>
            <w:tcW w:w="1900" w:type="dxa"/>
            <w:vAlign w:val="bottom"/>
            <w:gridSpan w:val="2"/>
          </w:tcPr>
          <w:p>
            <w:pPr>
              <w:jc w:val="right"/>
              <w:ind w:right="10"/>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451</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w w:val="98"/>
              </w:rPr>
              <w:t>Reclassifications of certain tax effects from AOCI</w:t>
            </w:r>
          </w:p>
        </w:tc>
        <w:tc>
          <w:tcPr>
            <w:tcW w:w="280" w:type="dxa"/>
            <w:vAlign w:val="bottom"/>
            <w:tcBorders>
              <w:bottom w:val="single" w:sz="8" w:color="CEFFE7"/>
            </w:tcBorders>
            <w:shd w:val="clear" w:color="auto" w:fill="CEFFE7"/>
          </w:tcPr>
          <w:p>
            <w:pPr>
              <w:spacing w:after="0"/>
              <w:rPr>
                <w:sz w:val="23"/>
                <w:szCs w:val="23"/>
                <w:color w:val="auto"/>
              </w:rPr>
            </w:pP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shd w:val="clear" w:color="auto" w:fill="CEFFE7"/>
          </w:tcPr>
          <w:p>
            <w:pPr>
              <w:spacing w:after="0"/>
              <w:rPr>
                <w:sz w:val="23"/>
                <w:szCs w:val="23"/>
                <w:color w:val="auto"/>
              </w:rPr>
            </w:pPr>
          </w:p>
        </w:tc>
        <w:tc>
          <w:tcPr>
            <w:tcW w:w="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spacing w:after="0"/>
              <w:rPr>
                <w:sz w:val="23"/>
                <w:szCs w:val="23"/>
                <w:color w:val="auto"/>
              </w:rPr>
            </w:pP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CEFFE7"/>
            </w:tcBorders>
            <w:shd w:val="clear" w:color="auto" w:fill="CEFFE7"/>
          </w:tcPr>
          <w:p>
            <w:pPr>
              <w:spacing w:after="0"/>
              <w:rPr>
                <w:sz w:val="23"/>
                <w:szCs w:val="23"/>
                <w:color w:val="auto"/>
              </w:rPr>
            </w:pPr>
          </w:p>
        </w:tc>
        <w:tc>
          <w:tcPr>
            <w:tcW w:w="10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Ending Balance March 31, 2018</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(20,649)</w:t>
            </w: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(39,924)</w:t>
            </w:r>
          </w:p>
        </w:tc>
        <w:tc>
          <w:tcPr>
            <w:tcW w:w="0" w:type="dxa"/>
            <w:vAlign w:val="bottom"/>
          </w:tcPr>
          <w:p>
            <w:pPr>
              <w:spacing w:after="0"/>
              <w:rPr>
                <w:sz w:val="1"/>
                <w:szCs w:val="1"/>
                <w:color w:val="auto"/>
              </w:rPr>
            </w:pPr>
          </w:p>
        </w:tc>
      </w:tr>
      <w:tr>
        <w:trPr>
          <w:trHeight w:val="311"/>
        </w:trPr>
        <w:tc>
          <w:tcPr>
            <w:tcW w:w="39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200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56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16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400" w:type="dxa"/>
            <w:vAlign w:val="bottom"/>
            <w:shd w:val="clear" w:color="auto" w:fill="CEFFE7"/>
          </w:tcPr>
          <w:p>
            <w:pPr>
              <w:spacing w:after="0"/>
              <w:rPr>
                <w:sz w:val="24"/>
                <w:szCs w:val="24"/>
                <w:color w:val="auto"/>
              </w:rPr>
            </w:pPr>
          </w:p>
        </w:tc>
        <w:tc>
          <w:tcPr>
            <w:tcW w:w="108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60" w:type="dxa"/>
            <w:vAlign w:val="bottom"/>
            <w:gridSpan w:val="4"/>
          </w:tcPr>
          <w:p>
            <w:pPr>
              <w:jc w:val="right"/>
              <w:ind w:right="430"/>
              <w:spacing w:after="0"/>
              <w:rPr>
                <w:sz w:val="20"/>
                <w:szCs w:val="20"/>
                <w:color w:val="auto"/>
              </w:rPr>
            </w:pPr>
            <w:r>
              <w:rPr>
                <w:rFonts w:ascii="Arial" w:cs="Arial" w:eastAsia="Arial" w:hAnsi="Arial"/>
                <w:sz w:val="18"/>
                <w:szCs w:val="18"/>
                <w:color w:val="auto"/>
                <w:w w:val="96"/>
              </w:rPr>
              <w:t>Derivatives Designated as Cash Flow Hedges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w w:val="92"/>
              </w:rPr>
              <w:t>Employee Benefit</w:t>
            </w: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6"/>
              </w:rPr>
              <w:t>Interest Rate Swaps</w:t>
            </w:r>
          </w:p>
        </w:tc>
        <w:tc>
          <w:tcPr>
            <w:tcW w:w="160" w:type="dxa"/>
            <w:vAlign w:val="bottom"/>
          </w:tcPr>
          <w:p>
            <w:pPr>
              <w:spacing w:after="0"/>
              <w:rPr>
                <w:sz w:val="20"/>
                <w:szCs w:val="20"/>
                <w:color w:val="auto"/>
              </w:rPr>
            </w:pPr>
          </w:p>
        </w:tc>
        <w:tc>
          <w:tcPr>
            <w:tcW w:w="1900" w:type="dxa"/>
            <w:vAlign w:val="bottom"/>
            <w:gridSpan w:val="2"/>
          </w:tcPr>
          <w:p>
            <w:pPr>
              <w:jc w:val="right"/>
              <w:ind w:right="70"/>
              <w:spacing w:after="0"/>
              <w:rPr>
                <w:sz w:val="20"/>
                <w:szCs w:val="20"/>
                <w:color w:val="auto"/>
              </w:rPr>
            </w:pPr>
            <w:r>
              <w:rPr>
                <w:rFonts w:ascii="Arial" w:cs="Arial" w:eastAsia="Arial" w:hAnsi="Arial"/>
                <w:sz w:val="18"/>
                <w:szCs w:val="18"/>
                <w:color w:val="auto"/>
                <w:w w:val="92"/>
              </w:rPr>
              <w:t>Commodity Derivatives</w:t>
            </w:r>
          </w:p>
        </w:tc>
        <w:tc>
          <w:tcPr>
            <w:tcW w:w="160" w:type="dxa"/>
            <w:vAlign w:val="bottom"/>
          </w:tcPr>
          <w:p>
            <w:pPr>
              <w:spacing w:after="0"/>
              <w:rPr>
                <w:sz w:val="20"/>
                <w:szCs w:val="20"/>
                <w:color w:val="auto"/>
              </w:rPr>
            </w:pPr>
          </w:p>
        </w:tc>
        <w:tc>
          <w:tcPr>
            <w:tcW w:w="1160" w:type="dxa"/>
            <w:vAlign w:val="bottom"/>
          </w:tcPr>
          <w:p>
            <w:pPr>
              <w:jc w:val="center"/>
              <w:ind w:left="150"/>
              <w:spacing w:after="0"/>
              <w:rPr>
                <w:sz w:val="20"/>
                <w:szCs w:val="20"/>
                <w:color w:val="auto"/>
              </w:rPr>
            </w:pPr>
            <w:r>
              <w:rPr>
                <w:rFonts w:ascii="Arial" w:cs="Arial" w:eastAsia="Arial" w:hAnsi="Arial"/>
                <w:sz w:val="18"/>
                <w:szCs w:val="18"/>
                <w:color w:val="auto"/>
                <w:w w:val="88"/>
              </w:rPr>
              <w:t>Plans</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Balance as of December 31, 2016</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(18,109)</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(16,541)</w:t>
            </w:r>
          </w:p>
        </w:tc>
        <w:tc>
          <w:tcPr>
            <w:tcW w:w="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(34,883)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before reclassifications</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584</w:t>
            </w: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Amounts reclassified from AOCI</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229</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Ending Balance March 31, 2017</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(17,588)</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170</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(16,312)</w:t>
            </w:r>
          </w:p>
        </w:tc>
        <w:tc>
          <w:tcPr>
            <w:tcW w:w="400" w:type="dxa"/>
            <w:vAlign w:val="bottom"/>
            <w:tcBorders>
              <w:bottom w:val="single" w:sz="8" w:color="auto"/>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(33,730)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180" w:type="dxa"/>
            <w:vAlign w:val="bottom"/>
            <w:gridSpan w:val="3"/>
          </w:tcPr>
          <w:p>
            <w:pPr>
              <w:spacing w:after="0"/>
              <w:rPr>
                <w:sz w:val="20"/>
                <w:szCs w:val="20"/>
                <w:color w:val="auto"/>
              </w:rPr>
            </w:pPr>
            <w:r>
              <w:rPr>
                <w:rFonts w:ascii="Arial" w:cs="Arial" w:eastAsia="Arial" w:hAnsi="Arial"/>
                <w:sz w:val="18"/>
                <w:szCs w:val="18"/>
                <w:color w:val="auto"/>
              </w:rPr>
              <w:t>(15)  SUPPLEMENTAL DISCLOSURE OF CASH FLOW INFORMATION</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900" w:type="dxa"/>
            <w:vAlign w:val="bottom"/>
          </w:tcPr>
          <w:p>
            <w:pPr>
              <w:ind w:left="4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60" w:type="dxa"/>
            <w:vAlign w:val="bottom"/>
            <w:gridSpan w:val="3"/>
          </w:tcPr>
          <w:p>
            <w:pPr>
              <w:jc w:val="right"/>
              <w:ind w:right="150"/>
              <w:spacing w:after="0"/>
              <w:rPr>
                <w:sz w:val="20"/>
                <w:szCs w:val="20"/>
                <w:color w:val="auto"/>
              </w:rPr>
            </w:pPr>
            <w:r>
              <w:rPr>
                <w:rFonts w:ascii="Arial" w:cs="Arial" w:eastAsia="Arial" w:hAnsi="Arial"/>
                <w:sz w:val="18"/>
                <w:szCs w:val="18"/>
                <w:color w:val="auto"/>
              </w:rPr>
              <w:t>March 31, 2018</w:t>
            </w:r>
          </w:p>
        </w:tc>
        <w:tc>
          <w:tcPr>
            <w:tcW w:w="38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color w:val="auto"/>
              </w:rPr>
              <w:t>March 31, 2017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3"/>
          </w:tcPr>
          <w:p>
            <w:pPr>
              <w:ind w:left="760"/>
              <w:spacing w:after="0"/>
              <w:rPr>
                <w:sz w:val="20"/>
                <w:szCs w:val="20"/>
                <w:color w:val="auto"/>
              </w:rPr>
            </w:pPr>
            <w:r>
              <w:rPr>
                <w:rFonts w:ascii="Arial" w:cs="Arial" w:eastAsia="Arial" w:hAnsi="Arial"/>
                <w:sz w:val="18"/>
                <w:szCs w:val="18"/>
                <w:color w:val="auto"/>
              </w:rPr>
              <w:t>(in thousands)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8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EFFE7"/>
            </w:tcBorders>
            <w:gridSpan w:val="3"/>
            <w:shd w:val="clear" w:color="auto" w:fill="CEFFE7"/>
          </w:tcPr>
          <w:p>
            <w:pPr>
              <w:ind w:left="180"/>
              <w:spacing w:after="0"/>
              <w:rPr>
                <w:sz w:val="20"/>
                <w:szCs w:val="20"/>
                <w:color w:val="auto"/>
              </w:rPr>
            </w:pPr>
            <w:r>
              <w:rPr>
                <w:rFonts w:ascii="Arial" w:cs="Arial" w:eastAsia="Arial" w:hAnsi="Arial"/>
                <w:sz w:val="18"/>
                <w:szCs w:val="18"/>
                <w:color w:val="auto"/>
              </w:rPr>
              <w:t>Property, plant and equipment acquired with accrued liabilities</w:t>
            </w: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gridSpan w:val="2"/>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21,708</w:t>
            </w: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26,532</w:t>
            </w:r>
          </w:p>
        </w:tc>
        <w:tc>
          <w:tcPr>
            <w:tcW w:w="0" w:type="dxa"/>
            <w:vAlign w:val="bottom"/>
          </w:tcPr>
          <w:p>
            <w:pPr>
              <w:spacing w:after="0"/>
              <w:rPr>
                <w:sz w:val="1"/>
                <w:szCs w:val="1"/>
                <w:color w:val="auto"/>
              </w:rPr>
            </w:pPr>
          </w:p>
        </w:tc>
      </w:tr>
      <w:tr>
        <w:trPr>
          <w:trHeight w:val="324"/>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Cash (paid) refunded during the period —</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(36,928)</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(36,418)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Income taxes (paid) refunded</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gridSpan w:val="2"/>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(14,336)</w:t>
            </w: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864"/>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1" w:name="page32"/>
    <w:bookmarkEnd w:id="31"/>
    <w:p>
      <w:pPr>
        <w:ind w:right="8580" w:firstLine="8"/>
        <w:spacing w:after="0" w:line="530"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EMPLOYEE BENEFIT PLANS </w:t>
      </w:r>
      <w:r>
        <w:rPr>
          <w:rFonts w:ascii="Arial" w:cs="Arial" w:eastAsia="Arial" w:hAnsi="Arial"/>
          <w:sz w:val="17"/>
          <w:szCs w:val="17"/>
          <w:u w:val="single" w:color="auto"/>
          <w:color w:val="auto"/>
        </w:rPr>
        <w:t>Defined Benefit Pension Plan</w:t>
      </w:r>
    </w:p>
    <w:p>
      <w:pPr>
        <w:spacing w:after="0"/>
        <w:rPr>
          <w:rFonts w:ascii="Arial" w:cs="Arial" w:eastAsia="Arial" w:hAnsi="Arial"/>
          <w:sz w:val="17"/>
          <w:szCs w:val="17"/>
          <w:color w:val="auto"/>
        </w:rPr>
      </w:pPr>
      <w:r>
        <w:rPr>
          <w:rFonts w:ascii="Arial" w:cs="Arial" w:eastAsia="Arial" w:hAnsi="Arial"/>
          <w:sz w:val="18"/>
          <w:szCs w:val="18"/>
          <w:color w:val="auto"/>
        </w:rPr>
        <w:t>The components of net periodic benefit cost for the Defined Benefit Pension Plan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p>
        </w:tc>
        <w:tc>
          <w:tcPr>
            <w:tcW w:w="3420" w:type="dxa"/>
            <w:vAlign w:val="bottom"/>
            <w:gridSpan w:val="4"/>
          </w:tcPr>
          <w:p>
            <w:pPr>
              <w:jc w:val="right"/>
              <w:ind w:right="450"/>
              <w:spacing w:after="0"/>
              <w:rPr>
                <w:sz w:val="20"/>
                <w:szCs w:val="20"/>
                <w:color w:val="auto"/>
              </w:rPr>
            </w:pPr>
            <w:r>
              <w:rPr>
                <w:rFonts w:ascii="Arial" w:cs="Arial" w:eastAsia="Arial" w:hAnsi="Arial"/>
                <w:sz w:val="18"/>
                <w:szCs w:val="18"/>
                <w:color w:val="auto"/>
              </w:rPr>
              <w:t>Three Months Ended March 31,</w:t>
            </w:r>
          </w:p>
        </w:tc>
      </w:tr>
      <w:tr>
        <w:trPr>
          <w:trHeight w:val="270"/>
        </w:trPr>
        <w:tc>
          <w:tcPr>
            <w:tcW w:w="80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8000" w:type="dxa"/>
            <w:vAlign w:val="bottom"/>
            <w:tcBorders>
              <w:bottom w:val="single" w:sz="8" w:color="CEFFE7"/>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10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1,708</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1,758</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3,867</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3,880</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plan assets</w:t>
            </w:r>
          </w:p>
        </w:tc>
        <w:tc>
          <w:tcPr>
            <w:tcW w:w="110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8"/>
              </w:rPr>
              <w:t>(6,185)</w:t>
            </w:r>
          </w:p>
        </w:tc>
        <w:tc>
          <w:tcPr>
            <w:tcW w:w="4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(6,129)</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(gain)</w:t>
            </w:r>
          </w:p>
        </w:tc>
        <w:tc>
          <w:tcPr>
            <w:tcW w:w="1100" w:type="dxa"/>
            <w:vAlign w:val="bottom"/>
            <w:tcBorders>
              <w:bottom w:val="single" w:sz="8" w:color="CEFFE7"/>
            </w:tcBorders>
            <w:shd w:val="clear" w:color="auto" w:fill="CEFFE7"/>
          </w:tcPr>
          <w:p>
            <w:pPr>
              <w:spacing w:after="0"/>
              <w:rPr>
                <w:sz w:val="23"/>
                <w:szCs w:val="23"/>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2,158</w:t>
            </w:r>
          </w:p>
        </w:tc>
        <w:tc>
          <w:tcPr>
            <w:tcW w:w="42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1,002</w:t>
            </w: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525</w:t>
            </w:r>
          </w:p>
        </w:tc>
      </w:tr>
      <w:tr>
        <w:trPr>
          <w:trHeight w:val="20"/>
        </w:trPr>
        <w:tc>
          <w:tcPr>
            <w:tcW w:w="8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Benefit Postretirement Healthcare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Defined Benefit Postretirement Healthcare Plans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p>
        </w:tc>
        <w:tc>
          <w:tcPr>
            <w:tcW w:w="2900" w:type="dxa"/>
            <w:vAlign w:val="bottom"/>
            <w:gridSpan w:val="3"/>
          </w:tcPr>
          <w:p>
            <w:pPr>
              <w:jc w:val="right"/>
              <w:spacing w:after="0"/>
              <w:rPr>
                <w:sz w:val="20"/>
                <w:szCs w:val="20"/>
                <w:color w:val="auto"/>
              </w:rPr>
            </w:pPr>
            <w:r>
              <w:rPr>
                <w:rFonts w:ascii="Arial" w:cs="Arial" w:eastAsia="Arial" w:hAnsi="Arial"/>
                <w:sz w:val="18"/>
                <w:szCs w:val="18"/>
                <w:color w:val="auto"/>
              </w:rPr>
              <w:t>Three Months Ended March 31,</w:t>
            </w:r>
          </w:p>
        </w:tc>
        <w:tc>
          <w:tcPr>
            <w:tcW w:w="520" w:type="dxa"/>
            <w:vAlign w:val="bottom"/>
          </w:tcPr>
          <w:p>
            <w:pPr>
              <w:spacing w:after="0"/>
              <w:rPr>
                <w:sz w:val="20"/>
                <w:szCs w:val="20"/>
                <w:color w:val="auto"/>
              </w:rPr>
            </w:pPr>
          </w:p>
        </w:tc>
      </w:tr>
      <w:tr>
        <w:trPr>
          <w:trHeight w:val="270"/>
        </w:trPr>
        <w:tc>
          <w:tcPr>
            <w:tcW w:w="800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23"/>
                <w:szCs w:val="23"/>
                <w:color w:val="auto"/>
              </w:rPr>
            </w:pPr>
          </w:p>
        </w:tc>
      </w:tr>
      <w:tr>
        <w:trPr>
          <w:trHeight w:val="27"/>
        </w:trPr>
        <w:tc>
          <w:tcPr>
            <w:tcW w:w="8000" w:type="dxa"/>
            <w:vAlign w:val="bottom"/>
            <w:tcBorders>
              <w:bottom w:val="single" w:sz="8" w:color="CEFFE7"/>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200" w:type="dxa"/>
            <w:vAlign w:val="bottom"/>
            <w:tcBorders>
              <w:bottom w:val="single" w:sz="8" w:color="CEFFE7"/>
            </w:tcBorders>
            <w:shd w:val="clear" w:color="auto" w:fill="CEFFE7"/>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573</w:t>
            </w:r>
          </w:p>
        </w:tc>
        <w:tc>
          <w:tcPr>
            <w:tcW w:w="1200" w:type="dxa"/>
            <w:vAlign w:val="bottom"/>
            <w:tcBorders>
              <w:bottom w:val="single" w:sz="8" w:color="CEFFE7"/>
            </w:tcBorders>
            <w:shd w:val="clear" w:color="auto" w:fill="CEFFE7"/>
          </w:tcPr>
          <w:p>
            <w:pPr>
              <w:jc w:val="right"/>
              <w:ind w:right="9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575</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521</w:t>
            </w:r>
          </w:p>
        </w:tc>
        <w:tc>
          <w:tcPr>
            <w:tcW w:w="12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533</w:t>
            </w:r>
          </w:p>
        </w:tc>
      </w:tr>
      <w:tr>
        <w:trPr>
          <w:trHeight w:val="27"/>
        </w:trPr>
        <w:tc>
          <w:tcPr>
            <w:tcW w:w="8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plan assets</w:t>
            </w:r>
          </w:p>
        </w:tc>
        <w:tc>
          <w:tcPr>
            <w:tcW w:w="120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w:t>
            </w:r>
          </w:p>
        </w:tc>
        <w:tc>
          <w:tcPr>
            <w:tcW w:w="1200" w:type="dxa"/>
            <w:vAlign w:val="bottom"/>
            <w:tcBorders>
              <w:bottom w:val="single" w:sz="8" w:color="CEFFE7"/>
            </w:tcBorders>
            <w:shd w:val="clear" w:color="auto" w:fill="CEFFE7"/>
          </w:tcPr>
          <w:p>
            <w:pPr>
              <w:spacing w:after="0"/>
              <w:rPr>
                <w:sz w:val="21"/>
                <w:szCs w:val="21"/>
                <w:color w:val="auto"/>
              </w:rPr>
            </w:pPr>
          </w:p>
        </w:tc>
        <w:tc>
          <w:tcPr>
            <w:tcW w:w="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Prior service cost (benefit)</w:t>
            </w:r>
          </w:p>
        </w:tc>
        <w:tc>
          <w:tcPr>
            <w:tcW w:w="1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8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(gain)</w:t>
            </w:r>
          </w:p>
        </w:tc>
        <w:tc>
          <w:tcPr>
            <w:tcW w:w="1200" w:type="dxa"/>
            <w:vAlign w:val="bottom"/>
            <w:tcBorders>
              <w:bottom w:val="single" w:sz="8" w:color="CEFFE7"/>
            </w:tcBorders>
            <w:shd w:val="clear" w:color="auto" w:fill="CEFFE7"/>
          </w:tcPr>
          <w:p>
            <w:pPr>
              <w:spacing w:after="0"/>
              <w:rPr>
                <w:sz w:val="23"/>
                <w:szCs w:val="23"/>
                <w:color w:val="auto"/>
              </w:rPr>
            </w:pPr>
          </w:p>
        </w:tc>
        <w:tc>
          <w:tcPr>
            <w:tcW w:w="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w:t>
            </w:r>
          </w:p>
        </w:tc>
        <w:tc>
          <w:tcPr>
            <w:tcW w:w="1200" w:type="dxa"/>
            <w:vAlign w:val="bottom"/>
            <w:tcBorders>
              <w:bottom w:val="single" w:sz="8" w:color="CEFFE7"/>
            </w:tcBorders>
            <w:shd w:val="clear" w:color="auto" w:fill="CEFFE7"/>
          </w:tcPr>
          <w:p>
            <w:pPr>
              <w:spacing w:after="0"/>
              <w:rPr>
                <w:sz w:val="23"/>
                <w:szCs w:val="23"/>
                <w:color w:val="auto"/>
              </w:rPr>
            </w:pPr>
          </w:p>
        </w:tc>
        <w:tc>
          <w:tcPr>
            <w:tcW w:w="5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125</w:t>
            </w: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20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1,045</w:t>
            </w:r>
          </w:p>
        </w:tc>
      </w:tr>
      <w:tr>
        <w:trPr>
          <w:trHeight w:val="20"/>
        </w:trPr>
        <w:tc>
          <w:tcPr>
            <w:tcW w:w="8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Non-qualified Defined Benefit and Defined Contribution Plans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components of net periodic benefit cost for the Supplemental Non-qualified Defined Benefit and Defined Contribution Plans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p>
        </w:tc>
        <w:tc>
          <w:tcPr>
            <w:tcW w:w="2900" w:type="dxa"/>
            <w:vAlign w:val="bottom"/>
            <w:gridSpan w:val="3"/>
          </w:tcPr>
          <w:p>
            <w:pPr>
              <w:jc w:val="right"/>
              <w:spacing w:after="0"/>
              <w:rPr>
                <w:sz w:val="20"/>
                <w:szCs w:val="20"/>
                <w:color w:val="auto"/>
              </w:rPr>
            </w:pPr>
            <w:r>
              <w:rPr>
                <w:rFonts w:ascii="Arial" w:cs="Arial" w:eastAsia="Arial" w:hAnsi="Arial"/>
                <w:sz w:val="18"/>
                <w:szCs w:val="18"/>
                <w:color w:val="auto"/>
              </w:rPr>
              <w:t>Three Months Ended March 31,</w:t>
            </w:r>
          </w:p>
        </w:tc>
        <w:tc>
          <w:tcPr>
            <w:tcW w:w="520" w:type="dxa"/>
            <w:vAlign w:val="bottom"/>
          </w:tcPr>
          <w:p>
            <w:pPr>
              <w:spacing w:after="0"/>
              <w:rPr>
                <w:sz w:val="20"/>
                <w:szCs w:val="20"/>
                <w:color w:val="auto"/>
              </w:rPr>
            </w:pPr>
          </w:p>
        </w:tc>
      </w:tr>
      <w:tr>
        <w:trPr>
          <w:trHeight w:val="270"/>
        </w:trPr>
        <w:tc>
          <w:tcPr>
            <w:tcW w:w="800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23"/>
                <w:szCs w:val="23"/>
                <w:color w:val="auto"/>
              </w:rPr>
            </w:pPr>
          </w:p>
        </w:tc>
      </w:tr>
      <w:tr>
        <w:trPr>
          <w:trHeight w:val="27"/>
        </w:trPr>
        <w:tc>
          <w:tcPr>
            <w:tcW w:w="8000" w:type="dxa"/>
            <w:vAlign w:val="bottom"/>
            <w:tcBorders>
              <w:bottom w:val="single" w:sz="8" w:color="CEFFE7"/>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200" w:type="dxa"/>
            <w:vAlign w:val="bottom"/>
            <w:tcBorders>
              <w:bottom w:val="single" w:sz="8" w:color="CEFFE7"/>
            </w:tcBorders>
            <w:shd w:val="clear" w:color="auto" w:fill="CEFFE7"/>
          </w:tcPr>
          <w:p>
            <w:pPr>
              <w:jc w:val="right"/>
              <w:ind w:right="9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280</w:t>
            </w:r>
          </w:p>
        </w:tc>
        <w:tc>
          <w:tcPr>
            <w:tcW w:w="1220" w:type="dxa"/>
            <w:vAlign w:val="bottom"/>
            <w:tcBorders>
              <w:bottom w:val="single" w:sz="8" w:color="CEFFE7"/>
            </w:tcBorders>
            <w:shd w:val="clear" w:color="auto" w:fill="CEFFE7"/>
          </w:tcPr>
          <w:p>
            <w:pPr>
              <w:jc w:val="right"/>
              <w:ind w:right="9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827</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293</w:t>
            </w:r>
          </w:p>
        </w:tc>
        <w:tc>
          <w:tcPr>
            <w:tcW w:w="12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8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Prior service cost</w:t>
            </w:r>
          </w:p>
        </w:tc>
        <w:tc>
          <w:tcPr>
            <w:tcW w:w="1200" w:type="dxa"/>
            <w:vAlign w:val="bottom"/>
            <w:tcBorders>
              <w:bottom w:val="single" w:sz="8" w:color="CEFFE7"/>
            </w:tcBorders>
            <w:shd w:val="clear" w:color="auto" w:fill="CEFFE7"/>
          </w:tcPr>
          <w:p>
            <w:pPr>
              <w:spacing w:after="0"/>
              <w:rPr>
                <w:sz w:val="21"/>
                <w:szCs w:val="21"/>
                <w:color w:val="auto"/>
              </w:rPr>
            </w:pPr>
          </w:p>
        </w:tc>
        <w:tc>
          <w:tcPr>
            <w:tcW w:w="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spacing w:after="0"/>
              <w:rPr>
                <w:sz w:val="21"/>
                <w:szCs w:val="21"/>
                <w:color w:val="auto"/>
              </w:rPr>
            </w:pPr>
          </w:p>
        </w:tc>
        <w:tc>
          <w:tcPr>
            <w:tcW w:w="5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loss (gain)</w:t>
            </w:r>
          </w:p>
        </w:tc>
        <w:tc>
          <w:tcPr>
            <w:tcW w:w="1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12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8000" w:type="dxa"/>
            <w:vAlign w:val="bottom"/>
            <w:tcBorders>
              <w:bottom w:val="single" w:sz="8" w:color="CEFFE7"/>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periodic benefit cost</w:t>
            </w:r>
          </w:p>
        </w:tc>
        <w:tc>
          <w:tcPr>
            <w:tcW w:w="1200" w:type="dxa"/>
            <w:vAlign w:val="bottom"/>
            <w:tcBorders>
              <w:bottom w:val="single" w:sz="8" w:color="auto"/>
            </w:tcBorders>
            <w:shd w:val="clear" w:color="auto" w:fill="CEFFE7"/>
          </w:tcPr>
          <w:p>
            <w:pPr>
              <w:jc w:val="right"/>
              <w:ind w:right="9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823</w:t>
            </w:r>
          </w:p>
        </w:tc>
        <w:tc>
          <w:tcPr>
            <w:tcW w:w="1220" w:type="dxa"/>
            <w:vAlign w:val="bottom"/>
            <w:tcBorders>
              <w:bottom w:val="single" w:sz="8" w:color="auto"/>
            </w:tcBorders>
            <w:shd w:val="clear" w:color="auto" w:fill="CEFFE7"/>
          </w:tcPr>
          <w:p>
            <w:pPr>
              <w:jc w:val="right"/>
              <w:ind w:right="9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88"/>
              </w:rPr>
              <w:t>1,397</w:t>
            </w:r>
          </w:p>
        </w:tc>
      </w:tr>
      <w:tr>
        <w:trPr>
          <w:trHeight w:val="20"/>
        </w:trPr>
        <w:tc>
          <w:tcPr>
            <w:tcW w:w="8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For the three months ended March 31, 2018, service costs were recorded in Operations and maintenance expense while non-service costs were recorded in Other income (expense), net, on the Condensed Consolidated Statements of Income. For the three months ended March 31, 2017, service costs and non-service costs were recorded in Operations and maintenance expense. Because prior years’ costs were not considered material, they were not reclassified on the Condensed Consolidated Statements of Income. See Note 1 for additional information.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Contributions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Contributions to the Defined Benefit Pension Plan are cash contributions made directly to the Pension Plan Trust account. Contributions to the Postretirement Healthcare and Supplemental Plans are made in the form of benefit payments. Contributions made in 2018 and anticipated contributions for 2018 and 2019 are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8"/>
              </w:rPr>
              <w:t>Additional</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5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center"/>
              <w:ind w:right="70"/>
              <w:spacing w:after="0"/>
              <w:rPr>
                <w:sz w:val="20"/>
                <w:szCs w:val="20"/>
                <w:color w:val="auto"/>
              </w:rPr>
            </w:pPr>
            <w:r>
              <w:rPr>
                <w:rFonts w:ascii="Arial" w:cs="Arial" w:eastAsia="Arial" w:hAnsi="Arial"/>
                <w:sz w:val="18"/>
                <w:szCs w:val="18"/>
                <w:color w:val="auto"/>
                <w:w w:val="92"/>
              </w:rPr>
              <w:t>Contributions Made</w:t>
            </w:r>
          </w:p>
        </w:tc>
        <w:tc>
          <w:tcPr>
            <w:tcW w:w="280" w:type="dxa"/>
            <w:vAlign w:val="bottom"/>
          </w:tcPr>
          <w:p>
            <w:pPr>
              <w:spacing w:after="0"/>
              <w:rPr>
                <w:sz w:val="20"/>
                <w:szCs w:val="20"/>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2"/>
              </w:rPr>
              <w:t>Contributions</w:t>
            </w:r>
          </w:p>
        </w:tc>
        <w:tc>
          <w:tcPr>
            <w:tcW w:w="280" w:type="dxa"/>
            <w:vAlign w:val="bottom"/>
          </w:tcPr>
          <w:p>
            <w:pPr>
              <w:spacing w:after="0"/>
              <w:rPr>
                <w:sz w:val="20"/>
                <w:szCs w:val="20"/>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Contributions</w:t>
            </w:r>
          </w:p>
        </w:tc>
      </w:tr>
      <w:tr>
        <w:trPr>
          <w:trHeight w:val="256"/>
        </w:trPr>
        <w:tc>
          <w:tcPr>
            <w:tcW w:w="5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40" w:type="dxa"/>
            <w:vAlign w:val="bottom"/>
          </w:tcPr>
          <w:p>
            <w:pPr>
              <w:jc w:val="center"/>
              <w:ind w:right="70"/>
              <w:spacing w:after="0"/>
              <w:rPr>
                <w:sz w:val="20"/>
                <w:szCs w:val="20"/>
                <w:color w:val="auto"/>
              </w:rPr>
            </w:pPr>
            <w:r>
              <w:rPr>
                <w:rFonts w:ascii="Arial" w:cs="Arial" w:eastAsia="Arial" w:hAnsi="Arial"/>
                <w:sz w:val="18"/>
                <w:szCs w:val="18"/>
                <w:color w:val="auto"/>
                <w:w w:val="90"/>
              </w:rPr>
              <w:t>Three Months Ended</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Anticipated for 2018</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Anticipated for 2019</w:t>
            </w:r>
          </w:p>
        </w:tc>
      </w:tr>
      <w:tr>
        <w:trPr>
          <w:trHeight w:val="230"/>
        </w:trPr>
        <w:tc>
          <w:tcPr>
            <w:tcW w:w="5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91"/>
              </w:rPr>
              <w:t>March 31, 2018</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9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Defined Benefit Pension Plan</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12,700</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12,700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Non-pension Defined Benefit Postretirement Healthcare Plans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1,234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3,702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4,802</w:t>
            </w: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5960" w:type="dxa"/>
            <w:vAlign w:val="bottom"/>
            <w:shd w:val="clear" w:color="auto" w:fill="CEFFE7"/>
          </w:tcPr>
          <w:p>
            <w:pPr>
              <w:ind w:left="40"/>
              <w:spacing w:after="0"/>
              <w:rPr>
                <w:sz w:val="20"/>
                <w:szCs w:val="20"/>
                <w:color w:val="auto"/>
              </w:rPr>
            </w:pPr>
            <w:r>
              <w:rPr>
                <w:rFonts w:ascii="Arial" w:cs="Arial" w:eastAsia="Arial" w:hAnsi="Arial"/>
                <w:sz w:val="18"/>
                <w:szCs w:val="18"/>
                <w:color w:val="auto"/>
                <w:w w:val="97"/>
              </w:rPr>
              <w:t>Supplemental Non-qualified Defined Benefit and Defined Contribution Plans</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343</w:t>
            </w:r>
          </w:p>
        </w:tc>
        <w:tc>
          <w:tcPr>
            <w:tcW w:w="2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1,029</w:t>
            </w:r>
          </w:p>
        </w:tc>
        <w:tc>
          <w:tcPr>
            <w:tcW w:w="2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1,921</w:t>
            </w:r>
          </w:p>
        </w:tc>
      </w:tr>
      <w:tr>
        <w:trPr>
          <w:trHeight w:val="27"/>
        </w:trPr>
        <w:tc>
          <w:tcPr>
            <w:tcW w:w="596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1840" w:type="dxa"/>
            <w:vAlign w:val="bottom"/>
            <w:shd w:val="clear" w:color="auto" w:fill="CEFFE7"/>
          </w:tcPr>
          <w:p>
            <w:pPr>
              <w:spacing w:after="0"/>
              <w:rPr>
                <w:sz w:val="2"/>
                <w:szCs w:val="2"/>
                <w:color w:val="auto"/>
              </w:rPr>
            </w:pPr>
          </w:p>
        </w:tc>
        <w:tc>
          <w:tcPr>
            <w:tcW w:w="280" w:type="dxa"/>
            <w:vAlign w:val="bottom"/>
            <w:shd w:val="clear" w:color="auto" w:fill="CEFFE7"/>
          </w:tcPr>
          <w:p>
            <w:pPr>
              <w:spacing w:after="0"/>
              <w:rPr>
                <w:sz w:val="2"/>
                <w:szCs w:val="2"/>
                <w:color w:val="auto"/>
              </w:rPr>
            </w:pPr>
          </w:p>
        </w:tc>
        <w:tc>
          <w:tcPr>
            <w:tcW w:w="1420" w:type="dxa"/>
            <w:vAlign w:val="bottom"/>
            <w:shd w:val="clear" w:color="auto" w:fill="CEFFE7"/>
          </w:tcPr>
          <w:p>
            <w:pPr>
              <w:spacing w:after="0"/>
              <w:rPr>
                <w:sz w:val="2"/>
                <w:szCs w:val="2"/>
                <w:color w:val="auto"/>
              </w:rPr>
            </w:pPr>
          </w:p>
        </w:tc>
        <w:tc>
          <w:tcPr>
            <w:tcW w:w="280" w:type="dxa"/>
            <w:vAlign w:val="bottom"/>
            <w:shd w:val="clear" w:color="auto" w:fill="CEFFE7"/>
          </w:tcPr>
          <w:p>
            <w:pPr>
              <w:spacing w:after="0"/>
              <w:rPr>
                <w:sz w:val="2"/>
                <w:szCs w:val="2"/>
                <w:color w:val="auto"/>
              </w:rPr>
            </w:pPr>
          </w:p>
        </w:tc>
        <w:tc>
          <w:tcPr>
            <w:tcW w:w="146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COMMITMENTS AND CONTINGENCIES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have been no significant changes to commitments and contingencies from those previously disclosed in Note 19 of our Notes to the Consolidated Financial Statements in our 2017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Restrictions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Revolving Credit Facility and other debt obligations contain restrictions on the payment of cash dividends upon a default or event of default. As of March 31, 2018, we were in compliance with the debt covenants.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Due to our holding company structure, substantially all of our operating cash flows are provided by dividends paid or distributions made by our subsidiaries. The cash to pay dividends to our stockholders is derived from these cash flows. As a result, certain statutory limitations or regulatory or financing agreements could affect the levels of distributions allowed to be made by our subsidiaries.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utilities are generally limited to the amount of dividends allowed to be paid to us as a utility holding company under the Federal Power Act and settlement agreements with state regulatory jurisdictions and financing agreements. As of March 31, 2018, the restricted net assets at our Electric Utilities and Gas Utilities were approximately $257 million.</w:t>
      </w:r>
    </w:p>
    <w:p>
      <w:pPr>
        <w:spacing w:after="0" w:line="39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DISCONTINUED OPERATIONS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Results of operations for discontinued operations have been classified as Loss from discontinued operations, net of income taxes in the accompanying Condensed Consolidated Statements of Income. Current assets, noncurrent assets, current liabilities and non-current liabilities of the discontinued operations have been reclassified and reflected on the accompanying Condensed Consolidated Balance Sheets as “Current assets held for sale,” “Noncurrent assets held for sale,” “Current liabilities held for sale,” and “Noncurrent liabilities held for sale”, respectively. Prior periods relating to our discontinued operations have also been reclassified to reflect consistency within our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Oil and Gas Segment</w:t>
      </w:r>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On November 1, 2017, the BHC Board of Directors approved a complete divestiture of our Oil and Gas segment. As of May 4, 2018, we have executed agreements to sell or we have closed on sales transactions for approximately 96% of our oil and gas properties. We expect to execute agreements to sell all remaining assets, transfer associated liabilities, and settle substantially all remaining liabilities by mid-year 2018.</w:t>
      </w:r>
    </w:p>
    <w:p>
      <w:pPr>
        <w:spacing w:after="0" w:line="16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the process of divesting our Oil and Gas segment, we performed a fair value assessment of the assets and liabilities classified as held for sale. We evaluated our disposal groups classified as held for sale based on the lower of carrying value or fair value less cost to sell. The market approach was based on our recent fourth quarter 2017 sale of our Powder River Basin assets and pending sale transactions of our other properties.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is risk involved when determining the fair value of assets, as there may be unforeseen events and changes in circumstances and market conditions that have a material impact on the estimated amount and timing of future cash flows.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right="80"/>
        <w:spacing w:after="0" w:line="286" w:lineRule="auto"/>
        <w:rPr>
          <w:sz w:val="20"/>
          <w:szCs w:val="20"/>
          <w:color w:val="auto"/>
        </w:rPr>
      </w:pPr>
      <w:r>
        <w:rPr>
          <w:rFonts w:ascii="Arial" w:cs="Arial" w:eastAsia="Arial" w:hAnsi="Arial"/>
          <w:sz w:val="17"/>
          <w:szCs w:val="17"/>
          <w:color w:val="auto"/>
        </w:rPr>
        <w:t>addition, the fair value of the assets and liabilities could be different using different estimates and assumptions in the valuation techniques used. We believe that the estimates used in calculating the fair value of our assets and liabilities held for sale are reasonable based on the information that was known when the estimates were made and how they compared with the additional property sales occurring in the first quarter of 2018.</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2017, the fair value of our held for sale assets was less than our carrying value, which required an after-tax write down of $13 million. There were no further adjustments made to the fair value of our held for sale assets at March 31, 2018.</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Total assets and liabilities of BHEP at March 31, 2018 and December 31, 2017 have been classified as Current assets held for sale and Current liabilities held for sale on the accompanying Condensed Consolidated Balance Sheets due to the expected final disposals occurring by mid-year 2018. Held for sale assets and liabilities at March 31, 2017 are classified as current and non-current.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710"/>
              <w:spacing w:after="0"/>
              <w:rPr>
                <w:sz w:val="20"/>
                <w:szCs w:val="20"/>
                <w:color w:val="auto"/>
              </w:rPr>
            </w:pPr>
            <w:r>
              <w:rPr>
                <w:rFonts w:ascii="Arial" w:cs="Arial" w:eastAsia="Arial" w:hAnsi="Arial"/>
                <w:sz w:val="18"/>
                <w:szCs w:val="18"/>
                <w:color w:val="auto"/>
              </w:rPr>
              <w:t>As of</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3"/>
                <w:szCs w:val="23"/>
                <w:color w:val="auto"/>
              </w:rPr>
            </w:pPr>
          </w:p>
        </w:tc>
        <w:tc>
          <w:tcPr>
            <w:tcW w:w="1760" w:type="dxa"/>
            <w:vAlign w:val="bottom"/>
          </w:tcPr>
          <w:p>
            <w:pPr>
              <w:jc w:val="right"/>
              <w:ind w:right="350"/>
              <w:spacing w:after="0"/>
              <w:rPr>
                <w:sz w:val="20"/>
                <w:szCs w:val="20"/>
                <w:color w:val="auto"/>
              </w:rPr>
            </w:pPr>
            <w:r>
              <w:rPr>
                <w:rFonts w:ascii="Arial" w:cs="Arial" w:eastAsia="Arial" w:hAnsi="Arial"/>
                <w:sz w:val="18"/>
                <w:szCs w:val="18"/>
                <w:color w:val="auto"/>
              </w:rPr>
              <w:t>March 31, 2018</w:t>
            </w:r>
          </w:p>
        </w:tc>
        <w:tc>
          <w:tcPr>
            <w:tcW w:w="240" w:type="dxa"/>
            <w:vAlign w:val="bottom"/>
          </w:tcPr>
          <w:p>
            <w:pPr>
              <w:spacing w:after="0"/>
              <w:rPr>
                <w:sz w:val="23"/>
                <w:szCs w:val="23"/>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w w:val="93"/>
              </w:rPr>
              <w:t>December 31, 2017</w:t>
            </w:r>
          </w:p>
        </w:tc>
        <w:tc>
          <w:tcPr>
            <w:tcW w:w="300" w:type="dxa"/>
            <w:vAlign w:val="bottom"/>
          </w:tcPr>
          <w:p>
            <w:pPr>
              <w:spacing w:after="0"/>
              <w:rPr>
                <w:sz w:val="23"/>
                <w:szCs w:val="23"/>
                <w:color w:val="auto"/>
              </w:rPr>
            </w:pP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March 31, 2017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4,332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10,360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9,112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Derivative assets, current and noncurrent</w:t>
            </w:r>
          </w:p>
        </w:tc>
        <w:tc>
          <w:tcPr>
            <w:tcW w:w="28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Deferred income tax assets, noncurrent, net</w:t>
            </w:r>
          </w:p>
        </w:tc>
        <w:tc>
          <w:tcPr>
            <w:tcW w:w="280" w:type="dxa"/>
            <w:vAlign w:val="bottom"/>
          </w:tcPr>
          <w:p>
            <w:pPr>
              <w:spacing w:after="0"/>
              <w:rPr>
                <w:sz w:val="21"/>
                <w:szCs w:val="21"/>
                <w:color w:val="auto"/>
              </w:rPr>
            </w:pPr>
          </w:p>
        </w:tc>
        <w:tc>
          <w:tcPr>
            <w:tcW w:w="1760" w:type="dxa"/>
            <w:vAlign w:val="bottom"/>
            <w:vMerge w:val="restart"/>
          </w:tcPr>
          <w:p>
            <w:pPr>
              <w:jc w:val="right"/>
              <w:ind w:right="10"/>
              <w:spacing w:after="0"/>
              <w:rPr>
                <w:sz w:val="20"/>
                <w:szCs w:val="20"/>
                <w:color w:val="auto"/>
              </w:rPr>
            </w:pPr>
            <w:r>
              <w:rPr>
                <w:rFonts w:ascii="Arial" w:cs="Arial" w:eastAsia="Arial" w:hAnsi="Arial"/>
                <w:sz w:val="18"/>
                <w:szCs w:val="18"/>
                <w:color w:val="auto"/>
              </w:rPr>
              <w:t>3,739</w:t>
            </w:r>
          </w:p>
        </w:tc>
        <w:tc>
          <w:tcPr>
            <w:tcW w:w="240" w:type="dxa"/>
            <w:vAlign w:val="bottom"/>
          </w:tcPr>
          <w:p>
            <w:pPr>
              <w:spacing w:after="0"/>
              <w:rPr>
                <w:sz w:val="21"/>
                <w:szCs w:val="21"/>
                <w:color w:val="auto"/>
              </w:rPr>
            </w:pPr>
          </w:p>
        </w:tc>
        <w:tc>
          <w:tcPr>
            <w:tcW w:w="1820" w:type="dxa"/>
            <w:vAlign w:val="bottom"/>
            <w:vMerge w:val="restart"/>
          </w:tcPr>
          <w:p>
            <w:pPr>
              <w:jc w:val="right"/>
              <w:ind w:right="10"/>
              <w:spacing w:after="0"/>
              <w:rPr>
                <w:sz w:val="20"/>
                <w:szCs w:val="20"/>
                <w:color w:val="auto"/>
              </w:rPr>
            </w:pPr>
            <w:r>
              <w:rPr>
                <w:rFonts w:ascii="Arial" w:cs="Arial" w:eastAsia="Arial" w:hAnsi="Arial"/>
                <w:sz w:val="18"/>
                <w:szCs w:val="18"/>
                <w:color w:val="auto"/>
              </w:rPr>
              <w:t>16,966</w:t>
            </w:r>
          </w:p>
        </w:tc>
        <w:tc>
          <w:tcPr>
            <w:tcW w:w="300" w:type="dxa"/>
            <w:vAlign w:val="bottom"/>
          </w:tcPr>
          <w:p>
            <w:pPr>
              <w:spacing w:after="0"/>
              <w:rPr>
                <w:sz w:val="21"/>
                <w:szCs w:val="21"/>
                <w:color w:val="auto"/>
              </w:rPr>
            </w:pPr>
          </w:p>
        </w:tc>
        <w:tc>
          <w:tcPr>
            <w:tcW w:w="1760" w:type="dxa"/>
            <w:vAlign w:val="bottom"/>
            <w:vMerge w:val="restart"/>
          </w:tcPr>
          <w:p>
            <w:pPr>
              <w:jc w:val="right"/>
              <w:ind w:right="10"/>
              <w:spacing w:after="0"/>
              <w:rPr>
                <w:sz w:val="20"/>
                <w:szCs w:val="20"/>
                <w:color w:val="auto"/>
              </w:rPr>
            </w:pPr>
            <w:r>
              <w:rPr>
                <w:rFonts w:ascii="Arial" w:cs="Arial" w:eastAsia="Arial" w:hAnsi="Arial"/>
                <w:sz w:val="18"/>
                <w:szCs w:val="18"/>
                <w:color w:val="auto"/>
              </w:rPr>
              <w:t>23,722</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16,653</w:t>
            </w:r>
          </w:p>
        </w:tc>
        <w:tc>
          <w:tcPr>
            <w:tcW w:w="24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56,916</w:t>
            </w:r>
          </w:p>
        </w:tc>
        <w:tc>
          <w:tcPr>
            <w:tcW w:w="30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84,347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(17,233)</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(18,966)</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(7,589)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Derivative liabilities, current and noncurrent</w:t>
            </w:r>
          </w:p>
        </w:tc>
        <w:tc>
          <w:tcPr>
            <w:tcW w:w="28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(7,677)</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(22,808)</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(23,150)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assets (liabilities)</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42,468</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86,567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March 31, 2018, December 31, 2017 and March 31, 2017, the Oil and Gas segment’s net deferred tax assets were primarily comprised of basis differences on oil and gas properties, which are settled when their related properties are sold.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BHEP’s accrued liabilities at March 31, 2018 and December 31, 2017 consisted primarily of a liability contingent on final approval from the Bureau of Indian Affairs on the Jicarilla property sale, accrued royalties, payroll and property taxes. Current liabilities at March 31, 2017 consisted primarily of accrued royalties, payroll and property taxes. Other liabilities at March 31, 2018, December 31, 2017 and March 31, 2017 consisted primarily of asset retirement obligations relating to plugging and abandonment of oil and gas wells.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Operating results of the Oil and Gas segment included in Discontinued operations on the accompanying Condensed Consolidated Statements of Income were as follows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0" w:type="dxa"/>
            <w:vAlign w:val="bottom"/>
            <w:gridSpan w:val="3"/>
          </w:tcPr>
          <w:p>
            <w:pPr>
              <w:jc w:val="right"/>
              <w:ind w:right="79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jc w:val="right"/>
              <w:ind w:right="770"/>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23"/>
                <w:szCs w:val="23"/>
                <w:color w:val="auto"/>
              </w:rPr>
            </w:pPr>
          </w:p>
        </w:tc>
        <w:tc>
          <w:tcPr>
            <w:tcW w:w="1360" w:type="dxa"/>
            <w:vAlign w:val="bottom"/>
          </w:tcPr>
          <w:p>
            <w:pPr>
              <w:jc w:val="right"/>
              <w:ind w:right="7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40" w:type="dxa"/>
            <w:vAlign w:val="bottom"/>
            <w:gridSpan w:val="2"/>
          </w:tcPr>
          <w:p>
            <w:pPr>
              <w:jc w:val="right"/>
              <w:ind w:right="70"/>
              <w:spacing w:after="0"/>
              <w:rPr>
                <w:sz w:val="20"/>
                <w:szCs w:val="20"/>
                <w:color w:val="auto"/>
              </w:rPr>
            </w:pPr>
            <w:r>
              <w:rPr>
                <w:rFonts w:ascii="Arial" w:cs="Arial" w:eastAsia="Arial" w:hAnsi="Arial"/>
                <w:sz w:val="18"/>
                <w:szCs w:val="18"/>
                <w:color w:val="auto"/>
              </w:rPr>
              <w:t>(in thousands)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5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3,915</w:t>
            </w:r>
          </w:p>
        </w:tc>
        <w:tc>
          <w:tcPr>
            <w:tcW w:w="680" w:type="dxa"/>
            <w:vAlign w:val="bottom"/>
            <w:tcBorders>
              <w:bottom w:val="single" w:sz="8" w:color="CEFFE7"/>
            </w:tcBorders>
            <w:shd w:val="clear" w:color="auto" w:fill="CEFFE7"/>
          </w:tcPr>
          <w:p>
            <w:pPr>
              <w:jc w:val="right"/>
              <w:ind w:right="4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318"/>
        </w:trPr>
        <w:tc>
          <w:tcPr>
            <w:tcW w:w="73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50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5,901</w:t>
            </w:r>
          </w:p>
        </w:tc>
        <w:tc>
          <w:tcPr>
            <w:tcW w:w="68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7,205</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5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1,300</w:t>
            </w:r>
          </w:p>
        </w:tc>
        <w:tc>
          <w:tcPr>
            <w:tcW w:w="6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EFFE7"/>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CEFFE7"/>
            </w:tcBorders>
            <w:shd w:val="clear" w:color="auto" w:fill="CEFFE7"/>
          </w:tcPr>
          <w:p>
            <w:pPr>
              <w:spacing w:after="0"/>
              <w:rPr>
                <w:sz w:val="22"/>
                <w:szCs w:val="22"/>
                <w:color w:val="auto"/>
              </w:rPr>
            </w:pPr>
          </w:p>
        </w:tc>
        <w:tc>
          <w:tcPr>
            <w:tcW w:w="15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7,201</w:t>
            </w:r>
          </w:p>
        </w:tc>
        <w:tc>
          <w:tcPr>
            <w:tcW w:w="680" w:type="dxa"/>
            <w:vAlign w:val="bottom"/>
            <w:tcBorders>
              <w:bottom w:val="single" w:sz="8" w:color="CEFFE7"/>
            </w:tcBorders>
            <w:shd w:val="clear" w:color="auto" w:fill="CEFFE7"/>
          </w:tcPr>
          <w:p>
            <w:pPr>
              <w:spacing w:after="0"/>
              <w:rPr>
                <w:sz w:val="22"/>
                <w:szCs w:val="22"/>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9,150</w:t>
            </w:r>
          </w:p>
        </w:tc>
        <w:tc>
          <w:tcPr>
            <w:tcW w:w="0" w:type="dxa"/>
            <w:vAlign w:val="bottom"/>
          </w:tcPr>
          <w:p>
            <w:pPr>
              <w:spacing w:after="0"/>
              <w:rPr>
                <w:sz w:val="1"/>
                <w:szCs w:val="1"/>
                <w:color w:val="auto"/>
              </w:rPr>
            </w:pPr>
          </w:p>
        </w:tc>
      </w:tr>
      <w:tr>
        <w:trPr>
          <w:trHeight w:val="318"/>
        </w:trPr>
        <w:tc>
          <w:tcPr>
            <w:tcW w:w="73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(loss)</w:t>
            </w:r>
          </w:p>
        </w:tc>
        <w:tc>
          <w:tcPr>
            <w:tcW w:w="50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(3,286)</w:t>
            </w:r>
          </w:p>
        </w:tc>
        <w:tc>
          <w:tcPr>
            <w:tcW w:w="68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324"/>
        </w:trPr>
        <w:tc>
          <w:tcPr>
            <w:tcW w:w="7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29</w:t>
            </w:r>
          </w:p>
        </w:tc>
        <w:tc>
          <w:tcPr>
            <w:tcW w:w="68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914</w:t>
            </w:r>
          </w:p>
        </w:tc>
        <w:tc>
          <w:tcPr>
            <w:tcW w:w="6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EFFE7"/>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32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1560" w:type="dxa"/>
            <w:vAlign w:val="bottom"/>
            <w:shd w:val="clear" w:color="auto" w:fill="CEFFE7"/>
          </w:tcPr>
          <w:p>
            <w:pPr>
              <w:spacing w:after="0"/>
              <w:rPr>
                <w:sz w:val="24"/>
                <w:szCs w:val="24"/>
                <w:color w:val="auto"/>
              </w:rPr>
            </w:pPr>
          </w:p>
        </w:tc>
        <w:tc>
          <w:tcPr>
            <w:tcW w:w="68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32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(19)  INCOME TAXES</w:t>
            </w: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73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color w:val="auto"/>
              </w:rPr>
              <w:t>The effective tax rate differs from the federal statutory rate as follows:</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0" w:type="dxa"/>
            <w:vAlign w:val="bottom"/>
            <w:gridSpan w:val="3"/>
          </w:tcPr>
          <w:p>
            <w:pPr>
              <w:jc w:val="right"/>
              <w:ind w:right="55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0"/>
        </w:trPr>
        <w:tc>
          <w:tcPr>
            <w:tcW w:w="7320" w:type="dxa"/>
            <w:vAlign w:val="bottom"/>
          </w:tcPr>
          <w:p>
            <w:pPr>
              <w:ind w:left="40"/>
              <w:spacing w:after="0"/>
              <w:rPr>
                <w:sz w:val="20"/>
                <w:szCs w:val="20"/>
                <w:color w:val="auto"/>
              </w:rPr>
            </w:pPr>
            <w:r>
              <w:rPr>
                <w:rFonts w:ascii="Arial" w:cs="Arial" w:eastAsia="Arial" w:hAnsi="Arial"/>
                <w:sz w:val="18"/>
                <w:szCs w:val="18"/>
                <w:color w:val="auto"/>
              </w:rPr>
              <w:t>Tax (benefit) expense</w:t>
            </w:r>
          </w:p>
        </w:tc>
        <w:tc>
          <w:tcPr>
            <w:tcW w:w="500" w:type="dxa"/>
            <w:vAlign w:val="bottom"/>
          </w:tcPr>
          <w:p>
            <w:pPr>
              <w:spacing w:after="0"/>
              <w:rPr>
                <w:sz w:val="23"/>
                <w:szCs w:val="23"/>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23"/>
                <w:szCs w:val="23"/>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EFFE7"/>
            </w:tcBorders>
          </w:tcPr>
          <w:p>
            <w:pPr>
              <w:spacing w:after="0"/>
              <w:rPr>
                <w:sz w:val="2"/>
                <w:szCs w:val="2"/>
                <w:color w:val="auto"/>
              </w:rPr>
            </w:pPr>
          </w:p>
        </w:tc>
        <w:tc>
          <w:tcPr>
            <w:tcW w:w="500" w:type="dxa"/>
            <w:vAlign w:val="bottom"/>
            <w:tcBorders>
              <w:bottom w:val="single" w:sz="8" w:color="CEFFE7"/>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Federal statutory rate</w:t>
            </w:r>
          </w:p>
        </w:tc>
        <w:tc>
          <w:tcPr>
            <w:tcW w:w="500" w:type="dxa"/>
            <w:vAlign w:val="bottom"/>
            <w:tcBorders>
              <w:bottom w:val="single" w:sz="8" w:color="CEFFE7"/>
            </w:tcBorders>
            <w:shd w:val="clear" w:color="auto" w:fill="CEFFE7"/>
          </w:tcPr>
          <w:p>
            <w:pPr>
              <w:spacing w:after="0"/>
              <w:rPr>
                <w:sz w:val="21"/>
                <w:szCs w:val="21"/>
                <w:color w:val="auto"/>
              </w:rPr>
            </w:pPr>
          </w:p>
        </w:tc>
        <w:tc>
          <w:tcPr>
            <w:tcW w:w="2240" w:type="dxa"/>
            <w:vAlign w:val="bottom"/>
            <w:tcBorders>
              <w:bottom w:val="single" w:sz="8" w:color="CEFFE7"/>
            </w:tcBorders>
            <w:gridSpan w:val="2"/>
            <w:shd w:val="clear" w:color="auto" w:fill="CEFFE7"/>
          </w:tcPr>
          <w:p>
            <w:pPr>
              <w:jc w:val="right"/>
              <w:ind w:right="390"/>
              <w:spacing w:after="0"/>
              <w:rPr>
                <w:sz w:val="20"/>
                <w:szCs w:val="20"/>
                <w:color w:val="auto"/>
              </w:rPr>
            </w:pPr>
            <w:r>
              <w:rPr>
                <w:rFonts w:ascii="Arial" w:cs="Arial" w:eastAsia="Arial" w:hAnsi="Arial"/>
                <w:sz w:val="18"/>
                <w:szCs w:val="18"/>
                <w:color w:val="auto"/>
              </w:rPr>
              <w:t>21.0 %</w:t>
            </w: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State income tax (net of federal tax effect)</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Percentage depletion in excess of cost</w:t>
            </w:r>
          </w:p>
        </w:tc>
        <w:tc>
          <w:tcPr>
            <w:tcW w:w="500" w:type="dxa"/>
            <w:vAlign w:val="bottom"/>
            <w:tcBorders>
              <w:bottom w:val="single" w:sz="8" w:color="CEFFE7"/>
            </w:tcBorders>
            <w:shd w:val="clear" w:color="auto" w:fill="CEFFE7"/>
          </w:tcPr>
          <w:p>
            <w:pPr>
              <w:spacing w:after="0"/>
              <w:rPr>
                <w:sz w:val="21"/>
                <w:szCs w:val="21"/>
                <w:color w:val="auto"/>
              </w:rPr>
            </w:pPr>
          </w:p>
        </w:tc>
        <w:tc>
          <w:tcPr>
            <w:tcW w:w="2240" w:type="dxa"/>
            <w:vAlign w:val="bottom"/>
            <w:tcBorders>
              <w:bottom w:val="single" w:sz="8" w:color="CEFFE7"/>
            </w:tcBorders>
            <w:gridSpan w:val="2"/>
            <w:shd w:val="clear" w:color="auto" w:fill="CEFFE7"/>
          </w:tcPr>
          <w:p>
            <w:pPr>
              <w:jc w:val="right"/>
              <w:ind w:right="530"/>
              <w:spacing w:after="0"/>
              <w:rPr>
                <w:sz w:val="20"/>
                <w:szCs w:val="20"/>
                <w:color w:val="auto"/>
              </w:rPr>
            </w:pPr>
            <w:r>
              <w:rPr>
                <w:rFonts w:ascii="Arial" w:cs="Arial" w:eastAsia="Arial" w:hAnsi="Arial"/>
                <w:sz w:val="18"/>
                <w:szCs w:val="18"/>
                <w:color w:val="auto"/>
              </w:rPr>
              <w:t>(0.2)</w:t>
            </w: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500" w:type="dxa"/>
            <w:vAlign w:val="bottom"/>
          </w:tcPr>
          <w:p>
            <w:pPr>
              <w:spacing w:after="0"/>
              <w:rPr>
                <w:sz w:val="21"/>
                <w:szCs w:val="21"/>
                <w:color w:val="auto"/>
              </w:rPr>
            </w:pPr>
          </w:p>
        </w:tc>
        <w:tc>
          <w:tcPr>
            <w:tcW w:w="2240" w:type="dxa"/>
            <w:vAlign w:val="bottom"/>
            <w:gridSpan w:val="2"/>
          </w:tcPr>
          <w:p>
            <w:pPr>
              <w:jc w:val="right"/>
              <w:ind w:right="530"/>
              <w:spacing w:after="0"/>
              <w:rPr>
                <w:sz w:val="20"/>
                <w:szCs w:val="20"/>
                <w:color w:val="auto"/>
              </w:rPr>
            </w:pPr>
            <w:r>
              <w:rPr>
                <w:rFonts w:ascii="Arial" w:cs="Arial" w:eastAsia="Arial" w:hAnsi="Arial"/>
                <w:sz w:val="18"/>
                <w:szCs w:val="18"/>
                <w:color w:val="auto"/>
              </w:rPr>
              <w:t>(0.7)</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IRC 172(f) carryback claim </w:t>
            </w:r>
            <w:r>
              <w:rPr>
                <w:rFonts w:ascii="Arial" w:cs="Arial" w:eastAsia="Arial" w:hAnsi="Arial"/>
                <w:sz w:val="25"/>
                <w:szCs w:val="25"/>
                <w:color w:val="auto"/>
                <w:vertAlign w:val="superscript"/>
              </w:rPr>
              <w:t>(a)</w:t>
            </w:r>
          </w:p>
        </w:tc>
        <w:tc>
          <w:tcPr>
            <w:tcW w:w="500" w:type="dxa"/>
            <w:vAlign w:val="bottom"/>
            <w:shd w:val="clear" w:color="auto" w:fill="CEFFE7"/>
          </w:tcPr>
          <w:p>
            <w:pPr>
              <w:spacing w:after="0"/>
              <w:rPr>
                <w:sz w:val="23"/>
                <w:szCs w:val="23"/>
                <w:color w:val="auto"/>
              </w:rPr>
            </w:pPr>
          </w:p>
        </w:tc>
        <w:tc>
          <w:tcPr>
            <w:tcW w:w="15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EFFE7"/>
          </w:tcPr>
          <w:p>
            <w:pPr>
              <w:spacing w:after="0"/>
              <w:rPr>
                <w:sz w:val="23"/>
                <w:szCs w:val="23"/>
                <w:color w:val="auto"/>
              </w:rPr>
            </w:pPr>
          </w:p>
        </w:tc>
        <w:tc>
          <w:tcPr>
            <w:tcW w:w="136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Tax credits</w:t>
            </w:r>
          </w:p>
        </w:tc>
        <w:tc>
          <w:tcPr>
            <w:tcW w:w="500" w:type="dxa"/>
            <w:vAlign w:val="bottom"/>
          </w:tcPr>
          <w:p>
            <w:pPr>
              <w:spacing w:after="0"/>
              <w:rPr>
                <w:sz w:val="21"/>
                <w:szCs w:val="21"/>
                <w:color w:val="auto"/>
              </w:rPr>
            </w:pPr>
          </w:p>
        </w:tc>
        <w:tc>
          <w:tcPr>
            <w:tcW w:w="2240" w:type="dxa"/>
            <w:vAlign w:val="bottom"/>
            <w:gridSpan w:val="2"/>
          </w:tcPr>
          <w:p>
            <w:pPr>
              <w:jc w:val="right"/>
              <w:ind w:right="530"/>
              <w:spacing w:after="0"/>
              <w:rPr>
                <w:sz w:val="20"/>
                <w:szCs w:val="20"/>
                <w:color w:val="auto"/>
              </w:rPr>
            </w:pPr>
            <w:r>
              <w:rPr>
                <w:rFonts w:ascii="Arial" w:cs="Arial" w:eastAsia="Arial" w:hAnsi="Arial"/>
                <w:sz w:val="18"/>
                <w:szCs w:val="18"/>
                <w:color w:val="auto"/>
              </w:rPr>
              <w:t>(1.3)</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Effective tax rate adjustment</w:t>
            </w:r>
          </w:p>
        </w:tc>
        <w:tc>
          <w:tcPr>
            <w:tcW w:w="500" w:type="dxa"/>
            <w:vAlign w:val="bottom"/>
            <w:tcBorders>
              <w:bottom w:val="single" w:sz="8" w:color="CEFFE7"/>
            </w:tcBorders>
            <w:shd w:val="clear" w:color="auto" w:fill="CEFFE7"/>
          </w:tcPr>
          <w:p>
            <w:pPr>
              <w:spacing w:after="0"/>
              <w:rPr>
                <w:sz w:val="21"/>
                <w:szCs w:val="21"/>
                <w:color w:val="auto"/>
              </w:rPr>
            </w:pPr>
          </w:p>
        </w:tc>
        <w:tc>
          <w:tcPr>
            <w:tcW w:w="2240" w:type="dxa"/>
            <w:vAlign w:val="bottom"/>
            <w:tcBorders>
              <w:bottom w:val="single" w:sz="8" w:color="CEFFE7"/>
            </w:tcBorders>
            <w:gridSpan w:val="2"/>
            <w:shd w:val="clear" w:color="auto" w:fill="CEFFE7"/>
          </w:tcPr>
          <w:p>
            <w:pPr>
              <w:jc w:val="right"/>
              <w:ind w:right="530"/>
              <w:spacing w:after="0"/>
              <w:rPr>
                <w:sz w:val="20"/>
                <w:szCs w:val="20"/>
                <w:color w:val="auto"/>
              </w:rPr>
            </w:pPr>
            <w:r>
              <w:rPr>
                <w:rFonts w:ascii="Arial" w:cs="Arial" w:eastAsia="Arial" w:hAnsi="Arial"/>
                <w:sz w:val="18"/>
                <w:szCs w:val="18"/>
                <w:color w:val="auto"/>
              </w:rPr>
              <w:t>(2.1)</w:t>
            </w: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Flow-through adjustments</w:t>
            </w:r>
          </w:p>
        </w:tc>
        <w:tc>
          <w:tcPr>
            <w:tcW w:w="500" w:type="dxa"/>
            <w:vAlign w:val="bottom"/>
          </w:tcPr>
          <w:p>
            <w:pPr>
              <w:spacing w:after="0"/>
              <w:rPr>
                <w:sz w:val="21"/>
                <w:szCs w:val="21"/>
                <w:color w:val="auto"/>
              </w:rPr>
            </w:pPr>
          </w:p>
        </w:tc>
        <w:tc>
          <w:tcPr>
            <w:tcW w:w="2240" w:type="dxa"/>
            <w:vAlign w:val="bottom"/>
            <w:gridSpan w:val="2"/>
          </w:tcPr>
          <w:p>
            <w:pPr>
              <w:jc w:val="right"/>
              <w:ind w:right="530"/>
              <w:spacing w:after="0"/>
              <w:rPr>
                <w:sz w:val="20"/>
                <w:szCs w:val="20"/>
                <w:color w:val="auto"/>
              </w:rPr>
            </w:pPr>
            <w:r>
              <w:rPr>
                <w:rFonts w:ascii="Arial" w:cs="Arial" w:eastAsia="Arial" w:hAnsi="Arial"/>
                <w:sz w:val="18"/>
                <w:szCs w:val="18"/>
                <w:color w:val="auto"/>
              </w:rPr>
              <w:t>(0.4)</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TCJA change in estimate </w:t>
            </w:r>
            <w:r>
              <w:rPr>
                <w:rFonts w:ascii="Arial" w:cs="Arial" w:eastAsia="Arial" w:hAnsi="Arial"/>
                <w:sz w:val="25"/>
                <w:szCs w:val="25"/>
                <w:color w:val="auto"/>
                <w:vertAlign w:val="superscript"/>
              </w:rPr>
              <w:t>(b)</w:t>
            </w:r>
          </w:p>
        </w:tc>
        <w:tc>
          <w:tcPr>
            <w:tcW w:w="500" w:type="dxa"/>
            <w:vAlign w:val="bottom"/>
            <w:shd w:val="clear" w:color="auto" w:fill="CEFFE7"/>
          </w:tcPr>
          <w:p>
            <w:pPr>
              <w:spacing w:after="0"/>
              <w:rPr>
                <w:sz w:val="23"/>
                <w:szCs w:val="23"/>
                <w:color w:val="auto"/>
              </w:rPr>
            </w:pPr>
          </w:p>
        </w:tc>
        <w:tc>
          <w:tcPr>
            <w:tcW w:w="15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2.0</w:t>
            </w:r>
          </w:p>
        </w:tc>
        <w:tc>
          <w:tcPr>
            <w:tcW w:w="680" w:type="dxa"/>
            <w:vAlign w:val="bottom"/>
            <w:shd w:val="clear" w:color="auto" w:fill="CEFFE7"/>
          </w:tcPr>
          <w:p>
            <w:pPr>
              <w:spacing w:after="0"/>
              <w:rPr>
                <w:sz w:val="23"/>
                <w:szCs w:val="23"/>
                <w:color w:val="auto"/>
              </w:rPr>
            </w:pPr>
          </w:p>
        </w:tc>
        <w:tc>
          <w:tcPr>
            <w:tcW w:w="136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Tax benefit related to legal restructuring </w:t>
            </w:r>
            <w:r>
              <w:rPr>
                <w:rFonts w:ascii="Arial" w:cs="Arial" w:eastAsia="Arial" w:hAnsi="Arial"/>
                <w:sz w:val="25"/>
                <w:szCs w:val="25"/>
                <w:color w:val="auto"/>
                <w:vertAlign w:val="superscript"/>
              </w:rPr>
              <w:t>(c)</w:t>
            </w:r>
          </w:p>
        </w:tc>
        <w:tc>
          <w:tcPr>
            <w:tcW w:w="500" w:type="dxa"/>
            <w:vAlign w:val="bottom"/>
          </w:tcPr>
          <w:p>
            <w:pPr>
              <w:spacing w:after="0"/>
              <w:rPr>
                <w:sz w:val="23"/>
                <w:szCs w:val="23"/>
                <w:color w:val="auto"/>
              </w:rPr>
            </w:pPr>
          </w:p>
        </w:tc>
        <w:tc>
          <w:tcPr>
            <w:tcW w:w="2240" w:type="dxa"/>
            <w:vAlign w:val="bottom"/>
            <w:gridSpan w:val="2"/>
          </w:tcPr>
          <w:p>
            <w:pPr>
              <w:jc w:val="right"/>
              <w:ind w:right="530"/>
              <w:spacing w:after="0"/>
              <w:rPr>
                <w:sz w:val="20"/>
                <w:szCs w:val="20"/>
                <w:color w:val="auto"/>
              </w:rPr>
            </w:pPr>
            <w:r>
              <w:rPr>
                <w:rFonts w:ascii="Arial" w:cs="Arial" w:eastAsia="Arial" w:hAnsi="Arial"/>
                <w:sz w:val="18"/>
                <w:szCs w:val="18"/>
                <w:color w:val="auto"/>
              </w:rPr>
              <w:t>(43.7)</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Other tax differences</w:t>
            </w:r>
          </w:p>
        </w:tc>
        <w:tc>
          <w:tcPr>
            <w:tcW w:w="50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0.6</w:t>
            </w:r>
          </w:p>
        </w:tc>
        <w:tc>
          <w:tcPr>
            <w:tcW w:w="68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40" w:type="dxa"/>
            <w:vAlign w:val="bottom"/>
            <w:tcBorders>
              <w:top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(22.8)%</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7"/>
        </w:trPr>
        <w:tc>
          <w:tcPr>
            <w:tcW w:w="73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5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60" w:hanging="332"/>
        <w:spacing w:after="0" w:line="25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the first quarter of 2017, the Company filed amended income tax returns for the years 2006 through 2008 to carryback specified liability losses in accordance with IRC 172(f). As a result of filing the amended returns, the Company’s accrued tax liability interest decreased, certain valuation allowances increased and the previously recorded domestic production activities deduction decreased.</w:t>
      </w:r>
    </w:p>
    <w:p>
      <w:pPr>
        <w:spacing w:after="0" w:line="1" w:lineRule="exact"/>
        <w:rPr>
          <w:rFonts w:ascii="Arial" w:cs="Arial" w:eastAsia="Arial" w:hAnsi="Arial"/>
          <w:sz w:val="16"/>
          <w:szCs w:val="16"/>
          <w:color w:val="auto"/>
        </w:rPr>
      </w:pPr>
    </w:p>
    <w:p>
      <w:pPr>
        <w:ind w:left="340" w:right="12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TCJA was signed into law on December 22, 2017. In accordance with ASC 740, net deferred tax assets and liabilities were revalued as of December 31, 2017 due to the reduction in the federal income tax rate from 35% to 21%. During the three months ended March 31, 2018, certain estimated items associated with the revaluation have been updated.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Tax benefit from legal restructuring associated with amortizable goodwill as part of ongoing jurisdictional simplification.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Tax benefit related to legal restructuring</w:t>
      </w:r>
    </w:p>
    <w:p>
      <w:pPr>
        <w:spacing w:after="0" w:line="2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As part of the Company’s ongoing efforts to continue to integrate the legal entities that the Company has acquired in recent years, certain legal entity restructuring transactions occurred on March 31, 2018. As a result of these transactions, additional deferred income tax assets of $49 million, related to goodwill that is amortizable for tax purposes, were recorded and deferred tax benefits of $49 million were recorded to income tax benefit (expense) on the Condensed Consolidated Statements of Income. Due to this being a common control transaction, it had no effect on the other assets and liabilities of these entities.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TCJA</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TCJA. The TCJA reduced the U.S. federal corporate tax rate from 35% to 21%. The Company remeasured deferred income taxes at the 21% federal tax rate as of December 31, 2017. The entities subject to regulatory construct have made their best estimate regarding the probability of settlements of net regulatory liabilities established pursuant to the TCJA. The amount of the settlements may change based on decisions and actions by the rate regulators, which could have a material impact on the Company’s future results of operations, cash flows or financial position. We revalued our deferred tax assets and liabilities as of December 31, 2017, which reflected our estimate of the impact of the TCJA. We will continue to evaluate subsequent regulations, clarifications and interpretations with the assumptions made, which could materially change our estimate.</w:t>
      </w:r>
    </w:p>
    <w:p>
      <w:pPr>
        <w:spacing w:after="0" w:line="18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(20)</w:t>
        <w:tab/>
        <w:t>ACCRUED LIABILITIES</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following amounts by major classification are included in Accrued liabilities in the accompanying Condensed Consolidated Balance Sheets (in thousands) as of:</w:t>
      </w:r>
    </w:p>
    <w:p>
      <w:pPr>
        <w:spacing w:after="0" w:line="33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color w:val="auto"/>
                <w:w w:val="97"/>
              </w:rPr>
              <w:t>March 31, 2018</w:t>
            </w:r>
          </w:p>
        </w:tc>
        <w:tc>
          <w:tcPr>
            <w:tcW w:w="22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w w:val="92"/>
              </w:rPr>
              <w:t>December 31, 2017</w:t>
            </w:r>
          </w:p>
        </w:tc>
        <w:tc>
          <w:tcPr>
            <w:tcW w:w="300" w:type="dxa"/>
            <w:vAlign w:val="bottom"/>
          </w:tcPr>
          <w:p>
            <w:pPr>
              <w:spacing w:after="0"/>
              <w:rPr>
                <w:sz w:val="20"/>
                <w:szCs w:val="20"/>
                <w:color w:val="auto"/>
              </w:rPr>
            </w:pP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March 31, 2017</w:t>
            </w:r>
          </w:p>
        </w:tc>
      </w:tr>
      <w:tr>
        <w:trPr>
          <w:trHeight w:val="27"/>
        </w:trPr>
        <w:tc>
          <w:tcPr>
            <w:tcW w:w="554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Accrued employee compensation, benefits and withholdings</w:t>
            </w: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46,262</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52,467</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46,410</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Accrued property taxes</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42,912</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42,029</w:t>
            </w:r>
          </w:p>
        </w:tc>
        <w:tc>
          <w:tcPr>
            <w:tcW w:w="3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39,134</w:t>
            </w: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Customer deposits and prepayments</w:t>
            </w:r>
          </w:p>
        </w:tc>
        <w:tc>
          <w:tcPr>
            <w:tcW w:w="28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35,748</w:t>
            </w:r>
          </w:p>
        </w:tc>
        <w:tc>
          <w:tcPr>
            <w:tcW w:w="22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44,420</w:t>
            </w:r>
          </w:p>
        </w:tc>
        <w:tc>
          <w:tcPr>
            <w:tcW w:w="30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41,135</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Accrued interest and contract adjustment payments</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30,426</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33,822</w:t>
            </w:r>
          </w:p>
        </w:tc>
        <w:tc>
          <w:tcPr>
            <w:tcW w:w="3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30,488</w:t>
            </w: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CIAC current portion</w:t>
            </w:r>
          </w:p>
        </w:tc>
        <w:tc>
          <w:tcPr>
            <w:tcW w:w="28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1,552</w:t>
            </w:r>
          </w:p>
        </w:tc>
        <w:tc>
          <w:tcPr>
            <w:tcW w:w="22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1,552</w:t>
            </w:r>
          </w:p>
        </w:tc>
        <w:tc>
          <w:tcPr>
            <w:tcW w:w="30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1,575</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Other (none of which is individually significant)</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37,140</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45,172</w:t>
            </w:r>
          </w:p>
        </w:tc>
        <w:tc>
          <w:tcPr>
            <w:tcW w:w="3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37,834</w:t>
            </w:r>
          </w:p>
        </w:tc>
      </w:tr>
      <w:tr>
        <w:trPr>
          <w:trHeight w:val="27"/>
        </w:trPr>
        <w:tc>
          <w:tcPr>
            <w:tcW w:w="554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54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Total accrued liabilities</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194,040</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219,462</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196,576</w:t>
            </w: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824"/>
        </w:trPr>
        <w:tc>
          <w:tcPr>
            <w:tcW w:w="554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36</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360"/>
          </w:cols>
          <w:pgMar w:left="240" w:top="580" w:right="299" w:bottom="1440" w:gutter="0" w:footer="0" w:header="0"/>
        </w:sectPr>
      </w:pPr>
    </w:p>
    <w:bookmarkStart w:id="36" w:name="page37"/>
    <w:bookmarkEnd w:id="36"/>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are a customer-focused, growth-oriented utility company operating in the United States. We report our operations and results in the following financial segments:</w:t>
      </w:r>
    </w:p>
    <w:p>
      <w:pPr>
        <w:spacing w:after="0" w:line="17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u w:val="single" w:color="auto"/>
          <w:color w:val="auto"/>
        </w:rPr>
        <w:t>Electric Utilities</w:t>
      </w:r>
      <w:r>
        <w:rPr>
          <w:rFonts w:ascii="Arial" w:cs="Arial" w:eastAsia="Arial" w:hAnsi="Arial"/>
          <w:sz w:val="17"/>
          <w:szCs w:val="17"/>
          <w:color w:val="auto"/>
        </w:rPr>
        <w:t>: Our Electric Utilities segment generates, transmits and distributes electricity to approximately 210,000 customers in South Dakota, Wyoming, Colorado and Montana. Our electric generating facilities and power purchase agreements provide for the supply of electricity principally to our own distribution systems. Additionally, we sell excess power to other utilities and marketing companies, including our affiliates.</w:t>
      </w:r>
    </w:p>
    <w:p>
      <w:pPr>
        <w:spacing w:after="0" w:line="166"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u w:val="single" w:color="auto"/>
          <w:color w:val="auto"/>
        </w:rPr>
        <w:t>Gas Utilities</w:t>
      </w:r>
      <w:r>
        <w:rPr>
          <w:rFonts w:ascii="Arial" w:cs="Arial" w:eastAsia="Arial" w:hAnsi="Arial"/>
          <w:sz w:val="16"/>
          <w:szCs w:val="16"/>
          <w:color w:val="auto"/>
        </w:rPr>
        <w:t>: Our Gas Utilities conduct natural gas utility operations through our Arkansas, Colorado, Iowa, Kansas, Nebraska and Wyoming subsidiaries. Our Gas Utilities distribute and transport natural gas through our pipeline network to approximately 1,042,000 natural gas customers. Additionally, we sell contractual pipeline capacity and gas commodities to other utilities and marketing companies, including our affiliates, on an as available basis.</w:t>
      </w:r>
    </w:p>
    <w:p>
      <w:pPr>
        <w:spacing w:after="0" w:line="14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Gas Utilities also provide non-regulated services through Black Hills Energy Services. Black Hills Energy Services provides approximately 52,000 retail distribution customers in Nebraska and Wyoming with unbundled natural gas commodity offerings under the regulatory-approved Choice Gas Program. We also sell, install and service air conditioning, heating and water-heating equipment, and provide associated repair service and protection plans under various trade names. Service Guard and CAPP provide appliance repair services to approximately 63,000 and 31,000 residential customers, respectively, through Company technicians and third-party service providers, typically through on-going monthly service agreements. Tech Services serves gas transportation customers throughout our service territory by constructing and maintaining customer-owned gas infrastructure facilities, typically through one-time contracts.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Power Generation</w:t>
      </w:r>
      <w:r>
        <w:rPr>
          <w:rFonts w:ascii="Arial" w:cs="Arial" w:eastAsia="Arial" w:hAnsi="Arial"/>
          <w:sz w:val="18"/>
          <w:szCs w:val="18"/>
          <w:color w:val="auto"/>
        </w:rPr>
        <w:t>: Our Power Generation segment produces electric power from its generating plants and sells the electric capacity and energy principally to our utilities under long-term contracts.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Mining</w:t>
      </w:r>
      <w:r>
        <w:rPr>
          <w:rFonts w:ascii="Arial" w:cs="Arial" w:eastAsia="Arial" w:hAnsi="Arial"/>
          <w:sz w:val="18"/>
          <w:szCs w:val="18"/>
          <w:color w:val="auto"/>
        </w:rPr>
        <w:t>: Our Mining segment produces coal at our coal mine near Gillette, Wyoming and sells the coal primarily to on-site, mine-mouth power generation facilities.</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reportable segments are based on our method of internal reporting, which is generally segregated by differences in products, services and regulation. All of our operations and assets are located within the United States. All of our non-utility business segments support our utilities. Certain unallocated corporate expenses that support our operating segments are presented as Corporate and Other.</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as well as changes in market prices.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months ended March 31, 2018 and 2017, and our financial condition as of March 31, 2018, December 31, 2017 and March 31, 2017, are not necessarily indicative of the results of operations and financial condition to be expected as of or for any other period or for the entire year.</w:t>
      </w:r>
    </w:p>
    <w:p>
      <w:pPr>
        <w:spacing w:after="0" w:line="351"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See Forward-Looking Information in the Liquidity and Capital Resources section of this Item 2, beginning on Page </w:t>
      </w:r>
      <w:hyperlink w:anchor="page55">
        <w:r>
          <w:rPr>
            <w:rFonts w:ascii="Arial" w:cs="Arial" w:eastAsia="Arial" w:hAnsi="Arial"/>
            <w:sz w:val="18"/>
            <w:szCs w:val="18"/>
            <w:color w:val="0000EE"/>
          </w:rPr>
          <w:t>55</w:t>
        </w:r>
      </w:hyperlink>
      <w:r>
        <w:rPr>
          <w:rFonts w:ascii="Arial" w:cs="Arial" w:eastAsia="Arial" w:hAnsi="Arial"/>
          <w:sz w:val="18"/>
          <w:szCs w:val="18"/>
          <w:color w:val="auto"/>
        </w:rPr>
        <w:t>.</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The segment information does not include inter-company eliminations. Minor differences in amounts may result due to rounding. All amounts are presented on a pre-tax basis unless otherwise indicated.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Significant Events and Overview</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Three Months Ended March 31, 2018 Compared to Three Months Ended March 31, 2017. </w:t>
      </w:r>
      <w:r>
        <w:rPr>
          <w:rFonts w:ascii="Arial" w:cs="Arial" w:eastAsia="Arial" w:hAnsi="Arial"/>
          <w:sz w:val="18"/>
          <w:szCs w:val="18"/>
          <w:color w:val="auto"/>
        </w:rPr>
        <w:t>Net income from continuing operations available for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for the three months ended March 31, 2018 was $135 million, or $2.50 per diluted share, compared to $78 million, or $1.42 per diluted share, reported for the same period in 2017. The variance to the prior year included the following:</w:t>
      </w:r>
    </w:p>
    <w:p>
      <w:pPr>
        <w:spacing w:after="0" w:line="180" w:lineRule="exact"/>
        <w:rPr>
          <w:sz w:val="20"/>
          <w:szCs w:val="20"/>
          <w:color w:val="auto"/>
        </w:rPr>
      </w:pPr>
    </w:p>
    <w:p>
      <w:pPr>
        <w:ind w:left="660" w:right="440" w:hanging="328"/>
        <w:spacing w:after="0" w:line="274"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Gas Utilities’ earnings increased $62 million primarily due to the recognition of a deferred tax benefit of $49 million resulting from legal entity restructuring associated with amortizable goodwill for tax purposes; earnings also benefited from colder winter weather;</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Electric Utilities’ earnings decreased $2.4 million driven primarily by higher operating expenses, partially offset by colder weather;</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and other expenses increased $1.4 million primarily due to higher tax benefits recognized in the prior year, partially offset by a reduction in corporate operating expenses; and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Power Generation’s earnings decreased $0.7 million primarily due to lower MWh sold and higher operating expenses.</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Net income available for common stock for the three months ended March 31, 2018 was $133 million, or $2.46 per diluted share, compared to $77 million, or $1.39 per diluted share reported for the same period in 2017. (Loss) from discontinued operations for the three months ended March 31, 2018 was $(2.3) million, or $(0.04) per diluted share compared to $(1.6) million or $(0.03) per diluted share reported for the same period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select financial results by operating segment and details significant items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5"/>
          </w:tcPr>
          <w:p>
            <w:pPr>
              <w:jc w:val="right"/>
              <w:ind w:right="63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3"/>
                <w:szCs w:val="23"/>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w w:val="98"/>
              </w:rPr>
              <w:t>Variance</w:t>
            </w:r>
          </w:p>
        </w:tc>
        <w:tc>
          <w:tcPr>
            <w:tcW w:w="0" w:type="dxa"/>
            <w:vAlign w:val="bottom"/>
          </w:tcPr>
          <w:p>
            <w:pPr>
              <w:spacing w:after="0"/>
              <w:rPr>
                <w:sz w:val="1"/>
                <w:szCs w:val="1"/>
                <w:color w:val="auto"/>
              </w:rPr>
            </w:pPr>
          </w:p>
        </w:tc>
      </w:tr>
      <w:tr>
        <w:trPr>
          <w:trHeight w:val="27"/>
        </w:trPr>
        <w:tc>
          <w:tcPr>
            <w:tcW w:w="7660" w:type="dxa"/>
            <w:vAlign w:val="bottom"/>
            <w:gridSpan w:val="4"/>
            <w:vMerge w:val="restart"/>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66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70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611,130</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581,047</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30,083</w:t>
            </w:r>
          </w:p>
        </w:tc>
        <w:tc>
          <w:tcPr>
            <w:tcW w:w="0" w:type="dxa"/>
            <w:vAlign w:val="bottom"/>
          </w:tcPr>
          <w:p>
            <w:pPr>
              <w:spacing w:after="0"/>
              <w:rPr>
                <w:sz w:val="1"/>
                <w:szCs w:val="1"/>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Inter-company eliminations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(35,741)</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(33,519)</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4700" w:type="dxa"/>
            <w:vAlign w:val="bottom"/>
            <w:tcBorders>
              <w:bottom w:val="single" w:sz="8" w:color="CEFFE7"/>
            </w:tcBorders>
          </w:tcPr>
          <w:p>
            <w:pPr>
              <w:spacing w:after="0"/>
              <w:rPr>
                <w:sz w:val="2"/>
                <w:szCs w:val="2"/>
                <w:color w:val="auto"/>
              </w:rPr>
            </w:pPr>
          </w:p>
        </w:tc>
        <w:tc>
          <w:tcPr>
            <w:tcW w:w="23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EFFE7"/>
            </w:tcBorders>
            <w:shd w:val="clear" w:color="auto" w:fill="CEFFE7"/>
          </w:tcPr>
          <w:p>
            <w:pPr>
              <w:spacing w:after="0"/>
              <w:rPr>
                <w:sz w:val="22"/>
                <w:szCs w:val="22"/>
                <w:color w:val="auto"/>
              </w:rPr>
            </w:pPr>
          </w:p>
        </w:tc>
        <w:tc>
          <w:tcPr>
            <w:tcW w:w="620" w:type="dxa"/>
            <w:vAlign w:val="bottom"/>
            <w:tcBorders>
              <w:bottom w:val="single" w:sz="8" w:color="CEFFE7"/>
            </w:tcBorders>
            <w:shd w:val="clear" w:color="auto" w:fill="CEFFE7"/>
          </w:tcPr>
          <w:p>
            <w:pPr>
              <w:spacing w:after="0"/>
              <w:rPr>
                <w:sz w:val="22"/>
                <w:szCs w:val="22"/>
                <w:color w:val="auto"/>
              </w:rPr>
            </w:pPr>
          </w:p>
        </w:tc>
        <w:tc>
          <w:tcPr>
            <w:tcW w:w="4700" w:type="dxa"/>
            <w:vAlign w:val="bottom"/>
            <w:tcBorders>
              <w:bottom w:val="single" w:sz="8" w:color="CEFFE7"/>
            </w:tcBorders>
            <w:shd w:val="clear" w:color="auto" w:fill="CEFFE7"/>
          </w:tcPr>
          <w:p>
            <w:pPr>
              <w:spacing w:after="0"/>
              <w:rPr>
                <w:sz w:val="22"/>
                <w:szCs w:val="22"/>
                <w:color w:val="auto"/>
              </w:rPr>
            </w:pPr>
          </w:p>
        </w:tc>
        <w:tc>
          <w:tcPr>
            <w:tcW w:w="230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575,389</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547,528</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27,861</w:t>
            </w:r>
          </w:p>
        </w:tc>
        <w:tc>
          <w:tcPr>
            <w:tcW w:w="0" w:type="dxa"/>
            <w:vAlign w:val="bottom"/>
          </w:tcPr>
          <w:p>
            <w:pPr>
              <w:spacing w:after="0"/>
              <w:rPr>
                <w:sz w:val="1"/>
                <w:szCs w:val="1"/>
                <w:color w:val="auto"/>
              </w:rPr>
            </w:pPr>
          </w:p>
        </w:tc>
      </w:tr>
      <w:tr>
        <w:trPr>
          <w:trHeight w:val="20"/>
        </w:trPr>
        <w:tc>
          <w:tcPr>
            <w:tcW w:w="7660" w:type="dxa"/>
            <w:vAlign w:val="bottom"/>
            <w:tcBorders>
              <w:top w:val="single" w:sz="8" w:color="CEFFE7"/>
              <w:bottom w:val="single" w:sz="8" w:color="CEFFE7"/>
            </w:tcBorders>
            <w:gridSpan w:val="4"/>
            <w:vMerge w:val="restart"/>
          </w:tcPr>
          <w:p>
            <w:pPr>
              <w:ind w:left="40"/>
              <w:spacing w:after="0"/>
              <w:rPr>
                <w:sz w:val="20"/>
                <w:szCs w:val="20"/>
                <w:color w:val="auto"/>
              </w:rPr>
            </w:pPr>
            <w:r>
              <w:rPr>
                <w:rFonts w:ascii="Arial" w:cs="Arial" w:eastAsia="Arial" w:hAnsi="Arial"/>
                <w:sz w:val="18"/>
                <w:szCs w:val="18"/>
                <w:color w:val="auto"/>
              </w:rPr>
              <w:t>Net income (loss) from continuing operations available for common stock</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70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660" w:type="dxa"/>
            <w:vAlign w:val="bottom"/>
            <w:gridSpan w:val="4"/>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Electric Utilities </w:t>
            </w:r>
            <w:r>
              <w:rPr>
                <w:rFonts w:ascii="Arial" w:cs="Arial" w:eastAsia="Arial" w:hAnsi="Arial"/>
                <w:sz w:val="25"/>
                <w:szCs w:val="25"/>
                <w:color w:val="auto"/>
                <w:vertAlign w:val="superscript"/>
              </w:rPr>
              <w:t>(b)</w:t>
            </w:r>
          </w:p>
        </w:tc>
        <w:tc>
          <w:tcPr>
            <w:tcW w:w="28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19,845</w:t>
            </w:r>
          </w:p>
        </w:tc>
        <w:tc>
          <w:tcPr>
            <w:tcW w:w="30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22,230</w:t>
            </w:r>
          </w:p>
        </w:tc>
        <w:tc>
          <w:tcPr>
            <w:tcW w:w="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70"/>
        </w:trPr>
        <w:tc>
          <w:tcPr>
            <w:tcW w:w="766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Gas Utilities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107,620</w:t>
            </w: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46,010</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61,610</w:t>
            </w:r>
          </w:p>
        </w:tc>
        <w:tc>
          <w:tcPr>
            <w:tcW w:w="0" w:type="dxa"/>
            <w:vAlign w:val="bottom"/>
          </w:tcPr>
          <w:p>
            <w:pPr>
              <w:spacing w:after="0"/>
              <w:rPr>
                <w:sz w:val="1"/>
                <w:szCs w:val="1"/>
                <w:color w:val="auto"/>
              </w:rPr>
            </w:pPr>
          </w:p>
        </w:tc>
      </w:tr>
      <w:tr>
        <w:trPr>
          <w:trHeight w:val="270"/>
        </w:trPr>
        <w:tc>
          <w:tcPr>
            <w:tcW w:w="7660" w:type="dxa"/>
            <w:vAlign w:val="bottom"/>
            <w:gridSpan w:val="4"/>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(b)</w:t>
            </w:r>
          </w:p>
        </w:tc>
        <w:tc>
          <w:tcPr>
            <w:tcW w:w="280" w:type="dxa"/>
            <w:vAlign w:val="bottom"/>
            <w:shd w:val="clear" w:color="auto" w:fill="CEFFE7"/>
          </w:tcPr>
          <w:p>
            <w:pPr>
              <w:spacing w:after="0"/>
              <w:rPr>
                <w:sz w:val="23"/>
                <w:szCs w:val="23"/>
                <w:color w:val="auto"/>
              </w:rPr>
            </w:pP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5,856</w:t>
            </w:r>
          </w:p>
        </w:tc>
        <w:tc>
          <w:tcPr>
            <w:tcW w:w="300" w:type="dxa"/>
            <w:vAlign w:val="bottom"/>
            <w:shd w:val="clear" w:color="auto" w:fill="CEFFE7"/>
          </w:tcPr>
          <w:p>
            <w:pPr>
              <w:spacing w:after="0"/>
              <w:rPr>
                <w:sz w:val="23"/>
                <w:szCs w:val="23"/>
                <w:color w:val="auto"/>
              </w:rPr>
            </w:pP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6,530</w:t>
            </w:r>
          </w:p>
        </w:tc>
        <w:tc>
          <w:tcPr>
            <w:tcW w:w="220" w:type="dxa"/>
            <w:vAlign w:val="bottom"/>
            <w:shd w:val="clear" w:color="auto" w:fill="CEFFE7"/>
          </w:tcPr>
          <w:p>
            <w:pPr>
              <w:spacing w:after="0"/>
              <w:rPr>
                <w:sz w:val="23"/>
                <w:szCs w:val="23"/>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0"/>
        </w:trPr>
        <w:tc>
          <w:tcPr>
            <w:tcW w:w="7660" w:type="dxa"/>
            <w:vAlign w:val="bottom"/>
            <w:tcBorders>
              <w:bottom w:val="single" w:sz="8" w:color="CEFFE7"/>
            </w:tcBorders>
            <w:gridSpan w:val="4"/>
          </w:tcPr>
          <w:p>
            <w:pPr>
              <w:ind w:left="40"/>
              <w:spacing w:after="0" w:line="270" w:lineRule="exact"/>
              <w:rPr>
                <w:sz w:val="20"/>
                <w:szCs w:val="20"/>
                <w:color w:val="auto"/>
              </w:rPr>
            </w:pPr>
            <w:r>
              <w:rPr>
                <w:rFonts w:ascii="Arial" w:cs="Arial" w:eastAsia="Arial" w:hAnsi="Arial"/>
                <w:sz w:val="18"/>
                <w:szCs w:val="18"/>
                <w:color w:val="auto"/>
              </w:rPr>
              <w:t xml:space="preserve">Mining </w:t>
            </w:r>
            <w:r>
              <w:rPr>
                <w:rFonts w:ascii="Arial" w:cs="Arial" w:eastAsia="Arial" w:hAnsi="Arial"/>
                <w:sz w:val="25"/>
                <w:szCs w:val="25"/>
                <w:color w:val="auto"/>
                <w:vertAlign w:val="superscript"/>
              </w:rPr>
              <w:t>(b)</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2,984</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2,890</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4"/>
        </w:trPr>
        <w:tc>
          <w:tcPr>
            <w:tcW w:w="4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4700" w:type="dxa"/>
            <w:vAlign w:val="bottom"/>
            <w:tcBorders>
              <w:bottom w:val="single" w:sz="8" w:color="CEFFE7"/>
            </w:tcBorders>
            <w:shd w:val="clear" w:color="auto" w:fill="CEFFE7"/>
          </w:tcPr>
          <w:p>
            <w:pPr>
              <w:spacing w:after="0"/>
              <w:rPr>
                <w:sz w:val="21"/>
                <w:szCs w:val="21"/>
                <w:color w:val="auto"/>
              </w:rPr>
            </w:pPr>
          </w:p>
        </w:tc>
        <w:tc>
          <w:tcPr>
            <w:tcW w:w="23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136,305</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77,660</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58,645</w:t>
            </w:r>
          </w:p>
        </w:tc>
        <w:tc>
          <w:tcPr>
            <w:tcW w:w="0" w:type="dxa"/>
            <w:vAlign w:val="bottom"/>
          </w:tcPr>
          <w:p>
            <w:pPr>
              <w:spacing w:after="0"/>
              <w:rPr>
                <w:sz w:val="1"/>
                <w:szCs w:val="1"/>
                <w:color w:val="auto"/>
              </w:rPr>
            </w:pPr>
          </w:p>
        </w:tc>
      </w:tr>
      <w:tr>
        <w:trPr>
          <w:trHeight w:val="270"/>
        </w:trPr>
        <w:tc>
          <w:tcPr>
            <w:tcW w:w="7660" w:type="dxa"/>
            <w:vAlign w:val="bottom"/>
            <w:tcBorders>
              <w:bottom w:val="single" w:sz="8" w:color="CEFFE7"/>
            </w:tcBorders>
            <w:gridSpan w:val="4"/>
          </w:tcPr>
          <w:p>
            <w:pPr>
              <w:ind w:left="40"/>
              <w:spacing w:after="0" w:line="27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5"/>
                <w:szCs w:val="25"/>
                <w:color w:val="auto"/>
                <w:vertAlign w:val="superscript"/>
              </w:rPr>
              <w:t>(b)</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44"/>
        </w:trPr>
        <w:tc>
          <w:tcPr>
            <w:tcW w:w="766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Net income from continuing operations</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135,347</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78,092</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57,255</w:t>
            </w:r>
          </w:p>
        </w:tc>
        <w:tc>
          <w:tcPr>
            <w:tcW w:w="0" w:type="dxa"/>
            <w:vAlign w:val="bottom"/>
          </w:tcPr>
          <w:p>
            <w:pPr>
              <w:spacing w:after="0"/>
              <w:rPr>
                <w:sz w:val="1"/>
                <w:szCs w:val="1"/>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(2,343)</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(1,569)</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4700" w:type="dxa"/>
            <w:vAlign w:val="bottom"/>
            <w:tcBorders>
              <w:bottom w:val="single" w:sz="8" w:color="CEFFE7"/>
            </w:tcBorders>
          </w:tcPr>
          <w:p>
            <w:pPr>
              <w:spacing w:after="0"/>
              <w:rPr>
                <w:sz w:val="2"/>
                <w:szCs w:val="2"/>
                <w:color w:val="auto"/>
              </w:rPr>
            </w:pPr>
          </w:p>
        </w:tc>
        <w:tc>
          <w:tcPr>
            <w:tcW w:w="23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76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Net income available for common stock</w:t>
            </w:r>
          </w:p>
        </w:tc>
        <w:tc>
          <w:tcPr>
            <w:tcW w:w="28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133,004</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76,523</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56,481</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6"/>
                <w:szCs w:val="16"/>
                <w:color w:val="auto"/>
              </w:rPr>
              <w:t>__________</w:t>
            </w:r>
          </w:p>
        </w:tc>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60" w:type="dxa"/>
            <w:vAlign w:val="bottom"/>
            <w:gridSpan w:val="3"/>
            <w:vMerge w:val="continue"/>
          </w:tcPr>
          <w:p>
            <w:pPr>
              <w:spacing w:after="0"/>
              <w:rPr>
                <w:sz w:val="15"/>
                <w:szCs w:val="15"/>
                <w:color w:val="auto"/>
              </w:rPr>
            </w:pPr>
          </w:p>
        </w:tc>
        <w:tc>
          <w:tcPr>
            <w:tcW w:w="2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4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 income (loss) from continuing operations for the three months ended March 31, 2018 included a $49 million tax benefit resulting from legal entity restructuring. See Note 19 of the Notes to Condensed Consolidated Financial Statements for more information.</w:t>
      </w:r>
    </w:p>
    <w:p>
      <w:pPr>
        <w:ind w:left="340" w:right="120" w:hanging="332"/>
        <w:spacing w:after="0" w:line="305"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income (loss) from continuing operations for the three months ended March 31, 2018 included approximately $2.3 million of income tax expense recorded primarily as a result of an increase to a valuation allowance associated with tax reform related changes in estimated future taxable income. The impact to our operating segments and Corporate and Other was: Electric Utilities $0.4 million; Mining $0.5 million; Power Generation $0.7 million; and Corporate and Other $0.7 million.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Overview of Business Segments and Corporate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Electric Utilities Segment</w:t>
      </w:r>
    </w:p>
    <w:p>
      <w:pPr>
        <w:spacing w:after="0" w:line="225" w:lineRule="exact"/>
        <w:rPr>
          <w:sz w:val="20"/>
          <w:szCs w:val="20"/>
          <w:color w:val="auto"/>
        </w:rPr>
      </w:pPr>
    </w:p>
    <w:p>
      <w:pPr>
        <w:ind w:left="660" w:right="18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Electric Utilities experienced colder winter weather during the three months ended March 31, 2018 compared to the three months ended March 31, 2017. Heating degree days for the three months ended March 31, 2018 were 1% higher than normal compared to 11% lower than normal for the same period in 2017.</w:t>
      </w:r>
    </w:p>
    <w:p>
      <w:pPr>
        <w:spacing w:after="0" w:line="181"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April 25, 2018, Colorado Electric received approval from the CPUC to contract with Black Hills Electric Generation to purchase 60 megawatts of wind energy through a 25-year power purchase agreement. This renewable energy will enable Colorado Electric to comply with Colorado's Renewable Energy Standard.</w:t>
      </w:r>
    </w:p>
    <w:p>
      <w:pPr>
        <w:spacing w:after="0" w:line="181" w:lineRule="exact"/>
        <w:rPr>
          <w:rFonts w:ascii="Arial" w:cs="Arial" w:eastAsia="Arial" w:hAnsi="Arial"/>
          <w:sz w:val="18"/>
          <w:szCs w:val="18"/>
          <w:color w:val="auto"/>
        </w:rPr>
      </w:pPr>
    </w:p>
    <w:p>
      <w:pPr>
        <w:jc w:val="both"/>
        <w:ind w:left="660" w:right="460" w:hanging="328"/>
        <w:spacing w:after="0" w:line="28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During the first quarter of 2018, South Dakota Electric commenced construction of a $70 million, 230-kV, 175 mile-long transmission line that connects Rapid City, South Dakota to Stegall, Nebraska. The project will be constructed in two segments, with the first segment expected to be placed in service in 2018 and the second segment expected to be serving customers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Gas Utilities Segment</w:t>
      </w:r>
    </w:p>
    <w:p>
      <w:pPr>
        <w:spacing w:after="0" w:line="225" w:lineRule="exact"/>
        <w:rPr>
          <w:sz w:val="20"/>
          <w:szCs w:val="20"/>
          <w:color w:val="auto"/>
        </w:rPr>
      </w:pPr>
    </w:p>
    <w:p>
      <w:pPr>
        <w:ind w:left="660" w:right="2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part of the Company’s ongoing efforts to continue to integrate the legal entities that the Company has acquired in recent years, certain legal entity restructuring transactions occurred on March 31, 2018. As a result of these transactions, additional deferred income tax assets of $49 million, related to goodwill that is amortizable for tax purposes, were recorded and deferred tax benefits of $49 million were recorded to income tax benefit (expense) on the Condensed Consolidated Statements of Income.</w:t>
      </w:r>
    </w:p>
    <w:p>
      <w:pPr>
        <w:spacing w:after="0" w:line="186"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April 16, 2018, RMNG received a recommended decision from a Colorado administrative law judge approving a settlement agreement with the Colorado Office of Consumer Counsel and staff on its rate review application previously filed on October 3, 2017. The settlement included $1.1 million in annual revenue increases and an extension of SSIR to recover costs from 2018 through December 31, 2021. The annual increase is based on a return on equity of 9.9% and a capital structure of 46.63% equity and 53.37% debt. New rates are expected to be effective June 1, 2018, pending approval from the CPUC.</w:t>
      </w:r>
    </w:p>
    <w:p>
      <w:pPr>
        <w:spacing w:after="0" w:line="188"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Gas Utilities experienced colder winter weather during the three months ended March 31, 2018 compared to the three months ended March 31, 2017. Heating degree days for the three months ended March 31, 2018 were 2% higher than normal compared to 13% lower than normal for the same period in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Power Generation</w:t>
      </w:r>
    </w:p>
    <w:p>
      <w:pPr>
        <w:spacing w:after="0" w:line="225" w:lineRule="exact"/>
        <w:rPr>
          <w:sz w:val="20"/>
          <w:szCs w:val="20"/>
          <w:color w:val="auto"/>
        </w:rPr>
      </w:pPr>
    </w:p>
    <w:p>
      <w:pPr>
        <w:ind w:left="660" w:right="3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April 25, 2018 Black Hills Electric Generation was selected to provide renewable energy to Colorado Electric from a new 60-megawatt wind project. The $71 million Busch Ranch II wind project is expected to be in service by the end of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and Other</w:t>
      </w:r>
    </w:p>
    <w:p>
      <w:pPr>
        <w:spacing w:after="0" w:line="225" w:lineRule="exact"/>
        <w:rPr>
          <w:sz w:val="20"/>
          <w:szCs w:val="20"/>
          <w:color w:val="auto"/>
        </w:rPr>
      </w:pPr>
    </w:p>
    <w:p>
      <w:pPr>
        <w:ind w:right="3340" w:firstLine="332"/>
        <w:spacing w:after="0" w:line="501"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On March 8, 2018, S&amp;P affirmed Black Hills’ credit rating at BBB and revised the outlook to Positive. </w:t>
      </w:r>
      <w:r>
        <w:rPr>
          <w:rFonts w:ascii="Arial" w:cs="Arial" w:eastAsia="Arial" w:hAnsi="Arial"/>
          <w:sz w:val="18"/>
          <w:szCs w:val="18"/>
          <w:u w:val="single" w:color="auto"/>
          <w:color w:val="auto"/>
        </w:rPr>
        <w:t>Discontinued Operations</w:t>
      </w:r>
    </w:p>
    <w:p>
      <w:pPr>
        <w:jc w:val="both"/>
        <w:ind w:left="660" w:right="52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November 1, 2017, the BHC Board of Directors approved a complete divestiture of our Oil and Gas segment. As of May 4, 2018, we have executed agreements to sell or we have closed on sales transactions for approximately 96% of our oil and gas properties. We expect to execute agreements to sell all remaining assets by mid-year 2018. See Note 18 of the Notes to Condensed Consolidated Financial Statements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discussion of operating results from our segments and Corporate activities follows. Revenues for operating segments in the following sections are presented in total and by retail class. For disaggregation of revenue by contract type and operating segment, see Note 2 of the Notes to Condensed Consolidated Financial Statements for more information.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9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from the measure. The presentation of gross margin is intended to supplement investors’ understanding of our operating performance.</w:t>
      </w:r>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Gross margin for our Electric Utilities is calculated as operating revenue less cost of fuel and purchased power. Gross margin for our Gas Utilities is calculated as operating revenue less cost of natural gas sold. Our gross margin is impacted by the fluctuations in power purchases and natural gas and other fuel supply costs. However, while these fluctuating costs impact gross margin as a percentage of revenue, they only impact total gross margin if the costs cannot be passed through to our customers.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gross margin measure may not be comparable to other companies’ gross margin measure. Furthermore, this measure is not intended to replace operating income as determined in accordance with GAAP as an indicator of operating performance.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20"/>
                <w:szCs w:val="20"/>
                <w:color w:val="auto"/>
              </w:rPr>
            </w:pPr>
            <w:r>
              <w:rPr>
                <w:rFonts w:ascii="Arial" w:cs="Arial" w:eastAsia="Arial" w:hAnsi="Arial"/>
                <w:sz w:val="18"/>
                <w:szCs w:val="18"/>
                <w:i w:val="1"/>
                <w:iCs w:val="1"/>
                <w:color w:val="auto"/>
              </w:rPr>
              <w:t>Electric Utilities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99"/>
        </w:trPr>
        <w:tc>
          <w:tcPr>
            <w:tcW w:w="1200" w:type="dxa"/>
            <w:vAlign w:val="bottom"/>
            <w:tcBorders>
              <w:top w:val="single" w:sz="8" w:color="auto"/>
            </w:tcBorders>
          </w:tcPr>
          <w:p>
            <w:pPr>
              <w:spacing w:after="0"/>
              <w:rPr>
                <w:sz w:val="24"/>
                <w:szCs w:val="24"/>
                <w:color w:val="auto"/>
              </w:rPr>
            </w:pPr>
          </w:p>
        </w:tc>
        <w:tc>
          <w:tcPr>
            <w:tcW w:w="5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4"/>
          </w:tcPr>
          <w:p>
            <w:pPr>
              <w:jc w:val="center"/>
              <w:ind w:left="650"/>
              <w:spacing w:after="0"/>
              <w:rPr>
                <w:sz w:val="20"/>
                <w:szCs w:val="20"/>
                <w:color w:val="auto"/>
              </w:rPr>
            </w:pPr>
            <w:r>
              <w:rPr>
                <w:rFonts w:ascii="Arial" w:cs="Arial" w:eastAsia="Arial" w:hAnsi="Arial"/>
                <w:sz w:val="18"/>
                <w:szCs w:val="18"/>
                <w:color w:val="auto"/>
                <w:w w:val="90"/>
              </w:rPr>
              <w:t>Three Months Ended March 31,</w:t>
            </w:r>
          </w:p>
        </w:tc>
        <w:tc>
          <w:tcPr>
            <w:tcW w:w="1060" w:type="dxa"/>
            <w:vAlign w:val="bottom"/>
          </w:tcPr>
          <w:p>
            <w:pPr>
              <w:spacing w:after="0"/>
              <w:rPr>
                <w:sz w:val="24"/>
                <w:szCs w:val="24"/>
                <w:color w:val="auto"/>
              </w:rPr>
            </w:pPr>
          </w:p>
        </w:tc>
      </w:tr>
      <w:tr>
        <w:trPr>
          <w:trHeight w:val="270"/>
        </w:trPr>
        <w:tc>
          <w:tcPr>
            <w:tcW w:w="1200" w:type="dxa"/>
            <w:vAlign w:val="bottom"/>
          </w:tcPr>
          <w:p>
            <w:pPr>
              <w:spacing w:after="0"/>
              <w:rPr>
                <w:sz w:val="23"/>
                <w:szCs w:val="23"/>
                <w:color w:val="auto"/>
              </w:rPr>
            </w:pPr>
          </w:p>
        </w:tc>
        <w:tc>
          <w:tcPr>
            <w:tcW w:w="5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3"/>
                <w:szCs w:val="23"/>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42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w w:val="87"/>
              </w:rPr>
              <w:t>Variance</w:t>
            </w:r>
          </w:p>
        </w:tc>
      </w:tr>
      <w:tr>
        <w:trPr>
          <w:trHeight w:val="27"/>
        </w:trPr>
        <w:tc>
          <w:tcPr>
            <w:tcW w:w="12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89"/>
              </w:rPr>
              <w:t>(in thousands)</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12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173,555</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176,024</w:t>
            </w:r>
          </w:p>
        </w:tc>
        <w:tc>
          <w:tcPr>
            <w:tcW w:w="420" w:type="dxa"/>
            <w:vAlign w:val="bottom"/>
            <w:tcBorders>
              <w:bottom w:val="single" w:sz="8" w:color="CEFFE7"/>
            </w:tcBorders>
            <w:shd w:val="clear" w:color="auto" w:fill="CEFFE7"/>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(2,469)</w:t>
            </w:r>
          </w:p>
        </w:tc>
      </w:tr>
      <w:tr>
        <w:trPr>
          <w:trHeight w:val="318"/>
        </w:trPr>
        <w:tc>
          <w:tcPr>
            <w:tcW w:w="12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7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Total fuel and purchased power</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67,123</w:t>
            </w:r>
          </w:p>
        </w:tc>
        <w:tc>
          <w:tcPr>
            <w:tcW w:w="1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68,400</w:t>
            </w:r>
          </w:p>
        </w:tc>
        <w:tc>
          <w:tcPr>
            <w:tcW w:w="42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(1,277)</w:t>
            </w:r>
          </w:p>
        </w:tc>
      </w:tr>
      <w:tr>
        <w:trPr>
          <w:trHeight w:val="318"/>
        </w:trPr>
        <w:tc>
          <w:tcPr>
            <w:tcW w:w="12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7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106,432</w:t>
            </w:r>
          </w:p>
        </w:tc>
        <w:tc>
          <w:tcPr>
            <w:tcW w:w="1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107,624</w:t>
            </w:r>
          </w:p>
        </w:tc>
        <w:tc>
          <w:tcPr>
            <w:tcW w:w="42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(1,192)</w:t>
            </w:r>
          </w:p>
        </w:tc>
      </w:tr>
      <w:tr>
        <w:trPr>
          <w:trHeight w:val="318"/>
        </w:trPr>
        <w:tc>
          <w:tcPr>
            <w:tcW w:w="12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45,093</w:t>
            </w:r>
          </w:p>
        </w:tc>
        <w:tc>
          <w:tcPr>
            <w:tcW w:w="1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40,783</w:t>
            </w:r>
          </w:p>
        </w:tc>
        <w:tc>
          <w:tcPr>
            <w:tcW w:w="4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4,310</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24,513</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22,861</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1,652</w:t>
            </w:r>
          </w:p>
        </w:tc>
      </w:tr>
      <w:tr>
        <w:trPr>
          <w:trHeight w:val="27"/>
        </w:trPr>
        <w:tc>
          <w:tcPr>
            <w:tcW w:w="1200" w:type="dxa"/>
            <w:vAlign w:val="bottom"/>
            <w:tcBorders>
              <w:bottom w:val="single" w:sz="8" w:color="CEFFE7"/>
            </w:tcBorders>
          </w:tcPr>
          <w:p>
            <w:pPr>
              <w:spacing w:after="0"/>
              <w:rPr>
                <w:sz w:val="2"/>
                <w:szCs w:val="2"/>
                <w:color w:val="auto"/>
              </w:rPr>
            </w:pPr>
          </w:p>
        </w:tc>
        <w:tc>
          <w:tcPr>
            <w:tcW w:w="578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69,606</w:t>
            </w:r>
          </w:p>
        </w:tc>
        <w:tc>
          <w:tcPr>
            <w:tcW w:w="180" w:type="dxa"/>
            <w:vAlign w:val="bottom"/>
            <w:tcBorders>
              <w:bottom w:val="single" w:sz="8" w:color="CEFFE7"/>
            </w:tcBorders>
            <w:shd w:val="clear" w:color="auto" w:fill="CEFFE7"/>
          </w:tcPr>
          <w:p>
            <w:pPr>
              <w:spacing w:after="0"/>
              <w:rPr>
                <w:sz w:val="22"/>
                <w:szCs w:val="22"/>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63,644</w:t>
            </w:r>
          </w:p>
        </w:tc>
        <w:tc>
          <w:tcPr>
            <w:tcW w:w="42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5,962</w:t>
            </w:r>
          </w:p>
        </w:tc>
      </w:tr>
      <w:tr>
        <w:trPr>
          <w:trHeight w:val="318"/>
        </w:trPr>
        <w:tc>
          <w:tcPr>
            <w:tcW w:w="12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7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36,826</w:t>
            </w:r>
          </w:p>
        </w:tc>
        <w:tc>
          <w:tcPr>
            <w:tcW w:w="1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43,980</w:t>
            </w:r>
          </w:p>
        </w:tc>
        <w:tc>
          <w:tcPr>
            <w:tcW w:w="42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(7,154)</w:t>
            </w:r>
          </w:p>
        </w:tc>
      </w:tr>
      <w:tr>
        <w:trPr>
          <w:trHeight w:val="318"/>
        </w:trPr>
        <w:tc>
          <w:tcPr>
            <w:tcW w:w="12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(13,291)</w:t>
            </w:r>
          </w:p>
        </w:tc>
        <w:tc>
          <w:tcPr>
            <w:tcW w:w="1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(13,412)</w:t>
            </w:r>
          </w:p>
        </w:tc>
        <w:tc>
          <w:tcPr>
            <w:tcW w:w="4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7"/>
        </w:trPr>
        <w:tc>
          <w:tcPr>
            <w:tcW w:w="12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(3,509)</w:t>
            </w:r>
          </w:p>
        </w:tc>
        <w:tc>
          <w:tcPr>
            <w:tcW w:w="1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(8,678)</w:t>
            </w:r>
          </w:p>
        </w:tc>
        <w:tc>
          <w:tcPr>
            <w:tcW w:w="42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5,169</w:t>
            </w:r>
          </w:p>
        </w:tc>
      </w:tr>
      <w:tr>
        <w:trPr>
          <w:trHeight w:val="257"/>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19,845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22,230</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(2,385)</w:t>
            </w:r>
          </w:p>
        </w:tc>
      </w:tr>
      <w:tr>
        <w:trPr>
          <w:trHeight w:val="20"/>
        </w:trPr>
        <w:tc>
          <w:tcPr>
            <w:tcW w:w="12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Results of Operations for the Electric Utilities for the Three Months Ended March 31, 2018 Compared to the Three Months Ended March 31, 2017: </w:t>
      </w:r>
      <w:r>
        <w:rPr>
          <w:rFonts w:ascii="Arial" w:cs="Arial" w:eastAsia="Arial" w:hAnsi="Arial"/>
          <w:sz w:val="16"/>
          <w:szCs w:val="16"/>
          <w:color w:val="auto"/>
        </w:rPr>
        <w:t>Net income from continuing operations available for common stock for the Electric Utilities was $20 million for the three months ended March 31, 2018, compared to Net income from continuing operations available for common stock of $22 million for the three months ended March 31, 2017, as a result of:</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decreased primarily due to a $6.1 million reserve to revenue to reflect the lower federal income tax rate from the TCJA on our existing rate tariffs, lower commercial and industrial demand of $0.5 million and lower Peak View margins of $0.3 million. These decreases were partially offset by a $1.7 million increase in residential margins from colder weather in the current year, higher rider revenues of $1.6 million primarily related to transmission investment recovery and higher non-energy revenue of $2.6 million.</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increased primarily due to $2.8 million of higher vegetation management expenses. Higher employee costs, property taxes and outage related expenses comprise the remainder of the increase compared to the same period in the prior year.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65" w:right="239" w:bottom="1440" w:gutter="0" w:footer="0" w:header="0"/>
        </w:sectPr>
      </w:pPr>
    </w:p>
    <w:bookmarkStart w:id="40" w:name="page41"/>
    <w:bookmarkEnd w:id="40"/>
    <w:p>
      <w:pPr>
        <w:ind w:right="580"/>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the prior year additions of Horizon Point and the Teckla-Osage transmission 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decreased due to higher prior year AFUDC associated with higher prior year capital spend.</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effective tax rate decreased from the prior year due to the reduction in the federal corporate income tax rate from 35 percent to 21 percent from the TCJA, effective January 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Statistics</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3"/>
          </w:tcPr>
          <w:p>
            <w:pPr>
              <w:jc w:val="center"/>
              <w:ind w:right="79"/>
              <w:spacing w:after="0"/>
              <w:rPr>
                <w:sz w:val="20"/>
                <w:szCs w:val="20"/>
                <w:color w:val="auto"/>
              </w:rPr>
            </w:pPr>
            <w:r>
              <w:rPr>
                <w:rFonts w:ascii="Arial" w:cs="Arial" w:eastAsia="Arial" w:hAnsi="Arial"/>
                <w:sz w:val="16"/>
                <w:szCs w:val="16"/>
                <w:color w:val="auto"/>
                <w:w w:val="92"/>
              </w:rPr>
              <w:t>Electric Revenue (in</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3"/>
          </w:tcPr>
          <w:p>
            <w:pPr>
              <w:jc w:val="center"/>
              <w:ind w:right="79"/>
              <w:spacing w:after="0"/>
              <w:rPr>
                <w:sz w:val="20"/>
                <w:szCs w:val="20"/>
                <w:color w:val="auto"/>
              </w:rPr>
            </w:pPr>
            <w:r>
              <w:rPr>
                <w:rFonts w:ascii="Arial" w:cs="Arial" w:eastAsia="Arial" w:hAnsi="Arial"/>
                <w:sz w:val="16"/>
                <w:szCs w:val="16"/>
                <w:color w:val="auto"/>
                <w:w w:val="90"/>
              </w:rPr>
              <w:t>thousands)</w:t>
            </w:r>
          </w:p>
        </w:tc>
        <w:tc>
          <w:tcPr>
            <w:tcW w:w="120" w:type="dxa"/>
            <w:vAlign w:val="bottom"/>
          </w:tcPr>
          <w:p>
            <w:pPr>
              <w:spacing w:after="0"/>
              <w:rPr>
                <w:sz w:val="17"/>
                <w:szCs w:val="17"/>
                <w:color w:val="auto"/>
              </w:rPr>
            </w:pPr>
          </w:p>
        </w:tc>
        <w:tc>
          <w:tcPr>
            <w:tcW w:w="1960" w:type="dxa"/>
            <w:vAlign w:val="bottom"/>
            <w:gridSpan w:val="2"/>
          </w:tcPr>
          <w:p>
            <w:pPr>
              <w:jc w:val="center"/>
              <w:spacing w:after="0"/>
              <w:rPr>
                <w:sz w:val="20"/>
                <w:szCs w:val="20"/>
                <w:color w:val="auto"/>
              </w:rPr>
            </w:pPr>
            <w:r>
              <w:rPr>
                <w:rFonts w:ascii="Arial" w:cs="Arial" w:eastAsia="Arial" w:hAnsi="Arial"/>
                <w:sz w:val="16"/>
                <w:szCs w:val="16"/>
                <w:color w:val="auto"/>
                <w:w w:val="94"/>
              </w:rPr>
              <w:t>Quantities sold (MWh)</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center"/>
              <w:ind w:right="79"/>
              <w:spacing w:after="0"/>
              <w:rPr>
                <w:sz w:val="20"/>
                <w:szCs w:val="20"/>
                <w:color w:val="auto"/>
              </w:rPr>
            </w:pPr>
            <w:r>
              <w:rPr>
                <w:rFonts w:ascii="Arial" w:cs="Arial" w:eastAsia="Arial" w:hAnsi="Arial"/>
                <w:sz w:val="16"/>
                <w:szCs w:val="16"/>
                <w:color w:val="auto"/>
                <w:w w:val="90"/>
              </w:rPr>
              <w:t>Three Months Ended</w:t>
            </w:r>
          </w:p>
        </w:tc>
        <w:tc>
          <w:tcPr>
            <w:tcW w:w="12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6"/>
                <w:szCs w:val="16"/>
                <w:color w:val="auto"/>
                <w:w w:val="90"/>
              </w:rPr>
              <w:t>Three Months Ended</w:t>
            </w:r>
          </w:p>
        </w:tc>
        <w:tc>
          <w:tcPr>
            <w:tcW w:w="0" w:type="dxa"/>
            <w:vAlign w:val="bottom"/>
          </w:tcPr>
          <w:p>
            <w:pPr>
              <w:spacing w:after="0"/>
              <w:rPr>
                <w:sz w:val="1"/>
                <w:szCs w:val="1"/>
                <w:color w:val="auto"/>
              </w:rPr>
            </w:pPr>
          </w:p>
        </w:tc>
      </w:tr>
      <w:tr>
        <w:trPr>
          <w:trHeight w:val="206"/>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3"/>
          </w:tcPr>
          <w:p>
            <w:pPr>
              <w:jc w:val="center"/>
              <w:ind w:right="79"/>
              <w:spacing w:after="0"/>
              <w:rPr>
                <w:sz w:val="20"/>
                <w:szCs w:val="20"/>
                <w:color w:val="auto"/>
              </w:rPr>
            </w:pPr>
            <w:r>
              <w:rPr>
                <w:rFonts w:ascii="Arial" w:cs="Arial" w:eastAsia="Arial" w:hAnsi="Arial"/>
                <w:sz w:val="16"/>
                <w:szCs w:val="16"/>
                <w:color w:val="auto"/>
                <w:w w:val="95"/>
              </w:rPr>
              <w:t>March 31,</w:t>
            </w:r>
          </w:p>
        </w:tc>
        <w:tc>
          <w:tcPr>
            <w:tcW w:w="120" w:type="dxa"/>
            <w:vAlign w:val="bottom"/>
          </w:tcPr>
          <w:p>
            <w:pPr>
              <w:spacing w:after="0"/>
              <w:rPr>
                <w:sz w:val="17"/>
                <w:szCs w:val="17"/>
                <w:color w:val="auto"/>
              </w:rPr>
            </w:pPr>
          </w:p>
        </w:tc>
        <w:tc>
          <w:tcPr>
            <w:tcW w:w="1960" w:type="dxa"/>
            <w:vAlign w:val="bottom"/>
            <w:gridSpan w:val="2"/>
          </w:tcPr>
          <w:p>
            <w:pPr>
              <w:jc w:val="center"/>
              <w:spacing w:after="0"/>
              <w:rPr>
                <w:sz w:val="20"/>
                <w:szCs w:val="20"/>
                <w:color w:val="auto"/>
              </w:rPr>
            </w:pPr>
            <w:r>
              <w:rPr>
                <w:rFonts w:ascii="Arial" w:cs="Arial" w:eastAsia="Arial" w:hAnsi="Arial"/>
                <w:sz w:val="16"/>
                <w:szCs w:val="16"/>
                <w:color w:val="auto"/>
                <w:w w:val="92"/>
              </w:rPr>
              <w:t>March 31,</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2018</w:t>
            </w:r>
          </w:p>
        </w:tc>
        <w:tc>
          <w:tcPr>
            <w:tcW w:w="360" w:type="dxa"/>
            <w:vAlign w:val="bottom"/>
          </w:tcPr>
          <w:p>
            <w:pPr>
              <w:spacing w:after="0"/>
              <w:rPr>
                <w:sz w:val="23"/>
                <w:szCs w:val="23"/>
                <w:color w:val="auto"/>
              </w:rPr>
            </w:pPr>
          </w:p>
        </w:tc>
        <w:tc>
          <w:tcPr>
            <w:tcW w:w="660" w:type="dxa"/>
            <w:vAlign w:val="bottom"/>
          </w:tcPr>
          <w:p>
            <w:pPr>
              <w:jc w:val="right"/>
              <w:ind w:right="239"/>
              <w:spacing w:after="0"/>
              <w:rPr>
                <w:sz w:val="20"/>
                <w:szCs w:val="20"/>
                <w:color w:val="auto"/>
              </w:rPr>
            </w:pPr>
            <w:r>
              <w:rPr>
                <w:rFonts w:ascii="Arial" w:cs="Arial" w:eastAsia="Arial" w:hAnsi="Arial"/>
                <w:sz w:val="16"/>
                <w:szCs w:val="16"/>
                <w:color w:val="auto"/>
                <w:w w:val="89"/>
              </w:rPr>
              <w:t>2017</w:t>
            </w:r>
          </w:p>
        </w:tc>
        <w:tc>
          <w:tcPr>
            <w:tcW w:w="1160" w:type="dxa"/>
            <w:vAlign w:val="bottom"/>
            <w:gridSpan w:val="2"/>
          </w:tcPr>
          <w:p>
            <w:pPr>
              <w:jc w:val="right"/>
              <w:ind w:right="319"/>
              <w:spacing w:after="0"/>
              <w:rPr>
                <w:sz w:val="20"/>
                <w:szCs w:val="20"/>
                <w:color w:val="auto"/>
              </w:rPr>
            </w:pPr>
            <w:r>
              <w:rPr>
                <w:rFonts w:ascii="Arial" w:cs="Arial" w:eastAsia="Arial" w:hAnsi="Arial"/>
                <w:sz w:val="16"/>
                <w:szCs w:val="16"/>
                <w:color w:val="auto"/>
              </w:rPr>
              <w:t>2018</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4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Residential</w:t>
            </w:r>
          </w:p>
        </w:tc>
        <w:tc>
          <w:tcPr>
            <w:tcW w:w="2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gridSpan w:val="2"/>
            <w:shd w:val="clear" w:color="auto" w:fill="CEFFE7"/>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55,741</w:t>
            </w:r>
          </w:p>
        </w:tc>
        <w:tc>
          <w:tcPr>
            <w:tcW w:w="36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54,218</w:t>
            </w:r>
          </w:p>
        </w:tc>
        <w:tc>
          <w:tcPr>
            <w:tcW w:w="11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383,270</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362,105</w:t>
            </w:r>
          </w:p>
        </w:tc>
        <w:tc>
          <w:tcPr>
            <w:tcW w:w="0" w:type="dxa"/>
            <w:vAlign w:val="bottom"/>
          </w:tcPr>
          <w:p>
            <w:pPr>
              <w:spacing w:after="0"/>
              <w:rPr>
                <w:sz w:val="1"/>
                <w:szCs w:val="1"/>
                <w:color w:val="auto"/>
              </w:rPr>
            </w:pPr>
          </w:p>
        </w:tc>
      </w:tr>
      <w:tr>
        <w:trPr>
          <w:trHeight w:val="237"/>
        </w:trPr>
        <w:tc>
          <w:tcPr>
            <w:tcW w:w="490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61,984</w:t>
            </w:r>
          </w:p>
        </w:tc>
        <w:tc>
          <w:tcPr>
            <w:tcW w:w="3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63,513</w:t>
            </w: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500,136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504,074</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Industrial</w:t>
            </w:r>
          </w:p>
        </w:tc>
        <w:tc>
          <w:tcPr>
            <w:tcW w:w="2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30,800</w:t>
            </w:r>
          </w:p>
        </w:tc>
        <w:tc>
          <w:tcPr>
            <w:tcW w:w="36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30,283</w:t>
            </w:r>
          </w:p>
        </w:tc>
        <w:tc>
          <w:tcPr>
            <w:tcW w:w="11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400,709</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390,574</w:t>
            </w:r>
          </w:p>
        </w:tc>
        <w:tc>
          <w:tcPr>
            <w:tcW w:w="0" w:type="dxa"/>
            <w:vAlign w:val="bottom"/>
          </w:tcPr>
          <w:p>
            <w:pPr>
              <w:spacing w:after="0"/>
              <w:rPr>
                <w:sz w:val="1"/>
                <w:szCs w:val="1"/>
                <w:color w:val="auto"/>
              </w:rPr>
            </w:pPr>
          </w:p>
        </w:tc>
      </w:tr>
      <w:tr>
        <w:trPr>
          <w:trHeight w:val="237"/>
        </w:trPr>
        <w:tc>
          <w:tcPr>
            <w:tcW w:w="4900" w:type="dxa"/>
            <w:vAlign w:val="bottom"/>
            <w:gridSpan w:val="2"/>
          </w:tcPr>
          <w:p>
            <w:pPr>
              <w:ind w:left="40"/>
              <w:spacing w:after="0"/>
              <w:rPr>
                <w:sz w:val="20"/>
                <w:szCs w:val="20"/>
                <w:color w:val="auto"/>
              </w:rPr>
            </w:pPr>
            <w:r>
              <w:rPr>
                <w:rFonts w:ascii="Arial" w:cs="Arial" w:eastAsia="Arial" w:hAnsi="Arial"/>
                <w:sz w:val="16"/>
                <w:szCs w:val="16"/>
                <w:color w:val="auto"/>
              </w:rPr>
              <w:t>Municipal</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4,141</w:t>
            </w:r>
          </w:p>
        </w:tc>
        <w:tc>
          <w:tcPr>
            <w:tcW w:w="3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4,300</w:t>
            </w: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36,324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36,972</w:t>
            </w:r>
          </w:p>
        </w:tc>
        <w:tc>
          <w:tcPr>
            <w:tcW w:w="0" w:type="dxa"/>
            <w:vAlign w:val="bottom"/>
          </w:tcPr>
          <w:p>
            <w:pPr>
              <w:spacing w:after="0"/>
              <w:rPr>
                <w:sz w:val="1"/>
                <w:szCs w:val="1"/>
                <w:color w:val="auto"/>
              </w:rPr>
            </w:pPr>
          </w:p>
        </w:tc>
      </w:tr>
      <w:tr>
        <w:trPr>
          <w:trHeight w:val="33"/>
        </w:trPr>
        <w:tc>
          <w:tcPr>
            <w:tcW w:w="47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20" w:type="dxa"/>
            <w:vAlign w:val="bottom"/>
            <w:tcBorders>
              <w:bottom w:val="single" w:sz="8" w:color="CEFFE7"/>
            </w:tcBorders>
          </w:tcPr>
          <w:p>
            <w:pPr>
              <w:spacing w:after="0"/>
              <w:rPr>
                <w:sz w:val="2"/>
                <w:szCs w:val="2"/>
                <w:color w:val="auto"/>
              </w:rPr>
            </w:pPr>
          </w:p>
        </w:tc>
        <w:tc>
          <w:tcPr>
            <w:tcW w:w="760" w:type="dxa"/>
            <w:vAlign w:val="bottom"/>
            <w:tcBorders>
              <w:bottom w:val="single" w:sz="8" w:color="CEFFE7"/>
            </w:tcBorders>
          </w:tcPr>
          <w:p>
            <w:pPr>
              <w:spacing w:after="0"/>
              <w:rPr>
                <w:sz w:val="2"/>
                <w:szCs w:val="2"/>
                <w:color w:val="auto"/>
              </w:rPr>
            </w:pPr>
          </w:p>
        </w:tc>
        <w:tc>
          <w:tcPr>
            <w:tcW w:w="260" w:type="dxa"/>
            <w:vAlign w:val="bottom"/>
            <w:tcBorders>
              <w:bottom w:val="single" w:sz="8" w:color="CEFFE7"/>
            </w:tcBorders>
          </w:tcPr>
          <w:p>
            <w:pPr>
              <w:spacing w:after="0"/>
              <w:rPr>
                <w:sz w:val="2"/>
                <w:szCs w:val="2"/>
                <w:color w:val="auto"/>
              </w:rPr>
            </w:pPr>
          </w:p>
        </w:tc>
        <w:tc>
          <w:tcPr>
            <w:tcW w:w="72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Subtotal Retail Revenue - Electric</w:t>
            </w:r>
          </w:p>
        </w:tc>
        <w:tc>
          <w:tcPr>
            <w:tcW w:w="2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152,666</w:t>
            </w:r>
          </w:p>
        </w:tc>
        <w:tc>
          <w:tcPr>
            <w:tcW w:w="36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3"/>
              </w:rPr>
              <w:t>152,314</w:t>
            </w:r>
          </w:p>
        </w:tc>
        <w:tc>
          <w:tcPr>
            <w:tcW w:w="11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1,320,439</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1,293,725</w:t>
            </w:r>
          </w:p>
        </w:tc>
        <w:tc>
          <w:tcPr>
            <w:tcW w:w="0" w:type="dxa"/>
            <w:vAlign w:val="bottom"/>
          </w:tcPr>
          <w:p>
            <w:pPr>
              <w:spacing w:after="0"/>
              <w:rPr>
                <w:sz w:val="1"/>
                <w:szCs w:val="1"/>
                <w:color w:val="auto"/>
              </w:rPr>
            </w:pPr>
          </w:p>
        </w:tc>
      </w:tr>
      <w:tr>
        <w:trPr>
          <w:trHeight w:val="217"/>
        </w:trPr>
        <w:tc>
          <w:tcPr>
            <w:tcW w:w="4900" w:type="dxa"/>
            <w:vAlign w:val="bottom"/>
            <w:gridSpan w:val="2"/>
          </w:tcPr>
          <w:p>
            <w:pPr>
              <w:ind w:left="40"/>
              <w:spacing w:after="0"/>
              <w:rPr>
                <w:sz w:val="20"/>
                <w:szCs w:val="20"/>
                <w:color w:val="auto"/>
              </w:rPr>
            </w:pPr>
            <w:r>
              <w:rPr>
                <w:rFonts w:ascii="Arial" w:cs="Arial" w:eastAsia="Arial" w:hAnsi="Arial"/>
                <w:sz w:val="16"/>
                <w:szCs w:val="16"/>
                <w:color w:val="auto"/>
              </w:rPr>
              <w:t>Contract Wholesale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9,050</w:t>
            </w: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7,843</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237,704</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186,116</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Off-system/Power Marketing Wholesale</w:t>
            </w:r>
          </w:p>
        </w:tc>
        <w:tc>
          <w:tcPr>
            <w:tcW w:w="2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4,144</w:t>
            </w:r>
          </w:p>
        </w:tc>
        <w:tc>
          <w:tcPr>
            <w:tcW w:w="36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5,510</w:t>
            </w:r>
          </w:p>
        </w:tc>
        <w:tc>
          <w:tcPr>
            <w:tcW w:w="11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129,041</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187,435</w:t>
            </w:r>
          </w:p>
        </w:tc>
        <w:tc>
          <w:tcPr>
            <w:tcW w:w="0" w:type="dxa"/>
            <w:vAlign w:val="bottom"/>
          </w:tcPr>
          <w:p>
            <w:pPr>
              <w:spacing w:after="0"/>
              <w:rPr>
                <w:sz w:val="1"/>
                <w:szCs w:val="1"/>
                <w:color w:val="auto"/>
              </w:rPr>
            </w:pPr>
          </w:p>
        </w:tc>
      </w:tr>
      <w:tr>
        <w:trPr>
          <w:trHeight w:val="237"/>
        </w:trPr>
        <w:tc>
          <w:tcPr>
            <w:tcW w:w="490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7,695</w:t>
            </w:r>
          </w:p>
        </w:tc>
        <w:tc>
          <w:tcPr>
            <w:tcW w:w="3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10,357</w:t>
            </w:r>
          </w:p>
        </w:tc>
        <w:tc>
          <w:tcPr>
            <w:tcW w:w="1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20" w:type="dxa"/>
            <w:vAlign w:val="bottom"/>
            <w:tcBorders>
              <w:bottom w:val="single" w:sz="8" w:color="CEFFE7"/>
            </w:tcBorders>
          </w:tcPr>
          <w:p>
            <w:pPr>
              <w:spacing w:after="0"/>
              <w:rPr>
                <w:sz w:val="2"/>
                <w:szCs w:val="2"/>
                <w:color w:val="auto"/>
              </w:rPr>
            </w:pPr>
          </w:p>
        </w:tc>
        <w:tc>
          <w:tcPr>
            <w:tcW w:w="760" w:type="dxa"/>
            <w:vAlign w:val="bottom"/>
            <w:tcBorders>
              <w:bottom w:val="single" w:sz="8" w:color="CEFFE7"/>
            </w:tcBorders>
          </w:tcPr>
          <w:p>
            <w:pPr>
              <w:spacing w:after="0"/>
              <w:rPr>
                <w:sz w:val="2"/>
                <w:szCs w:val="2"/>
                <w:color w:val="auto"/>
              </w:rPr>
            </w:pPr>
          </w:p>
        </w:tc>
        <w:tc>
          <w:tcPr>
            <w:tcW w:w="260" w:type="dxa"/>
            <w:vAlign w:val="bottom"/>
            <w:tcBorders>
              <w:bottom w:val="single" w:sz="8" w:color="CEFFE7"/>
            </w:tcBorders>
          </w:tcPr>
          <w:p>
            <w:pPr>
              <w:spacing w:after="0"/>
              <w:rPr>
                <w:sz w:val="2"/>
                <w:szCs w:val="2"/>
                <w:color w:val="auto"/>
              </w:rPr>
            </w:pPr>
          </w:p>
        </w:tc>
        <w:tc>
          <w:tcPr>
            <w:tcW w:w="72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Revenue and Energy Sold</w:t>
            </w:r>
          </w:p>
        </w:tc>
        <w:tc>
          <w:tcPr>
            <w:tcW w:w="22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CEFFE7"/>
            </w:tcBorders>
            <w:shd w:val="clear" w:color="auto" w:fill="CEFFE7"/>
          </w:tcPr>
          <w:p>
            <w:pPr>
              <w:spacing w:after="0"/>
              <w:rPr>
                <w:sz w:val="20"/>
                <w:szCs w:val="20"/>
                <w:color w:val="auto"/>
              </w:rPr>
            </w:pPr>
          </w:p>
        </w:tc>
        <w:tc>
          <w:tcPr>
            <w:tcW w:w="720" w:type="dxa"/>
            <w:vAlign w:val="bottom"/>
            <w:tcBorders>
              <w:bottom w:val="single" w:sz="8" w:color="CEFFE7"/>
            </w:tcBorders>
            <w:shd w:val="clear" w:color="auto" w:fill="CEFFE7"/>
          </w:tcPr>
          <w:p>
            <w:pPr>
              <w:spacing w:after="0"/>
              <w:rPr>
                <w:sz w:val="20"/>
                <w:szCs w:val="20"/>
                <w:color w:val="auto"/>
              </w:rPr>
            </w:pPr>
          </w:p>
        </w:tc>
        <w:tc>
          <w:tcPr>
            <w:tcW w:w="40" w:type="dxa"/>
            <w:vAlign w:val="bottom"/>
            <w:tcBorders>
              <w:bottom w:val="single" w:sz="8" w:color="CEFFE7"/>
            </w:tcBorders>
            <w:shd w:val="clear" w:color="auto" w:fill="CEFFE7"/>
          </w:tcPr>
          <w:p>
            <w:pPr>
              <w:spacing w:after="0"/>
              <w:rPr>
                <w:sz w:val="20"/>
                <w:szCs w:val="20"/>
                <w:color w:val="auto"/>
              </w:rPr>
            </w:pPr>
          </w:p>
        </w:tc>
        <w:tc>
          <w:tcPr>
            <w:tcW w:w="80" w:type="dxa"/>
            <w:vAlign w:val="bottom"/>
            <w:tcBorders>
              <w:bottom w:val="single" w:sz="8" w:color="CEFFE7"/>
            </w:tcBorders>
            <w:shd w:val="clear" w:color="auto" w:fill="CEFFE7"/>
          </w:tcPr>
          <w:p>
            <w:pPr>
              <w:spacing w:after="0"/>
              <w:rPr>
                <w:sz w:val="20"/>
                <w:szCs w:val="20"/>
                <w:color w:val="auto"/>
              </w:rPr>
            </w:pPr>
          </w:p>
        </w:tc>
        <w:tc>
          <w:tcPr>
            <w:tcW w:w="40" w:type="dxa"/>
            <w:vAlign w:val="bottom"/>
            <w:tcBorders>
              <w:bottom w:val="single" w:sz="8" w:color="CEFFE7"/>
            </w:tcBorders>
            <w:shd w:val="clear" w:color="auto" w:fill="CEFFE7"/>
          </w:tcPr>
          <w:p>
            <w:pPr>
              <w:spacing w:after="0"/>
              <w:rPr>
                <w:sz w:val="20"/>
                <w:szCs w:val="20"/>
                <w:color w:val="auto"/>
              </w:rPr>
            </w:pPr>
          </w:p>
        </w:tc>
        <w:tc>
          <w:tcPr>
            <w:tcW w:w="16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173,555</w:t>
            </w:r>
          </w:p>
        </w:tc>
        <w:tc>
          <w:tcPr>
            <w:tcW w:w="360" w:type="dxa"/>
            <w:vAlign w:val="bottom"/>
            <w:tcBorders>
              <w:bottom w:val="single" w:sz="8" w:color="CEFFE7"/>
            </w:tcBorders>
            <w:shd w:val="clear" w:color="auto" w:fill="CEFFE7"/>
          </w:tcPr>
          <w:p>
            <w:pPr>
              <w:spacing w:after="0"/>
              <w:rPr>
                <w:sz w:val="20"/>
                <w:szCs w:val="20"/>
                <w:color w:val="auto"/>
              </w:rPr>
            </w:pPr>
          </w:p>
        </w:tc>
        <w:tc>
          <w:tcPr>
            <w:tcW w:w="6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3"/>
              </w:rPr>
              <w:t>176,024</w:t>
            </w:r>
          </w:p>
        </w:tc>
        <w:tc>
          <w:tcPr>
            <w:tcW w:w="11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1,687,184</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1,667,276</w:t>
            </w:r>
          </w:p>
        </w:tc>
        <w:tc>
          <w:tcPr>
            <w:tcW w:w="0" w:type="dxa"/>
            <w:vAlign w:val="bottom"/>
          </w:tcPr>
          <w:p>
            <w:pPr>
              <w:spacing w:after="0"/>
              <w:rPr>
                <w:sz w:val="1"/>
                <w:szCs w:val="1"/>
                <w:color w:val="auto"/>
              </w:rPr>
            </w:pPr>
          </w:p>
        </w:tc>
      </w:tr>
      <w:tr>
        <w:trPr>
          <w:trHeight w:val="237"/>
        </w:trPr>
        <w:tc>
          <w:tcPr>
            <w:tcW w:w="4900" w:type="dxa"/>
            <w:vAlign w:val="bottom"/>
            <w:gridSpan w:val="2"/>
          </w:tcPr>
          <w:p>
            <w:pPr>
              <w:ind w:left="40"/>
              <w:spacing w:after="0"/>
              <w:rPr>
                <w:sz w:val="20"/>
                <w:szCs w:val="20"/>
                <w:color w:val="auto"/>
              </w:rPr>
            </w:pPr>
            <w:r>
              <w:rPr>
                <w:rFonts w:ascii="Arial" w:cs="Arial" w:eastAsia="Arial" w:hAnsi="Arial"/>
                <w:sz w:val="16"/>
                <w:szCs w:val="16"/>
                <w:color w:val="auto"/>
              </w:rPr>
              <w:t>Other Uses, Losses or Generation, net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90,855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103,335</w:t>
            </w:r>
          </w:p>
        </w:tc>
        <w:tc>
          <w:tcPr>
            <w:tcW w:w="0" w:type="dxa"/>
            <w:vAlign w:val="bottom"/>
          </w:tcPr>
          <w:p>
            <w:pPr>
              <w:spacing w:after="0"/>
              <w:rPr>
                <w:sz w:val="1"/>
                <w:szCs w:val="1"/>
                <w:color w:val="auto"/>
              </w:rPr>
            </w:pPr>
          </w:p>
        </w:tc>
      </w:tr>
      <w:tr>
        <w:trPr>
          <w:trHeight w:val="33"/>
        </w:trPr>
        <w:tc>
          <w:tcPr>
            <w:tcW w:w="47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20" w:type="dxa"/>
            <w:vAlign w:val="bottom"/>
            <w:tcBorders>
              <w:bottom w:val="single" w:sz="8" w:color="CEFFE7"/>
            </w:tcBorders>
          </w:tcPr>
          <w:p>
            <w:pPr>
              <w:spacing w:after="0"/>
              <w:rPr>
                <w:sz w:val="2"/>
                <w:szCs w:val="2"/>
                <w:color w:val="auto"/>
              </w:rPr>
            </w:pPr>
          </w:p>
        </w:tc>
        <w:tc>
          <w:tcPr>
            <w:tcW w:w="760" w:type="dxa"/>
            <w:vAlign w:val="bottom"/>
            <w:tcBorders>
              <w:bottom w:val="single" w:sz="8" w:color="CEFFE7"/>
            </w:tcBorders>
          </w:tcPr>
          <w:p>
            <w:pPr>
              <w:spacing w:after="0"/>
              <w:rPr>
                <w:sz w:val="2"/>
                <w:szCs w:val="2"/>
                <w:color w:val="auto"/>
              </w:rPr>
            </w:pPr>
          </w:p>
        </w:tc>
        <w:tc>
          <w:tcPr>
            <w:tcW w:w="260" w:type="dxa"/>
            <w:vAlign w:val="bottom"/>
            <w:tcBorders>
              <w:bottom w:val="single" w:sz="8" w:color="CEFFE7"/>
            </w:tcBorders>
          </w:tcPr>
          <w:p>
            <w:pPr>
              <w:spacing w:after="0"/>
              <w:rPr>
                <w:sz w:val="2"/>
                <w:szCs w:val="2"/>
                <w:color w:val="auto"/>
              </w:rPr>
            </w:pPr>
          </w:p>
        </w:tc>
        <w:tc>
          <w:tcPr>
            <w:tcW w:w="72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gridSpan w:val="2"/>
            <w:shd w:val="clear" w:color="auto" w:fill="CEFFE7"/>
          </w:tcPr>
          <w:p>
            <w:pPr>
              <w:ind w:left="280"/>
              <w:spacing w:after="0"/>
              <w:rPr>
                <w:sz w:val="20"/>
                <w:szCs w:val="20"/>
                <w:color w:val="auto"/>
              </w:rPr>
            </w:pPr>
            <w:r>
              <w:rPr>
                <w:rFonts w:ascii="Arial" w:cs="Arial" w:eastAsia="Arial" w:hAnsi="Arial"/>
                <w:sz w:val="16"/>
                <w:szCs w:val="16"/>
                <w:color w:val="auto"/>
              </w:rPr>
              <w:t>Total Revenue and Energy</w:t>
            </w:r>
          </w:p>
        </w:tc>
        <w:tc>
          <w:tcPr>
            <w:tcW w:w="220" w:type="dxa"/>
            <w:vAlign w:val="bottom"/>
            <w:shd w:val="clear" w:color="auto" w:fill="CEFFE7"/>
          </w:tcPr>
          <w:p>
            <w:pPr>
              <w:spacing w:after="0"/>
              <w:rPr>
                <w:sz w:val="21"/>
                <w:szCs w:val="21"/>
                <w:color w:val="auto"/>
              </w:rPr>
            </w:pPr>
          </w:p>
        </w:tc>
        <w:tc>
          <w:tcPr>
            <w:tcW w:w="760" w:type="dxa"/>
            <w:vAlign w:val="bottom"/>
            <w:shd w:val="clear" w:color="auto" w:fill="CEFFE7"/>
          </w:tcPr>
          <w:p>
            <w:pPr>
              <w:spacing w:after="0"/>
              <w:rPr>
                <w:sz w:val="21"/>
                <w:szCs w:val="21"/>
                <w:color w:val="auto"/>
              </w:rPr>
            </w:pPr>
          </w:p>
        </w:tc>
        <w:tc>
          <w:tcPr>
            <w:tcW w:w="260" w:type="dxa"/>
            <w:vAlign w:val="bottom"/>
            <w:shd w:val="clear" w:color="auto" w:fill="CEFFE7"/>
          </w:tcPr>
          <w:p>
            <w:pPr>
              <w:spacing w:after="0"/>
              <w:rPr>
                <w:sz w:val="21"/>
                <w:szCs w:val="21"/>
                <w:color w:val="auto"/>
              </w:rPr>
            </w:pPr>
          </w:p>
        </w:tc>
        <w:tc>
          <w:tcPr>
            <w:tcW w:w="720" w:type="dxa"/>
            <w:vAlign w:val="bottom"/>
            <w:shd w:val="clear" w:color="auto" w:fill="CEFFE7"/>
          </w:tcPr>
          <w:p>
            <w:pPr>
              <w:spacing w:after="0"/>
              <w:rPr>
                <w:sz w:val="21"/>
                <w:szCs w:val="21"/>
                <w:color w:val="auto"/>
              </w:rPr>
            </w:pPr>
          </w:p>
        </w:tc>
        <w:tc>
          <w:tcPr>
            <w:tcW w:w="40" w:type="dxa"/>
            <w:vAlign w:val="bottom"/>
            <w:shd w:val="clear" w:color="auto" w:fill="CEFFE7"/>
          </w:tcPr>
          <w:p>
            <w:pPr>
              <w:spacing w:after="0"/>
              <w:rPr>
                <w:sz w:val="21"/>
                <w:szCs w:val="21"/>
                <w:color w:val="auto"/>
              </w:rPr>
            </w:pPr>
          </w:p>
        </w:tc>
        <w:tc>
          <w:tcPr>
            <w:tcW w:w="80" w:type="dxa"/>
            <w:vAlign w:val="bottom"/>
            <w:shd w:val="clear" w:color="auto" w:fill="CEFFE7"/>
          </w:tcPr>
          <w:p>
            <w:pPr>
              <w:spacing w:after="0"/>
              <w:rPr>
                <w:sz w:val="21"/>
                <w:szCs w:val="21"/>
                <w:color w:val="auto"/>
              </w:rPr>
            </w:pPr>
          </w:p>
        </w:tc>
        <w:tc>
          <w:tcPr>
            <w:tcW w:w="40" w:type="dxa"/>
            <w:vAlign w:val="bottom"/>
            <w:shd w:val="clear" w:color="auto" w:fill="CEFFE7"/>
          </w:tcPr>
          <w:p>
            <w:pPr>
              <w:spacing w:after="0"/>
              <w:rPr>
                <w:sz w:val="21"/>
                <w:szCs w:val="21"/>
                <w:color w:val="auto"/>
              </w:rPr>
            </w:pPr>
          </w:p>
        </w:tc>
        <w:tc>
          <w:tcPr>
            <w:tcW w:w="160" w:type="dxa"/>
            <w:vAlign w:val="bottom"/>
            <w:shd w:val="clear" w:color="auto" w:fill="CEFFE7"/>
          </w:tcPr>
          <w:p>
            <w:pPr>
              <w:spacing w:after="0"/>
              <w:rPr>
                <w:sz w:val="21"/>
                <w:szCs w:val="21"/>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173,555</w:t>
            </w:r>
          </w:p>
        </w:tc>
        <w:tc>
          <w:tcPr>
            <w:tcW w:w="360" w:type="dxa"/>
            <w:vAlign w:val="bottom"/>
            <w:shd w:val="clear" w:color="auto" w:fill="CEFFE7"/>
          </w:tcPr>
          <w:p>
            <w:pPr>
              <w:spacing w:after="0"/>
              <w:rPr>
                <w:sz w:val="21"/>
                <w:szCs w:val="21"/>
                <w:color w:val="auto"/>
              </w:rPr>
            </w:pPr>
          </w:p>
        </w:tc>
        <w:tc>
          <w:tcPr>
            <w:tcW w:w="6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w w:val="93"/>
              </w:rPr>
              <w:t>176,024</w:t>
            </w:r>
          </w:p>
        </w:tc>
        <w:tc>
          <w:tcPr>
            <w:tcW w:w="116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1,778,039</w:t>
            </w:r>
          </w:p>
        </w:tc>
        <w:tc>
          <w:tcPr>
            <w:tcW w:w="9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1,770,611</w:t>
            </w:r>
          </w:p>
        </w:tc>
        <w:tc>
          <w:tcPr>
            <w:tcW w:w="0" w:type="dxa"/>
            <w:vAlign w:val="bottom"/>
          </w:tcPr>
          <w:p>
            <w:pPr>
              <w:spacing w:after="0"/>
              <w:rPr>
                <w:sz w:val="1"/>
                <w:szCs w:val="1"/>
                <w:color w:val="auto"/>
              </w:rPr>
            </w:pPr>
          </w:p>
        </w:tc>
      </w:tr>
      <w:tr>
        <w:trPr>
          <w:trHeight w:val="20"/>
        </w:trPr>
        <w:tc>
          <w:tcPr>
            <w:tcW w:w="4900" w:type="dxa"/>
            <w:vAlign w:val="bottom"/>
            <w:tcBorders>
              <w:top w:val="single" w:sz="8" w:color="CEFFE7"/>
              <w:bottom w:val="single" w:sz="8" w:color="CEFFE7"/>
            </w:tcBorders>
            <w:gridSpan w:val="2"/>
            <w:vMerge w:val="restart"/>
          </w:tcPr>
          <w:p>
            <w:pPr>
              <w:ind w:left="40"/>
              <w:spacing w:after="0"/>
              <w:rPr>
                <w:sz w:val="20"/>
                <w:szCs w:val="20"/>
                <w:color w:val="auto"/>
              </w:rPr>
            </w:pPr>
            <w:r>
              <w:rPr>
                <w:rFonts w:ascii="Arial" w:cs="Arial" w:eastAsia="Arial" w:hAnsi="Arial"/>
                <w:sz w:val="16"/>
                <w:szCs w:val="16"/>
                <w:color w:val="auto"/>
              </w:rPr>
              <w:t>Less cost of fuel and purchased power</w:t>
            </w:r>
          </w:p>
        </w:tc>
        <w:tc>
          <w:tcPr>
            <w:tcW w:w="220" w:type="dxa"/>
            <w:vAlign w:val="bottom"/>
            <w:tcBorders>
              <w:top w:val="single" w:sz="8" w:color="CEFFE7"/>
            </w:tcBorders>
          </w:tcPr>
          <w:p>
            <w:pPr>
              <w:spacing w:after="0" w:line="20" w:lineRule="exact"/>
              <w:rPr>
                <w:sz w:val="1"/>
                <w:szCs w:val="1"/>
                <w:color w:val="auto"/>
              </w:rPr>
            </w:pPr>
          </w:p>
        </w:tc>
        <w:tc>
          <w:tcPr>
            <w:tcW w:w="76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tcBorders>
          </w:tcPr>
          <w:p>
            <w:pPr>
              <w:spacing w:after="0" w:line="20" w:lineRule="exact"/>
              <w:rPr>
                <w:sz w:val="1"/>
                <w:szCs w:val="1"/>
                <w:color w:val="auto"/>
              </w:rPr>
            </w:pPr>
          </w:p>
        </w:tc>
        <w:tc>
          <w:tcPr>
            <w:tcW w:w="72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8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tcBorders>
          </w:tcPr>
          <w:p>
            <w:pPr>
              <w:spacing w:after="0" w:line="20" w:lineRule="exact"/>
              <w:rPr>
                <w:sz w:val="1"/>
                <w:szCs w:val="1"/>
                <w:color w:val="auto"/>
              </w:rPr>
            </w:pPr>
          </w:p>
        </w:tc>
        <w:tc>
          <w:tcPr>
            <w:tcW w:w="780" w:type="dxa"/>
            <w:vAlign w:val="bottom"/>
            <w:tcBorders>
              <w:top w:val="single" w:sz="8" w:color="CEFFE7"/>
              <w:bottom w:val="single" w:sz="8" w:color="CEFFE7"/>
            </w:tcBorders>
            <w:vMerge w:val="restart"/>
          </w:tcPr>
          <w:p>
            <w:pPr>
              <w:jc w:val="right"/>
              <w:spacing w:after="0"/>
              <w:rPr>
                <w:sz w:val="20"/>
                <w:szCs w:val="20"/>
                <w:color w:val="auto"/>
              </w:rPr>
            </w:pPr>
            <w:r>
              <w:rPr>
                <w:rFonts w:ascii="Arial" w:cs="Arial" w:eastAsia="Arial" w:hAnsi="Arial"/>
                <w:sz w:val="16"/>
                <w:szCs w:val="16"/>
                <w:color w:val="auto"/>
              </w:rPr>
              <w:t>67,123</w:t>
            </w:r>
          </w:p>
        </w:tc>
        <w:tc>
          <w:tcPr>
            <w:tcW w:w="360" w:type="dxa"/>
            <w:vAlign w:val="bottom"/>
            <w:tcBorders>
              <w:top w:val="single" w:sz="8" w:color="CEFFE7"/>
            </w:tcBorders>
          </w:tcPr>
          <w:p>
            <w:pPr>
              <w:spacing w:after="0" w:line="20" w:lineRule="exact"/>
              <w:rPr>
                <w:sz w:val="1"/>
                <w:szCs w:val="1"/>
                <w:color w:val="auto"/>
              </w:rPr>
            </w:pPr>
          </w:p>
        </w:tc>
        <w:tc>
          <w:tcPr>
            <w:tcW w:w="660" w:type="dxa"/>
            <w:vAlign w:val="bottom"/>
            <w:tcBorders>
              <w:top w:val="single" w:sz="8" w:color="CEFFE7"/>
              <w:bottom w:val="single" w:sz="8" w:color="CEFFE7"/>
            </w:tcBorders>
            <w:vMerge w:val="restart"/>
          </w:tcPr>
          <w:p>
            <w:pPr>
              <w:jc w:val="right"/>
              <w:ind w:right="19"/>
              <w:spacing w:after="0"/>
              <w:rPr>
                <w:sz w:val="20"/>
                <w:szCs w:val="20"/>
                <w:color w:val="auto"/>
              </w:rPr>
            </w:pPr>
            <w:r>
              <w:rPr>
                <w:rFonts w:ascii="Arial" w:cs="Arial" w:eastAsia="Arial" w:hAnsi="Arial"/>
                <w:sz w:val="16"/>
                <w:szCs w:val="16"/>
                <w:color w:val="auto"/>
              </w:rPr>
              <w:t>68,400</w:t>
            </w:r>
          </w:p>
        </w:tc>
        <w:tc>
          <w:tcPr>
            <w:tcW w:w="120" w:type="dxa"/>
            <w:vAlign w:val="bottom"/>
            <w:tcBorders>
              <w:top w:val="single" w:sz="8" w:color="CEFFE7"/>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20" w:type="dxa"/>
            <w:vAlign w:val="bottom"/>
            <w:tcBorders>
              <w:bottom w:val="single" w:sz="8" w:color="CEFFE7"/>
            </w:tcBorders>
          </w:tcPr>
          <w:p>
            <w:pPr>
              <w:spacing w:after="0"/>
              <w:rPr>
                <w:sz w:val="2"/>
                <w:szCs w:val="2"/>
                <w:color w:val="auto"/>
              </w:rPr>
            </w:pPr>
          </w:p>
        </w:tc>
        <w:tc>
          <w:tcPr>
            <w:tcW w:w="760" w:type="dxa"/>
            <w:vAlign w:val="bottom"/>
            <w:tcBorders>
              <w:bottom w:val="single" w:sz="8" w:color="CEFFE7"/>
            </w:tcBorders>
          </w:tcPr>
          <w:p>
            <w:pPr>
              <w:spacing w:after="0"/>
              <w:rPr>
                <w:sz w:val="2"/>
                <w:szCs w:val="2"/>
                <w:color w:val="auto"/>
              </w:rPr>
            </w:pPr>
          </w:p>
        </w:tc>
        <w:tc>
          <w:tcPr>
            <w:tcW w:w="260" w:type="dxa"/>
            <w:vAlign w:val="bottom"/>
            <w:tcBorders>
              <w:bottom w:val="single" w:sz="8" w:color="CEFFE7"/>
            </w:tcBorders>
          </w:tcPr>
          <w:p>
            <w:pPr>
              <w:spacing w:after="0"/>
              <w:rPr>
                <w:sz w:val="2"/>
                <w:szCs w:val="2"/>
                <w:color w:val="auto"/>
              </w:rPr>
            </w:pPr>
          </w:p>
        </w:tc>
        <w:tc>
          <w:tcPr>
            <w:tcW w:w="72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040" w:type="dxa"/>
            <w:vAlign w:val="bottom"/>
            <w:tcBorders>
              <w:bottom w:val="single" w:sz="8" w:color="CEFFE7"/>
            </w:tcBorders>
          </w:tcPr>
          <w:p>
            <w:pPr>
              <w:spacing w:after="0"/>
              <w:rPr>
                <w:sz w:val="2"/>
                <w:szCs w:val="2"/>
                <w:color w:val="auto"/>
              </w:rPr>
            </w:pPr>
          </w:p>
        </w:tc>
        <w:tc>
          <w:tcPr>
            <w:tcW w:w="920" w:type="dxa"/>
            <w:vAlign w:val="bottom"/>
            <w:tcBorders>
              <w:bottom w:val="single" w:sz="8" w:color="CEFFE7"/>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Gross Margin</w:t>
            </w:r>
          </w:p>
        </w:tc>
        <w:tc>
          <w:tcPr>
            <w:tcW w:w="2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auto"/>
            </w:tcBorders>
            <w:gridSpan w:val="2"/>
            <w:shd w:val="clear" w:color="auto" w:fill="CEFFE7"/>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106,432</w:t>
            </w:r>
          </w:p>
        </w:tc>
        <w:tc>
          <w:tcPr>
            <w:tcW w:w="36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93"/>
              </w:rPr>
              <w:t>107,624</w:t>
            </w:r>
          </w:p>
        </w:tc>
        <w:tc>
          <w:tcPr>
            <w:tcW w:w="1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5"/>
          </w:tcPr>
          <w:p>
            <w:pPr>
              <w:ind w:left="120"/>
              <w:spacing w:after="0"/>
              <w:rPr>
                <w:sz w:val="20"/>
                <w:szCs w:val="20"/>
                <w:color w:val="auto"/>
              </w:rPr>
            </w:pPr>
            <w:r>
              <w:rPr>
                <w:rFonts w:ascii="Arial" w:cs="Arial" w:eastAsia="Arial" w:hAnsi="Arial"/>
                <w:sz w:val="16"/>
                <w:szCs w:val="16"/>
                <w:color w:val="auto"/>
              </w:rPr>
              <w:t>Electric Revenue (in</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w w:val="93"/>
              </w:rPr>
              <w:t xml:space="preserve">Gross Margin </w:t>
            </w:r>
            <w:r>
              <w:rPr>
                <w:rFonts w:ascii="Arial" w:cs="Arial" w:eastAsia="Arial" w:hAnsi="Arial"/>
                <w:sz w:val="21"/>
                <w:szCs w:val="21"/>
                <w:color w:val="auto"/>
                <w:w w:val="93"/>
                <w:vertAlign w:val="superscript"/>
              </w:rPr>
              <w:t>(a)</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(in</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900" w:type="dxa"/>
            <w:vAlign w:val="bottom"/>
            <w:gridSpan w:val="2"/>
          </w:tcPr>
          <w:p>
            <w:pPr>
              <w:ind w:left="40"/>
              <w:spacing w:after="0"/>
              <w:rPr>
                <w:sz w:val="20"/>
                <w:szCs w:val="20"/>
                <w:color w:val="auto"/>
              </w:rPr>
            </w:pPr>
            <w:r>
              <w:rPr>
                <w:rFonts w:ascii="Arial" w:cs="Arial" w:eastAsia="Arial" w:hAnsi="Arial"/>
                <w:sz w:val="16"/>
                <w:szCs w:val="16"/>
                <w:color w:val="auto"/>
              </w:rPr>
              <w:t>Three Months Ended March 31,</w:t>
            </w:r>
          </w:p>
        </w:tc>
        <w:tc>
          <w:tcPr>
            <w:tcW w:w="220" w:type="dxa"/>
            <w:vAlign w:val="bottom"/>
          </w:tcPr>
          <w:p>
            <w:pPr>
              <w:spacing w:after="0"/>
              <w:rPr>
                <w:sz w:val="20"/>
                <w:szCs w:val="20"/>
                <w:color w:val="auto"/>
              </w:rPr>
            </w:pPr>
          </w:p>
        </w:tc>
        <w:tc>
          <w:tcPr>
            <w:tcW w:w="1860" w:type="dxa"/>
            <w:vAlign w:val="bottom"/>
            <w:gridSpan w:val="5"/>
          </w:tcPr>
          <w:p>
            <w:pPr>
              <w:ind w:left="440"/>
              <w:spacing w:after="0"/>
              <w:rPr>
                <w:sz w:val="20"/>
                <w:szCs w:val="20"/>
                <w:color w:val="auto"/>
              </w:rPr>
            </w:pPr>
            <w:r>
              <w:rPr>
                <w:rFonts w:ascii="Arial" w:cs="Arial" w:eastAsia="Arial" w:hAnsi="Arial"/>
                <w:sz w:val="16"/>
                <w:szCs w:val="16"/>
                <w:color w:val="auto"/>
              </w:rPr>
              <w:t>thousands)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3"/>
          </w:tcPr>
          <w:p>
            <w:pPr>
              <w:jc w:val="center"/>
              <w:ind w:right="59"/>
              <w:spacing w:after="0"/>
              <w:rPr>
                <w:sz w:val="20"/>
                <w:szCs w:val="20"/>
                <w:color w:val="auto"/>
              </w:rPr>
            </w:pPr>
            <w:r>
              <w:rPr>
                <w:rFonts w:ascii="Arial" w:cs="Arial" w:eastAsia="Arial" w:hAnsi="Arial"/>
                <w:sz w:val="16"/>
                <w:szCs w:val="16"/>
                <w:color w:val="auto"/>
                <w:w w:val="88"/>
              </w:rPr>
              <w:t>thousands)</w:t>
            </w:r>
          </w:p>
        </w:tc>
        <w:tc>
          <w:tcPr>
            <w:tcW w:w="120" w:type="dxa"/>
            <w:vAlign w:val="bottom"/>
          </w:tcPr>
          <w:p>
            <w:pPr>
              <w:spacing w:after="0"/>
              <w:rPr>
                <w:sz w:val="20"/>
                <w:szCs w:val="20"/>
                <w:color w:val="auto"/>
              </w:rPr>
            </w:pPr>
          </w:p>
        </w:tc>
        <w:tc>
          <w:tcPr>
            <w:tcW w:w="1960" w:type="dxa"/>
            <w:vAlign w:val="bottom"/>
            <w:gridSpan w:val="2"/>
          </w:tcPr>
          <w:p>
            <w:pPr>
              <w:jc w:val="center"/>
              <w:spacing w:after="0" w:line="239" w:lineRule="exact"/>
              <w:rPr>
                <w:sz w:val="20"/>
                <w:szCs w:val="20"/>
                <w:color w:val="auto"/>
              </w:rPr>
            </w:pPr>
            <w:r>
              <w:rPr>
                <w:rFonts w:ascii="Arial" w:cs="Arial" w:eastAsia="Arial" w:hAnsi="Arial"/>
                <w:sz w:val="16"/>
                <w:szCs w:val="16"/>
                <w:color w:val="auto"/>
                <w:w w:val="93"/>
              </w:rPr>
              <w:t xml:space="preserve">Quantities Sold (MWh) </w:t>
            </w:r>
            <w:r>
              <w:rPr>
                <w:rFonts w:ascii="Arial" w:cs="Arial" w:eastAsia="Arial" w:hAnsi="Arial"/>
                <w:sz w:val="21"/>
                <w:szCs w:val="21"/>
                <w:color w:val="auto"/>
                <w:w w:val="93"/>
                <w:vertAlign w:val="superscript"/>
              </w:rPr>
              <w:t>(b)</w:t>
            </w:r>
          </w:p>
        </w:tc>
        <w:tc>
          <w:tcPr>
            <w:tcW w:w="0" w:type="dxa"/>
            <w:vAlign w:val="bottom"/>
          </w:tcPr>
          <w:p>
            <w:pPr>
              <w:spacing w:after="0"/>
              <w:rPr>
                <w:sz w:val="1"/>
                <w:szCs w:val="1"/>
                <w:color w:val="auto"/>
              </w:rPr>
            </w:pPr>
          </w:p>
        </w:tc>
      </w:tr>
      <w:tr>
        <w:trPr>
          <w:trHeight w:val="231"/>
        </w:trPr>
        <w:tc>
          <w:tcPr>
            <w:tcW w:w="47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2018</w:t>
            </w: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2017</w:t>
            </w: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2018</w:t>
            </w: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2017</w:t>
            </w:r>
          </w:p>
        </w:tc>
        <w:tc>
          <w:tcPr>
            <w:tcW w:w="1160" w:type="dxa"/>
            <w:vAlign w:val="bottom"/>
            <w:tcBorders>
              <w:top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2018</w:t>
            </w: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4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00" w:type="dxa"/>
            <w:vAlign w:val="bottom"/>
            <w:gridSpan w:val="2"/>
          </w:tcPr>
          <w:p>
            <w:pPr>
              <w:ind w:left="40"/>
              <w:spacing w:after="0"/>
              <w:rPr>
                <w:sz w:val="20"/>
                <w:szCs w:val="20"/>
                <w:color w:val="auto"/>
              </w:rPr>
            </w:pPr>
            <w:r>
              <w:rPr>
                <w:rFonts w:ascii="Arial" w:cs="Arial" w:eastAsia="Arial" w:hAnsi="Arial"/>
                <w:sz w:val="16"/>
                <w:szCs w:val="16"/>
                <w:color w:val="auto"/>
              </w:rPr>
              <w:t>South Dakota Electric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73,815</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73,794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51,376</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50,645</w:t>
            </w: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828,177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845,832</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Wyoming Electric</w:t>
            </w:r>
          </w:p>
        </w:tc>
        <w:tc>
          <w:tcPr>
            <w:tcW w:w="2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41,387</w:t>
            </w:r>
          </w:p>
        </w:tc>
        <w:tc>
          <w:tcPr>
            <w:tcW w:w="26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42,278</w:t>
            </w:r>
          </w:p>
        </w:tc>
        <w:tc>
          <w:tcPr>
            <w:tcW w:w="4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21,695</w:t>
            </w:r>
          </w:p>
        </w:tc>
        <w:tc>
          <w:tcPr>
            <w:tcW w:w="36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22,786</w:t>
            </w:r>
          </w:p>
        </w:tc>
        <w:tc>
          <w:tcPr>
            <w:tcW w:w="11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462,862</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439,907</w:t>
            </w:r>
          </w:p>
        </w:tc>
        <w:tc>
          <w:tcPr>
            <w:tcW w:w="0" w:type="dxa"/>
            <w:vAlign w:val="bottom"/>
          </w:tcPr>
          <w:p>
            <w:pPr>
              <w:spacing w:after="0"/>
              <w:rPr>
                <w:sz w:val="1"/>
                <w:szCs w:val="1"/>
                <w:color w:val="auto"/>
              </w:rPr>
            </w:pPr>
          </w:p>
        </w:tc>
      </w:tr>
      <w:tr>
        <w:trPr>
          <w:trHeight w:val="237"/>
        </w:trPr>
        <w:tc>
          <w:tcPr>
            <w:tcW w:w="4900" w:type="dxa"/>
            <w:vAlign w:val="bottom"/>
            <w:gridSpan w:val="2"/>
          </w:tcPr>
          <w:p>
            <w:pPr>
              <w:ind w:left="40"/>
              <w:spacing w:after="0"/>
              <w:rPr>
                <w:sz w:val="20"/>
                <w:szCs w:val="20"/>
                <w:color w:val="auto"/>
              </w:rPr>
            </w:pPr>
            <w:r>
              <w:rPr>
                <w:rFonts w:ascii="Arial" w:cs="Arial" w:eastAsia="Arial" w:hAnsi="Arial"/>
                <w:sz w:val="16"/>
                <w:szCs w:val="16"/>
                <w:color w:val="auto"/>
              </w:rPr>
              <w:t>Colorado Electric</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58,353</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59,952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33,361</w:t>
            </w:r>
          </w:p>
        </w:tc>
        <w:tc>
          <w:tcPr>
            <w:tcW w:w="3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34,193</w:t>
            </w: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487,000</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484,872</w:t>
            </w:r>
          </w:p>
        </w:tc>
        <w:tc>
          <w:tcPr>
            <w:tcW w:w="0" w:type="dxa"/>
            <w:vAlign w:val="bottom"/>
          </w:tcPr>
          <w:p>
            <w:pPr>
              <w:spacing w:after="0"/>
              <w:rPr>
                <w:sz w:val="1"/>
                <w:szCs w:val="1"/>
                <w:color w:val="auto"/>
              </w:rPr>
            </w:pPr>
          </w:p>
        </w:tc>
      </w:tr>
      <w:tr>
        <w:trPr>
          <w:trHeight w:val="33"/>
        </w:trPr>
        <w:tc>
          <w:tcPr>
            <w:tcW w:w="47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gridSpan w:val="2"/>
            <w:shd w:val="clear" w:color="auto" w:fill="CEFFE7"/>
          </w:tcPr>
          <w:p>
            <w:pPr>
              <w:ind w:left="280"/>
              <w:spacing w:after="0"/>
              <w:rPr>
                <w:sz w:val="20"/>
                <w:szCs w:val="20"/>
                <w:color w:val="auto"/>
              </w:rPr>
            </w:pPr>
            <w:r>
              <w:rPr>
                <w:rFonts w:ascii="Arial" w:cs="Arial" w:eastAsia="Arial" w:hAnsi="Arial"/>
                <w:sz w:val="16"/>
                <w:szCs w:val="16"/>
                <w:color w:val="auto"/>
              </w:rPr>
              <w:t>Total Electric Revenue, Gross Margin, and Quantities Sold</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173,555</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176,024</w:t>
            </w:r>
          </w:p>
        </w:tc>
        <w:tc>
          <w:tcPr>
            <w:tcW w:w="40" w:type="dxa"/>
            <w:vAlign w:val="bottom"/>
            <w:shd w:val="clear" w:color="auto" w:fill="CEFFE7"/>
          </w:tcPr>
          <w:p>
            <w:pPr>
              <w:spacing w:after="0"/>
              <w:rPr>
                <w:sz w:val="22"/>
                <w:szCs w:val="22"/>
                <w:color w:val="auto"/>
              </w:rPr>
            </w:pPr>
          </w:p>
        </w:tc>
        <w:tc>
          <w:tcPr>
            <w:tcW w:w="80" w:type="dxa"/>
            <w:vAlign w:val="bottom"/>
            <w:shd w:val="clear" w:color="auto" w:fill="CEFFE7"/>
          </w:tcPr>
          <w:p>
            <w:pPr>
              <w:spacing w:after="0"/>
              <w:rPr>
                <w:sz w:val="22"/>
                <w:szCs w:val="22"/>
                <w:color w:val="auto"/>
              </w:rPr>
            </w:pPr>
          </w:p>
        </w:tc>
        <w:tc>
          <w:tcPr>
            <w:tcW w:w="200" w:type="dxa"/>
            <w:vAlign w:val="bottom"/>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106,432</w:t>
            </w:r>
          </w:p>
        </w:tc>
        <w:tc>
          <w:tcPr>
            <w:tcW w:w="3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w w:val="93"/>
              </w:rPr>
              <w:t>107,624</w:t>
            </w:r>
          </w:p>
        </w:tc>
        <w:tc>
          <w:tcPr>
            <w:tcW w:w="116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1,778,039</w:t>
            </w:r>
          </w:p>
        </w:tc>
        <w:tc>
          <w:tcPr>
            <w:tcW w:w="9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1,770,611</w:t>
            </w:r>
          </w:p>
        </w:tc>
        <w:tc>
          <w:tcPr>
            <w:tcW w:w="0" w:type="dxa"/>
            <w:vAlign w:val="bottom"/>
          </w:tcPr>
          <w:p>
            <w:pPr>
              <w:spacing w:after="0"/>
              <w:rPr>
                <w:sz w:val="1"/>
                <w:szCs w:val="1"/>
                <w:color w:val="auto"/>
              </w:rPr>
            </w:pPr>
          </w:p>
        </w:tc>
      </w:tr>
      <w:tr>
        <w:trPr>
          <w:trHeight w:val="20"/>
        </w:trPr>
        <w:tc>
          <w:tcPr>
            <w:tcW w:w="478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Non-GAAP measure</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 MWh includes Other Uses, Losses or Generation, net, which is approximately 3%, 6%, and 7% for South Dakota Electric, Wyoming Electric, and Colorado Electric, respectively.</w:t>
      </w:r>
    </w:p>
    <w:p>
      <w:pPr>
        <w:spacing w:after="0" w:line="389"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3080" w:type="dxa"/>
            <w:vAlign w:val="bottom"/>
            <w:gridSpan w:val="2"/>
          </w:tcPr>
          <w:p>
            <w:pPr>
              <w:jc w:val="right"/>
              <w:ind w:right="759"/>
              <w:spacing w:after="0"/>
              <w:rPr>
                <w:sz w:val="20"/>
                <w:szCs w:val="20"/>
                <w:color w:val="auto"/>
              </w:rPr>
            </w:pPr>
            <w:r>
              <w:rPr>
                <w:rFonts w:ascii="Arial" w:cs="Arial" w:eastAsia="Arial" w:hAnsi="Arial"/>
                <w:sz w:val="16"/>
                <w:szCs w:val="16"/>
                <w:color w:val="auto"/>
              </w:rPr>
              <w:t>Three Months Ended</w:t>
            </w:r>
          </w:p>
        </w:tc>
      </w:tr>
      <w:tr>
        <w:trPr>
          <w:trHeight w:val="206"/>
        </w:trPr>
        <w:tc>
          <w:tcPr>
            <w:tcW w:w="7980" w:type="dxa"/>
            <w:vAlign w:val="bottom"/>
          </w:tcPr>
          <w:p>
            <w:pPr>
              <w:spacing w:after="0"/>
              <w:rPr>
                <w:sz w:val="17"/>
                <w:szCs w:val="17"/>
                <w:color w:val="auto"/>
              </w:rPr>
            </w:pPr>
          </w:p>
        </w:tc>
        <w:tc>
          <w:tcPr>
            <w:tcW w:w="2020" w:type="dxa"/>
            <w:vAlign w:val="bottom"/>
          </w:tcPr>
          <w:p>
            <w:pPr>
              <w:jc w:val="right"/>
              <w:ind w:right="59"/>
              <w:spacing w:after="0"/>
              <w:rPr>
                <w:sz w:val="20"/>
                <w:szCs w:val="20"/>
                <w:color w:val="auto"/>
              </w:rPr>
            </w:pPr>
            <w:r>
              <w:rPr>
                <w:rFonts w:ascii="Arial" w:cs="Arial" w:eastAsia="Arial" w:hAnsi="Arial"/>
                <w:sz w:val="16"/>
                <w:szCs w:val="16"/>
                <w:color w:val="auto"/>
              </w:rPr>
              <w:t>March 31,</w:t>
            </w:r>
          </w:p>
        </w:tc>
        <w:tc>
          <w:tcPr>
            <w:tcW w:w="1060" w:type="dxa"/>
            <w:vAlign w:val="bottom"/>
          </w:tcPr>
          <w:p>
            <w:pPr>
              <w:spacing w:after="0"/>
              <w:rPr>
                <w:sz w:val="17"/>
                <w:szCs w:val="17"/>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6"/>
                <w:szCs w:val="16"/>
                <w:color w:val="auto"/>
              </w:rPr>
              <w:t>Quantities Generated and Purchased (MWh)</w:t>
            </w:r>
          </w:p>
        </w:tc>
        <w:tc>
          <w:tcPr>
            <w:tcW w:w="2020" w:type="dxa"/>
            <w:vAlign w:val="bottom"/>
          </w:tcPr>
          <w:p>
            <w:pPr>
              <w:jc w:val="right"/>
              <w:ind w:right="999"/>
              <w:spacing w:after="0"/>
              <w:rPr>
                <w:sz w:val="20"/>
                <w:szCs w:val="20"/>
                <w:color w:val="auto"/>
              </w:rPr>
            </w:pPr>
            <w:r>
              <w:rPr>
                <w:rFonts w:ascii="Arial" w:cs="Arial" w:eastAsia="Arial" w:hAnsi="Arial"/>
                <w:sz w:val="16"/>
                <w:szCs w:val="16"/>
                <w:color w:val="auto"/>
              </w:rPr>
              <w:t>2018</w:t>
            </w:r>
          </w:p>
        </w:tc>
        <w:tc>
          <w:tcPr>
            <w:tcW w:w="1060" w:type="dxa"/>
            <w:vAlign w:val="bottom"/>
          </w:tcPr>
          <w:p>
            <w:pPr>
              <w:jc w:val="right"/>
              <w:ind w:right="519"/>
              <w:spacing w:after="0"/>
              <w:rPr>
                <w:sz w:val="20"/>
                <w:szCs w:val="20"/>
                <w:color w:val="auto"/>
              </w:rPr>
            </w:pPr>
            <w:r>
              <w:rPr>
                <w:rFonts w:ascii="Arial" w:cs="Arial" w:eastAsia="Arial" w:hAnsi="Arial"/>
                <w:sz w:val="16"/>
                <w:szCs w:val="16"/>
                <w:color w:val="auto"/>
              </w:rPr>
              <w:t>2017</w:t>
            </w:r>
          </w:p>
        </w:tc>
      </w:tr>
      <w:tr>
        <w:trPr>
          <w:trHeight w:val="33"/>
        </w:trPr>
        <w:tc>
          <w:tcPr>
            <w:tcW w:w="79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79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7"/>
        </w:trPr>
        <w:tc>
          <w:tcPr>
            <w:tcW w:w="7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Coal-fired</w:t>
            </w:r>
          </w:p>
        </w:tc>
        <w:tc>
          <w:tcPr>
            <w:tcW w:w="2020" w:type="dxa"/>
            <w:vAlign w:val="bottom"/>
            <w:tcBorders>
              <w:bottom w:val="single" w:sz="8" w:color="CEFFE7"/>
            </w:tcBorders>
            <w:shd w:val="clear" w:color="auto" w:fill="CEFFE7"/>
          </w:tcPr>
          <w:p>
            <w:pPr>
              <w:jc w:val="right"/>
              <w:ind w:right="499"/>
              <w:spacing w:after="0"/>
              <w:rPr>
                <w:sz w:val="20"/>
                <w:szCs w:val="20"/>
                <w:color w:val="auto"/>
              </w:rPr>
            </w:pPr>
            <w:r>
              <w:rPr>
                <w:rFonts w:ascii="Arial" w:cs="Arial" w:eastAsia="Arial" w:hAnsi="Arial"/>
                <w:sz w:val="16"/>
                <w:szCs w:val="16"/>
                <w:color w:val="auto"/>
              </w:rPr>
              <w:t>595,600</w:t>
            </w: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572,080</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Natural Gas and Oil</w:t>
            </w:r>
          </w:p>
        </w:tc>
        <w:tc>
          <w:tcPr>
            <w:tcW w:w="2020" w:type="dxa"/>
            <w:vAlign w:val="bottom"/>
          </w:tcPr>
          <w:p>
            <w:pPr>
              <w:jc w:val="right"/>
              <w:ind w:right="499"/>
              <w:spacing w:after="0"/>
              <w:rPr>
                <w:sz w:val="20"/>
                <w:szCs w:val="20"/>
                <w:color w:val="auto"/>
              </w:rPr>
            </w:pPr>
            <w:r>
              <w:rPr>
                <w:rFonts w:ascii="Arial" w:cs="Arial" w:eastAsia="Arial" w:hAnsi="Arial"/>
                <w:sz w:val="16"/>
                <w:szCs w:val="16"/>
                <w:color w:val="auto"/>
              </w:rPr>
              <w:t>41,323</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28,529</w:t>
            </w:r>
          </w:p>
        </w:tc>
      </w:tr>
      <w:tr>
        <w:trPr>
          <w:trHeight w:val="33"/>
        </w:trPr>
        <w:tc>
          <w:tcPr>
            <w:tcW w:w="7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7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Wind</w:t>
            </w:r>
          </w:p>
        </w:tc>
        <w:tc>
          <w:tcPr>
            <w:tcW w:w="2020" w:type="dxa"/>
            <w:vAlign w:val="bottom"/>
            <w:tcBorders>
              <w:bottom w:val="single" w:sz="8" w:color="CEFFE7"/>
            </w:tcBorders>
            <w:shd w:val="clear" w:color="auto" w:fill="CEFFE7"/>
          </w:tcPr>
          <w:p>
            <w:pPr>
              <w:jc w:val="right"/>
              <w:ind w:right="499"/>
              <w:spacing w:after="0"/>
              <w:rPr>
                <w:sz w:val="20"/>
                <w:szCs w:val="20"/>
                <w:color w:val="auto"/>
              </w:rPr>
            </w:pPr>
            <w:r>
              <w:rPr>
                <w:rFonts w:ascii="Arial" w:cs="Arial" w:eastAsia="Arial" w:hAnsi="Arial"/>
                <w:sz w:val="16"/>
                <w:szCs w:val="16"/>
                <w:color w:val="auto"/>
              </w:rPr>
              <w:t>73,981</w:t>
            </w: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70,543</w:t>
            </w:r>
          </w:p>
        </w:tc>
      </w:tr>
      <w:tr>
        <w:trPr>
          <w:trHeight w:val="217"/>
        </w:trPr>
        <w:tc>
          <w:tcPr>
            <w:tcW w:w="7980" w:type="dxa"/>
            <w:vAlign w:val="bottom"/>
          </w:tcPr>
          <w:p>
            <w:pPr>
              <w:ind w:left="280"/>
              <w:spacing w:after="0"/>
              <w:rPr>
                <w:sz w:val="20"/>
                <w:szCs w:val="20"/>
                <w:color w:val="auto"/>
              </w:rPr>
            </w:pPr>
            <w:r>
              <w:rPr>
                <w:rFonts w:ascii="Arial" w:cs="Arial" w:eastAsia="Arial" w:hAnsi="Arial"/>
                <w:sz w:val="16"/>
                <w:szCs w:val="16"/>
                <w:color w:val="auto"/>
              </w:rPr>
              <w:t>Total Generated</w:t>
            </w:r>
          </w:p>
        </w:tc>
        <w:tc>
          <w:tcPr>
            <w:tcW w:w="202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710,904</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671,152</w:t>
            </w:r>
          </w:p>
        </w:tc>
      </w:tr>
      <w:tr>
        <w:trPr>
          <w:trHeight w:val="33"/>
        </w:trPr>
        <w:tc>
          <w:tcPr>
            <w:tcW w:w="7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7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Purchased</w:t>
            </w:r>
          </w:p>
        </w:tc>
        <w:tc>
          <w:tcPr>
            <w:tcW w:w="2020" w:type="dxa"/>
            <w:vAlign w:val="bottom"/>
            <w:tcBorders>
              <w:bottom w:val="single" w:sz="8" w:color="CEFFE7"/>
            </w:tcBorders>
            <w:shd w:val="clear" w:color="auto" w:fill="CEFFE7"/>
          </w:tcPr>
          <w:p>
            <w:pPr>
              <w:jc w:val="right"/>
              <w:ind w:right="499"/>
              <w:spacing w:after="0"/>
              <w:rPr>
                <w:sz w:val="20"/>
                <w:szCs w:val="20"/>
                <w:color w:val="auto"/>
              </w:rPr>
            </w:pPr>
            <w:r>
              <w:rPr>
                <w:rFonts w:ascii="Arial" w:cs="Arial" w:eastAsia="Arial" w:hAnsi="Arial"/>
                <w:sz w:val="16"/>
                <w:szCs w:val="16"/>
                <w:color w:val="auto"/>
              </w:rPr>
              <w:t>1,067,135</w:t>
            </w: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1,099,459</w:t>
            </w:r>
          </w:p>
        </w:tc>
      </w:tr>
      <w:tr>
        <w:trPr>
          <w:trHeight w:val="244"/>
        </w:trPr>
        <w:tc>
          <w:tcPr>
            <w:tcW w:w="7980" w:type="dxa"/>
            <w:vAlign w:val="bottom"/>
          </w:tcPr>
          <w:p>
            <w:pPr>
              <w:ind w:left="280"/>
              <w:spacing w:after="0"/>
              <w:rPr>
                <w:sz w:val="20"/>
                <w:szCs w:val="20"/>
                <w:color w:val="auto"/>
              </w:rPr>
            </w:pPr>
            <w:r>
              <w:rPr>
                <w:rFonts w:ascii="Arial" w:cs="Arial" w:eastAsia="Arial" w:hAnsi="Arial"/>
                <w:sz w:val="16"/>
                <w:szCs w:val="16"/>
                <w:color w:val="auto"/>
              </w:rPr>
              <w:t>Total Generated and Purchased</w:t>
            </w:r>
          </w:p>
        </w:tc>
        <w:tc>
          <w:tcPr>
            <w:tcW w:w="20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color w:val="auto"/>
              </w:rPr>
              <w:t>1,778,039</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1,770,611</w:t>
            </w:r>
          </w:p>
        </w:tc>
      </w:tr>
      <w:tr>
        <w:trPr>
          <w:trHeight w:val="20"/>
        </w:trPr>
        <w:tc>
          <w:tcPr>
            <w:tcW w:w="79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84"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584" w:right="25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80" w:type="dxa"/>
            <w:vAlign w:val="bottom"/>
            <w:gridSpan w:val="2"/>
          </w:tcPr>
          <w:p>
            <w:pPr>
              <w:jc w:val="right"/>
              <w:ind w:right="759"/>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80" w:type="dxa"/>
            <w:vAlign w:val="bottom"/>
            <w:gridSpan w:val="2"/>
          </w:tcPr>
          <w:p>
            <w:pPr>
              <w:jc w:val="right"/>
              <w:ind w:right="1119"/>
              <w:spacing w:after="0"/>
              <w:rPr>
                <w:sz w:val="20"/>
                <w:szCs w:val="20"/>
                <w:color w:val="auto"/>
              </w:rPr>
            </w:pPr>
            <w:r>
              <w:rPr>
                <w:rFonts w:ascii="Arial" w:cs="Arial" w:eastAsia="Arial" w:hAnsi="Arial"/>
                <w:sz w:val="16"/>
                <w:szCs w:val="16"/>
                <w:color w:val="auto"/>
              </w:rPr>
              <w:t>March 31,</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3140" w:type="dxa"/>
            <w:vAlign w:val="bottom"/>
            <w:gridSpan w:val="2"/>
          </w:tcPr>
          <w:p>
            <w:pPr>
              <w:ind w:left="40"/>
              <w:spacing w:after="0"/>
              <w:rPr>
                <w:sz w:val="20"/>
                <w:szCs w:val="20"/>
                <w:color w:val="auto"/>
              </w:rPr>
            </w:pPr>
            <w:r>
              <w:rPr>
                <w:rFonts w:ascii="Arial" w:cs="Arial" w:eastAsia="Arial" w:hAnsi="Arial"/>
                <w:sz w:val="16"/>
                <w:szCs w:val="16"/>
                <w:color w:val="auto"/>
                <w:w w:val="97"/>
              </w:rPr>
              <w:t>Quantities Generated and Purchased (MWh)</w:t>
            </w:r>
          </w:p>
        </w:tc>
        <w:tc>
          <w:tcPr>
            <w:tcW w:w="7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color w:val="auto"/>
              </w:rPr>
              <w:t>2018</w:t>
            </w:r>
          </w:p>
        </w:tc>
        <w:tc>
          <w:tcPr>
            <w:tcW w:w="1540" w:type="dxa"/>
            <w:vAlign w:val="bottom"/>
          </w:tcPr>
          <w:p>
            <w:pPr>
              <w:jc w:val="right"/>
              <w:ind w:right="51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p>
        </w:tc>
        <w:tc>
          <w:tcPr>
            <w:tcW w:w="3140" w:type="dxa"/>
            <w:vAlign w:val="bottom"/>
            <w:gridSpan w:val="2"/>
          </w:tcPr>
          <w:p>
            <w:pPr>
              <w:ind w:left="40"/>
              <w:spacing w:after="0"/>
              <w:rPr>
                <w:sz w:val="20"/>
                <w:szCs w:val="20"/>
                <w:color w:val="auto"/>
              </w:rPr>
            </w:pPr>
            <w:r>
              <w:rPr>
                <w:rFonts w:ascii="Arial" w:cs="Arial" w:eastAsia="Arial" w:hAnsi="Arial"/>
                <w:sz w:val="16"/>
                <w:szCs w:val="16"/>
                <w:color w:val="auto"/>
              </w:rPr>
              <w:t>Generated:</w:t>
            </w:r>
          </w:p>
        </w:tc>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314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South Dakota Electric</w:t>
            </w:r>
          </w:p>
        </w:tc>
        <w:tc>
          <w:tcPr>
            <w:tcW w:w="720" w:type="dxa"/>
            <w:vAlign w:val="bottom"/>
            <w:tcBorders>
              <w:bottom w:val="single" w:sz="8" w:color="CEFFE7"/>
            </w:tcBorders>
            <w:shd w:val="clear" w:color="auto" w:fill="CEFFE7"/>
          </w:tcPr>
          <w:p>
            <w:pPr>
              <w:spacing w:after="0"/>
              <w:rPr>
                <w:sz w:val="20"/>
                <w:szCs w:val="20"/>
                <w:color w:val="auto"/>
              </w:rPr>
            </w:pPr>
          </w:p>
        </w:tc>
        <w:tc>
          <w:tcPr>
            <w:tcW w:w="1780" w:type="dxa"/>
            <w:vAlign w:val="bottom"/>
            <w:tcBorders>
              <w:bottom w:val="single" w:sz="8" w:color="CEFFE7"/>
            </w:tcBorders>
            <w:shd w:val="clear" w:color="auto" w:fill="CEFFE7"/>
          </w:tcPr>
          <w:p>
            <w:pPr>
              <w:spacing w:after="0"/>
              <w:rPr>
                <w:sz w:val="20"/>
                <w:szCs w:val="20"/>
                <w:color w:val="auto"/>
              </w:rPr>
            </w:pPr>
          </w:p>
        </w:tc>
        <w:tc>
          <w:tcPr>
            <w:tcW w:w="1680" w:type="dxa"/>
            <w:vAlign w:val="bottom"/>
            <w:tcBorders>
              <w:bottom w:val="single" w:sz="8" w:color="CEFFE7"/>
            </w:tcBorders>
            <w:shd w:val="clear" w:color="auto" w:fill="CEFFE7"/>
          </w:tcPr>
          <w:p>
            <w:pPr>
              <w:spacing w:after="0"/>
              <w:rPr>
                <w:sz w:val="20"/>
                <w:szCs w:val="20"/>
                <w:color w:val="auto"/>
              </w:rPr>
            </w:pPr>
          </w:p>
        </w:tc>
        <w:tc>
          <w:tcPr>
            <w:tcW w:w="66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412,194</w:t>
            </w: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398,335</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3140" w:type="dxa"/>
            <w:vAlign w:val="bottom"/>
            <w:gridSpan w:val="2"/>
          </w:tcPr>
          <w:p>
            <w:pPr>
              <w:ind w:left="280"/>
              <w:spacing w:after="0"/>
              <w:rPr>
                <w:sz w:val="20"/>
                <w:szCs w:val="20"/>
                <w:color w:val="auto"/>
              </w:rPr>
            </w:pPr>
            <w:r>
              <w:rPr>
                <w:rFonts w:ascii="Arial" w:cs="Arial" w:eastAsia="Arial" w:hAnsi="Arial"/>
                <w:sz w:val="16"/>
                <w:szCs w:val="16"/>
                <w:color w:val="auto"/>
              </w:rPr>
              <w:t>Wyoming Electric</w:t>
            </w:r>
          </w:p>
        </w:tc>
        <w:tc>
          <w:tcPr>
            <w:tcW w:w="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206,662</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190,372</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0" w:type="dxa"/>
            <w:vAlign w:val="bottom"/>
          </w:tcPr>
          <w:p>
            <w:pPr>
              <w:spacing w:after="0"/>
              <w:rPr>
                <w:sz w:val="22"/>
                <w:szCs w:val="22"/>
                <w:color w:val="auto"/>
              </w:rPr>
            </w:pPr>
          </w:p>
        </w:tc>
        <w:tc>
          <w:tcPr>
            <w:tcW w:w="314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Colorado Electric</w:t>
            </w:r>
          </w:p>
        </w:tc>
        <w:tc>
          <w:tcPr>
            <w:tcW w:w="720" w:type="dxa"/>
            <w:vAlign w:val="bottom"/>
            <w:tcBorders>
              <w:bottom w:val="single" w:sz="8" w:color="CEFFE7"/>
            </w:tcBorders>
            <w:shd w:val="clear" w:color="auto" w:fill="CEFFE7"/>
          </w:tcPr>
          <w:p>
            <w:pPr>
              <w:spacing w:after="0"/>
              <w:rPr>
                <w:sz w:val="22"/>
                <w:szCs w:val="22"/>
                <w:color w:val="auto"/>
              </w:rPr>
            </w:pPr>
          </w:p>
        </w:tc>
        <w:tc>
          <w:tcPr>
            <w:tcW w:w="1780" w:type="dxa"/>
            <w:vAlign w:val="bottom"/>
            <w:tcBorders>
              <w:bottom w:val="single" w:sz="8" w:color="CEFFE7"/>
            </w:tcBorders>
            <w:shd w:val="clear" w:color="auto" w:fill="CEFFE7"/>
          </w:tcPr>
          <w:p>
            <w:pPr>
              <w:spacing w:after="0"/>
              <w:rPr>
                <w:sz w:val="22"/>
                <w:szCs w:val="22"/>
                <w:color w:val="auto"/>
              </w:rPr>
            </w:pPr>
          </w:p>
        </w:tc>
        <w:tc>
          <w:tcPr>
            <w:tcW w:w="1680" w:type="dxa"/>
            <w:vAlign w:val="bottom"/>
            <w:tcBorders>
              <w:bottom w:val="single" w:sz="8" w:color="CEFFE7"/>
            </w:tcBorders>
            <w:shd w:val="clear" w:color="auto" w:fill="CEFFE7"/>
          </w:tcPr>
          <w:p>
            <w:pPr>
              <w:spacing w:after="0"/>
              <w:rPr>
                <w:sz w:val="22"/>
                <w:szCs w:val="22"/>
                <w:color w:val="auto"/>
              </w:rPr>
            </w:pPr>
          </w:p>
        </w:tc>
        <w:tc>
          <w:tcPr>
            <w:tcW w:w="660" w:type="dxa"/>
            <w:vAlign w:val="bottom"/>
            <w:tcBorders>
              <w:bottom w:val="single" w:sz="8" w:color="CEFFE7"/>
            </w:tcBorders>
            <w:shd w:val="clear" w:color="auto" w:fill="CEFFE7"/>
          </w:tcPr>
          <w:p>
            <w:pPr>
              <w:spacing w:after="0"/>
              <w:rPr>
                <w:sz w:val="22"/>
                <w:szCs w:val="22"/>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92,048</w:t>
            </w: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82,445</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3140" w:type="dxa"/>
            <w:vAlign w:val="bottom"/>
            <w:gridSpan w:val="2"/>
          </w:tcPr>
          <w:p>
            <w:pPr>
              <w:ind w:left="500"/>
              <w:spacing w:after="0"/>
              <w:rPr>
                <w:sz w:val="20"/>
                <w:szCs w:val="20"/>
                <w:color w:val="auto"/>
              </w:rPr>
            </w:pPr>
            <w:r>
              <w:rPr>
                <w:rFonts w:ascii="Arial" w:cs="Arial" w:eastAsia="Arial" w:hAnsi="Arial"/>
                <w:sz w:val="16"/>
                <w:szCs w:val="16"/>
                <w:color w:val="auto"/>
              </w:rPr>
              <w:t>Total Generated</w:t>
            </w:r>
          </w:p>
        </w:tc>
        <w:tc>
          <w:tcPr>
            <w:tcW w:w="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710,904</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671,152</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2020" w:type="dxa"/>
            <w:vAlign w:val="bottom"/>
            <w:tcBorders>
              <w:bottom w:val="single" w:sz="8" w:color="CEFFE7"/>
            </w:tcBorders>
          </w:tcPr>
          <w:p>
            <w:pPr>
              <w:spacing w:after="0"/>
              <w:rPr>
                <w:sz w:val="2"/>
                <w:szCs w:val="2"/>
                <w:color w:val="auto"/>
              </w:rPr>
            </w:pPr>
          </w:p>
        </w:tc>
        <w:tc>
          <w:tcPr>
            <w:tcW w:w="1120" w:type="dxa"/>
            <w:vAlign w:val="bottom"/>
            <w:tcBorders>
              <w:bottom w:val="single" w:sz="8" w:color="CEFFE7"/>
            </w:tcBorders>
          </w:tcPr>
          <w:p>
            <w:pPr>
              <w:spacing w:after="0"/>
              <w:rPr>
                <w:sz w:val="2"/>
                <w:szCs w:val="2"/>
                <w:color w:val="auto"/>
              </w:rPr>
            </w:pPr>
          </w:p>
        </w:tc>
        <w:tc>
          <w:tcPr>
            <w:tcW w:w="720" w:type="dxa"/>
            <w:vAlign w:val="bottom"/>
            <w:tcBorders>
              <w:bottom w:val="single" w:sz="8" w:color="CEFFE7"/>
            </w:tcBorders>
          </w:tcPr>
          <w:p>
            <w:pPr>
              <w:spacing w:after="0"/>
              <w:rPr>
                <w:sz w:val="2"/>
                <w:szCs w:val="2"/>
                <w:color w:val="auto"/>
              </w:rPr>
            </w:pPr>
          </w:p>
        </w:tc>
        <w:tc>
          <w:tcPr>
            <w:tcW w:w="1780" w:type="dxa"/>
            <w:vAlign w:val="bottom"/>
            <w:tcBorders>
              <w:bottom w:val="single" w:sz="8" w:color="CEFFE7"/>
            </w:tcBorders>
          </w:tcPr>
          <w:p>
            <w:pPr>
              <w:spacing w:after="0"/>
              <w:rPr>
                <w:sz w:val="2"/>
                <w:szCs w:val="2"/>
                <w:color w:val="auto"/>
              </w:rPr>
            </w:pPr>
          </w:p>
        </w:tc>
        <w:tc>
          <w:tcPr>
            <w:tcW w:w="1680" w:type="dxa"/>
            <w:vAlign w:val="bottom"/>
            <w:tcBorders>
              <w:bottom w:val="single" w:sz="8" w:color="CEFFE7"/>
            </w:tcBorders>
          </w:tcPr>
          <w:p>
            <w:pPr>
              <w:spacing w:after="0"/>
              <w:rPr>
                <w:sz w:val="2"/>
                <w:szCs w:val="2"/>
                <w:color w:val="auto"/>
              </w:rPr>
            </w:pPr>
          </w:p>
        </w:tc>
        <w:tc>
          <w:tcPr>
            <w:tcW w:w="660" w:type="dxa"/>
            <w:vAlign w:val="bottom"/>
            <w:tcBorders>
              <w:bottom w:val="single" w:sz="8" w:color="CEFFE7"/>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31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Purchased:</w:t>
            </w:r>
          </w:p>
        </w:tc>
        <w:tc>
          <w:tcPr>
            <w:tcW w:w="72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spacing w:after="0"/>
              <w:rPr>
                <w:sz w:val="21"/>
                <w:szCs w:val="21"/>
                <w:color w:val="auto"/>
              </w:rPr>
            </w:pPr>
          </w:p>
        </w:tc>
        <w:tc>
          <w:tcPr>
            <w:tcW w:w="168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3140" w:type="dxa"/>
            <w:vAlign w:val="bottom"/>
            <w:gridSpan w:val="2"/>
          </w:tcPr>
          <w:p>
            <w:pPr>
              <w:ind w:left="280"/>
              <w:spacing w:after="0"/>
              <w:rPr>
                <w:sz w:val="20"/>
                <w:szCs w:val="20"/>
                <w:color w:val="auto"/>
              </w:rPr>
            </w:pPr>
            <w:r>
              <w:rPr>
                <w:rFonts w:ascii="Arial" w:cs="Arial" w:eastAsia="Arial" w:hAnsi="Arial"/>
                <w:sz w:val="16"/>
                <w:szCs w:val="16"/>
                <w:color w:val="auto"/>
              </w:rPr>
              <w:t>South Dakota Electric</w:t>
            </w:r>
          </w:p>
        </w:tc>
        <w:tc>
          <w:tcPr>
            <w:tcW w:w="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415,983</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447,497</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314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Wyoming Electric</w:t>
            </w:r>
          </w:p>
        </w:tc>
        <w:tc>
          <w:tcPr>
            <w:tcW w:w="720" w:type="dxa"/>
            <w:vAlign w:val="bottom"/>
            <w:tcBorders>
              <w:bottom w:val="single" w:sz="8" w:color="CEFFE7"/>
            </w:tcBorders>
            <w:shd w:val="clear" w:color="auto" w:fill="CEFFE7"/>
          </w:tcPr>
          <w:p>
            <w:pPr>
              <w:spacing w:after="0"/>
              <w:rPr>
                <w:sz w:val="20"/>
                <w:szCs w:val="20"/>
                <w:color w:val="auto"/>
              </w:rPr>
            </w:pPr>
          </w:p>
        </w:tc>
        <w:tc>
          <w:tcPr>
            <w:tcW w:w="1780" w:type="dxa"/>
            <w:vAlign w:val="bottom"/>
            <w:tcBorders>
              <w:bottom w:val="single" w:sz="8" w:color="CEFFE7"/>
            </w:tcBorders>
            <w:shd w:val="clear" w:color="auto" w:fill="CEFFE7"/>
          </w:tcPr>
          <w:p>
            <w:pPr>
              <w:spacing w:after="0"/>
              <w:rPr>
                <w:sz w:val="20"/>
                <w:szCs w:val="20"/>
                <w:color w:val="auto"/>
              </w:rPr>
            </w:pPr>
          </w:p>
        </w:tc>
        <w:tc>
          <w:tcPr>
            <w:tcW w:w="1680" w:type="dxa"/>
            <w:vAlign w:val="bottom"/>
            <w:tcBorders>
              <w:bottom w:val="single" w:sz="8" w:color="CEFFE7"/>
            </w:tcBorders>
            <w:shd w:val="clear" w:color="auto" w:fill="CEFFE7"/>
          </w:tcPr>
          <w:p>
            <w:pPr>
              <w:spacing w:after="0"/>
              <w:rPr>
                <w:sz w:val="20"/>
                <w:szCs w:val="20"/>
                <w:color w:val="auto"/>
              </w:rPr>
            </w:pPr>
          </w:p>
        </w:tc>
        <w:tc>
          <w:tcPr>
            <w:tcW w:w="66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256,200</w:t>
            </w: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249,535</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3140" w:type="dxa"/>
            <w:vAlign w:val="bottom"/>
            <w:gridSpan w:val="2"/>
          </w:tcPr>
          <w:p>
            <w:pPr>
              <w:ind w:left="280"/>
              <w:spacing w:after="0"/>
              <w:rPr>
                <w:sz w:val="20"/>
                <w:szCs w:val="20"/>
                <w:color w:val="auto"/>
              </w:rPr>
            </w:pPr>
            <w:r>
              <w:rPr>
                <w:rFonts w:ascii="Arial" w:cs="Arial" w:eastAsia="Arial" w:hAnsi="Arial"/>
                <w:sz w:val="16"/>
                <w:szCs w:val="16"/>
                <w:color w:val="auto"/>
              </w:rPr>
              <w:t>Colorado Electric</w:t>
            </w:r>
          </w:p>
        </w:tc>
        <w:tc>
          <w:tcPr>
            <w:tcW w:w="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394,952</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402,427</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2020" w:type="dxa"/>
            <w:vAlign w:val="bottom"/>
            <w:tcBorders>
              <w:bottom w:val="single" w:sz="8" w:color="CEFFE7"/>
            </w:tcBorders>
          </w:tcPr>
          <w:p>
            <w:pPr>
              <w:spacing w:after="0"/>
              <w:rPr>
                <w:sz w:val="2"/>
                <w:szCs w:val="2"/>
                <w:color w:val="auto"/>
              </w:rPr>
            </w:pPr>
          </w:p>
        </w:tc>
        <w:tc>
          <w:tcPr>
            <w:tcW w:w="1120" w:type="dxa"/>
            <w:vAlign w:val="bottom"/>
            <w:tcBorders>
              <w:bottom w:val="single" w:sz="8" w:color="CEFFE7"/>
            </w:tcBorders>
          </w:tcPr>
          <w:p>
            <w:pPr>
              <w:spacing w:after="0"/>
              <w:rPr>
                <w:sz w:val="2"/>
                <w:szCs w:val="2"/>
                <w:color w:val="auto"/>
              </w:rPr>
            </w:pPr>
          </w:p>
        </w:tc>
        <w:tc>
          <w:tcPr>
            <w:tcW w:w="720" w:type="dxa"/>
            <w:vAlign w:val="bottom"/>
            <w:tcBorders>
              <w:bottom w:val="single" w:sz="8" w:color="CEFFE7"/>
            </w:tcBorders>
          </w:tcPr>
          <w:p>
            <w:pPr>
              <w:spacing w:after="0"/>
              <w:rPr>
                <w:sz w:val="2"/>
                <w:szCs w:val="2"/>
                <w:color w:val="auto"/>
              </w:rPr>
            </w:pPr>
          </w:p>
        </w:tc>
        <w:tc>
          <w:tcPr>
            <w:tcW w:w="1780" w:type="dxa"/>
            <w:vAlign w:val="bottom"/>
            <w:tcBorders>
              <w:bottom w:val="single" w:sz="8" w:color="CEFFE7"/>
            </w:tcBorders>
          </w:tcPr>
          <w:p>
            <w:pPr>
              <w:spacing w:after="0"/>
              <w:rPr>
                <w:sz w:val="2"/>
                <w:szCs w:val="2"/>
                <w:color w:val="auto"/>
              </w:rPr>
            </w:pPr>
          </w:p>
        </w:tc>
        <w:tc>
          <w:tcPr>
            <w:tcW w:w="1680" w:type="dxa"/>
            <w:vAlign w:val="bottom"/>
            <w:tcBorders>
              <w:bottom w:val="single" w:sz="8" w:color="CEFFE7"/>
            </w:tcBorders>
          </w:tcPr>
          <w:p>
            <w:pPr>
              <w:spacing w:after="0"/>
              <w:rPr>
                <w:sz w:val="2"/>
                <w:szCs w:val="2"/>
                <w:color w:val="auto"/>
              </w:rPr>
            </w:pPr>
          </w:p>
        </w:tc>
        <w:tc>
          <w:tcPr>
            <w:tcW w:w="660" w:type="dxa"/>
            <w:vAlign w:val="bottom"/>
            <w:tcBorders>
              <w:bottom w:val="single" w:sz="8" w:color="CEFFE7"/>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140" w:type="dxa"/>
            <w:vAlign w:val="bottom"/>
            <w:tcBorders>
              <w:bottom w:val="single" w:sz="8" w:color="CEFFE7"/>
            </w:tcBorders>
            <w:gridSpan w:val="2"/>
            <w:shd w:val="clear" w:color="auto" w:fill="CEFFE7"/>
          </w:tcPr>
          <w:p>
            <w:pPr>
              <w:ind w:left="500"/>
              <w:spacing w:after="0"/>
              <w:rPr>
                <w:sz w:val="20"/>
                <w:szCs w:val="20"/>
                <w:color w:val="auto"/>
              </w:rPr>
            </w:pPr>
            <w:r>
              <w:rPr>
                <w:rFonts w:ascii="Arial" w:cs="Arial" w:eastAsia="Arial" w:hAnsi="Arial"/>
                <w:sz w:val="16"/>
                <w:szCs w:val="16"/>
                <w:color w:val="auto"/>
              </w:rPr>
              <w:t>Total Purchased</w:t>
            </w:r>
          </w:p>
        </w:tc>
        <w:tc>
          <w:tcPr>
            <w:tcW w:w="72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spacing w:after="0"/>
              <w:rPr>
                <w:sz w:val="21"/>
                <w:szCs w:val="21"/>
                <w:color w:val="auto"/>
              </w:rPr>
            </w:pPr>
          </w:p>
        </w:tc>
        <w:tc>
          <w:tcPr>
            <w:tcW w:w="168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1,067,135</w:t>
            </w: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1,099,459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14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Generated and Purchased</w:t>
            </w:r>
          </w:p>
        </w:tc>
        <w:tc>
          <w:tcPr>
            <w:tcW w:w="72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spacing w:after="0"/>
              <w:rPr>
                <w:sz w:val="21"/>
                <w:szCs w:val="21"/>
                <w:color w:val="auto"/>
              </w:rPr>
            </w:pPr>
          </w:p>
        </w:tc>
        <w:tc>
          <w:tcPr>
            <w:tcW w:w="168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1,778,039</w:t>
            </w:r>
          </w:p>
        </w:tc>
        <w:tc>
          <w:tcPr>
            <w:tcW w:w="15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1,770,611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120" w:type="dxa"/>
            <w:vAlign w:val="bottom"/>
            <w:gridSpan w:val="3"/>
            <w:vMerge w:val="restart"/>
          </w:tcPr>
          <w:p>
            <w:pPr>
              <w:jc w:val="center"/>
              <w:ind w:left="1179"/>
              <w:spacing w:after="0"/>
              <w:rPr>
                <w:sz w:val="20"/>
                <w:szCs w:val="20"/>
                <w:color w:val="auto"/>
              </w:rPr>
            </w:pPr>
            <w:r>
              <w:rPr>
                <w:rFonts w:ascii="Arial" w:cs="Arial" w:eastAsia="Arial" w:hAnsi="Arial"/>
                <w:sz w:val="16"/>
                <w:szCs w:val="16"/>
                <w:color w:val="auto"/>
                <w:w w:val="91"/>
              </w:rPr>
              <w:t>Three Months Ended March 31,</w:t>
            </w: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20" w:type="dxa"/>
            <w:vAlign w:val="bottom"/>
            <w:gridSpan w:val="3"/>
            <w:vMerge w:val="continue"/>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80" w:type="dxa"/>
            <w:vAlign w:val="bottom"/>
            <w:gridSpan w:val="3"/>
          </w:tcPr>
          <w:p>
            <w:pPr>
              <w:ind w:left="40"/>
              <w:spacing w:after="0"/>
              <w:rPr>
                <w:sz w:val="20"/>
                <w:szCs w:val="20"/>
                <w:color w:val="auto"/>
              </w:rPr>
            </w:pPr>
            <w:r>
              <w:rPr>
                <w:rFonts w:ascii="Arial" w:cs="Arial" w:eastAsia="Arial" w:hAnsi="Arial"/>
                <w:sz w:val="16"/>
                <w:szCs w:val="16"/>
                <w:color w:val="auto"/>
              </w:rPr>
              <w:t>Degree Days</w:t>
            </w:r>
          </w:p>
        </w:tc>
        <w:tc>
          <w:tcPr>
            <w:tcW w:w="720" w:type="dxa"/>
            <w:vAlign w:val="bottom"/>
          </w:tcPr>
          <w:p>
            <w:pPr>
              <w:spacing w:after="0"/>
              <w:rPr>
                <w:sz w:val="23"/>
                <w:szCs w:val="23"/>
                <w:color w:val="auto"/>
              </w:rPr>
            </w:pPr>
          </w:p>
        </w:tc>
        <w:tc>
          <w:tcPr>
            <w:tcW w:w="1780" w:type="dxa"/>
            <w:vAlign w:val="bottom"/>
          </w:tcPr>
          <w:p>
            <w:pPr>
              <w:jc w:val="center"/>
              <w:ind w:right="19"/>
              <w:spacing w:after="0"/>
              <w:rPr>
                <w:sz w:val="20"/>
                <w:szCs w:val="20"/>
                <w:color w:val="auto"/>
              </w:rPr>
            </w:pPr>
            <w:r>
              <w:rPr>
                <w:rFonts w:ascii="Arial" w:cs="Arial" w:eastAsia="Arial" w:hAnsi="Arial"/>
                <w:sz w:val="16"/>
                <w:szCs w:val="16"/>
                <w:color w:val="auto"/>
                <w:w w:val="89"/>
              </w:rPr>
              <w:t>2018</w:t>
            </w:r>
          </w:p>
        </w:tc>
        <w:tc>
          <w:tcPr>
            <w:tcW w:w="1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2017</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80" w:type="dxa"/>
            <w:vAlign w:val="bottom"/>
          </w:tcPr>
          <w:p>
            <w:pPr>
              <w:jc w:val="center"/>
              <w:ind w:right="19"/>
              <w:spacing w:after="0"/>
              <w:rPr>
                <w:sz w:val="20"/>
                <w:szCs w:val="20"/>
                <w:color w:val="auto"/>
              </w:rPr>
            </w:pPr>
            <w:r>
              <w:rPr>
                <w:rFonts w:ascii="Arial" w:cs="Arial" w:eastAsia="Arial" w:hAnsi="Arial"/>
                <w:sz w:val="16"/>
                <w:szCs w:val="16"/>
                <w:color w:val="auto"/>
                <w:w w:val="92"/>
              </w:rPr>
              <w:t>Variance from</w:t>
            </w:r>
          </w:p>
        </w:tc>
        <w:tc>
          <w:tcPr>
            <w:tcW w:w="2340" w:type="dxa"/>
            <w:vAlign w:val="bottom"/>
            <w:gridSpan w:val="2"/>
          </w:tcPr>
          <w:p>
            <w:pPr>
              <w:jc w:val="center"/>
              <w:ind w:right="560"/>
              <w:spacing w:after="0"/>
              <w:rPr>
                <w:sz w:val="20"/>
                <w:szCs w:val="20"/>
                <w:color w:val="auto"/>
              </w:rPr>
            </w:pPr>
            <w:r>
              <w:rPr>
                <w:rFonts w:ascii="Arial" w:cs="Arial" w:eastAsia="Arial" w:hAnsi="Arial"/>
                <w:sz w:val="16"/>
                <w:szCs w:val="16"/>
                <w:color w:val="auto"/>
                <w:w w:val="93"/>
              </w:rPr>
              <w:t>Actual Variance to Prior</w:t>
            </w:r>
          </w:p>
        </w:tc>
        <w:tc>
          <w:tcPr>
            <w:tcW w:w="1540" w:type="dxa"/>
            <w:vAlign w:val="bottom"/>
          </w:tcPr>
          <w:p>
            <w:pPr>
              <w:spacing w:after="0"/>
              <w:rPr>
                <w:sz w:val="18"/>
                <w:szCs w:val="18"/>
                <w:color w:val="auto"/>
              </w:rPr>
            </w:pPr>
          </w:p>
        </w:tc>
        <w:tc>
          <w:tcPr>
            <w:tcW w:w="1540" w:type="dxa"/>
            <w:vAlign w:val="bottom"/>
          </w:tcPr>
          <w:p>
            <w:pPr>
              <w:jc w:val="center"/>
              <w:ind w:right="179"/>
              <w:spacing w:after="0"/>
              <w:rPr>
                <w:sz w:val="20"/>
                <w:szCs w:val="20"/>
                <w:color w:val="auto"/>
              </w:rPr>
            </w:pPr>
            <w:r>
              <w:rPr>
                <w:rFonts w:ascii="Arial" w:cs="Arial" w:eastAsia="Arial" w:hAnsi="Arial"/>
                <w:sz w:val="16"/>
                <w:szCs w:val="16"/>
                <w:color w:val="auto"/>
                <w:w w:val="92"/>
              </w:rPr>
              <w:t>Variance from</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20" w:type="dxa"/>
            <w:vAlign w:val="bottom"/>
          </w:tcPr>
          <w:p>
            <w:pPr>
              <w:ind w:left="620"/>
              <w:spacing w:after="0"/>
              <w:rPr>
                <w:sz w:val="20"/>
                <w:szCs w:val="20"/>
                <w:color w:val="auto"/>
              </w:rPr>
            </w:pPr>
            <w:r>
              <w:rPr>
                <w:rFonts w:ascii="Arial" w:cs="Arial" w:eastAsia="Arial" w:hAnsi="Arial"/>
                <w:sz w:val="16"/>
                <w:szCs w:val="16"/>
                <w:color w:val="auto"/>
              </w:rPr>
              <w:t>Actual</w:t>
            </w:r>
          </w:p>
        </w:tc>
        <w:tc>
          <w:tcPr>
            <w:tcW w:w="720" w:type="dxa"/>
            <w:vAlign w:val="bottom"/>
          </w:tcPr>
          <w:p>
            <w:pPr>
              <w:spacing w:after="0"/>
              <w:rPr>
                <w:sz w:val="17"/>
                <w:szCs w:val="17"/>
                <w:color w:val="auto"/>
              </w:rPr>
            </w:pPr>
          </w:p>
        </w:tc>
        <w:tc>
          <w:tcPr>
            <w:tcW w:w="1780" w:type="dxa"/>
            <w:vAlign w:val="bottom"/>
          </w:tcPr>
          <w:p>
            <w:pPr>
              <w:jc w:val="center"/>
              <w:ind w:right="39"/>
              <w:spacing w:after="0"/>
              <w:rPr>
                <w:sz w:val="20"/>
                <w:szCs w:val="20"/>
                <w:color w:val="auto"/>
              </w:rPr>
            </w:pPr>
            <w:r>
              <w:rPr>
                <w:rFonts w:ascii="Arial" w:cs="Arial" w:eastAsia="Arial" w:hAnsi="Arial"/>
                <w:sz w:val="16"/>
                <w:szCs w:val="16"/>
                <w:color w:val="auto"/>
                <w:w w:val="90"/>
              </w:rPr>
              <w:t>30-Year Average</w:t>
            </w:r>
          </w:p>
        </w:tc>
        <w:tc>
          <w:tcPr>
            <w:tcW w:w="2340" w:type="dxa"/>
            <w:vAlign w:val="bottom"/>
            <w:gridSpan w:val="2"/>
          </w:tcPr>
          <w:p>
            <w:pPr>
              <w:jc w:val="center"/>
              <w:ind w:right="560"/>
              <w:spacing w:after="0"/>
              <w:rPr>
                <w:sz w:val="20"/>
                <w:szCs w:val="20"/>
                <w:color w:val="auto"/>
              </w:rPr>
            </w:pPr>
            <w:r>
              <w:rPr>
                <w:rFonts w:ascii="Arial" w:cs="Arial" w:eastAsia="Arial" w:hAnsi="Arial"/>
                <w:sz w:val="16"/>
                <w:szCs w:val="16"/>
                <w:color w:val="auto"/>
                <w:w w:val="88"/>
              </w:rPr>
              <w:t>Year</w:t>
            </w:r>
          </w:p>
        </w:tc>
        <w:tc>
          <w:tcPr>
            <w:tcW w:w="1540" w:type="dxa"/>
            <w:vAlign w:val="bottom"/>
          </w:tcPr>
          <w:p>
            <w:pPr>
              <w:jc w:val="right"/>
              <w:ind w:right="919"/>
              <w:spacing w:after="0"/>
              <w:rPr>
                <w:sz w:val="20"/>
                <w:szCs w:val="20"/>
                <w:color w:val="auto"/>
              </w:rPr>
            </w:pPr>
            <w:r>
              <w:rPr>
                <w:rFonts w:ascii="Arial" w:cs="Arial" w:eastAsia="Arial" w:hAnsi="Arial"/>
                <w:sz w:val="16"/>
                <w:szCs w:val="16"/>
                <w:color w:val="auto"/>
              </w:rPr>
              <w:t>Actual</w:t>
            </w:r>
          </w:p>
        </w:tc>
        <w:tc>
          <w:tcPr>
            <w:tcW w:w="1540" w:type="dxa"/>
            <w:vAlign w:val="bottom"/>
          </w:tcPr>
          <w:p>
            <w:pPr>
              <w:jc w:val="center"/>
              <w:ind w:right="199"/>
              <w:spacing w:after="0"/>
              <w:rPr>
                <w:sz w:val="20"/>
                <w:szCs w:val="20"/>
                <w:color w:val="auto"/>
              </w:rPr>
            </w:pPr>
            <w:r>
              <w:rPr>
                <w:rFonts w:ascii="Arial" w:cs="Arial" w:eastAsia="Arial" w:hAnsi="Arial"/>
                <w:sz w:val="16"/>
                <w:szCs w:val="16"/>
                <w:color w:val="auto"/>
                <w:w w:val="90"/>
              </w:rPr>
              <w:t>30-Year Average</w:t>
            </w:r>
          </w:p>
        </w:tc>
        <w:tc>
          <w:tcPr>
            <w:tcW w:w="0" w:type="dxa"/>
            <w:vAlign w:val="bottom"/>
          </w:tcPr>
          <w:p>
            <w:pPr>
              <w:spacing w:after="0"/>
              <w:rPr>
                <w:sz w:val="1"/>
                <w:szCs w:val="1"/>
                <w:color w:val="auto"/>
              </w:rPr>
            </w:pPr>
          </w:p>
        </w:tc>
      </w:tr>
      <w:tr>
        <w:trPr>
          <w:trHeight w:val="33"/>
        </w:trPr>
        <w:tc>
          <w:tcPr>
            <w:tcW w:w="2360" w:type="dxa"/>
            <w:vAlign w:val="bottom"/>
            <w:tcBorders>
              <w:bottom w:val="single" w:sz="8" w:color="CEFFE7"/>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6"/>
                <w:szCs w:val="16"/>
                <w:color w:val="auto"/>
              </w:rPr>
              <w:t>Heating Degree Days:</w:t>
            </w:r>
          </w:p>
        </w:tc>
        <w:tc>
          <w:tcPr>
            <w:tcW w:w="72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spacing w:after="0"/>
              <w:rPr>
                <w:sz w:val="21"/>
                <w:szCs w:val="21"/>
                <w:color w:val="auto"/>
              </w:rPr>
            </w:pPr>
          </w:p>
        </w:tc>
        <w:tc>
          <w:tcPr>
            <w:tcW w:w="168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3140" w:type="dxa"/>
            <w:vAlign w:val="bottom"/>
            <w:gridSpan w:val="2"/>
          </w:tcPr>
          <w:p>
            <w:pPr>
              <w:ind w:left="80"/>
              <w:spacing w:after="0"/>
              <w:rPr>
                <w:sz w:val="20"/>
                <w:szCs w:val="20"/>
                <w:color w:val="auto"/>
              </w:rPr>
            </w:pPr>
            <w:r>
              <w:rPr>
                <w:rFonts w:ascii="Arial" w:cs="Arial" w:eastAsia="Arial" w:hAnsi="Arial"/>
                <w:sz w:val="16"/>
                <w:szCs w:val="16"/>
                <w:color w:val="auto"/>
              </w:rPr>
              <w:t>South Dakota Electric</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3,699</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15 %</w:t>
            </w:r>
          </w:p>
        </w:tc>
        <w:tc>
          <w:tcPr>
            <w:tcW w:w="1680" w:type="dxa"/>
            <w:vAlign w:val="bottom"/>
          </w:tcPr>
          <w:p>
            <w:pPr>
              <w:jc w:val="center"/>
              <w:ind w:left="19"/>
              <w:spacing w:after="0"/>
              <w:rPr>
                <w:sz w:val="20"/>
                <w:szCs w:val="20"/>
                <w:color w:val="auto"/>
              </w:rPr>
            </w:pPr>
            <w:r>
              <w:rPr>
                <w:rFonts w:ascii="Arial" w:cs="Arial" w:eastAsia="Arial" w:hAnsi="Arial"/>
                <w:sz w:val="16"/>
                <w:szCs w:val="16"/>
                <w:color w:val="auto"/>
                <w:w w:val="93"/>
              </w:rPr>
              <w:t>18%</w:t>
            </w:r>
          </w:p>
        </w:tc>
        <w:tc>
          <w:tcPr>
            <w:tcW w:w="660" w:type="dxa"/>
            <w:vAlign w:val="bottom"/>
          </w:tcPr>
          <w:p>
            <w:pPr>
              <w:spacing w:after="0"/>
              <w:rPr>
                <w:sz w:val="20"/>
                <w:szCs w:val="20"/>
                <w:color w:val="auto"/>
              </w:rPr>
            </w:pP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3,130</w:t>
            </w:r>
          </w:p>
        </w:tc>
        <w:tc>
          <w:tcPr>
            <w:tcW w:w="15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EFFE7"/>
            </w:tcBorders>
            <w:shd w:val="clear" w:color="auto" w:fill="CEFFE7"/>
          </w:tcPr>
          <w:p>
            <w:pPr>
              <w:spacing w:after="0"/>
              <w:rPr>
                <w:sz w:val="21"/>
                <w:szCs w:val="21"/>
                <w:color w:val="auto"/>
              </w:rPr>
            </w:pPr>
          </w:p>
        </w:tc>
        <w:tc>
          <w:tcPr>
            <w:tcW w:w="3140" w:type="dxa"/>
            <w:vAlign w:val="bottom"/>
            <w:tcBorders>
              <w:bottom w:val="single" w:sz="8" w:color="CEFFE7"/>
            </w:tcBorders>
            <w:gridSpan w:val="2"/>
            <w:shd w:val="clear" w:color="auto" w:fill="CEFFE7"/>
          </w:tcPr>
          <w:p>
            <w:pPr>
              <w:ind w:left="80"/>
              <w:spacing w:after="0"/>
              <w:rPr>
                <w:sz w:val="20"/>
                <w:szCs w:val="20"/>
                <w:color w:val="auto"/>
              </w:rPr>
            </w:pPr>
            <w:r>
              <w:rPr>
                <w:rFonts w:ascii="Arial" w:cs="Arial" w:eastAsia="Arial" w:hAnsi="Arial"/>
                <w:sz w:val="16"/>
                <w:szCs w:val="16"/>
                <w:color w:val="auto"/>
              </w:rPr>
              <w:t>Wyoming Electric</w:t>
            </w:r>
          </w:p>
        </w:tc>
        <w:tc>
          <w:tcPr>
            <w:tcW w:w="72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2,984</w:t>
            </w:r>
          </w:p>
        </w:tc>
        <w:tc>
          <w:tcPr>
            <w:tcW w:w="1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w:t>
            </w:r>
          </w:p>
        </w:tc>
        <w:tc>
          <w:tcPr>
            <w:tcW w:w="1680" w:type="dxa"/>
            <w:vAlign w:val="bottom"/>
            <w:tcBorders>
              <w:bottom w:val="single" w:sz="8" w:color="CEFFE7"/>
            </w:tcBorders>
            <w:shd w:val="clear" w:color="auto" w:fill="CEFFE7"/>
          </w:tcPr>
          <w:p>
            <w:pPr>
              <w:jc w:val="center"/>
              <w:ind w:left="19"/>
              <w:spacing w:after="0"/>
              <w:rPr>
                <w:sz w:val="20"/>
                <w:szCs w:val="20"/>
                <w:color w:val="auto"/>
              </w:rPr>
            </w:pPr>
            <w:r>
              <w:rPr>
                <w:rFonts w:ascii="Arial" w:cs="Arial" w:eastAsia="Arial" w:hAnsi="Arial"/>
                <w:sz w:val="16"/>
                <w:szCs w:val="16"/>
                <w:color w:val="auto"/>
                <w:w w:val="94"/>
              </w:rPr>
              <w:t>9%</w:t>
            </w:r>
          </w:p>
        </w:tc>
        <w:tc>
          <w:tcPr>
            <w:tcW w:w="6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399"/>
              <w:spacing w:after="0"/>
              <w:rPr>
                <w:sz w:val="20"/>
                <w:szCs w:val="20"/>
                <w:color w:val="auto"/>
              </w:rPr>
            </w:pPr>
            <w:r>
              <w:rPr>
                <w:rFonts w:ascii="Arial" w:cs="Arial" w:eastAsia="Arial" w:hAnsi="Arial"/>
                <w:sz w:val="16"/>
                <w:szCs w:val="16"/>
                <w:color w:val="auto"/>
              </w:rPr>
              <w:t>2,730</w:t>
            </w: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3140" w:type="dxa"/>
            <w:vAlign w:val="bottom"/>
            <w:gridSpan w:val="2"/>
          </w:tcPr>
          <w:p>
            <w:pPr>
              <w:ind w:left="80"/>
              <w:spacing w:after="0"/>
              <w:rPr>
                <w:sz w:val="20"/>
                <w:szCs w:val="20"/>
                <w:color w:val="auto"/>
              </w:rPr>
            </w:pPr>
            <w:r>
              <w:rPr>
                <w:rFonts w:ascii="Arial" w:cs="Arial" w:eastAsia="Arial" w:hAnsi="Arial"/>
                <w:sz w:val="16"/>
                <w:szCs w:val="16"/>
                <w:color w:val="auto"/>
              </w:rPr>
              <w:t>Colorado Electric</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2,406</w:t>
            </w:r>
          </w:p>
        </w:tc>
        <w:tc>
          <w:tcPr>
            <w:tcW w:w="1780" w:type="dxa"/>
            <w:vAlign w:val="bottom"/>
          </w:tcPr>
          <w:p>
            <w:pPr>
              <w:jc w:val="right"/>
              <w:spacing w:after="0"/>
              <w:rPr>
                <w:sz w:val="20"/>
                <w:szCs w:val="20"/>
                <w:color w:val="auto"/>
              </w:rPr>
            </w:pPr>
            <w:r>
              <w:rPr>
                <w:rFonts w:ascii="Arial" w:cs="Arial" w:eastAsia="Arial" w:hAnsi="Arial"/>
                <w:sz w:val="16"/>
                <w:szCs w:val="16"/>
                <w:color w:val="auto"/>
              </w:rPr>
              <w:t>(9)%</w:t>
            </w:r>
          </w:p>
        </w:tc>
        <w:tc>
          <w:tcPr>
            <w:tcW w:w="1680" w:type="dxa"/>
            <w:vAlign w:val="bottom"/>
          </w:tcPr>
          <w:p>
            <w:pPr>
              <w:jc w:val="center"/>
              <w:ind w:left="19"/>
              <w:spacing w:after="0"/>
              <w:rPr>
                <w:sz w:val="20"/>
                <w:szCs w:val="20"/>
                <w:color w:val="auto"/>
              </w:rPr>
            </w:pPr>
            <w:r>
              <w:rPr>
                <w:rFonts w:ascii="Arial" w:cs="Arial" w:eastAsia="Arial" w:hAnsi="Arial"/>
                <w:sz w:val="16"/>
                <w:szCs w:val="16"/>
                <w:color w:val="auto"/>
                <w:w w:val="93"/>
              </w:rPr>
              <w:t>14%</w:t>
            </w:r>
          </w:p>
        </w:tc>
        <w:tc>
          <w:tcPr>
            <w:tcW w:w="660" w:type="dxa"/>
            <w:vAlign w:val="bottom"/>
          </w:tcPr>
          <w:p>
            <w:pPr>
              <w:spacing w:after="0"/>
              <w:rPr>
                <w:sz w:val="20"/>
                <w:szCs w:val="20"/>
                <w:color w:val="auto"/>
              </w:rPr>
            </w:pPr>
          </w:p>
        </w:tc>
        <w:tc>
          <w:tcPr>
            <w:tcW w:w="1540" w:type="dxa"/>
            <w:vAlign w:val="bottom"/>
          </w:tcPr>
          <w:p>
            <w:pPr>
              <w:jc w:val="right"/>
              <w:ind w:right="399"/>
              <w:spacing w:after="0"/>
              <w:rPr>
                <w:sz w:val="20"/>
                <w:szCs w:val="20"/>
                <w:color w:val="auto"/>
              </w:rPr>
            </w:pPr>
            <w:r>
              <w:rPr>
                <w:rFonts w:ascii="Arial" w:cs="Arial" w:eastAsia="Arial" w:hAnsi="Arial"/>
                <w:sz w:val="16"/>
                <w:szCs w:val="16"/>
                <w:color w:val="auto"/>
              </w:rPr>
              <w:t>2,119</w:t>
            </w:r>
          </w:p>
        </w:tc>
        <w:tc>
          <w:tcPr>
            <w:tcW w:w="15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shd w:val="clear" w:color="auto" w:fill="CEFFE7"/>
          </w:tcPr>
          <w:p>
            <w:pPr>
              <w:spacing w:after="0"/>
              <w:rPr>
                <w:sz w:val="23"/>
                <w:szCs w:val="23"/>
                <w:color w:val="auto"/>
              </w:rPr>
            </w:pPr>
          </w:p>
        </w:tc>
        <w:tc>
          <w:tcPr>
            <w:tcW w:w="3140" w:type="dxa"/>
            <w:vAlign w:val="bottom"/>
            <w:gridSpan w:val="2"/>
            <w:shd w:val="clear" w:color="auto" w:fill="CEFFE7"/>
          </w:tcPr>
          <w:p>
            <w:pPr>
              <w:ind w:left="38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72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2,964</w:t>
            </w:r>
          </w:p>
        </w:tc>
        <w:tc>
          <w:tcPr>
            <w:tcW w:w="17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1 %</w:t>
            </w:r>
          </w:p>
        </w:tc>
        <w:tc>
          <w:tcPr>
            <w:tcW w:w="168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w w:val="93"/>
              </w:rPr>
              <w:t>15%</w:t>
            </w:r>
          </w:p>
        </w:tc>
        <w:tc>
          <w:tcPr>
            <w:tcW w:w="660" w:type="dxa"/>
            <w:vAlign w:val="bottom"/>
            <w:shd w:val="clear" w:color="auto" w:fill="CEFFE7"/>
          </w:tcPr>
          <w:p>
            <w:pPr>
              <w:spacing w:after="0"/>
              <w:rPr>
                <w:sz w:val="23"/>
                <w:szCs w:val="23"/>
                <w:color w:val="auto"/>
              </w:rPr>
            </w:pPr>
          </w:p>
        </w:tc>
        <w:tc>
          <w:tcPr>
            <w:tcW w:w="1540" w:type="dxa"/>
            <w:vAlign w:val="bottom"/>
            <w:shd w:val="clear" w:color="auto" w:fill="CEFFE7"/>
          </w:tcPr>
          <w:p>
            <w:pPr>
              <w:jc w:val="right"/>
              <w:ind w:right="399"/>
              <w:spacing w:after="0"/>
              <w:rPr>
                <w:sz w:val="20"/>
                <w:szCs w:val="20"/>
                <w:color w:val="auto"/>
              </w:rPr>
            </w:pPr>
            <w:r>
              <w:rPr>
                <w:rFonts w:ascii="Arial" w:cs="Arial" w:eastAsia="Arial" w:hAnsi="Arial"/>
                <w:sz w:val="16"/>
                <w:szCs w:val="16"/>
                <w:color w:val="auto"/>
              </w:rPr>
              <w:t>2,587</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9"/>
        </w:trPr>
        <w:tc>
          <w:tcPr>
            <w:tcW w:w="2360" w:type="dxa"/>
            <w:vAlign w:val="bottom"/>
            <w:gridSpan w:val="2"/>
          </w:tcPr>
          <w:p>
            <w:pPr>
              <w:spacing w:after="0" w:line="179" w:lineRule="exact"/>
              <w:rPr>
                <w:sz w:val="20"/>
                <w:szCs w:val="20"/>
                <w:color w:val="auto"/>
              </w:rPr>
            </w:pPr>
            <w:r>
              <w:rPr>
                <w:rFonts w:ascii="Arial" w:cs="Arial" w:eastAsia="Arial" w:hAnsi="Arial"/>
                <w:sz w:val="16"/>
                <w:szCs w:val="16"/>
                <w:color w:val="auto"/>
              </w:rPr>
              <w:t>__________</w:t>
            </w: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320" w:type="dxa"/>
            <w:vAlign w:val="bottom"/>
            <w:gridSpan w:val="7"/>
          </w:tcPr>
          <w:p>
            <w:pPr>
              <w:spacing w:after="0"/>
              <w:rPr>
                <w:sz w:val="20"/>
                <w:szCs w:val="20"/>
                <w:color w:val="auto"/>
              </w:rPr>
            </w:pPr>
            <w:r>
              <w:rPr>
                <w:rFonts w:ascii="Arial" w:cs="Arial" w:eastAsia="Arial" w:hAnsi="Arial"/>
                <w:sz w:val="16"/>
                <w:szCs w:val="16"/>
                <w:color w:val="auto"/>
              </w:rPr>
              <w:t>(a)  Combined actuals are calculated based on the weighted average number of total customers by state.</w:t>
            </w:r>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3480" w:type="dxa"/>
            <w:vAlign w:val="bottom"/>
            <w:gridSpan w:val="3"/>
          </w:tcPr>
          <w:p>
            <w:pPr>
              <w:ind w:left="40"/>
              <w:spacing w:after="0"/>
              <w:rPr>
                <w:sz w:val="20"/>
                <w:szCs w:val="20"/>
                <w:color w:val="auto"/>
              </w:rPr>
            </w:pPr>
            <w:r>
              <w:rPr>
                <w:rFonts w:ascii="Arial" w:cs="Arial" w:eastAsia="Arial" w:hAnsi="Arial"/>
                <w:sz w:val="16"/>
                <w:szCs w:val="16"/>
                <w:color w:val="auto"/>
              </w:rPr>
              <w:t>Electric Utilities Power Plant Availability</w:t>
            </w: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80" w:type="dxa"/>
            <w:vAlign w:val="bottom"/>
            <w:gridSpan w:val="2"/>
          </w:tcPr>
          <w:p>
            <w:pPr>
              <w:jc w:val="right"/>
              <w:ind w:right="739"/>
              <w:spacing w:after="0"/>
              <w:rPr>
                <w:sz w:val="20"/>
                <w:szCs w:val="20"/>
                <w:color w:val="auto"/>
              </w:rPr>
            </w:pPr>
            <w:r>
              <w:rPr>
                <w:rFonts w:ascii="Arial" w:cs="Arial" w:eastAsia="Arial" w:hAnsi="Arial"/>
                <w:sz w:val="16"/>
                <w:szCs w:val="16"/>
                <w:color w:val="auto"/>
                <w:w w:val="99"/>
              </w:rPr>
              <w:t>Three Months Ended March 31,</w:t>
            </w:r>
          </w:p>
        </w:tc>
        <w:tc>
          <w:tcPr>
            <w:tcW w:w="0" w:type="dxa"/>
            <w:vAlign w:val="bottom"/>
          </w:tcPr>
          <w:p>
            <w:pPr>
              <w:spacing w:after="0"/>
              <w:rPr>
                <w:sz w:val="1"/>
                <w:szCs w:val="1"/>
                <w:color w:val="auto"/>
              </w:rPr>
            </w:pPr>
          </w:p>
        </w:tc>
      </w:tr>
      <w:tr>
        <w:trPr>
          <w:trHeight w:val="33"/>
        </w:trPr>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jc w:val="right"/>
              <w:ind w:right="999"/>
              <w:spacing w:after="0"/>
              <w:rPr>
                <w:sz w:val="20"/>
                <w:szCs w:val="20"/>
                <w:color w:val="auto"/>
              </w:rPr>
            </w:pPr>
            <w:r>
              <w:rPr>
                <w:rFonts w:ascii="Arial" w:cs="Arial" w:eastAsia="Arial" w:hAnsi="Arial"/>
                <w:sz w:val="16"/>
                <w:szCs w:val="16"/>
                <w:color w:val="auto"/>
              </w:rPr>
              <w:t>2018</w:t>
            </w:r>
          </w:p>
        </w:tc>
        <w:tc>
          <w:tcPr>
            <w:tcW w:w="1540" w:type="dxa"/>
            <w:vAlign w:val="bottom"/>
          </w:tcPr>
          <w:p>
            <w:pPr>
              <w:jc w:val="center"/>
              <w:ind w:right="219"/>
              <w:spacing w:after="0"/>
              <w:rPr>
                <w:sz w:val="20"/>
                <w:szCs w:val="20"/>
                <w:color w:val="auto"/>
              </w:rPr>
            </w:pPr>
            <w:r>
              <w:rPr>
                <w:rFonts w:ascii="Arial" w:cs="Arial" w:eastAsia="Arial" w:hAnsi="Arial"/>
                <w:sz w:val="16"/>
                <w:szCs w:val="16"/>
                <w:color w:val="auto"/>
                <w:w w:val="89"/>
              </w:rPr>
              <w:t>2017</w:t>
            </w:r>
          </w:p>
        </w:tc>
        <w:tc>
          <w:tcPr>
            <w:tcW w:w="0" w:type="dxa"/>
            <w:vAlign w:val="bottom"/>
          </w:tcPr>
          <w:p>
            <w:pPr>
              <w:spacing w:after="0"/>
              <w:rPr>
                <w:sz w:val="1"/>
                <w:szCs w:val="1"/>
                <w:color w:val="auto"/>
              </w:rPr>
            </w:pPr>
          </w:p>
        </w:tc>
      </w:tr>
      <w:tr>
        <w:trPr>
          <w:trHeight w:val="33"/>
        </w:trPr>
        <w:tc>
          <w:tcPr>
            <w:tcW w:w="3480" w:type="dxa"/>
            <w:vAlign w:val="bottom"/>
            <w:tcBorders>
              <w:bottom w:val="single" w:sz="8" w:color="CEFFE7"/>
            </w:tcBorders>
            <w:gridSpan w:val="3"/>
          </w:tcPr>
          <w:p>
            <w:pPr>
              <w:spacing w:after="0"/>
              <w:rPr>
                <w:sz w:val="2"/>
                <w:szCs w:val="2"/>
                <w:color w:val="auto"/>
              </w:rPr>
            </w:pPr>
          </w:p>
        </w:tc>
        <w:tc>
          <w:tcPr>
            <w:tcW w:w="720" w:type="dxa"/>
            <w:vAlign w:val="bottom"/>
            <w:tcBorders>
              <w:bottom w:val="single" w:sz="8" w:color="CEFFE7"/>
            </w:tcBorders>
          </w:tcPr>
          <w:p>
            <w:pPr>
              <w:spacing w:after="0"/>
              <w:rPr>
                <w:sz w:val="2"/>
                <w:szCs w:val="2"/>
                <w:color w:val="auto"/>
              </w:rPr>
            </w:pPr>
          </w:p>
        </w:tc>
        <w:tc>
          <w:tcPr>
            <w:tcW w:w="1780" w:type="dxa"/>
            <w:vAlign w:val="bottom"/>
            <w:tcBorders>
              <w:bottom w:val="single" w:sz="8" w:color="CEFFE7"/>
            </w:tcBorders>
          </w:tcPr>
          <w:p>
            <w:pPr>
              <w:spacing w:after="0"/>
              <w:rPr>
                <w:sz w:val="2"/>
                <w:szCs w:val="2"/>
                <w:color w:val="auto"/>
              </w:rPr>
            </w:pPr>
          </w:p>
        </w:tc>
        <w:tc>
          <w:tcPr>
            <w:tcW w:w="1680" w:type="dxa"/>
            <w:vAlign w:val="bottom"/>
            <w:tcBorders>
              <w:bottom w:val="single" w:sz="8" w:color="CEFFE7"/>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6"/>
                <w:szCs w:val="16"/>
                <w:color w:val="auto"/>
              </w:rPr>
              <w:t>Coal-fired plants</w:t>
            </w:r>
          </w:p>
        </w:tc>
        <w:tc>
          <w:tcPr>
            <w:tcW w:w="72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spacing w:after="0"/>
              <w:rPr>
                <w:sz w:val="21"/>
                <w:szCs w:val="21"/>
                <w:color w:val="auto"/>
              </w:rPr>
            </w:pPr>
          </w:p>
        </w:tc>
        <w:tc>
          <w:tcPr>
            <w:tcW w:w="168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619"/>
              <w:spacing w:after="0"/>
              <w:rPr>
                <w:sz w:val="20"/>
                <w:szCs w:val="20"/>
                <w:color w:val="auto"/>
              </w:rPr>
            </w:pPr>
            <w:r>
              <w:rPr>
                <w:rFonts w:ascii="Arial" w:cs="Arial" w:eastAsia="Arial" w:hAnsi="Arial"/>
                <w:sz w:val="16"/>
                <w:szCs w:val="16"/>
                <w:color w:val="auto"/>
              </w:rPr>
              <w:t>95.0%</w:t>
            </w:r>
          </w:p>
        </w:tc>
        <w:tc>
          <w:tcPr>
            <w:tcW w:w="154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37"/>
        </w:trPr>
        <w:tc>
          <w:tcPr>
            <w:tcW w:w="3480" w:type="dxa"/>
            <w:vAlign w:val="bottom"/>
            <w:gridSpan w:val="3"/>
          </w:tcPr>
          <w:p>
            <w:pPr>
              <w:ind w:left="40"/>
              <w:spacing w:after="0"/>
              <w:rPr>
                <w:sz w:val="20"/>
                <w:szCs w:val="20"/>
                <w:color w:val="auto"/>
              </w:rPr>
            </w:pPr>
            <w:r>
              <w:rPr>
                <w:rFonts w:ascii="Arial" w:cs="Arial" w:eastAsia="Arial" w:hAnsi="Arial"/>
                <w:sz w:val="16"/>
                <w:szCs w:val="16"/>
                <w:color w:val="auto"/>
              </w:rPr>
              <w:t>Natural gas-fired plants and Other plants</w:t>
            </w:r>
          </w:p>
        </w:tc>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jc w:val="right"/>
              <w:ind w:right="619"/>
              <w:spacing w:after="0"/>
              <w:rPr>
                <w:sz w:val="20"/>
                <w:szCs w:val="20"/>
                <w:color w:val="auto"/>
              </w:rPr>
            </w:pPr>
            <w:r>
              <w:rPr>
                <w:rFonts w:ascii="Arial" w:cs="Arial" w:eastAsia="Arial" w:hAnsi="Arial"/>
                <w:sz w:val="16"/>
                <w:szCs w:val="16"/>
                <w:color w:val="auto"/>
              </w:rPr>
              <w:t>96.5%</w:t>
            </w:r>
          </w:p>
        </w:tc>
        <w:tc>
          <w:tcPr>
            <w:tcW w:w="1540" w:type="dxa"/>
            <w:vAlign w:val="bottom"/>
          </w:tcPr>
          <w:p>
            <w:pPr>
              <w:jc w:val="right"/>
              <w:ind w:right="299"/>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33"/>
        </w:trPr>
        <w:tc>
          <w:tcPr>
            <w:tcW w:w="3480" w:type="dxa"/>
            <w:vAlign w:val="bottom"/>
            <w:gridSpan w:val="3"/>
          </w:tcPr>
          <w:p>
            <w:pPr>
              <w:spacing w:after="0"/>
              <w:rPr>
                <w:sz w:val="2"/>
                <w:szCs w:val="2"/>
                <w:color w:val="auto"/>
              </w:rPr>
            </w:pPr>
          </w:p>
        </w:tc>
        <w:tc>
          <w:tcPr>
            <w:tcW w:w="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6"/>
                <w:szCs w:val="16"/>
                <w:color w:val="auto"/>
              </w:rPr>
              <w:t>Wind</w:t>
            </w:r>
          </w:p>
        </w:tc>
        <w:tc>
          <w:tcPr>
            <w:tcW w:w="72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spacing w:after="0"/>
              <w:rPr>
                <w:sz w:val="21"/>
                <w:szCs w:val="21"/>
                <w:color w:val="auto"/>
              </w:rPr>
            </w:pPr>
          </w:p>
        </w:tc>
        <w:tc>
          <w:tcPr>
            <w:tcW w:w="168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619"/>
              <w:spacing w:after="0"/>
              <w:rPr>
                <w:sz w:val="20"/>
                <w:szCs w:val="20"/>
                <w:color w:val="auto"/>
              </w:rPr>
            </w:pPr>
            <w:r>
              <w:rPr>
                <w:rFonts w:ascii="Arial" w:cs="Arial" w:eastAsia="Arial" w:hAnsi="Arial"/>
                <w:sz w:val="16"/>
                <w:szCs w:val="16"/>
                <w:color w:val="auto"/>
              </w:rPr>
              <w:t>97.1%</w:t>
            </w:r>
          </w:p>
        </w:tc>
        <w:tc>
          <w:tcPr>
            <w:tcW w:w="154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37"/>
        </w:trPr>
        <w:tc>
          <w:tcPr>
            <w:tcW w:w="3480" w:type="dxa"/>
            <w:vAlign w:val="bottom"/>
            <w:gridSpan w:val="3"/>
          </w:tcPr>
          <w:p>
            <w:pPr>
              <w:ind w:left="40"/>
              <w:spacing w:after="0"/>
              <w:rPr>
                <w:sz w:val="20"/>
                <w:szCs w:val="20"/>
                <w:color w:val="auto"/>
              </w:rPr>
            </w:pPr>
            <w:r>
              <w:rPr>
                <w:rFonts w:ascii="Arial" w:cs="Arial" w:eastAsia="Arial" w:hAnsi="Arial"/>
                <w:sz w:val="16"/>
                <w:szCs w:val="16"/>
                <w:color w:val="auto"/>
              </w:rPr>
              <w:t>Total availability</w:t>
            </w:r>
          </w:p>
        </w:tc>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jc w:val="right"/>
              <w:ind w:right="619"/>
              <w:spacing w:after="0"/>
              <w:rPr>
                <w:sz w:val="20"/>
                <w:szCs w:val="20"/>
                <w:color w:val="auto"/>
              </w:rPr>
            </w:pPr>
            <w:r>
              <w:rPr>
                <w:rFonts w:ascii="Arial" w:cs="Arial" w:eastAsia="Arial" w:hAnsi="Arial"/>
                <w:sz w:val="16"/>
                <w:szCs w:val="16"/>
                <w:color w:val="auto"/>
              </w:rPr>
              <w:t>96.1%</w:t>
            </w:r>
          </w:p>
        </w:tc>
        <w:tc>
          <w:tcPr>
            <w:tcW w:w="1540" w:type="dxa"/>
            <w:vAlign w:val="bottom"/>
          </w:tcPr>
          <w:p>
            <w:pPr>
              <w:jc w:val="right"/>
              <w:ind w:right="299"/>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33"/>
        </w:trPr>
        <w:tc>
          <w:tcPr>
            <w:tcW w:w="3480" w:type="dxa"/>
            <w:vAlign w:val="bottom"/>
            <w:gridSpan w:val="3"/>
          </w:tcPr>
          <w:p>
            <w:pPr>
              <w:spacing w:after="0"/>
              <w:rPr>
                <w:sz w:val="2"/>
                <w:szCs w:val="2"/>
                <w:color w:val="auto"/>
              </w:rPr>
            </w:pPr>
          </w:p>
        </w:tc>
        <w:tc>
          <w:tcPr>
            <w:tcW w:w="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80" w:type="dxa"/>
            <w:vAlign w:val="bottom"/>
            <w:gridSpan w:val="3"/>
            <w:shd w:val="clear" w:color="auto" w:fill="CEFFE7"/>
          </w:tcPr>
          <w:p>
            <w:pPr>
              <w:spacing w:after="0"/>
              <w:rPr>
                <w:sz w:val="19"/>
                <w:szCs w:val="19"/>
                <w:color w:val="auto"/>
              </w:rPr>
            </w:pPr>
          </w:p>
        </w:tc>
        <w:tc>
          <w:tcPr>
            <w:tcW w:w="720" w:type="dxa"/>
            <w:vAlign w:val="bottom"/>
            <w:shd w:val="clear" w:color="auto" w:fill="CEFFE7"/>
          </w:tcPr>
          <w:p>
            <w:pPr>
              <w:spacing w:after="0"/>
              <w:rPr>
                <w:sz w:val="19"/>
                <w:szCs w:val="19"/>
                <w:color w:val="auto"/>
              </w:rPr>
            </w:pPr>
          </w:p>
        </w:tc>
        <w:tc>
          <w:tcPr>
            <w:tcW w:w="1780" w:type="dxa"/>
            <w:vAlign w:val="bottom"/>
            <w:shd w:val="clear" w:color="auto" w:fill="CEFFE7"/>
          </w:tcPr>
          <w:p>
            <w:pPr>
              <w:spacing w:after="0"/>
              <w:rPr>
                <w:sz w:val="19"/>
                <w:szCs w:val="19"/>
                <w:color w:val="auto"/>
              </w:rPr>
            </w:pPr>
          </w:p>
        </w:tc>
        <w:tc>
          <w:tcPr>
            <w:tcW w:w="1680" w:type="dxa"/>
            <w:vAlign w:val="bottom"/>
            <w:shd w:val="clear" w:color="auto" w:fill="CEFFE7"/>
          </w:tcPr>
          <w:p>
            <w:pPr>
              <w:spacing w:after="0"/>
              <w:rPr>
                <w:sz w:val="19"/>
                <w:szCs w:val="19"/>
                <w:color w:val="auto"/>
              </w:rPr>
            </w:pPr>
          </w:p>
        </w:tc>
        <w:tc>
          <w:tcPr>
            <w:tcW w:w="660" w:type="dxa"/>
            <w:vAlign w:val="bottom"/>
            <w:shd w:val="clear" w:color="auto" w:fill="CEFFE7"/>
          </w:tcPr>
          <w:p>
            <w:pPr>
              <w:spacing w:after="0"/>
              <w:rPr>
                <w:sz w:val="19"/>
                <w:szCs w:val="19"/>
                <w:color w:val="auto"/>
              </w:rPr>
            </w:pPr>
          </w:p>
        </w:tc>
        <w:tc>
          <w:tcPr>
            <w:tcW w:w="1540" w:type="dxa"/>
            <w:vAlign w:val="bottom"/>
            <w:shd w:val="clear" w:color="auto" w:fill="CEFFE7"/>
          </w:tcPr>
          <w:p>
            <w:pPr>
              <w:spacing w:after="0"/>
              <w:rPr>
                <w:sz w:val="19"/>
                <w:szCs w:val="19"/>
                <w:color w:val="auto"/>
              </w:rPr>
            </w:pPr>
          </w:p>
        </w:tc>
        <w:tc>
          <w:tcPr>
            <w:tcW w:w="154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80" w:type="dxa"/>
            <w:vAlign w:val="bottom"/>
            <w:gridSpan w:val="3"/>
          </w:tcPr>
          <w:p>
            <w:pPr>
              <w:ind w:left="40"/>
              <w:spacing w:after="0"/>
              <w:rPr>
                <w:sz w:val="20"/>
                <w:szCs w:val="20"/>
                <w:color w:val="auto"/>
              </w:rPr>
            </w:pPr>
            <w:r>
              <w:rPr>
                <w:rFonts w:ascii="Arial" w:cs="Arial" w:eastAsia="Arial" w:hAnsi="Arial"/>
                <w:sz w:val="16"/>
                <w:szCs w:val="16"/>
                <w:color w:val="auto"/>
              </w:rPr>
              <w:t>Wind capacity factor</w:t>
            </w:r>
          </w:p>
        </w:tc>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jc w:val="right"/>
              <w:ind w:right="619"/>
              <w:spacing w:after="0"/>
              <w:rPr>
                <w:sz w:val="20"/>
                <w:szCs w:val="20"/>
                <w:color w:val="auto"/>
              </w:rPr>
            </w:pPr>
            <w:r>
              <w:rPr>
                <w:rFonts w:ascii="Arial" w:cs="Arial" w:eastAsia="Arial" w:hAnsi="Arial"/>
                <w:sz w:val="16"/>
                <w:szCs w:val="16"/>
                <w:color w:val="auto"/>
              </w:rPr>
              <w:t>50.4%</w:t>
            </w:r>
          </w:p>
        </w:tc>
        <w:tc>
          <w:tcPr>
            <w:tcW w:w="1540" w:type="dxa"/>
            <w:vAlign w:val="bottom"/>
          </w:tcPr>
          <w:p>
            <w:pPr>
              <w:jc w:val="right"/>
              <w:ind w:right="299"/>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940" w:right="2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20"/>
                <w:szCs w:val="20"/>
                <w:color w:val="auto"/>
              </w:rPr>
            </w:pPr>
            <w:r>
              <w:rPr>
                <w:rFonts w:ascii="Arial" w:cs="Arial" w:eastAsia="Arial" w:hAnsi="Arial"/>
                <w:sz w:val="18"/>
                <w:szCs w:val="18"/>
                <w:i w:val="1"/>
                <w:iCs w:val="1"/>
                <w:color w:val="auto"/>
              </w:rPr>
              <w:t>Gas Utilities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920" w:type="dxa"/>
            <w:vAlign w:val="bottom"/>
            <w:tcBorders>
              <w:top w:val="single" w:sz="8" w:color="auto"/>
            </w:tcBorders>
          </w:tcPr>
          <w:p>
            <w:pPr>
              <w:spacing w:after="0"/>
              <w:rPr>
                <w:sz w:val="24"/>
                <w:szCs w:val="24"/>
                <w:color w:val="auto"/>
              </w:rPr>
            </w:pPr>
          </w:p>
        </w:tc>
        <w:tc>
          <w:tcPr>
            <w:tcW w:w="6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gridSpan w:val="4"/>
          </w:tcPr>
          <w:p>
            <w:pPr>
              <w:jc w:val="center"/>
              <w:ind w:left="630"/>
              <w:spacing w:after="0"/>
              <w:rPr>
                <w:sz w:val="20"/>
                <w:szCs w:val="20"/>
                <w:color w:val="auto"/>
              </w:rPr>
            </w:pPr>
            <w:r>
              <w:rPr>
                <w:rFonts w:ascii="Arial" w:cs="Arial" w:eastAsia="Arial" w:hAnsi="Arial"/>
                <w:sz w:val="18"/>
                <w:szCs w:val="18"/>
                <w:color w:val="auto"/>
                <w:w w:val="90"/>
              </w:rPr>
              <w:t>Three Months Ended March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3"/>
                <w:szCs w:val="23"/>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440" w:type="dxa"/>
            <w:vAlign w:val="bottom"/>
          </w:tcPr>
          <w:p>
            <w:pPr>
              <w:spacing w:after="0"/>
              <w:rPr>
                <w:sz w:val="23"/>
                <w:szCs w:val="23"/>
                <w:color w:val="auto"/>
              </w:rPr>
            </w:pPr>
          </w:p>
        </w:tc>
        <w:tc>
          <w:tcPr>
            <w:tcW w:w="1040" w:type="dxa"/>
            <w:vAlign w:val="bottom"/>
          </w:tcPr>
          <w:p>
            <w:pPr>
              <w:jc w:val="right"/>
              <w:ind w:right="370"/>
              <w:spacing w:after="0"/>
              <w:rPr>
                <w:sz w:val="20"/>
                <w:szCs w:val="20"/>
                <w:color w:val="auto"/>
              </w:rPr>
            </w:pPr>
            <w:r>
              <w:rPr>
                <w:rFonts w:ascii="Arial" w:cs="Arial" w:eastAsia="Arial" w:hAnsi="Arial"/>
                <w:sz w:val="16"/>
                <w:szCs w:val="16"/>
                <w:color w:val="auto"/>
                <w:w w:val="88"/>
              </w:rPr>
              <w:t>Variance</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89"/>
              </w:rPr>
              <w:t>(in thousands)</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Natural gas — regulated</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370,268</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332,696</w:t>
            </w:r>
          </w:p>
        </w:tc>
        <w:tc>
          <w:tcPr>
            <w:tcW w:w="440" w:type="dxa"/>
            <w:vAlign w:val="bottom"/>
            <w:tcBorders>
              <w:bottom w:val="single" w:sz="8" w:color="CEFFE7"/>
            </w:tcBorders>
            <w:shd w:val="clear" w:color="auto" w:fill="CEFFE7"/>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37,572</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EFFE7"/>
            </w:tcBorders>
            <w:gridSpan w:val="2"/>
          </w:tcPr>
          <w:p>
            <w:pPr>
              <w:ind w:left="180"/>
              <w:spacing w:after="0" w:line="270" w:lineRule="exact"/>
              <w:rPr>
                <w:sz w:val="20"/>
                <w:szCs w:val="20"/>
                <w:color w:val="auto"/>
              </w:rPr>
            </w:pPr>
            <w:r>
              <w:rPr>
                <w:rFonts w:ascii="Arial" w:cs="Arial" w:eastAsia="Arial" w:hAnsi="Arial"/>
                <w:sz w:val="18"/>
                <w:szCs w:val="18"/>
                <w:color w:val="auto"/>
              </w:rPr>
              <w:t xml:space="preserve">Other — non-regulated services </w:t>
            </w:r>
            <w:r>
              <w:rPr>
                <w:rFonts w:ascii="Arial" w:cs="Arial" w:eastAsia="Arial" w:hAnsi="Arial"/>
                <w:sz w:val="25"/>
                <w:szCs w:val="25"/>
                <w:color w:val="auto"/>
                <w:vertAlign w:val="superscript"/>
              </w:rPr>
              <w:t>(a)</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27,076</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32,214</w:t>
            </w: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EFFE7"/>
            </w:tcBorders>
            <w:gridSpan w:val="2"/>
            <w:shd w:val="clear" w:color="auto" w:fill="CEFFE7"/>
          </w:tcPr>
          <w:p>
            <w:pPr>
              <w:ind w:left="60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397,344</w:t>
            </w:r>
          </w:p>
        </w:tc>
        <w:tc>
          <w:tcPr>
            <w:tcW w:w="180" w:type="dxa"/>
            <w:vAlign w:val="bottom"/>
            <w:tcBorders>
              <w:bottom w:val="single" w:sz="8" w:color="CEFFE7"/>
            </w:tcBorders>
            <w:shd w:val="clear" w:color="auto" w:fill="CEFFE7"/>
          </w:tcPr>
          <w:p>
            <w:pPr>
              <w:spacing w:after="0"/>
              <w:rPr>
                <w:sz w:val="22"/>
                <w:szCs w:val="22"/>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364,910</w:t>
            </w:r>
          </w:p>
        </w:tc>
        <w:tc>
          <w:tcPr>
            <w:tcW w:w="44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32,434</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Natural gas — regulated</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205,084</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169,702</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35,382</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gridSpan w:val="2"/>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Other — non-regulated services </w:t>
            </w:r>
            <w:r>
              <w:rPr>
                <w:rFonts w:ascii="Arial" w:cs="Arial" w:eastAsia="Arial" w:hAnsi="Arial"/>
                <w:sz w:val="25"/>
                <w:szCs w:val="25"/>
                <w:color w:val="auto"/>
                <w:vertAlign w:val="superscript"/>
              </w:rPr>
              <w:t>(a)</w:t>
            </w:r>
          </w:p>
        </w:tc>
        <w:tc>
          <w:tcPr>
            <w:tcW w:w="340" w:type="dxa"/>
            <w:vAlign w:val="bottom"/>
            <w:tcBorders>
              <w:bottom w:val="single" w:sz="8" w:color="auto"/>
            </w:tcBorders>
            <w:shd w:val="clear" w:color="auto" w:fill="CEFFE7"/>
          </w:tcPr>
          <w:p>
            <w:pPr>
              <w:spacing w:after="0"/>
              <w:rPr>
                <w:sz w:val="23"/>
                <w:szCs w:val="23"/>
                <w:color w:val="auto"/>
              </w:rPr>
            </w:pP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4,601</w:t>
            </w:r>
          </w:p>
        </w:tc>
        <w:tc>
          <w:tcPr>
            <w:tcW w:w="180" w:type="dxa"/>
            <w:vAlign w:val="bottom"/>
            <w:tcBorders>
              <w:bottom w:val="single" w:sz="8" w:color="auto"/>
            </w:tcBorders>
            <w:shd w:val="clear" w:color="auto" w:fill="CEFFE7"/>
          </w:tcPr>
          <w:p>
            <w:pPr>
              <w:spacing w:after="0"/>
              <w:rPr>
                <w:sz w:val="23"/>
                <w:szCs w:val="23"/>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11,680</w:t>
            </w:r>
          </w:p>
        </w:tc>
        <w:tc>
          <w:tcPr>
            <w:tcW w:w="440" w:type="dxa"/>
            <w:vAlign w:val="bottom"/>
            <w:tcBorders>
              <w:bottom w:val="single" w:sz="8" w:color="auto"/>
            </w:tcBorders>
            <w:shd w:val="clear" w:color="auto" w:fill="CEFFE7"/>
          </w:tcPr>
          <w:p>
            <w:pPr>
              <w:spacing w:after="0"/>
              <w:rPr>
                <w:sz w:val="23"/>
                <w:szCs w:val="23"/>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(7,079)</w:t>
            </w:r>
          </w:p>
        </w:tc>
        <w:tc>
          <w:tcPr>
            <w:tcW w:w="0" w:type="dxa"/>
            <w:vAlign w:val="bottom"/>
          </w:tcPr>
          <w:p>
            <w:pPr>
              <w:spacing w:after="0"/>
              <w:rPr>
                <w:sz w:val="1"/>
                <w:szCs w:val="1"/>
                <w:color w:val="auto"/>
              </w:rPr>
            </w:pPr>
          </w:p>
        </w:tc>
      </w:tr>
      <w:tr>
        <w:trPr>
          <w:trHeight w:val="237"/>
        </w:trPr>
        <w:tc>
          <w:tcPr>
            <w:tcW w:w="6980" w:type="dxa"/>
            <w:vAlign w:val="bottom"/>
            <w:gridSpan w:val="2"/>
          </w:tcPr>
          <w:p>
            <w:pPr>
              <w:ind w:left="600"/>
              <w:spacing w:after="0"/>
              <w:rPr>
                <w:sz w:val="20"/>
                <w:szCs w:val="20"/>
                <w:color w:val="auto"/>
              </w:rPr>
            </w:pPr>
            <w:r>
              <w:rPr>
                <w:rFonts w:ascii="Arial" w:cs="Arial" w:eastAsia="Arial" w:hAnsi="Arial"/>
                <w:sz w:val="18"/>
                <w:szCs w:val="18"/>
                <w:color w:val="auto"/>
              </w:rPr>
              <w:t>Total cost of sales</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209,685</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181,382</w:t>
            </w:r>
          </w:p>
        </w:tc>
        <w:tc>
          <w:tcPr>
            <w:tcW w:w="4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28,303</w:t>
            </w:r>
          </w:p>
        </w:tc>
        <w:tc>
          <w:tcPr>
            <w:tcW w:w="0" w:type="dxa"/>
            <w:vAlign w:val="bottom"/>
          </w:tcPr>
          <w:p>
            <w:pPr>
              <w:spacing w:after="0"/>
              <w:rPr>
                <w:sz w:val="1"/>
                <w:szCs w:val="1"/>
                <w:color w:val="auto"/>
              </w:rPr>
            </w:pPr>
          </w:p>
        </w:tc>
      </w:tr>
      <w:tr>
        <w:trPr>
          <w:trHeight w:val="27"/>
        </w:trPr>
        <w:tc>
          <w:tcPr>
            <w:tcW w:w="920" w:type="dxa"/>
            <w:vAlign w:val="bottom"/>
            <w:tcBorders>
              <w:bottom w:val="single" w:sz="8" w:color="CEFFE7"/>
            </w:tcBorders>
          </w:tcPr>
          <w:p>
            <w:pPr>
              <w:spacing w:after="0"/>
              <w:rPr>
                <w:sz w:val="2"/>
                <w:szCs w:val="2"/>
                <w:color w:val="auto"/>
              </w:rPr>
            </w:pPr>
          </w:p>
        </w:tc>
        <w:tc>
          <w:tcPr>
            <w:tcW w:w="606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20" w:type="dxa"/>
            <w:vAlign w:val="bottom"/>
            <w:shd w:val="clear" w:color="auto" w:fill="CEFFE7"/>
          </w:tcPr>
          <w:p>
            <w:pPr>
              <w:spacing w:after="0"/>
              <w:rPr>
                <w:sz w:val="24"/>
                <w:szCs w:val="24"/>
                <w:color w:val="auto"/>
              </w:rPr>
            </w:pPr>
          </w:p>
        </w:tc>
        <w:tc>
          <w:tcPr>
            <w:tcW w:w="606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c>
          <w:tcPr>
            <w:tcW w:w="44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187,659</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183,528</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7"/>
        </w:trPr>
        <w:tc>
          <w:tcPr>
            <w:tcW w:w="920" w:type="dxa"/>
            <w:vAlign w:val="bottom"/>
            <w:tcBorders>
              <w:bottom w:val="single" w:sz="8" w:color="CEFFE7"/>
            </w:tcBorders>
          </w:tcPr>
          <w:p>
            <w:pPr>
              <w:spacing w:after="0"/>
              <w:rPr>
                <w:sz w:val="2"/>
                <w:szCs w:val="2"/>
                <w:color w:val="auto"/>
              </w:rPr>
            </w:pPr>
          </w:p>
        </w:tc>
        <w:tc>
          <w:tcPr>
            <w:tcW w:w="606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20" w:type="dxa"/>
            <w:vAlign w:val="bottom"/>
            <w:shd w:val="clear" w:color="auto" w:fill="CEFFE7"/>
          </w:tcPr>
          <w:p>
            <w:pPr>
              <w:spacing w:after="0"/>
              <w:rPr>
                <w:sz w:val="24"/>
                <w:szCs w:val="24"/>
                <w:color w:val="auto"/>
              </w:rPr>
            </w:pPr>
          </w:p>
        </w:tc>
        <w:tc>
          <w:tcPr>
            <w:tcW w:w="606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c>
          <w:tcPr>
            <w:tcW w:w="44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Operations and maintenance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70,906</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70,759</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21,310</w:t>
            </w:r>
          </w:p>
        </w:tc>
        <w:tc>
          <w:tcPr>
            <w:tcW w:w="1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20,797</w:t>
            </w:r>
          </w:p>
        </w:tc>
        <w:tc>
          <w:tcPr>
            <w:tcW w:w="44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7"/>
        </w:trPr>
        <w:tc>
          <w:tcPr>
            <w:tcW w:w="6980" w:type="dxa"/>
            <w:vAlign w:val="bottom"/>
            <w:gridSpan w:val="2"/>
          </w:tcPr>
          <w:p>
            <w:pPr>
              <w:ind w:left="6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92,216</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91,556</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920" w:type="dxa"/>
            <w:vAlign w:val="bottom"/>
            <w:tcBorders>
              <w:bottom w:val="single" w:sz="8" w:color="CEFFE7"/>
            </w:tcBorders>
          </w:tcPr>
          <w:p>
            <w:pPr>
              <w:spacing w:after="0"/>
              <w:rPr>
                <w:sz w:val="2"/>
                <w:szCs w:val="2"/>
                <w:color w:val="auto"/>
              </w:rPr>
            </w:pPr>
          </w:p>
        </w:tc>
        <w:tc>
          <w:tcPr>
            <w:tcW w:w="606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20" w:type="dxa"/>
            <w:vAlign w:val="bottom"/>
            <w:shd w:val="clear" w:color="auto" w:fill="CEFFE7"/>
          </w:tcPr>
          <w:p>
            <w:pPr>
              <w:spacing w:after="0"/>
              <w:rPr>
                <w:sz w:val="24"/>
                <w:szCs w:val="24"/>
                <w:color w:val="auto"/>
              </w:rPr>
            </w:pPr>
          </w:p>
        </w:tc>
        <w:tc>
          <w:tcPr>
            <w:tcW w:w="606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c>
          <w:tcPr>
            <w:tcW w:w="44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95,443</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91,972</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7"/>
        </w:trPr>
        <w:tc>
          <w:tcPr>
            <w:tcW w:w="920" w:type="dxa"/>
            <w:vAlign w:val="bottom"/>
            <w:tcBorders>
              <w:bottom w:val="single" w:sz="8" w:color="CEFFE7"/>
            </w:tcBorders>
          </w:tcPr>
          <w:p>
            <w:pPr>
              <w:spacing w:after="0"/>
              <w:rPr>
                <w:sz w:val="2"/>
                <w:szCs w:val="2"/>
                <w:color w:val="auto"/>
              </w:rPr>
            </w:pPr>
          </w:p>
        </w:tc>
        <w:tc>
          <w:tcPr>
            <w:tcW w:w="606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20" w:type="dxa"/>
            <w:vAlign w:val="bottom"/>
            <w:shd w:val="clear" w:color="auto" w:fill="CEFFE7"/>
          </w:tcPr>
          <w:p>
            <w:pPr>
              <w:spacing w:after="0"/>
              <w:rPr>
                <w:sz w:val="24"/>
                <w:szCs w:val="24"/>
                <w:color w:val="auto"/>
              </w:rPr>
            </w:pPr>
          </w:p>
        </w:tc>
        <w:tc>
          <w:tcPr>
            <w:tcW w:w="606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c>
          <w:tcPr>
            <w:tcW w:w="44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(19,766)</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(19,782)</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155</w:t>
            </w:r>
          </w:p>
        </w:tc>
        <w:tc>
          <w:tcPr>
            <w:tcW w:w="1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177</w:t>
            </w:r>
          </w:p>
        </w:tc>
        <w:tc>
          <w:tcPr>
            <w:tcW w:w="4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31,788</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(26,250)</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58,038</w:t>
            </w:r>
          </w:p>
        </w:tc>
        <w:tc>
          <w:tcPr>
            <w:tcW w:w="0" w:type="dxa"/>
            <w:vAlign w:val="bottom"/>
          </w:tcPr>
          <w:p>
            <w:pPr>
              <w:spacing w:after="0"/>
              <w:rPr>
                <w:sz w:val="1"/>
                <w:szCs w:val="1"/>
                <w:color w:val="auto"/>
              </w:rPr>
            </w:pPr>
          </w:p>
        </w:tc>
      </w:tr>
      <w:tr>
        <w:trPr>
          <w:trHeight w:val="27"/>
        </w:trPr>
        <w:tc>
          <w:tcPr>
            <w:tcW w:w="920" w:type="dxa"/>
            <w:vAlign w:val="bottom"/>
            <w:tcBorders>
              <w:bottom w:val="single" w:sz="8" w:color="CEFFE7"/>
            </w:tcBorders>
          </w:tcPr>
          <w:p>
            <w:pPr>
              <w:spacing w:after="0"/>
              <w:rPr>
                <w:sz w:val="2"/>
                <w:szCs w:val="2"/>
                <w:color w:val="auto"/>
              </w:rPr>
            </w:pPr>
          </w:p>
        </w:tc>
        <w:tc>
          <w:tcPr>
            <w:tcW w:w="606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107,620</w:t>
            </w:r>
          </w:p>
        </w:tc>
        <w:tc>
          <w:tcPr>
            <w:tcW w:w="1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46,117</w:t>
            </w:r>
          </w:p>
        </w:tc>
        <w:tc>
          <w:tcPr>
            <w:tcW w:w="4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61,503</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920" w:type="dxa"/>
            <w:vAlign w:val="bottom"/>
            <w:tcBorders>
              <w:bottom w:val="single" w:sz="8" w:color="CEFFE7"/>
            </w:tcBorders>
          </w:tcPr>
          <w:p>
            <w:pPr>
              <w:spacing w:after="0"/>
              <w:rPr>
                <w:sz w:val="2"/>
                <w:szCs w:val="2"/>
                <w:color w:val="auto"/>
              </w:rPr>
            </w:pPr>
          </w:p>
        </w:tc>
        <w:tc>
          <w:tcPr>
            <w:tcW w:w="606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107,620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46,010</w:t>
            </w:r>
          </w:p>
        </w:tc>
        <w:tc>
          <w:tcPr>
            <w:tcW w:w="440" w:type="dxa"/>
            <w:vAlign w:val="bottom"/>
            <w:tcBorders>
              <w:bottom w:val="single" w:sz="8" w:color="auto"/>
            </w:tcBorders>
            <w:shd w:val="clear" w:color="auto" w:fill="CEFFE7"/>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61,610</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6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vMerge w:val="continue"/>
          </w:tcPr>
          <w:p>
            <w:pPr>
              <w:spacing w:after="0"/>
              <w:rPr>
                <w:sz w:val="14"/>
                <w:szCs w:val="14"/>
                <w:color w:val="auto"/>
              </w:rPr>
            </w:pPr>
          </w:p>
        </w:tc>
        <w:tc>
          <w:tcPr>
            <w:tcW w:w="6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right="160" w:hanging="332"/>
        <w:spacing w:after="0" w:line="255" w:lineRule="auto"/>
        <w:tabs>
          <w:tab w:leader="none" w:pos="211"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three months ended March 31, 2018 includes certain BHES trading activities which are reported on a net basis. These trading activities are presented on a gross basis in the prior year. This change in presentation had no impact on gross margin.</w:t>
      </w:r>
    </w:p>
    <w:p>
      <w:pPr>
        <w:spacing w:after="0" w:line="146" w:lineRule="exact"/>
        <w:rPr>
          <w:sz w:val="20"/>
          <w:szCs w:val="20"/>
          <w:color w:val="auto"/>
        </w:rPr>
      </w:pPr>
    </w:p>
    <w:p>
      <w:pPr>
        <w:jc w:val="both"/>
        <w:ind w:right="100"/>
        <w:spacing w:after="0" w:line="314" w:lineRule="auto"/>
        <w:rPr>
          <w:sz w:val="20"/>
          <w:szCs w:val="20"/>
          <w:color w:val="auto"/>
        </w:rPr>
      </w:pPr>
      <w:r>
        <w:rPr>
          <w:rFonts w:ascii="Arial" w:cs="Arial" w:eastAsia="Arial" w:hAnsi="Arial"/>
          <w:sz w:val="16"/>
          <w:szCs w:val="16"/>
          <w:b w:val="1"/>
          <w:bCs w:val="1"/>
          <w:color w:val="auto"/>
        </w:rPr>
        <w:t xml:space="preserve">Results of Operations for the Gas Utilities for the Three Months Ended March 31, 2018 Compared to the Three Months Ended March 31, 2017: </w:t>
      </w:r>
      <w:r>
        <w:rPr>
          <w:rFonts w:ascii="Arial" w:cs="Arial" w:eastAsia="Arial" w:hAnsi="Arial"/>
          <w:sz w:val="16"/>
          <w:szCs w:val="16"/>
          <w:color w:val="auto"/>
        </w:rPr>
        <w:t>Net</w:t>
      </w:r>
      <w:r>
        <w:rPr>
          <w:rFonts w:ascii="Arial" w:cs="Arial" w:eastAsia="Arial" w:hAnsi="Arial"/>
          <w:sz w:val="16"/>
          <w:szCs w:val="16"/>
          <w:b w:val="1"/>
          <w:bCs w:val="1"/>
          <w:color w:val="auto"/>
        </w:rPr>
        <w:t xml:space="preserve"> </w:t>
      </w:r>
      <w:r>
        <w:rPr>
          <w:rFonts w:ascii="Arial" w:cs="Arial" w:eastAsia="Arial" w:hAnsi="Arial"/>
          <w:sz w:val="16"/>
          <w:szCs w:val="16"/>
          <w:color w:val="auto"/>
        </w:rPr>
        <w:t>income from continuing operations available for common stock for the Gas Utilities was $108 million for the three months ended March 31, 2018, compared to Net income from continuing operations available for common stock of $46 million for the three months ended March 31, 2017, as a result of:</w:t>
      </w:r>
    </w:p>
    <w:p>
      <w:pPr>
        <w:spacing w:after="0" w:line="14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u w:val="single" w:color="auto"/>
          <w:color w:val="auto"/>
        </w:rPr>
        <w:t>Gross margin</w:t>
      </w:r>
      <w:r>
        <w:rPr>
          <w:rFonts w:ascii="Arial" w:cs="Arial" w:eastAsia="Arial" w:hAnsi="Arial"/>
          <w:sz w:val="17"/>
          <w:szCs w:val="17"/>
          <w:color w:val="auto"/>
        </w:rPr>
        <w:t xml:space="preserve"> increased primarily due to a $9.1 million weather impact from colder winter temperatures as our service territories experienced colder weather in the current period compared to the same period in the prior year. Heating degree days were 2 percent higher than normal in the current year compared to 13 percent below normal for the same period in the prior year. Customer growth added $1.8 million in additional margin over the prior year and rider revenues increased by $1.8 million primarily from our capital integrity recovery riders. These increases over the prior year are partially offset by a $9.1 million current year reserve to revenue to reflect the reduction of the lower federal income tax rate from the TCJA on our existing rate tariffs.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due to a higher asset base driven by previous year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was comparable to the same period in the prior year.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8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u w:val="single" w:color="auto"/>
          <w:color w:val="auto"/>
        </w:rPr>
        <w:t>Income tax benefit (expense)</w:t>
      </w:r>
      <w:r>
        <w:rPr>
          <w:rFonts w:ascii="Arial" w:cs="Arial" w:eastAsia="Arial" w:hAnsi="Arial"/>
          <w:sz w:val="17"/>
          <w:szCs w:val="17"/>
          <w:color w:val="auto"/>
        </w:rPr>
        <w:t>: The 2018 tax benefit is due to legal restructuring to enable jurisdictional simplification that resulted in the recognition of a deferred tax benefit of approximately $49 million associated with amortizable goodwill for tax purposes. The current year effective tax rate also reflects the reduction of the federal corporate income tax rate from 35 percent to 21 percent from the TCJA, effective January 1,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Statistics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3"/>
          </w:tcPr>
          <w:p>
            <w:pPr>
              <w:jc w:val="center"/>
              <w:ind w:right="99"/>
              <w:spacing w:after="0"/>
              <w:rPr>
                <w:sz w:val="20"/>
                <w:szCs w:val="20"/>
                <w:color w:val="auto"/>
              </w:rPr>
            </w:pPr>
            <w:r>
              <w:rPr>
                <w:rFonts w:ascii="Arial" w:cs="Arial" w:eastAsia="Arial" w:hAnsi="Arial"/>
                <w:sz w:val="16"/>
                <w:szCs w:val="16"/>
                <w:color w:val="auto"/>
                <w:w w:val="90"/>
              </w:rPr>
              <w:t xml:space="preserve">Gross Margin </w:t>
            </w:r>
            <w:r>
              <w:rPr>
                <w:rFonts w:ascii="Arial" w:cs="Arial" w:eastAsia="Arial" w:hAnsi="Arial"/>
                <w:sz w:val="21"/>
                <w:szCs w:val="21"/>
                <w:color w:val="auto"/>
                <w:w w:val="90"/>
                <w:vertAlign w:val="superscript"/>
              </w:rPr>
              <w:t>(a)</w:t>
            </w:r>
            <w:r>
              <w:rPr>
                <w:rFonts w:ascii="Arial" w:cs="Arial" w:eastAsia="Arial" w:hAnsi="Arial"/>
                <w:sz w:val="16"/>
                <w:szCs w:val="16"/>
                <w:color w:val="auto"/>
                <w:w w:val="90"/>
              </w:rPr>
              <w:t xml:space="preserve"> (in</w:t>
            </w:r>
          </w:p>
        </w:tc>
        <w:tc>
          <w:tcPr>
            <w:tcW w:w="0" w:type="dxa"/>
            <w:vAlign w:val="bottom"/>
          </w:tcPr>
          <w:p>
            <w:pPr>
              <w:spacing w:after="0"/>
              <w:rPr>
                <w:sz w:val="1"/>
                <w:szCs w:val="1"/>
                <w:color w:val="auto"/>
              </w:rPr>
            </w:pPr>
          </w:p>
        </w:tc>
      </w:tr>
      <w:tr>
        <w:trPr>
          <w:trHeight w:val="206"/>
        </w:trPr>
        <w:tc>
          <w:tcPr>
            <w:tcW w:w="7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gridSpan w:val="4"/>
          </w:tcPr>
          <w:p>
            <w:pPr>
              <w:jc w:val="center"/>
              <w:ind w:right="220"/>
              <w:spacing w:after="0"/>
              <w:rPr>
                <w:sz w:val="20"/>
                <w:szCs w:val="20"/>
                <w:color w:val="auto"/>
              </w:rPr>
            </w:pPr>
            <w:r>
              <w:rPr>
                <w:rFonts w:ascii="Arial" w:cs="Arial" w:eastAsia="Arial" w:hAnsi="Arial"/>
                <w:sz w:val="16"/>
                <w:szCs w:val="16"/>
                <w:color w:val="auto"/>
                <w:w w:val="90"/>
              </w:rPr>
              <w:t>Gas Revenue (in thousands)</w:t>
            </w:r>
          </w:p>
        </w:tc>
        <w:tc>
          <w:tcPr>
            <w:tcW w:w="220" w:type="dxa"/>
            <w:vAlign w:val="bottom"/>
          </w:tcPr>
          <w:p>
            <w:pPr>
              <w:spacing w:after="0"/>
              <w:rPr>
                <w:sz w:val="17"/>
                <w:szCs w:val="17"/>
                <w:color w:val="auto"/>
              </w:rPr>
            </w:pPr>
          </w:p>
        </w:tc>
        <w:tc>
          <w:tcPr>
            <w:tcW w:w="1800" w:type="dxa"/>
            <w:vAlign w:val="bottom"/>
            <w:gridSpan w:val="3"/>
          </w:tcPr>
          <w:p>
            <w:pPr>
              <w:jc w:val="center"/>
              <w:ind w:right="119"/>
              <w:spacing w:after="0"/>
              <w:rPr>
                <w:sz w:val="20"/>
                <w:szCs w:val="20"/>
                <w:color w:val="auto"/>
              </w:rPr>
            </w:pPr>
            <w:r>
              <w:rPr>
                <w:rFonts w:ascii="Arial" w:cs="Arial" w:eastAsia="Arial" w:hAnsi="Arial"/>
                <w:sz w:val="16"/>
                <w:szCs w:val="16"/>
                <w:color w:val="auto"/>
                <w:w w:val="90"/>
              </w:rPr>
              <w:t>thousands)</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4"/>
          </w:tcPr>
          <w:p>
            <w:pPr>
              <w:jc w:val="center"/>
              <w:ind w:right="220"/>
              <w:spacing w:after="0"/>
              <w:rPr>
                <w:sz w:val="20"/>
                <w:szCs w:val="20"/>
                <w:color w:val="auto"/>
              </w:rPr>
            </w:pPr>
            <w:r>
              <w:rPr>
                <w:rFonts w:ascii="Arial" w:cs="Arial" w:eastAsia="Arial" w:hAnsi="Arial"/>
                <w:sz w:val="16"/>
                <w:szCs w:val="16"/>
                <w:color w:val="auto"/>
                <w:w w:val="90"/>
              </w:rPr>
              <w:t>Three Months Ended</w:t>
            </w:r>
          </w:p>
        </w:tc>
        <w:tc>
          <w:tcPr>
            <w:tcW w:w="220" w:type="dxa"/>
            <w:vAlign w:val="bottom"/>
          </w:tcPr>
          <w:p>
            <w:pPr>
              <w:spacing w:after="0"/>
              <w:rPr>
                <w:sz w:val="18"/>
                <w:szCs w:val="18"/>
                <w:color w:val="auto"/>
              </w:rPr>
            </w:pPr>
          </w:p>
        </w:tc>
        <w:tc>
          <w:tcPr>
            <w:tcW w:w="1800" w:type="dxa"/>
            <w:vAlign w:val="bottom"/>
            <w:gridSpan w:val="3"/>
          </w:tcPr>
          <w:p>
            <w:pPr>
              <w:jc w:val="center"/>
              <w:ind w:right="119"/>
              <w:spacing w:after="0"/>
              <w:rPr>
                <w:sz w:val="20"/>
                <w:szCs w:val="20"/>
                <w:color w:val="auto"/>
              </w:rPr>
            </w:pPr>
            <w:r>
              <w:rPr>
                <w:rFonts w:ascii="Arial" w:cs="Arial" w:eastAsia="Arial" w:hAnsi="Arial"/>
                <w:sz w:val="16"/>
                <w:szCs w:val="16"/>
                <w:color w:val="auto"/>
                <w:w w:val="90"/>
              </w:rPr>
              <w:t>Three Months Ended</w:t>
            </w:r>
          </w:p>
        </w:tc>
        <w:tc>
          <w:tcPr>
            <w:tcW w:w="0" w:type="dxa"/>
            <w:vAlign w:val="bottom"/>
          </w:tcPr>
          <w:p>
            <w:pPr>
              <w:spacing w:after="0"/>
              <w:rPr>
                <w:sz w:val="1"/>
                <w:szCs w:val="1"/>
                <w:color w:val="auto"/>
              </w:rPr>
            </w:pPr>
          </w:p>
        </w:tc>
      </w:tr>
      <w:tr>
        <w:trPr>
          <w:trHeight w:val="206"/>
        </w:trPr>
        <w:tc>
          <w:tcPr>
            <w:tcW w:w="7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left="499"/>
              <w:spacing w:after="0"/>
              <w:rPr>
                <w:sz w:val="20"/>
                <w:szCs w:val="20"/>
                <w:color w:val="auto"/>
              </w:rPr>
            </w:pPr>
            <w:r>
              <w:rPr>
                <w:rFonts w:ascii="Arial" w:cs="Arial" w:eastAsia="Arial" w:hAnsi="Arial"/>
                <w:sz w:val="16"/>
                <w:szCs w:val="16"/>
                <w:color w:val="auto"/>
                <w:w w:val="95"/>
              </w:rPr>
              <w:t>March 31,</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3"/>
          </w:tcPr>
          <w:p>
            <w:pPr>
              <w:jc w:val="center"/>
              <w:ind w:right="119"/>
              <w:spacing w:after="0"/>
              <w:rPr>
                <w:sz w:val="20"/>
                <w:szCs w:val="20"/>
                <w:color w:val="auto"/>
              </w:rPr>
            </w:pPr>
            <w:r>
              <w:rPr>
                <w:rFonts w:ascii="Arial" w:cs="Arial" w:eastAsia="Arial" w:hAnsi="Arial"/>
                <w:sz w:val="16"/>
                <w:szCs w:val="16"/>
                <w:color w:val="auto"/>
                <w:w w:val="95"/>
              </w:rPr>
              <w:t>March 31,</w:t>
            </w: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360" w:type="dxa"/>
            <w:vAlign w:val="bottom"/>
          </w:tcPr>
          <w:p>
            <w:pPr>
              <w:spacing w:after="0"/>
              <w:rPr>
                <w:sz w:val="23"/>
                <w:szCs w:val="23"/>
                <w:color w:val="auto"/>
              </w:rPr>
            </w:pPr>
          </w:p>
        </w:tc>
        <w:tc>
          <w:tcPr>
            <w:tcW w:w="680" w:type="dxa"/>
            <w:vAlign w:val="bottom"/>
          </w:tcPr>
          <w:p>
            <w:pPr>
              <w:jc w:val="right"/>
              <w:ind w:right="259"/>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23"/>
                <w:szCs w:val="23"/>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7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Residential</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234,751</w:t>
            </w:r>
          </w:p>
        </w:tc>
        <w:tc>
          <w:tcPr>
            <w:tcW w:w="36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6"/>
              </w:rPr>
              <w:t>205,352</w:t>
            </w: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96,777</w:t>
            </w:r>
          </w:p>
        </w:tc>
        <w:tc>
          <w:tcPr>
            <w:tcW w:w="2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91,051</w:t>
            </w: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1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95,005</w:t>
            </w:r>
          </w:p>
        </w:tc>
        <w:tc>
          <w:tcPr>
            <w:tcW w:w="3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81,736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32,203</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29,799</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Industrial</w:t>
            </w:r>
          </w:p>
        </w:tc>
        <w:tc>
          <w:tcPr>
            <w:tcW w:w="14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5,982</w:t>
            </w:r>
          </w:p>
        </w:tc>
        <w:tc>
          <w:tcPr>
            <w:tcW w:w="36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4,946</w:t>
            </w: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1,674</w:t>
            </w:r>
          </w:p>
        </w:tc>
        <w:tc>
          <w:tcPr>
            <w:tcW w:w="24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EFFE7"/>
            </w:tcBorders>
            <w:gridSpan w:val="2"/>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(7,531)</w:t>
            </w:r>
          </w:p>
        </w:tc>
        <w:tc>
          <w:tcPr>
            <w:tcW w:w="3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2,388</w:t>
            </w:r>
          </w:p>
        </w:tc>
        <w:tc>
          <w:tcPr>
            <w:tcW w:w="120" w:type="dxa"/>
            <w:vAlign w:val="bottom"/>
            <w:tcBorders>
              <w:bottom w:val="single" w:sz="8" w:color="CEFFE7"/>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(7,531)</w:t>
            </w: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2,388</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Distribution</w:t>
            </w:r>
          </w:p>
        </w:tc>
        <w:tc>
          <w:tcPr>
            <w:tcW w:w="14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328,207</w:t>
            </w:r>
          </w:p>
        </w:tc>
        <w:tc>
          <w:tcPr>
            <w:tcW w:w="36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6"/>
              </w:rPr>
              <w:t>294,422</w:t>
            </w: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123,123</w:t>
            </w:r>
          </w:p>
        </w:tc>
        <w:tc>
          <w:tcPr>
            <w:tcW w:w="24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124,720</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Transportation and Transmission</w:t>
            </w:r>
          </w:p>
        </w:tc>
        <w:tc>
          <w:tcPr>
            <w:tcW w:w="14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42,061</w:t>
            </w:r>
          </w:p>
        </w:tc>
        <w:tc>
          <w:tcPr>
            <w:tcW w:w="36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38,274</w:t>
            </w: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42,061</w:t>
            </w:r>
          </w:p>
        </w:tc>
        <w:tc>
          <w:tcPr>
            <w:tcW w:w="24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38,274</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Regulated</w:t>
            </w:r>
          </w:p>
        </w:tc>
        <w:tc>
          <w:tcPr>
            <w:tcW w:w="14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370,268</w:t>
            </w:r>
          </w:p>
        </w:tc>
        <w:tc>
          <w:tcPr>
            <w:tcW w:w="36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6"/>
              </w:rPr>
              <w:t>332,696</w:t>
            </w: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165,184</w:t>
            </w:r>
          </w:p>
        </w:tc>
        <w:tc>
          <w:tcPr>
            <w:tcW w:w="24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162,994</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Non-regulated Services</w:t>
            </w:r>
          </w:p>
        </w:tc>
        <w:tc>
          <w:tcPr>
            <w:tcW w:w="14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27,076</w:t>
            </w:r>
          </w:p>
        </w:tc>
        <w:tc>
          <w:tcPr>
            <w:tcW w:w="36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32,214</w:t>
            </w: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22,475</w:t>
            </w:r>
          </w:p>
        </w:tc>
        <w:tc>
          <w:tcPr>
            <w:tcW w:w="24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20,534</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Gas Revenue &amp; Gross Margin</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397,344</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96"/>
              </w:rPr>
              <w:t>364,910</w:t>
            </w: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187,659</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183,528</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00" w:hanging="192"/>
        <w:spacing w:after="0"/>
        <w:tabs>
          <w:tab w:leader="none" w:pos="2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Includes </w:t>
      </w:r>
      <w:r>
        <w:rPr>
          <w:rFonts w:ascii="Arial" w:cs="Arial" w:eastAsia="Arial" w:hAnsi="Arial"/>
          <w:sz w:val="16"/>
          <w:szCs w:val="16"/>
          <w:color w:val="auto"/>
        </w:rPr>
        <w:t>current year reserve to revenue to reflect the reduction of the lower federal income tax rate from the TCJA on our existing rate tariffs.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3"/>
          </w:tcPr>
          <w:p>
            <w:pPr>
              <w:jc w:val="center"/>
              <w:ind w:right="99"/>
              <w:spacing w:after="0"/>
              <w:rPr>
                <w:sz w:val="20"/>
                <w:szCs w:val="20"/>
                <w:color w:val="auto"/>
              </w:rPr>
            </w:pPr>
            <w:r>
              <w:rPr>
                <w:rFonts w:ascii="Arial" w:cs="Arial" w:eastAsia="Arial" w:hAnsi="Arial"/>
                <w:sz w:val="16"/>
                <w:szCs w:val="16"/>
                <w:color w:val="auto"/>
                <w:w w:val="90"/>
              </w:rPr>
              <w:t xml:space="preserve">Gross Margin </w:t>
            </w:r>
            <w:r>
              <w:rPr>
                <w:rFonts w:ascii="Arial" w:cs="Arial" w:eastAsia="Arial" w:hAnsi="Arial"/>
                <w:sz w:val="21"/>
                <w:szCs w:val="21"/>
                <w:color w:val="auto"/>
                <w:w w:val="90"/>
                <w:vertAlign w:val="superscript"/>
              </w:rPr>
              <w:t>(a)</w:t>
            </w:r>
            <w:r>
              <w:rPr>
                <w:rFonts w:ascii="Arial" w:cs="Arial" w:eastAsia="Arial" w:hAnsi="Arial"/>
                <w:sz w:val="16"/>
                <w:szCs w:val="16"/>
                <w:color w:val="auto"/>
                <w:w w:val="90"/>
              </w:rPr>
              <w:t xml:space="preserve"> (in</w:t>
            </w:r>
          </w:p>
        </w:tc>
        <w:tc>
          <w:tcPr>
            <w:tcW w:w="0" w:type="dxa"/>
            <w:vAlign w:val="bottom"/>
          </w:tcPr>
          <w:p>
            <w:pPr>
              <w:spacing w:after="0"/>
              <w:rPr>
                <w:sz w:val="1"/>
                <w:szCs w:val="1"/>
                <w:color w:val="auto"/>
              </w:rPr>
            </w:pPr>
          </w:p>
        </w:tc>
      </w:tr>
      <w:tr>
        <w:trPr>
          <w:trHeight w:val="206"/>
        </w:trPr>
        <w:tc>
          <w:tcPr>
            <w:tcW w:w="7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4"/>
          </w:tcPr>
          <w:p>
            <w:pPr>
              <w:jc w:val="center"/>
              <w:ind w:right="280"/>
              <w:spacing w:after="0"/>
              <w:rPr>
                <w:sz w:val="20"/>
                <w:szCs w:val="20"/>
                <w:color w:val="auto"/>
              </w:rPr>
            </w:pPr>
            <w:r>
              <w:rPr>
                <w:rFonts w:ascii="Arial" w:cs="Arial" w:eastAsia="Arial" w:hAnsi="Arial"/>
                <w:sz w:val="16"/>
                <w:szCs w:val="16"/>
                <w:color w:val="auto"/>
                <w:w w:val="89"/>
              </w:rPr>
              <w:t>Revenue (in thousands)</w:t>
            </w:r>
          </w:p>
        </w:tc>
        <w:tc>
          <w:tcPr>
            <w:tcW w:w="220" w:type="dxa"/>
            <w:vAlign w:val="bottom"/>
          </w:tcPr>
          <w:p>
            <w:pPr>
              <w:spacing w:after="0"/>
              <w:rPr>
                <w:sz w:val="17"/>
                <w:szCs w:val="17"/>
                <w:color w:val="auto"/>
              </w:rPr>
            </w:pPr>
          </w:p>
        </w:tc>
        <w:tc>
          <w:tcPr>
            <w:tcW w:w="1800" w:type="dxa"/>
            <w:vAlign w:val="bottom"/>
            <w:gridSpan w:val="3"/>
          </w:tcPr>
          <w:p>
            <w:pPr>
              <w:jc w:val="center"/>
              <w:ind w:right="119"/>
              <w:spacing w:after="0"/>
              <w:rPr>
                <w:sz w:val="20"/>
                <w:szCs w:val="20"/>
                <w:color w:val="auto"/>
              </w:rPr>
            </w:pPr>
            <w:r>
              <w:rPr>
                <w:rFonts w:ascii="Arial" w:cs="Arial" w:eastAsia="Arial" w:hAnsi="Arial"/>
                <w:sz w:val="16"/>
                <w:szCs w:val="16"/>
                <w:color w:val="auto"/>
                <w:w w:val="90"/>
              </w:rPr>
              <w:t>thousands)</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4"/>
          </w:tcPr>
          <w:p>
            <w:pPr>
              <w:jc w:val="center"/>
              <w:ind w:right="280"/>
              <w:spacing w:after="0"/>
              <w:rPr>
                <w:sz w:val="20"/>
                <w:szCs w:val="20"/>
                <w:color w:val="auto"/>
              </w:rPr>
            </w:pPr>
            <w:r>
              <w:rPr>
                <w:rFonts w:ascii="Arial" w:cs="Arial" w:eastAsia="Arial" w:hAnsi="Arial"/>
                <w:sz w:val="16"/>
                <w:szCs w:val="16"/>
                <w:color w:val="auto"/>
                <w:w w:val="90"/>
              </w:rPr>
              <w:t>Three Months Ended</w:t>
            </w:r>
          </w:p>
        </w:tc>
        <w:tc>
          <w:tcPr>
            <w:tcW w:w="220" w:type="dxa"/>
            <w:vAlign w:val="bottom"/>
          </w:tcPr>
          <w:p>
            <w:pPr>
              <w:spacing w:after="0"/>
              <w:rPr>
                <w:sz w:val="18"/>
                <w:szCs w:val="18"/>
                <w:color w:val="auto"/>
              </w:rPr>
            </w:pPr>
          </w:p>
        </w:tc>
        <w:tc>
          <w:tcPr>
            <w:tcW w:w="1800" w:type="dxa"/>
            <w:vAlign w:val="bottom"/>
            <w:gridSpan w:val="3"/>
          </w:tcPr>
          <w:p>
            <w:pPr>
              <w:jc w:val="center"/>
              <w:ind w:right="119"/>
              <w:spacing w:after="0"/>
              <w:rPr>
                <w:sz w:val="20"/>
                <w:szCs w:val="20"/>
                <w:color w:val="auto"/>
              </w:rPr>
            </w:pPr>
            <w:r>
              <w:rPr>
                <w:rFonts w:ascii="Arial" w:cs="Arial" w:eastAsia="Arial" w:hAnsi="Arial"/>
                <w:sz w:val="16"/>
                <w:szCs w:val="16"/>
                <w:color w:val="auto"/>
                <w:w w:val="90"/>
              </w:rPr>
              <w:t>Three Months Ended</w:t>
            </w:r>
          </w:p>
        </w:tc>
        <w:tc>
          <w:tcPr>
            <w:tcW w:w="0" w:type="dxa"/>
            <w:vAlign w:val="bottom"/>
          </w:tcPr>
          <w:p>
            <w:pPr>
              <w:spacing w:after="0"/>
              <w:rPr>
                <w:sz w:val="1"/>
                <w:szCs w:val="1"/>
                <w:color w:val="auto"/>
              </w:rPr>
            </w:pPr>
          </w:p>
        </w:tc>
      </w:tr>
      <w:tr>
        <w:trPr>
          <w:trHeight w:val="206"/>
        </w:trPr>
        <w:tc>
          <w:tcPr>
            <w:tcW w:w="7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left="439"/>
              <w:spacing w:after="0"/>
              <w:rPr>
                <w:sz w:val="20"/>
                <w:szCs w:val="20"/>
                <w:color w:val="auto"/>
              </w:rPr>
            </w:pPr>
            <w:r>
              <w:rPr>
                <w:rFonts w:ascii="Arial" w:cs="Arial" w:eastAsia="Arial" w:hAnsi="Arial"/>
                <w:sz w:val="16"/>
                <w:szCs w:val="16"/>
                <w:color w:val="auto"/>
                <w:w w:val="95"/>
              </w:rPr>
              <w:t>March 31,</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3"/>
          </w:tcPr>
          <w:p>
            <w:pPr>
              <w:jc w:val="center"/>
              <w:ind w:right="119"/>
              <w:spacing w:after="0"/>
              <w:rPr>
                <w:sz w:val="20"/>
                <w:szCs w:val="20"/>
                <w:color w:val="auto"/>
              </w:rPr>
            </w:pPr>
            <w:r>
              <w:rPr>
                <w:rFonts w:ascii="Arial" w:cs="Arial" w:eastAsia="Arial" w:hAnsi="Arial"/>
                <w:sz w:val="16"/>
                <w:szCs w:val="16"/>
                <w:color w:val="auto"/>
                <w:w w:val="95"/>
              </w:rPr>
              <w:t>March 31,</w:t>
            </w: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2018</w:t>
            </w:r>
          </w:p>
        </w:tc>
        <w:tc>
          <w:tcPr>
            <w:tcW w:w="380" w:type="dxa"/>
            <w:vAlign w:val="bottom"/>
          </w:tcPr>
          <w:p>
            <w:pPr>
              <w:spacing w:after="0"/>
              <w:rPr>
                <w:sz w:val="23"/>
                <w:szCs w:val="23"/>
                <w:color w:val="auto"/>
              </w:rPr>
            </w:pPr>
          </w:p>
        </w:tc>
        <w:tc>
          <w:tcPr>
            <w:tcW w:w="680" w:type="dxa"/>
            <w:vAlign w:val="bottom"/>
          </w:tcPr>
          <w:p>
            <w:pPr>
              <w:jc w:val="right"/>
              <w:ind w:right="259"/>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2018</w:t>
            </w:r>
          </w:p>
        </w:tc>
        <w:tc>
          <w:tcPr>
            <w:tcW w:w="280" w:type="dxa"/>
            <w:vAlign w:val="bottom"/>
          </w:tcPr>
          <w:p>
            <w:pPr>
              <w:spacing w:after="0"/>
              <w:rPr>
                <w:sz w:val="23"/>
                <w:szCs w:val="23"/>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7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Arkansas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70,388</w:t>
            </w:r>
          </w:p>
        </w:tc>
        <w:tc>
          <w:tcPr>
            <w:tcW w:w="38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61,098</w:t>
            </w: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35,917</w:t>
            </w:r>
          </w:p>
        </w:tc>
        <w:tc>
          <w:tcPr>
            <w:tcW w:w="2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37,309</w:t>
            </w: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Colorado</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71,398</w:t>
            </w:r>
          </w:p>
        </w:tc>
        <w:tc>
          <w:tcPr>
            <w:tcW w:w="3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67,179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33,145</w:t>
            </w:r>
          </w:p>
        </w:tc>
        <w:tc>
          <w:tcPr>
            <w:tcW w:w="2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34,363</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Nebraska</w:t>
            </w:r>
          </w:p>
        </w:tc>
        <w:tc>
          <w:tcPr>
            <w:tcW w:w="2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106,761</w:t>
            </w:r>
          </w:p>
        </w:tc>
        <w:tc>
          <w:tcPr>
            <w:tcW w:w="38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98,315</w:t>
            </w: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53,860</w:t>
            </w:r>
          </w:p>
        </w:tc>
        <w:tc>
          <w:tcPr>
            <w:tcW w:w="28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49,752</w:t>
            </w: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Iowa</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67,884</w:t>
            </w:r>
          </w:p>
        </w:tc>
        <w:tc>
          <w:tcPr>
            <w:tcW w:w="3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57,448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22,426</w:t>
            </w:r>
          </w:p>
        </w:tc>
        <w:tc>
          <w:tcPr>
            <w:tcW w:w="2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21,452</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Kansas</w:t>
            </w:r>
          </w:p>
        </w:tc>
        <w:tc>
          <w:tcPr>
            <w:tcW w:w="2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42,381</w:t>
            </w:r>
          </w:p>
        </w:tc>
        <w:tc>
          <w:tcPr>
            <w:tcW w:w="38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38,949</w:t>
            </w: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17,897</w:t>
            </w:r>
          </w:p>
        </w:tc>
        <w:tc>
          <w:tcPr>
            <w:tcW w:w="28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17,463</w:t>
            </w: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Wyoming</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38,532</w:t>
            </w:r>
          </w:p>
        </w:tc>
        <w:tc>
          <w:tcPr>
            <w:tcW w:w="3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41,921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24,414</w:t>
            </w:r>
          </w:p>
        </w:tc>
        <w:tc>
          <w:tcPr>
            <w:tcW w:w="2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23,189</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Gas Revenue &amp; Gross Margin</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397,344</w:t>
            </w:r>
          </w:p>
        </w:tc>
        <w:tc>
          <w:tcPr>
            <w:tcW w:w="38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96"/>
              </w:rPr>
              <w:t>364,910</w:t>
            </w: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187,659</w:t>
            </w:r>
          </w:p>
        </w:tc>
        <w:tc>
          <w:tcPr>
            <w:tcW w:w="28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183,528</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200" w:type="dxa"/>
            <w:vAlign w:val="bottom"/>
            <w:gridSpan w:val="2"/>
          </w:tcPr>
          <w:p>
            <w:pPr>
              <w:spacing w:after="0"/>
              <w:rPr>
                <w:sz w:val="20"/>
                <w:szCs w:val="20"/>
                <w:color w:val="auto"/>
              </w:rPr>
            </w:pPr>
            <w:r>
              <w:rPr>
                <w:rFonts w:ascii="Arial" w:cs="Arial" w:eastAsia="Arial" w:hAnsi="Arial"/>
                <w:sz w:val="14"/>
                <w:szCs w:val="14"/>
                <w:color w:val="auto"/>
              </w:rPr>
              <w:t>(a) Non-GAAP measure</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1"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3420" w:type="dxa"/>
            <w:vAlign w:val="bottom"/>
            <w:gridSpan w:val="2"/>
          </w:tcPr>
          <w:p>
            <w:pPr>
              <w:jc w:val="center"/>
              <w:spacing w:after="0"/>
              <w:rPr>
                <w:sz w:val="20"/>
                <w:szCs w:val="20"/>
                <w:color w:val="auto"/>
              </w:rPr>
            </w:pPr>
            <w:r>
              <w:rPr>
                <w:rFonts w:ascii="Arial" w:cs="Arial" w:eastAsia="Arial" w:hAnsi="Arial"/>
                <w:sz w:val="16"/>
                <w:szCs w:val="16"/>
                <w:color w:val="auto"/>
                <w:w w:val="90"/>
              </w:rPr>
              <w:t>Three Months Ended</w:t>
            </w:r>
          </w:p>
        </w:tc>
      </w:tr>
      <w:tr>
        <w:trPr>
          <w:trHeight w:val="206"/>
        </w:trPr>
        <w:tc>
          <w:tcPr>
            <w:tcW w:w="8000" w:type="dxa"/>
            <w:vAlign w:val="bottom"/>
          </w:tcPr>
          <w:p>
            <w:pPr>
              <w:spacing w:after="0"/>
              <w:rPr>
                <w:sz w:val="17"/>
                <w:szCs w:val="17"/>
                <w:color w:val="auto"/>
              </w:rPr>
            </w:pPr>
          </w:p>
        </w:tc>
        <w:tc>
          <w:tcPr>
            <w:tcW w:w="2240" w:type="dxa"/>
            <w:vAlign w:val="bottom"/>
          </w:tcPr>
          <w:p>
            <w:pPr>
              <w:jc w:val="center"/>
              <w:ind w:left="1139"/>
              <w:spacing w:after="0"/>
              <w:rPr>
                <w:sz w:val="20"/>
                <w:szCs w:val="20"/>
                <w:color w:val="auto"/>
              </w:rPr>
            </w:pPr>
            <w:r>
              <w:rPr>
                <w:rFonts w:ascii="Arial" w:cs="Arial" w:eastAsia="Arial" w:hAnsi="Arial"/>
                <w:sz w:val="16"/>
                <w:szCs w:val="16"/>
                <w:color w:val="auto"/>
                <w:w w:val="92"/>
              </w:rPr>
              <w:t>March 31,</w:t>
            </w:r>
          </w:p>
        </w:tc>
        <w:tc>
          <w:tcPr>
            <w:tcW w:w="1180" w:type="dxa"/>
            <w:vAlign w:val="bottom"/>
          </w:tcPr>
          <w:p>
            <w:pPr>
              <w:spacing w:after="0"/>
              <w:rPr>
                <w:sz w:val="17"/>
                <w:szCs w:val="17"/>
                <w:color w:val="auto"/>
              </w:rPr>
            </w:pPr>
          </w:p>
        </w:tc>
      </w:tr>
      <w:tr>
        <w:trPr>
          <w:trHeight w:val="33"/>
        </w:trPr>
        <w:tc>
          <w:tcPr>
            <w:tcW w:w="80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8000" w:type="dxa"/>
            <w:vAlign w:val="bottom"/>
          </w:tcPr>
          <w:p>
            <w:pPr>
              <w:ind w:left="40"/>
              <w:spacing w:after="0"/>
              <w:rPr>
                <w:sz w:val="20"/>
                <w:szCs w:val="20"/>
                <w:color w:val="auto"/>
              </w:rPr>
            </w:pPr>
            <w:r>
              <w:rPr>
                <w:rFonts w:ascii="Arial" w:cs="Arial" w:eastAsia="Arial" w:hAnsi="Arial"/>
                <w:sz w:val="16"/>
                <w:szCs w:val="16"/>
                <w:color w:val="auto"/>
              </w:rPr>
              <w:t>Gas Utilities Quantities Sold &amp; Transported (Dth)</w:t>
            </w:r>
          </w:p>
        </w:tc>
        <w:tc>
          <w:tcPr>
            <w:tcW w:w="2240" w:type="dxa"/>
            <w:vAlign w:val="bottom"/>
          </w:tcPr>
          <w:p>
            <w:pPr>
              <w:jc w:val="right"/>
              <w:ind w:right="1139"/>
              <w:spacing w:after="0"/>
              <w:rPr>
                <w:sz w:val="20"/>
                <w:szCs w:val="20"/>
                <w:color w:val="auto"/>
              </w:rPr>
            </w:pPr>
            <w:r>
              <w:rPr>
                <w:rFonts w:ascii="Arial" w:cs="Arial" w:eastAsia="Arial" w:hAnsi="Arial"/>
                <w:sz w:val="16"/>
                <w:szCs w:val="16"/>
                <w:color w:val="auto"/>
              </w:rPr>
              <w:t>2018</w:t>
            </w:r>
          </w:p>
        </w:tc>
        <w:tc>
          <w:tcPr>
            <w:tcW w:w="1180" w:type="dxa"/>
            <w:vAlign w:val="bottom"/>
          </w:tcPr>
          <w:p>
            <w:pPr>
              <w:jc w:val="right"/>
              <w:ind w:right="599"/>
              <w:spacing w:after="0"/>
              <w:rPr>
                <w:sz w:val="20"/>
                <w:szCs w:val="20"/>
                <w:color w:val="auto"/>
              </w:rPr>
            </w:pPr>
            <w:r>
              <w:rPr>
                <w:rFonts w:ascii="Arial" w:cs="Arial" w:eastAsia="Arial" w:hAnsi="Arial"/>
                <w:sz w:val="16"/>
                <w:szCs w:val="16"/>
                <w:color w:val="auto"/>
              </w:rPr>
              <w:t>2017</w:t>
            </w:r>
          </w:p>
        </w:tc>
      </w:tr>
      <w:tr>
        <w:trPr>
          <w:trHeight w:val="33"/>
        </w:trPr>
        <w:tc>
          <w:tcPr>
            <w:tcW w:w="80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000" w:type="dxa"/>
            <w:vAlign w:val="bottom"/>
            <w:shd w:val="clear" w:color="auto" w:fill="CEFFE7"/>
          </w:tcPr>
          <w:p>
            <w:pPr>
              <w:spacing w:after="0"/>
              <w:rPr>
                <w:sz w:val="19"/>
                <w:szCs w:val="19"/>
                <w:color w:val="auto"/>
              </w:rPr>
            </w:pPr>
          </w:p>
        </w:tc>
        <w:tc>
          <w:tcPr>
            <w:tcW w:w="224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Residential</w:t>
            </w:r>
          </w:p>
        </w:tc>
        <w:tc>
          <w:tcPr>
            <w:tcW w:w="2240" w:type="dxa"/>
            <w:vAlign w:val="bottom"/>
          </w:tcPr>
          <w:p>
            <w:pPr>
              <w:jc w:val="right"/>
              <w:ind w:right="539"/>
              <w:spacing w:after="0"/>
              <w:rPr>
                <w:sz w:val="20"/>
                <w:szCs w:val="20"/>
                <w:color w:val="auto"/>
              </w:rPr>
            </w:pPr>
            <w:r>
              <w:rPr>
                <w:rFonts w:ascii="Arial" w:cs="Arial" w:eastAsia="Arial" w:hAnsi="Arial"/>
                <w:sz w:val="16"/>
                <w:szCs w:val="16"/>
                <w:color w:val="auto"/>
              </w:rPr>
              <w:t>30,096,237</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25,268,134</w:t>
            </w:r>
          </w:p>
        </w:tc>
      </w:tr>
      <w:tr>
        <w:trPr>
          <w:trHeight w:val="33"/>
        </w:trPr>
        <w:tc>
          <w:tcPr>
            <w:tcW w:w="8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Commercial</w:t>
            </w:r>
          </w:p>
        </w:tc>
        <w:tc>
          <w:tcPr>
            <w:tcW w:w="2240" w:type="dxa"/>
            <w:vAlign w:val="bottom"/>
            <w:tcBorders>
              <w:bottom w:val="single" w:sz="8" w:color="CEFFE7"/>
            </w:tcBorders>
            <w:shd w:val="clear" w:color="auto" w:fill="CEFFE7"/>
          </w:tcPr>
          <w:p>
            <w:pPr>
              <w:jc w:val="right"/>
              <w:ind w:right="539"/>
              <w:spacing w:after="0"/>
              <w:rPr>
                <w:sz w:val="20"/>
                <w:szCs w:val="20"/>
                <w:color w:val="auto"/>
              </w:rPr>
            </w:pPr>
            <w:r>
              <w:rPr>
                <w:rFonts w:ascii="Arial" w:cs="Arial" w:eastAsia="Arial" w:hAnsi="Arial"/>
                <w:sz w:val="16"/>
                <w:szCs w:val="16"/>
                <w:color w:val="auto"/>
              </w:rPr>
              <w:t>13,949,121</w:t>
            </w:r>
          </w:p>
        </w:tc>
        <w:tc>
          <w:tcPr>
            <w:tcW w:w="11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11,704,314</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Industrial</w:t>
            </w:r>
          </w:p>
        </w:tc>
        <w:tc>
          <w:tcPr>
            <w:tcW w:w="2240" w:type="dxa"/>
            <w:vAlign w:val="bottom"/>
          </w:tcPr>
          <w:p>
            <w:pPr>
              <w:jc w:val="right"/>
              <w:ind w:right="539"/>
              <w:spacing w:after="0"/>
              <w:rPr>
                <w:sz w:val="20"/>
                <w:szCs w:val="20"/>
                <w:color w:val="auto"/>
              </w:rPr>
            </w:pPr>
            <w:r>
              <w:rPr>
                <w:rFonts w:ascii="Arial" w:cs="Arial" w:eastAsia="Arial" w:hAnsi="Arial"/>
                <w:sz w:val="16"/>
                <w:szCs w:val="16"/>
                <w:color w:val="auto"/>
              </w:rPr>
              <w:t>1,183,617</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926,887</w:t>
            </w:r>
          </w:p>
        </w:tc>
      </w:tr>
      <w:tr>
        <w:trPr>
          <w:trHeight w:val="33"/>
        </w:trPr>
        <w:tc>
          <w:tcPr>
            <w:tcW w:w="8000" w:type="dxa"/>
            <w:vAlign w:val="bottom"/>
            <w:tcBorders>
              <w:bottom w:val="single" w:sz="8" w:color="CEFFE7"/>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0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6"/>
                <w:szCs w:val="16"/>
                <w:color w:val="auto"/>
              </w:rPr>
              <w:t>Total Distribution Quantities Sold</w:t>
            </w:r>
          </w:p>
        </w:tc>
        <w:tc>
          <w:tcPr>
            <w:tcW w:w="2240" w:type="dxa"/>
            <w:vAlign w:val="bottom"/>
            <w:tcBorders>
              <w:bottom w:val="single" w:sz="8" w:color="CEFFE7"/>
            </w:tcBorders>
            <w:shd w:val="clear" w:color="auto" w:fill="CEFFE7"/>
          </w:tcPr>
          <w:p>
            <w:pPr>
              <w:jc w:val="right"/>
              <w:ind w:right="539"/>
              <w:spacing w:after="0"/>
              <w:rPr>
                <w:sz w:val="20"/>
                <w:szCs w:val="20"/>
                <w:color w:val="auto"/>
              </w:rPr>
            </w:pPr>
            <w:r>
              <w:rPr>
                <w:rFonts w:ascii="Arial" w:cs="Arial" w:eastAsia="Arial" w:hAnsi="Arial"/>
                <w:sz w:val="16"/>
                <w:szCs w:val="16"/>
                <w:color w:val="auto"/>
              </w:rPr>
              <w:t>45,228,975</w:t>
            </w:r>
          </w:p>
        </w:tc>
        <w:tc>
          <w:tcPr>
            <w:tcW w:w="11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37,899,335</w:t>
            </w:r>
          </w:p>
        </w:tc>
      </w:tr>
      <w:tr>
        <w:trPr>
          <w:trHeight w:val="223"/>
        </w:trPr>
        <w:tc>
          <w:tcPr>
            <w:tcW w:w="8000" w:type="dxa"/>
            <w:vAlign w:val="bottom"/>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37"/>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Transportation and Transmission</w:t>
            </w:r>
          </w:p>
        </w:tc>
        <w:tc>
          <w:tcPr>
            <w:tcW w:w="2240" w:type="dxa"/>
            <w:vAlign w:val="bottom"/>
            <w:tcBorders>
              <w:bottom w:val="single" w:sz="8" w:color="CEFFE7"/>
            </w:tcBorders>
            <w:shd w:val="clear" w:color="auto" w:fill="CEFFE7"/>
          </w:tcPr>
          <w:p>
            <w:pPr>
              <w:jc w:val="right"/>
              <w:ind w:right="539"/>
              <w:spacing w:after="0"/>
              <w:rPr>
                <w:sz w:val="20"/>
                <w:szCs w:val="20"/>
                <w:color w:val="auto"/>
              </w:rPr>
            </w:pPr>
            <w:r>
              <w:rPr>
                <w:rFonts w:ascii="Arial" w:cs="Arial" w:eastAsia="Arial" w:hAnsi="Arial"/>
                <w:sz w:val="16"/>
                <w:szCs w:val="16"/>
                <w:color w:val="auto"/>
              </w:rPr>
              <w:t>44,733,475</w:t>
            </w:r>
          </w:p>
        </w:tc>
        <w:tc>
          <w:tcPr>
            <w:tcW w:w="11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40,812,874</w:t>
            </w:r>
          </w:p>
        </w:tc>
      </w:tr>
      <w:tr>
        <w:trPr>
          <w:trHeight w:val="230"/>
        </w:trPr>
        <w:tc>
          <w:tcPr>
            <w:tcW w:w="8000" w:type="dxa"/>
            <w:vAlign w:val="bottom"/>
            <w:tcBorders>
              <w:bottom w:val="single" w:sz="8" w:color="CEFFE7"/>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44"/>
        </w:trPr>
        <w:tc>
          <w:tcPr>
            <w:tcW w:w="80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6"/>
                <w:szCs w:val="16"/>
                <w:color w:val="auto"/>
              </w:rPr>
              <w:t>Total Quantities Sold &amp; Transported</w:t>
            </w:r>
          </w:p>
        </w:tc>
        <w:tc>
          <w:tcPr>
            <w:tcW w:w="2240" w:type="dxa"/>
            <w:vAlign w:val="bottom"/>
            <w:tcBorders>
              <w:bottom w:val="single" w:sz="8" w:color="auto"/>
            </w:tcBorders>
            <w:shd w:val="clear" w:color="auto" w:fill="CEFFE7"/>
          </w:tcPr>
          <w:p>
            <w:pPr>
              <w:jc w:val="right"/>
              <w:ind w:right="539"/>
              <w:spacing w:after="0"/>
              <w:rPr>
                <w:sz w:val="20"/>
                <w:szCs w:val="20"/>
                <w:color w:val="auto"/>
              </w:rPr>
            </w:pPr>
            <w:r>
              <w:rPr>
                <w:rFonts w:ascii="Arial" w:cs="Arial" w:eastAsia="Arial" w:hAnsi="Arial"/>
                <w:sz w:val="16"/>
                <w:szCs w:val="16"/>
                <w:color w:val="auto"/>
              </w:rPr>
              <w:t>89,962,450</w:t>
            </w:r>
          </w:p>
        </w:tc>
        <w:tc>
          <w:tcPr>
            <w:tcW w:w="11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78,712,209</w:t>
            </w:r>
          </w:p>
        </w:tc>
      </w:tr>
      <w:tr>
        <w:trPr>
          <w:trHeight w:val="20"/>
        </w:trPr>
        <w:tc>
          <w:tcPr>
            <w:tcW w:w="8000" w:type="dxa"/>
            <w:vAlign w:val="bottom"/>
          </w:tcPr>
          <w:p>
            <w:pPr>
              <w:spacing w:after="0" w:line="20" w:lineRule="exact"/>
              <w:rPr>
                <w:sz w:val="1"/>
                <w:szCs w:val="1"/>
                <w:color w:val="auto"/>
              </w:rPr>
            </w:pPr>
          </w:p>
        </w:tc>
        <w:tc>
          <w:tcPr>
            <w:tcW w:w="3420" w:type="dxa"/>
            <w:vAlign w:val="bottom"/>
            <w:tcBorders>
              <w:bottom w:val="single" w:sz="8" w:color="auto"/>
            </w:tcBorders>
            <w:gridSpan w:val="2"/>
          </w:tcPr>
          <w:p>
            <w:pPr>
              <w:spacing w:after="0" w:line="20" w:lineRule="exact"/>
              <w:rPr>
                <w:sz w:val="1"/>
                <w:szCs w:val="1"/>
                <w:color w:val="auto"/>
              </w:rPr>
            </w:pPr>
          </w:p>
        </w:tc>
      </w:tr>
      <w:tr>
        <w:trPr>
          <w:trHeight w:val="342"/>
        </w:trPr>
        <w:tc>
          <w:tcPr>
            <w:tcW w:w="8000" w:type="dxa"/>
            <w:vAlign w:val="bottom"/>
          </w:tcPr>
          <w:p>
            <w:pPr>
              <w:spacing w:after="0"/>
              <w:rPr>
                <w:sz w:val="24"/>
                <w:szCs w:val="24"/>
                <w:color w:val="auto"/>
              </w:rPr>
            </w:pPr>
          </w:p>
        </w:tc>
        <w:tc>
          <w:tcPr>
            <w:tcW w:w="3420" w:type="dxa"/>
            <w:vAlign w:val="bottom"/>
            <w:gridSpan w:val="2"/>
          </w:tcPr>
          <w:p>
            <w:pPr>
              <w:jc w:val="center"/>
              <w:spacing w:after="0"/>
              <w:rPr>
                <w:sz w:val="20"/>
                <w:szCs w:val="20"/>
                <w:color w:val="auto"/>
              </w:rPr>
            </w:pPr>
            <w:r>
              <w:rPr>
                <w:rFonts w:ascii="Arial" w:cs="Arial" w:eastAsia="Arial" w:hAnsi="Arial"/>
                <w:sz w:val="16"/>
                <w:szCs w:val="16"/>
                <w:color w:val="auto"/>
                <w:w w:val="90"/>
              </w:rPr>
              <w:t>Three Months Ended</w:t>
            </w:r>
          </w:p>
        </w:tc>
      </w:tr>
      <w:tr>
        <w:trPr>
          <w:trHeight w:val="206"/>
        </w:trPr>
        <w:tc>
          <w:tcPr>
            <w:tcW w:w="8000" w:type="dxa"/>
            <w:vAlign w:val="bottom"/>
          </w:tcPr>
          <w:p>
            <w:pPr>
              <w:spacing w:after="0"/>
              <w:rPr>
                <w:sz w:val="17"/>
                <w:szCs w:val="17"/>
                <w:color w:val="auto"/>
              </w:rPr>
            </w:pPr>
          </w:p>
        </w:tc>
        <w:tc>
          <w:tcPr>
            <w:tcW w:w="2240" w:type="dxa"/>
            <w:vAlign w:val="bottom"/>
          </w:tcPr>
          <w:p>
            <w:pPr>
              <w:jc w:val="center"/>
              <w:ind w:left="1139"/>
              <w:spacing w:after="0"/>
              <w:rPr>
                <w:sz w:val="20"/>
                <w:szCs w:val="20"/>
                <w:color w:val="auto"/>
              </w:rPr>
            </w:pPr>
            <w:r>
              <w:rPr>
                <w:rFonts w:ascii="Arial" w:cs="Arial" w:eastAsia="Arial" w:hAnsi="Arial"/>
                <w:sz w:val="16"/>
                <w:szCs w:val="16"/>
                <w:color w:val="auto"/>
                <w:w w:val="92"/>
              </w:rPr>
              <w:t>March 31,</w:t>
            </w:r>
          </w:p>
        </w:tc>
        <w:tc>
          <w:tcPr>
            <w:tcW w:w="1180" w:type="dxa"/>
            <w:vAlign w:val="bottom"/>
          </w:tcPr>
          <w:p>
            <w:pPr>
              <w:spacing w:after="0"/>
              <w:rPr>
                <w:sz w:val="17"/>
                <w:szCs w:val="17"/>
                <w:color w:val="auto"/>
              </w:rPr>
            </w:pPr>
          </w:p>
        </w:tc>
      </w:tr>
      <w:tr>
        <w:trPr>
          <w:trHeight w:val="33"/>
        </w:trPr>
        <w:tc>
          <w:tcPr>
            <w:tcW w:w="80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8000" w:type="dxa"/>
            <w:vAlign w:val="bottom"/>
          </w:tcPr>
          <w:p>
            <w:pPr>
              <w:ind w:left="40"/>
              <w:spacing w:after="0"/>
              <w:rPr>
                <w:sz w:val="20"/>
                <w:szCs w:val="20"/>
                <w:color w:val="auto"/>
              </w:rPr>
            </w:pPr>
            <w:r>
              <w:rPr>
                <w:rFonts w:ascii="Arial" w:cs="Arial" w:eastAsia="Arial" w:hAnsi="Arial"/>
                <w:sz w:val="16"/>
                <w:szCs w:val="16"/>
                <w:color w:val="auto"/>
              </w:rPr>
              <w:t>Gas Utilities Quantities Sold &amp; Transported (Dth)</w:t>
            </w:r>
          </w:p>
        </w:tc>
        <w:tc>
          <w:tcPr>
            <w:tcW w:w="2240" w:type="dxa"/>
            <w:vAlign w:val="bottom"/>
          </w:tcPr>
          <w:p>
            <w:pPr>
              <w:jc w:val="right"/>
              <w:ind w:right="1139"/>
              <w:spacing w:after="0"/>
              <w:rPr>
                <w:sz w:val="20"/>
                <w:szCs w:val="20"/>
                <w:color w:val="auto"/>
              </w:rPr>
            </w:pPr>
            <w:r>
              <w:rPr>
                <w:rFonts w:ascii="Arial" w:cs="Arial" w:eastAsia="Arial" w:hAnsi="Arial"/>
                <w:sz w:val="16"/>
                <w:szCs w:val="16"/>
                <w:color w:val="auto"/>
              </w:rPr>
              <w:t>2018</w:t>
            </w:r>
          </w:p>
        </w:tc>
        <w:tc>
          <w:tcPr>
            <w:tcW w:w="1180" w:type="dxa"/>
            <w:vAlign w:val="bottom"/>
          </w:tcPr>
          <w:p>
            <w:pPr>
              <w:jc w:val="right"/>
              <w:ind w:right="599"/>
              <w:spacing w:after="0"/>
              <w:rPr>
                <w:sz w:val="20"/>
                <w:szCs w:val="20"/>
                <w:color w:val="auto"/>
              </w:rPr>
            </w:pPr>
            <w:r>
              <w:rPr>
                <w:rFonts w:ascii="Arial" w:cs="Arial" w:eastAsia="Arial" w:hAnsi="Arial"/>
                <w:sz w:val="16"/>
                <w:szCs w:val="16"/>
                <w:color w:val="auto"/>
              </w:rPr>
              <w:t>2017</w:t>
            </w:r>
          </w:p>
        </w:tc>
      </w:tr>
      <w:tr>
        <w:trPr>
          <w:trHeight w:val="33"/>
        </w:trPr>
        <w:tc>
          <w:tcPr>
            <w:tcW w:w="80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000" w:type="dxa"/>
            <w:vAlign w:val="bottom"/>
            <w:shd w:val="clear" w:color="auto" w:fill="CEFFE7"/>
          </w:tcPr>
          <w:p>
            <w:pPr>
              <w:spacing w:after="0"/>
              <w:rPr>
                <w:sz w:val="19"/>
                <w:szCs w:val="19"/>
                <w:color w:val="auto"/>
              </w:rPr>
            </w:pPr>
          </w:p>
        </w:tc>
        <w:tc>
          <w:tcPr>
            <w:tcW w:w="224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Arkansas</w:t>
            </w:r>
          </w:p>
        </w:tc>
        <w:tc>
          <w:tcPr>
            <w:tcW w:w="2240" w:type="dxa"/>
            <w:vAlign w:val="bottom"/>
          </w:tcPr>
          <w:p>
            <w:pPr>
              <w:jc w:val="right"/>
              <w:ind w:right="539"/>
              <w:spacing w:after="0"/>
              <w:rPr>
                <w:sz w:val="20"/>
                <w:szCs w:val="20"/>
                <w:color w:val="auto"/>
              </w:rPr>
            </w:pPr>
            <w:r>
              <w:rPr>
                <w:rFonts w:ascii="Arial" w:cs="Arial" w:eastAsia="Arial" w:hAnsi="Arial"/>
                <w:sz w:val="16"/>
                <w:szCs w:val="16"/>
                <w:color w:val="auto"/>
              </w:rPr>
              <w:t>11,878,626</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9,212,085</w:t>
            </w:r>
          </w:p>
        </w:tc>
      </w:tr>
      <w:tr>
        <w:trPr>
          <w:trHeight w:val="33"/>
        </w:trPr>
        <w:tc>
          <w:tcPr>
            <w:tcW w:w="8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Colorado</w:t>
            </w:r>
          </w:p>
        </w:tc>
        <w:tc>
          <w:tcPr>
            <w:tcW w:w="2240" w:type="dxa"/>
            <w:vAlign w:val="bottom"/>
            <w:tcBorders>
              <w:bottom w:val="single" w:sz="8" w:color="CEFFE7"/>
            </w:tcBorders>
            <w:shd w:val="clear" w:color="auto" w:fill="CEFFE7"/>
          </w:tcPr>
          <w:p>
            <w:pPr>
              <w:jc w:val="right"/>
              <w:ind w:right="539"/>
              <w:spacing w:after="0"/>
              <w:rPr>
                <w:sz w:val="20"/>
                <w:szCs w:val="20"/>
                <w:color w:val="auto"/>
              </w:rPr>
            </w:pPr>
            <w:r>
              <w:rPr>
                <w:rFonts w:ascii="Arial" w:cs="Arial" w:eastAsia="Arial" w:hAnsi="Arial"/>
                <w:sz w:val="16"/>
                <w:szCs w:val="16"/>
                <w:color w:val="auto"/>
              </w:rPr>
              <w:t>11,703,351</w:t>
            </w:r>
          </w:p>
        </w:tc>
        <w:tc>
          <w:tcPr>
            <w:tcW w:w="11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10,987,644</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Nebraska</w:t>
            </w:r>
          </w:p>
        </w:tc>
        <w:tc>
          <w:tcPr>
            <w:tcW w:w="2240" w:type="dxa"/>
            <w:vAlign w:val="bottom"/>
          </w:tcPr>
          <w:p>
            <w:pPr>
              <w:jc w:val="right"/>
              <w:ind w:right="539"/>
              <w:spacing w:after="0"/>
              <w:rPr>
                <w:sz w:val="20"/>
                <w:szCs w:val="20"/>
                <w:color w:val="auto"/>
              </w:rPr>
            </w:pPr>
            <w:r>
              <w:rPr>
                <w:rFonts w:ascii="Arial" w:cs="Arial" w:eastAsia="Arial" w:hAnsi="Arial"/>
                <w:sz w:val="16"/>
                <w:szCs w:val="16"/>
                <w:color w:val="auto"/>
              </w:rPr>
              <w:t>27,987,224</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24,272,789</w:t>
            </w:r>
          </w:p>
        </w:tc>
      </w:tr>
      <w:tr>
        <w:trPr>
          <w:trHeight w:val="33"/>
        </w:trPr>
        <w:tc>
          <w:tcPr>
            <w:tcW w:w="8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Iowa</w:t>
            </w:r>
          </w:p>
        </w:tc>
        <w:tc>
          <w:tcPr>
            <w:tcW w:w="2240" w:type="dxa"/>
            <w:vAlign w:val="bottom"/>
            <w:tcBorders>
              <w:bottom w:val="single" w:sz="8" w:color="CEFFE7"/>
            </w:tcBorders>
            <w:shd w:val="clear" w:color="auto" w:fill="CEFFE7"/>
          </w:tcPr>
          <w:p>
            <w:pPr>
              <w:jc w:val="right"/>
              <w:ind w:right="539"/>
              <w:spacing w:after="0"/>
              <w:rPr>
                <w:sz w:val="20"/>
                <w:szCs w:val="20"/>
                <w:color w:val="auto"/>
              </w:rPr>
            </w:pPr>
            <w:r>
              <w:rPr>
                <w:rFonts w:ascii="Arial" w:cs="Arial" w:eastAsia="Arial" w:hAnsi="Arial"/>
                <w:sz w:val="16"/>
                <w:szCs w:val="16"/>
                <w:color w:val="auto"/>
              </w:rPr>
              <w:t>15,502,989</w:t>
            </w:r>
          </w:p>
        </w:tc>
        <w:tc>
          <w:tcPr>
            <w:tcW w:w="11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13,495,012</w:t>
            </w: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Kansas</w:t>
            </w:r>
          </w:p>
        </w:tc>
        <w:tc>
          <w:tcPr>
            <w:tcW w:w="2240" w:type="dxa"/>
            <w:vAlign w:val="bottom"/>
          </w:tcPr>
          <w:p>
            <w:pPr>
              <w:jc w:val="right"/>
              <w:ind w:right="539"/>
              <w:spacing w:after="0"/>
              <w:rPr>
                <w:sz w:val="20"/>
                <w:szCs w:val="20"/>
                <w:color w:val="auto"/>
              </w:rPr>
            </w:pPr>
            <w:r>
              <w:rPr>
                <w:rFonts w:ascii="Arial" w:cs="Arial" w:eastAsia="Arial" w:hAnsi="Arial"/>
                <w:sz w:val="16"/>
                <w:szCs w:val="16"/>
                <w:color w:val="auto"/>
              </w:rPr>
              <w:t>10,297,328</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8,509,318</w:t>
            </w:r>
          </w:p>
        </w:tc>
      </w:tr>
      <w:tr>
        <w:trPr>
          <w:trHeight w:val="33"/>
        </w:trPr>
        <w:tc>
          <w:tcPr>
            <w:tcW w:w="8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Wyoming</w:t>
            </w:r>
          </w:p>
        </w:tc>
        <w:tc>
          <w:tcPr>
            <w:tcW w:w="2240" w:type="dxa"/>
            <w:vAlign w:val="bottom"/>
            <w:tcBorders>
              <w:bottom w:val="single" w:sz="8" w:color="CEFFE7"/>
            </w:tcBorders>
            <w:shd w:val="clear" w:color="auto" w:fill="CEFFE7"/>
          </w:tcPr>
          <w:p>
            <w:pPr>
              <w:jc w:val="right"/>
              <w:ind w:right="539"/>
              <w:spacing w:after="0"/>
              <w:rPr>
                <w:sz w:val="20"/>
                <w:szCs w:val="20"/>
                <w:color w:val="auto"/>
              </w:rPr>
            </w:pPr>
            <w:r>
              <w:rPr>
                <w:rFonts w:ascii="Arial" w:cs="Arial" w:eastAsia="Arial" w:hAnsi="Arial"/>
                <w:sz w:val="16"/>
                <w:szCs w:val="16"/>
                <w:color w:val="auto"/>
              </w:rPr>
              <w:t>12,592,932</w:t>
            </w:r>
          </w:p>
        </w:tc>
        <w:tc>
          <w:tcPr>
            <w:tcW w:w="11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12,235,361</w:t>
            </w:r>
          </w:p>
        </w:tc>
      </w:tr>
      <w:tr>
        <w:trPr>
          <w:trHeight w:val="244"/>
        </w:trPr>
        <w:tc>
          <w:tcPr>
            <w:tcW w:w="8000" w:type="dxa"/>
            <w:vAlign w:val="bottom"/>
          </w:tcPr>
          <w:p>
            <w:pPr>
              <w:ind w:left="280"/>
              <w:spacing w:after="0"/>
              <w:rPr>
                <w:sz w:val="20"/>
                <w:szCs w:val="20"/>
                <w:color w:val="auto"/>
              </w:rPr>
            </w:pPr>
            <w:r>
              <w:rPr>
                <w:rFonts w:ascii="Arial" w:cs="Arial" w:eastAsia="Arial" w:hAnsi="Arial"/>
                <w:sz w:val="16"/>
                <w:szCs w:val="16"/>
                <w:color w:val="auto"/>
              </w:rPr>
              <w:t>Total Quantities Sold &amp; Transported</w:t>
            </w:r>
          </w:p>
        </w:tc>
        <w:tc>
          <w:tcPr>
            <w:tcW w:w="2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rPr>
              <w:t>89,962,450</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78,712,209</w:t>
            </w:r>
          </w:p>
        </w:tc>
      </w:tr>
      <w:tr>
        <w:trPr>
          <w:trHeight w:val="20"/>
        </w:trPr>
        <w:tc>
          <w:tcPr>
            <w:tcW w:w="80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Gas Utilities are highly seasonal, and sales volumes vary considerably with weather and seasonal heating and industrial loads. Approximately 70% of our Gas Utilities’ revenue and margins are expected in the first and fourth quarters of each year. Therefore, revenue for, and certain expenses of, these operations fluctuate significantly among quarters. Depending upon the geographic location in which our Gas Utilities operate, the winter heating season begins around November 1 and ends around March 31.</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220" w:type="dxa"/>
            <w:vAlign w:val="bottom"/>
            <w:gridSpan w:val="3"/>
          </w:tcPr>
          <w:p>
            <w:pPr>
              <w:jc w:val="center"/>
              <w:ind w:left="590"/>
              <w:spacing w:after="0"/>
              <w:rPr>
                <w:sz w:val="20"/>
                <w:szCs w:val="20"/>
                <w:color w:val="auto"/>
              </w:rPr>
            </w:pPr>
            <w:r>
              <w:rPr>
                <w:rFonts w:ascii="Arial" w:cs="Arial" w:eastAsia="Arial" w:hAnsi="Arial"/>
                <w:sz w:val="18"/>
                <w:szCs w:val="18"/>
                <w:color w:val="auto"/>
                <w:w w:val="90"/>
              </w:rPr>
              <w:t>Three Months Ended March 31,</w:t>
            </w:r>
          </w:p>
        </w:tc>
        <w:tc>
          <w:tcPr>
            <w:tcW w:w="1700" w:type="dxa"/>
            <w:vAlign w:val="bottom"/>
          </w:tcPr>
          <w:p>
            <w:pPr>
              <w:spacing w:after="0"/>
              <w:rPr>
                <w:sz w:val="20"/>
                <w:szCs w:val="20"/>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8"/>
                <w:szCs w:val="18"/>
                <w:color w:val="auto"/>
              </w:rPr>
              <w:t>Degree Days</w:t>
            </w:r>
          </w:p>
        </w:tc>
        <w:tc>
          <w:tcPr>
            <w:tcW w:w="2260" w:type="dxa"/>
            <w:vAlign w:val="bottom"/>
          </w:tcPr>
          <w:p>
            <w:pPr>
              <w:spacing w:after="0"/>
              <w:rPr>
                <w:sz w:val="23"/>
                <w:szCs w:val="23"/>
                <w:color w:val="auto"/>
              </w:rPr>
            </w:pPr>
          </w:p>
        </w:tc>
        <w:tc>
          <w:tcPr>
            <w:tcW w:w="1700" w:type="dxa"/>
            <w:vAlign w:val="bottom"/>
          </w:tcPr>
          <w:p>
            <w:pPr>
              <w:jc w:val="right"/>
              <w:ind w:right="1090"/>
              <w:spacing w:after="0"/>
              <w:rPr>
                <w:sz w:val="20"/>
                <w:szCs w:val="20"/>
                <w:color w:val="auto"/>
              </w:rPr>
            </w:pPr>
            <w:r>
              <w:rPr>
                <w:rFonts w:ascii="Arial" w:cs="Arial" w:eastAsia="Arial" w:hAnsi="Arial"/>
                <w:sz w:val="18"/>
                <w:szCs w:val="18"/>
                <w:color w:val="auto"/>
              </w:rPr>
              <w:t>2018</w:t>
            </w:r>
          </w:p>
        </w:tc>
        <w:tc>
          <w:tcPr>
            <w:tcW w:w="1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700" w:type="dxa"/>
            <w:vAlign w:val="bottom"/>
          </w:tcPr>
          <w:p>
            <w:pPr>
              <w:jc w:val="right"/>
              <w:ind w:right="1090"/>
              <w:spacing w:after="0"/>
              <w:rPr>
                <w:sz w:val="20"/>
                <w:szCs w:val="20"/>
                <w:color w:val="auto"/>
              </w:rPr>
            </w:pPr>
            <w:r>
              <w:rPr>
                <w:rFonts w:ascii="Arial" w:cs="Arial" w:eastAsia="Arial" w:hAnsi="Arial"/>
                <w:sz w:val="18"/>
                <w:szCs w:val="18"/>
                <w:color w:val="auto"/>
              </w:rPr>
              <w:t>2017</w:t>
            </w:r>
          </w:p>
        </w:tc>
      </w:tr>
      <w:tr>
        <w:trPr>
          <w:trHeight w:val="27"/>
        </w:trPr>
        <w:tc>
          <w:tcPr>
            <w:tcW w:w="3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2"/>
        </w:trPr>
        <w:tc>
          <w:tcPr>
            <w:tcW w:w="3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87"/>
              </w:rPr>
              <w:t>Variance</w:t>
            </w:r>
          </w:p>
        </w:tc>
        <w:tc>
          <w:tcPr>
            <w:tcW w:w="1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0"/>
              </w:rPr>
              <w:t>Variance</w:t>
            </w:r>
          </w:p>
        </w:tc>
      </w:tr>
      <w:tr>
        <w:trPr>
          <w:trHeight w:val="216"/>
        </w:trPr>
        <w:tc>
          <w:tcPr>
            <w:tcW w:w="3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3"/>
              </w:rPr>
              <w:t>from 30-Year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Actual Variance</w:t>
            </w:r>
          </w:p>
        </w:tc>
        <w:tc>
          <w:tcPr>
            <w:tcW w:w="900" w:type="dxa"/>
            <w:vAlign w:val="bottom"/>
          </w:tcPr>
          <w:p>
            <w:pPr>
              <w:spacing w:after="0"/>
              <w:rPr>
                <w:sz w:val="18"/>
                <w:szCs w:val="18"/>
                <w:color w:val="auto"/>
              </w:rPr>
            </w:pP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1"/>
              </w:rPr>
              <w:t>from 30-Year</w:t>
            </w:r>
          </w:p>
        </w:tc>
      </w:tr>
      <w:tr>
        <w:trPr>
          <w:trHeight w:val="230"/>
        </w:trPr>
        <w:tc>
          <w:tcPr>
            <w:tcW w:w="3240" w:type="dxa"/>
            <w:vAlign w:val="bottom"/>
          </w:tcPr>
          <w:p>
            <w:pPr>
              <w:ind w:left="40"/>
              <w:spacing w:after="0"/>
              <w:rPr>
                <w:sz w:val="20"/>
                <w:szCs w:val="20"/>
                <w:color w:val="auto"/>
              </w:rPr>
            </w:pPr>
            <w:r>
              <w:rPr>
                <w:rFonts w:ascii="Arial" w:cs="Arial" w:eastAsia="Arial" w:hAnsi="Arial"/>
                <w:sz w:val="18"/>
                <w:szCs w:val="18"/>
                <w:color w:val="auto"/>
              </w:rPr>
              <w:t>Heating Degree Days:</w:t>
            </w:r>
          </w:p>
        </w:tc>
        <w:tc>
          <w:tcPr>
            <w:tcW w:w="2260" w:type="dxa"/>
            <w:vAlign w:val="bottom"/>
          </w:tcPr>
          <w:p>
            <w:pPr>
              <w:jc w:val="center"/>
              <w:ind w:left="1370"/>
              <w:spacing w:after="0"/>
              <w:rPr>
                <w:sz w:val="20"/>
                <w:szCs w:val="20"/>
                <w:color w:val="auto"/>
              </w:rPr>
            </w:pPr>
            <w:r>
              <w:rPr>
                <w:rFonts w:ascii="Arial" w:cs="Arial" w:eastAsia="Arial" w:hAnsi="Arial"/>
                <w:sz w:val="18"/>
                <w:szCs w:val="18"/>
                <w:color w:val="auto"/>
                <w:w w:val="95"/>
              </w:rPr>
              <w:t>Actual</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86"/>
              </w:rPr>
              <w:t>Average</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to Prior Year</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95"/>
              </w:rPr>
              <w:t>Actual</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89"/>
              </w:rPr>
              <w:t>Average</w:t>
            </w:r>
          </w:p>
        </w:tc>
      </w:tr>
      <w:tr>
        <w:trPr>
          <w:trHeight w:val="27"/>
        </w:trPr>
        <w:tc>
          <w:tcPr>
            <w:tcW w:w="3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3240" w:type="dxa"/>
            <w:vAlign w:val="bottom"/>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Arkansas </w:t>
            </w:r>
            <w:r>
              <w:rPr>
                <w:rFonts w:ascii="Arial" w:cs="Arial" w:eastAsia="Arial" w:hAnsi="Arial"/>
                <w:sz w:val="25"/>
                <w:szCs w:val="25"/>
                <w:color w:val="auto"/>
                <w:vertAlign w:val="superscript"/>
              </w:rPr>
              <w:t>(a)</w:t>
            </w:r>
          </w:p>
        </w:tc>
        <w:tc>
          <w:tcPr>
            <w:tcW w:w="2260" w:type="dxa"/>
            <w:vAlign w:val="bottom"/>
            <w:shd w:val="clear" w:color="auto" w:fill="CEFFE7"/>
          </w:tcPr>
          <w:p>
            <w:pPr>
              <w:jc w:val="center"/>
              <w:ind w:left="1370"/>
              <w:spacing w:after="0"/>
              <w:rPr>
                <w:sz w:val="20"/>
                <w:szCs w:val="20"/>
                <w:color w:val="auto"/>
              </w:rPr>
            </w:pPr>
            <w:r>
              <w:rPr>
                <w:rFonts w:ascii="Arial" w:cs="Arial" w:eastAsia="Arial" w:hAnsi="Arial"/>
                <w:sz w:val="18"/>
                <w:szCs w:val="18"/>
                <w:color w:val="auto"/>
                <w:w w:val="88"/>
              </w:rPr>
              <w:t>2,048</w:t>
            </w:r>
          </w:p>
        </w:tc>
        <w:tc>
          <w:tcPr>
            <w:tcW w:w="1700" w:type="dxa"/>
            <w:vAlign w:val="bottom"/>
            <w:shd w:val="clear" w:color="auto" w:fill="CEFFE7"/>
          </w:tcPr>
          <w:p>
            <w:pPr>
              <w:jc w:val="center"/>
              <w:ind w:left="290"/>
              <w:spacing w:after="0"/>
              <w:rPr>
                <w:sz w:val="20"/>
                <w:szCs w:val="20"/>
                <w:color w:val="auto"/>
              </w:rPr>
            </w:pPr>
            <w:r>
              <w:rPr>
                <w:rFonts w:ascii="Arial" w:cs="Arial" w:eastAsia="Arial" w:hAnsi="Arial"/>
                <w:sz w:val="18"/>
                <w:szCs w:val="18"/>
                <w:color w:val="auto"/>
                <w:w w:val="94"/>
              </w:rPr>
              <w:t>(3)%</w:t>
            </w:r>
          </w:p>
        </w:tc>
        <w:tc>
          <w:tcPr>
            <w:tcW w:w="16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31%</w:t>
            </w:r>
          </w:p>
        </w:tc>
        <w:tc>
          <w:tcPr>
            <w:tcW w:w="90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88"/>
              </w:rPr>
              <w:t>1,569</w:t>
            </w:r>
          </w:p>
        </w:tc>
        <w:tc>
          <w:tcPr>
            <w:tcW w:w="1700" w:type="dxa"/>
            <w:vAlign w:val="bottom"/>
            <w:shd w:val="clear" w:color="auto" w:fill="CEFFE7"/>
          </w:tcPr>
          <w:p>
            <w:pPr>
              <w:jc w:val="center"/>
              <w:ind w:left="250"/>
              <w:spacing w:after="0"/>
              <w:rPr>
                <w:sz w:val="20"/>
                <w:szCs w:val="20"/>
                <w:color w:val="auto"/>
              </w:rPr>
            </w:pPr>
            <w:r>
              <w:rPr>
                <w:rFonts w:ascii="Arial" w:cs="Arial" w:eastAsia="Arial" w:hAnsi="Arial"/>
                <w:sz w:val="18"/>
                <w:szCs w:val="18"/>
                <w:color w:val="auto"/>
                <w:w w:val="91"/>
              </w:rPr>
              <w:t>(25)%</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Colorado</w:t>
            </w:r>
          </w:p>
        </w:tc>
        <w:tc>
          <w:tcPr>
            <w:tcW w:w="2260" w:type="dxa"/>
            <w:vAlign w:val="bottom"/>
          </w:tcPr>
          <w:p>
            <w:pPr>
              <w:jc w:val="center"/>
              <w:ind w:left="1370"/>
              <w:spacing w:after="0"/>
              <w:rPr>
                <w:sz w:val="20"/>
                <w:szCs w:val="20"/>
                <w:color w:val="auto"/>
              </w:rPr>
            </w:pPr>
            <w:r>
              <w:rPr>
                <w:rFonts w:ascii="Arial" w:cs="Arial" w:eastAsia="Arial" w:hAnsi="Arial"/>
                <w:sz w:val="18"/>
                <w:szCs w:val="18"/>
                <w:color w:val="auto"/>
                <w:w w:val="88"/>
              </w:rPr>
              <w:t>2,704</w:t>
            </w:r>
          </w:p>
        </w:tc>
        <w:tc>
          <w:tcPr>
            <w:tcW w:w="1700" w:type="dxa"/>
            <w:vAlign w:val="bottom"/>
          </w:tcPr>
          <w:p>
            <w:pPr>
              <w:jc w:val="center"/>
              <w:ind w:left="290"/>
              <w:spacing w:after="0"/>
              <w:rPr>
                <w:sz w:val="20"/>
                <w:szCs w:val="20"/>
                <w:color w:val="auto"/>
              </w:rPr>
            </w:pPr>
            <w:r>
              <w:rPr>
                <w:rFonts w:ascii="Arial" w:cs="Arial" w:eastAsia="Arial" w:hAnsi="Arial"/>
                <w:sz w:val="18"/>
                <w:szCs w:val="18"/>
                <w:color w:val="auto"/>
                <w:w w:val="94"/>
              </w:rPr>
              <w:t>(8)%</w:t>
            </w: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8"/>
              </w:rPr>
              <w:t>2,465</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1"/>
              </w:rPr>
              <w:t>(16)%</w:t>
            </w:r>
          </w:p>
        </w:tc>
      </w:tr>
      <w:tr>
        <w:trPr>
          <w:trHeight w:val="27"/>
        </w:trPr>
        <w:tc>
          <w:tcPr>
            <w:tcW w:w="3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2260" w:type="dxa"/>
            <w:vAlign w:val="bottom"/>
            <w:tcBorders>
              <w:bottom w:val="single" w:sz="8" w:color="CEFFE7"/>
            </w:tcBorders>
            <w:shd w:val="clear" w:color="auto" w:fill="CEFFE7"/>
          </w:tcPr>
          <w:p>
            <w:pPr>
              <w:jc w:val="center"/>
              <w:ind w:left="1370"/>
              <w:spacing w:after="0"/>
              <w:rPr>
                <w:sz w:val="20"/>
                <w:szCs w:val="20"/>
                <w:color w:val="auto"/>
              </w:rPr>
            </w:pPr>
            <w:r>
              <w:rPr>
                <w:rFonts w:ascii="Arial" w:cs="Arial" w:eastAsia="Arial" w:hAnsi="Arial"/>
                <w:sz w:val="18"/>
                <w:szCs w:val="18"/>
                <w:color w:val="auto"/>
                <w:w w:val="88"/>
              </w:rPr>
              <w:t>3,207</w:t>
            </w:r>
          </w:p>
        </w:tc>
        <w:tc>
          <w:tcPr>
            <w:tcW w:w="1700" w:type="dxa"/>
            <w:vAlign w:val="bottom"/>
            <w:tcBorders>
              <w:bottom w:val="single" w:sz="8" w:color="CEFFE7"/>
            </w:tcBorders>
            <w:shd w:val="clear" w:color="auto" w:fill="CEFFE7"/>
          </w:tcPr>
          <w:p>
            <w:pPr>
              <w:jc w:val="center"/>
              <w:ind w:left="290"/>
              <w:spacing w:after="0"/>
              <w:rPr>
                <w:sz w:val="20"/>
                <w:szCs w:val="20"/>
                <w:color w:val="auto"/>
              </w:rPr>
            </w:pPr>
            <w:r>
              <w:rPr>
                <w:rFonts w:ascii="Arial" w:cs="Arial" w:eastAsia="Arial" w:hAnsi="Arial"/>
                <w:sz w:val="18"/>
                <w:szCs w:val="18"/>
                <w:color w:val="auto"/>
                <w:w w:val="92"/>
              </w:rPr>
              <w:t>6%</w:t>
            </w:r>
          </w:p>
        </w:tc>
        <w:tc>
          <w:tcPr>
            <w:tcW w:w="16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21%</w:t>
            </w:r>
          </w:p>
        </w:tc>
        <w:tc>
          <w:tcPr>
            <w:tcW w:w="900" w:type="dxa"/>
            <w:vAlign w:val="bottom"/>
            <w:tcBorders>
              <w:bottom w:val="single" w:sz="8" w:color="CEFFE7"/>
            </w:tcBorders>
            <w:shd w:val="clear" w:color="auto" w:fill="CEFFE7"/>
          </w:tcPr>
          <w:p>
            <w:pPr>
              <w:jc w:val="center"/>
              <w:ind w:left="10"/>
              <w:spacing w:after="0"/>
              <w:rPr>
                <w:sz w:val="20"/>
                <w:szCs w:val="20"/>
                <w:color w:val="auto"/>
              </w:rPr>
            </w:pPr>
            <w:r>
              <w:rPr>
                <w:rFonts w:ascii="Arial" w:cs="Arial" w:eastAsia="Arial" w:hAnsi="Arial"/>
                <w:sz w:val="18"/>
                <w:szCs w:val="18"/>
                <w:color w:val="auto"/>
                <w:w w:val="88"/>
              </w:rPr>
              <w:t>2,647</w:t>
            </w:r>
          </w:p>
        </w:tc>
        <w:tc>
          <w:tcPr>
            <w:tcW w:w="1700" w:type="dxa"/>
            <w:vAlign w:val="bottom"/>
            <w:tcBorders>
              <w:bottom w:val="single" w:sz="8" w:color="CEFFE7"/>
            </w:tcBorders>
            <w:shd w:val="clear" w:color="auto" w:fill="CEFFE7"/>
          </w:tcPr>
          <w:p>
            <w:pPr>
              <w:jc w:val="center"/>
              <w:ind w:left="250"/>
              <w:spacing w:after="0"/>
              <w:rPr>
                <w:sz w:val="20"/>
                <w:szCs w:val="20"/>
                <w:color w:val="auto"/>
              </w:rPr>
            </w:pPr>
            <w:r>
              <w:rPr>
                <w:rFonts w:ascii="Arial" w:cs="Arial" w:eastAsia="Arial" w:hAnsi="Arial"/>
                <w:sz w:val="18"/>
                <w:szCs w:val="18"/>
                <w:color w:val="auto"/>
                <w:w w:val="91"/>
              </w:rPr>
              <w:t>(13)%</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Iowa</w:t>
            </w:r>
          </w:p>
        </w:tc>
        <w:tc>
          <w:tcPr>
            <w:tcW w:w="2260" w:type="dxa"/>
            <w:vAlign w:val="bottom"/>
          </w:tcPr>
          <w:p>
            <w:pPr>
              <w:jc w:val="center"/>
              <w:ind w:left="1370"/>
              <w:spacing w:after="0"/>
              <w:rPr>
                <w:sz w:val="20"/>
                <w:szCs w:val="20"/>
                <w:color w:val="auto"/>
              </w:rPr>
            </w:pPr>
            <w:r>
              <w:rPr>
                <w:rFonts w:ascii="Arial" w:cs="Arial" w:eastAsia="Arial" w:hAnsi="Arial"/>
                <w:sz w:val="18"/>
                <w:szCs w:val="18"/>
                <w:color w:val="auto"/>
                <w:w w:val="88"/>
              </w:rPr>
              <w:t>3,531</w:t>
            </w:r>
          </w:p>
        </w:tc>
        <w:tc>
          <w:tcPr>
            <w:tcW w:w="1700" w:type="dxa"/>
            <w:vAlign w:val="bottom"/>
          </w:tcPr>
          <w:p>
            <w:pPr>
              <w:jc w:val="center"/>
              <w:ind w:left="290"/>
              <w:spacing w:after="0"/>
              <w:rPr>
                <w:sz w:val="20"/>
                <w:szCs w:val="20"/>
                <w:color w:val="auto"/>
              </w:rPr>
            </w:pPr>
            <w:r>
              <w:rPr>
                <w:rFonts w:ascii="Arial" w:cs="Arial" w:eastAsia="Arial" w:hAnsi="Arial"/>
                <w:sz w:val="18"/>
                <w:szCs w:val="18"/>
                <w:color w:val="auto"/>
                <w:w w:val="92"/>
              </w:rPr>
              <w:t>5%</w:t>
            </w: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8"/>
              </w:rPr>
              <w:t>2,932</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1"/>
              </w:rPr>
              <w:t>(13)%</w:t>
            </w:r>
          </w:p>
        </w:tc>
      </w:tr>
      <w:tr>
        <w:trPr>
          <w:trHeight w:val="27"/>
        </w:trPr>
        <w:tc>
          <w:tcPr>
            <w:tcW w:w="3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2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Kansas </w:t>
            </w:r>
            <w:r>
              <w:rPr>
                <w:rFonts w:ascii="Arial" w:cs="Arial" w:eastAsia="Arial" w:hAnsi="Arial"/>
                <w:sz w:val="25"/>
                <w:szCs w:val="25"/>
                <w:color w:val="auto"/>
                <w:vertAlign w:val="superscript"/>
              </w:rPr>
              <w:t>(a)</w:t>
            </w:r>
          </w:p>
        </w:tc>
        <w:tc>
          <w:tcPr>
            <w:tcW w:w="2260" w:type="dxa"/>
            <w:vAlign w:val="bottom"/>
            <w:shd w:val="clear" w:color="auto" w:fill="CEFFE7"/>
          </w:tcPr>
          <w:p>
            <w:pPr>
              <w:jc w:val="center"/>
              <w:ind w:left="1370"/>
              <w:spacing w:after="0"/>
              <w:rPr>
                <w:sz w:val="20"/>
                <w:szCs w:val="20"/>
                <w:color w:val="auto"/>
              </w:rPr>
            </w:pPr>
            <w:r>
              <w:rPr>
                <w:rFonts w:ascii="Arial" w:cs="Arial" w:eastAsia="Arial" w:hAnsi="Arial"/>
                <w:sz w:val="18"/>
                <w:szCs w:val="18"/>
                <w:color w:val="auto"/>
                <w:w w:val="88"/>
              </w:rPr>
              <w:t>2,470</w:t>
            </w:r>
          </w:p>
        </w:tc>
        <w:tc>
          <w:tcPr>
            <w:tcW w:w="1700" w:type="dxa"/>
            <w:vAlign w:val="bottom"/>
            <w:shd w:val="clear" w:color="auto" w:fill="CEFFE7"/>
          </w:tcPr>
          <w:p>
            <w:pPr>
              <w:jc w:val="center"/>
              <w:ind w:left="27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18%</w:t>
            </w:r>
          </w:p>
        </w:tc>
        <w:tc>
          <w:tcPr>
            <w:tcW w:w="90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88"/>
              </w:rPr>
              <w:t>2,102</w:t>
            </w:r>
          </w:p>
        </w:tc>
        <w:tc>
          <w:tcPr>
            <w:tcW w:w="1700" w:type="dxa"/>
            <w:vAlign w:val="bottom"/>
            <w:shd w:val="clear" w:color="auto" w:fill="CEFFE7"/>
          </w:tcPr>
          <w:p>
            <w:pPr>
              <w:jc w:val="center"/>
              <w:ind w:left="250"/>
              <w:spacing w:after="0"/>
              <w:rPr>
                <w:sz w:val="20"/>
                <w:szCs w:val="20"/>
                <w:color w:val="auto"/>
              </w:rPr>
            </w:pPr>
            <w:r>
              <w:rPr>
                <w:rFonts w:ascii="Arial" w:cs="Arial" w:eastAsia="Arial" w:hAnsi="Arial"/>
                <w:sz w:val="18"/>
                <w:szCs w:val="18"/>
                <w:color w:val="auto"/>
                <w:w w:val="91"/>
              </w:rPr>
              <w:t>(15)%</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Wyoming</w:t>
            </w:r>
          </w:p>
        </w:tc>
        <w:tc>
          <w:tcPr>
            <w:tcW w:w="2260" w:type="dxa"/>
            <w:vAlign w:val="bottom"/>
          </w:tcPr>
          <w:p>
            <w:pPr>
              <w:jc w:val="center"/>
              <w:ind w:left="1370"/>
              <w:spacing w:after="0"/>
              <w:rPr>
                <w:sz w:val="20"/>
                <w:szCs w:val="20"/>
                <w:color w:val="auto"/>
              </w:rPr>
            </w:pPr>
            <w:r>
              <w:rPr>
                <w:rFonts w:ascii="Arial" w:cs="Arial" w:eastAsia="Arial" w:hAnsi="Arial"/>
                <w:sz w:val="18"/>
                <w:szCs w:val="18"/>
                <w:color w:val="auto"/>
                <w:w w:val="88"/>
              </w:rPr>
              <w:t>3,244</w:t>
            </w:r>
          </w:p>
        </w:tc>
        <w:tc>
          <w:tcPr>
            <w:tcW w:w="1700" w:type="dxa"/>
            <w:vAlign w:val="bottom"/>
          </w:tcPr>
          <w:p>
            <w:pPr>
              <w:jc w:val="center"/>
              <w:ind w:left="290"/>
              <w:spacing w:after="0"/>
              <w:rPr>
                <w:sz w:val="20"/>
                <w:szCs w:val="20"/>
                <w:color w:val="auto"/>
              </w:rPr>
            </w:pPr>
            <w:r>
              <w:rPr>
                <w:rFonts w:ascii="Arial" w:cs="Arial" w:eastAsia="Arial" w:hAnsi="Arial"/>
                <w:sz w:val="18"/>
                <w:szCs w:val="18"/>
                <w:color w:val="auto"/>
                <w:w w:val="92"/>
              </w:rPr>
              <w:t>1%</w:t>
            </w:r>
          </w:p>
        </w:tc>
        <w:tc>
          <w:tcPr>
            <w:tcW w:w="1620" w:type="dxa"/>
            <w:vAlign w:val="bottom"/>
          </w:tcPr>
          <w:p>
            <w:pPr>
              <w:jc w:val="center"/>
              <w:ind w:right="10"/>
              <w:spacing w:after="0"/>
              <w:rPr>
                <w:sz w:val="20"/>
                <w:szCs w:val="20"/>
                <w:color w:val="auto"/>
              </w:rPr>
            </w:pPr>
            <w:r>
              <w:rPr>
                <w:rFonts w:ascii="Arial" w:cs="Arial" w:eastAsia="Arial" w:hAnsi="Arial"/>
                <w:sz w:val="18"/>
                <w:szCs w:val="18"/>
                <w:color w:val="auto"/>
                <w:w w:val="92"/>
              </w:rPr>
              <w:t>9%</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8"/>
              </w:rPr>
              <w:t>2,984</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4"/>
              </w:rPr>
              <w:t>(7)%</w:t>
            </w:r>
          </w:p>
        </w:tc>
      </w:tr>
      <w:tr>
        <w:trPr>
          <w:trHeight w:val="27"/>
        </w:trPr>
        <w:tc>
          <w:tcPr>
            <w:tcW w:w="3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2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(b)</w:t>
            </w:r>
          </w:p>
        </w:tc>
        <w:tc>
          <w:tcPr>
            <w:tcW w:w="2260" w:type="dxa"/>
            <w:vAlign w:val="bottom"/>
            <w:shd w:val="clear" w:color="auto" w:fill="CEFFE7"/>
          </w:tcPr>
          <w:p>
            <w:pPr>
              <w:jc w:val="center"/>
              <w:ind w:left="1370"/>
              <w:spacing w:after="0"/>
              <w:rPr>
                <w:sz w:val="20"/>
                <w:szCs w:val="20"/>
                <w:color w:val="auto"/>
              </w:rPr>
            </w:pPr>
            <w:r>
              <w:rPr>
                <w:rFonts w:ascii="Arial" w:cs="Arial" w:eastAsia="Arial" w:hAnsi="Arial"/>
                <w:sz w:val="18"/>
                <w:szCs w:val="18"/>
                <w:color w:val="auto"/>
                <w:w w:val="88"/>
              </w:rPr>
              <w:t>3,159</w:t>
            </w:r>
          </w:p>
        </w:tc>
        <w:tc>
          <w:tcPr>
            <w:tcW w:w="1700" w:type="dxa"/>
            <w:vAlign w:val="bottom"/>
            <w:shd w:val="clear" w:color="auto" w:fill="CEFFE7"/>
          </w:tcPr>
          <w:p>
            <w:pPr>
              <w:jc w:val="center"/>
              <w:ind w:left="290"/>
              <w:spacing w:after="0"/>
              <w:rPr>
                <w:sz w:val="20"/>
                <w:szCs w:val="20"/>
                <w:color w:val="auto"/>
              </w:rPr>
            </w:pPr>
            <w:r>
              <w:rPr>
                <w:rFonts w:ascii="Arial" w:cs="Arial" w:eastAsia="Arial" w:hAnsi="Arial"/>
                <w:sz w:val="18"/>
                <w:szCs w:val="18"/>
                <w:color w:val="auto"/>
                <w:w w:val="92"/>
              </w:rPr>
              <w:t>2%</w:t>
            </w:r>
          </w:p>
        </w:tc>
        <w:tc>
          <w:tcPr>
            <w:tcW w:w="16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16%</w:t>
            </w:r>
          </w:p>
        </w:tc>
        <w:tc>
          <w:tcPr>
            <w:tcW w:w="90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88"/>
              </w:rPr>
              <w:t>2,718</w:t>
            </w:r>
          </w:p>
        </w:tc>
        <w:tc>
          <w:tcPr>
            <w:tcW w:w="1700" w:type="dxa"/>
            <w:vAlign w:val="bottom"/>
            <w:shd w:val="clear" w:color="auto" w:fill="CEFFE7"/>
          </w:tcPr>
          <w:p>
            <w:pPr>
              <w:jc w:val="center"/>
              <w:ind w:left="250"/>
              <w:spacing w:after="0"/>
              <w:rPr>
                <w:sz w:val="20"/>
                <w:szCs w:val="20"/>
                <w:color w:val="auto"/>
              </w:rPr>
            </w:pPr>
            <w:r>
              <w:rPr>
                <w:rFonts w:ascii="Arial" w:cs="Arial" w:eastAsia="Arial" w:hAnsi="Arial"/>
                <w:sz w:val="18"/>
                <w:szCs w:val="18"/>
                <w:color w:val="auto"/>
                <w:w w:val="91"/>
              </w:rPr>
              <w:t>(13)%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 w:lineRule="exact"/>
        <w:rPr>
          <w:sz w:val="20"/>
          <w:szCs w:val="20"/>
          <w:color w:val="auto"/>
        </w:rPr>
      </w:pPr>
    </w:p>
    <w:p>
      <w:pPr>
        <w:ind w:left="340" w:right="140" w:hanging="332"/>
        <w:spacing w:after="0" w:line="263" w:lineRule="auto"/>
        <w:tabs>
          <w:tab w:leader="none" w:pos="3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Arkansas has a weather normalization mechanism in effect during the months of November through April for customers with residential and business rate schedules. Kansas Gas has an approved weather normalization mechanism within its residential and business rate structure, which minimizes weather impact on gross margins. The weather normalization mechanism in Arkansas differs from that in Kansas in that it only uses one location to calculate the weather, compared to Kansas, which uses multiple locations. The weather normalization mechanism in Arkansas minimizes weather impact, but does not eliminate the impact.</w:t>
      </w:r>
    </w:p>
    <w:p>
      <w:pPr>
        <w:ind w:left="340" w:right="640" w:hanging="332"/>
        <w:spacing w:after="0" w:line="328"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Distribution is partially excluded based on the weather normalization mechanism in effect from November through April.</w:t>
      </w:r>
    </w:p>
    <w:p>
      <w:pPr>
        <w:sectPr>
          <w:pgSz w:w="11900" w:h="16838" w:orient="portrait"/>
          <w:cols w:equalWidth="0" w:num="1">
            <w:col w:w="11420"/>
          </w:cols>
          <w:pgMar w:left="240" w:top="75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751"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auto"/>
        </w:rPr>
        <w:t>Regulatory Matters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more information on recent regulatory activity and enacted regulatory provisions with respect to the states in which our Utilities operate, see Note 5 of the Notes to Condensed Consolidated Financial Statements of this Quarterly Report on Form 10-Q and Part I, Items 1 and 2 and Part II, Item 8 of our 2017 Annual Report on Form 10-K filed with the SEC.</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3"/>
          </w:tcPr>
          <w:p>
            <w:pPr>
              <w:spacing w:after="0"/>
              <w:rPr>
                <w:sz w:val="20"/>
                <w:szCs w:val="20"/>
                <w:color w:val="auto"/>
              </w:rPr>
            </w:pPr>
            <w:r>
              <w:rPr>
                <w:rFonts w:ascii="Arial" w:cs="Arial" w:eastAsia="Arial" w:hAnsi="Arial"/>
                <w:sz w:val="18"/>
                <w:szCs w:val="18"/>
                <w:i w:val="1"/>
                <w:iCs w:val="1"/>
                <w:color w:val="auto"/>
              </w:rPr>
              <w:t>Power Generation</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5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4"/>
          </w:tcPr>
          <w:p>
            <w:pPr>
              <w:jc w:val="center"/>
              <w:ind w:left="650"/>
              <w:spacing w:after="0"/>
              <w:rPr>
                <w:sz w:val="20"/>
                <w:szCs w:val="20"/>
                <w:color w:val="auto"/>
              </w:rPr>
            </w:pPr>
            <w:r>
              <w:rPr>
                <w:rFonts w:ascii="Arial" w:cs="Arial" w:eastAsia="Arial" w:hAnsi="Arial"/>
                <w:sz w:val="18"/>
                <w:szCs w:val="18"/>
                <w:color w:val="auto"/>
                <w:w w:val="90"/>
              </w:rPr>
              <w:t>Three Months Ended March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3"/>
                <w:szCs w:val="23"/>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440" w:type="dxa"/>
            <w:vAlign w:val="bottom"/>
          </w:tcPr>
          <w:p>
            <w:pPr>
              <w:spacing w:after="0"/>
              <w:rPr>
                <w:sz w:val="23"/>
                <w:szCs w:val="23"/>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w w:val="84"/>
              </w:rPr>
              <w:t>Variance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89"/>
              </w:rPr>
              <w:t>(in thousands)</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960" w:type="dxa"/>
            <w:vAlign w:val="bottom"/>
            <w:gridSpan w:val="2"/>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Revenue </w:t>
            </w:r>
            <w:r>
              <w:rPr>
                <w:rFonts w:ascii="Arial" w:cs="Arial" w:eastAsia="Arial" w:hAnsi="Arial"/>
                <w:sz w:val="25"/>
                <w:szCs w:val="25"/>
                <w:color w:val="auto"/>
                <w:vertAlign w:val="superscript"/>
              </w:rPr>
              <w:t>(a)</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23,103</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23,567</w:t>
            </w:r>
          </w:p>
        </w:tc>
        <w:tc>
          <w:tcPr>
            <w:tcW w:w="440" w:type="dxa"/>
            <w:vAlign w:val="bottom"/>
            <w:tcBorders>
              <w:bottom w:val="single" w:sz="8" w:color="auto"/>
            </w:tcBorders>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8,127</w:t>
            </w:r>
          </w:p>
        </w:tc>
        <w:tc>
          <w:tcPr>
            <w:tcW w:w="1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8,054</w:t>
            </w:r>
          </w:p>
        </w:tc>
        <w:tc>
          <w:tcPr>
            <w:tcW w:w="4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60" w:type="dxa"/>
            <w:vAlign w:val="bottom"/>
            <w:tcBorders>
              <w:bottom w:val="single" w:sz="8" w:color="CEFFE7"/>
            </w:tcBorders>
            <w:gridSpan w:val="2"/>
          </w:tcPr>
          <w:p>
            <w:pPr>
              <w:ind w:left="20"/>
              <w:spacing w:after="0" w:line="27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5"/>
                <w:szCs w:val="25"/>
                <w:color w:val="auto"/>
                <w:vertAlign w:val="superscript"/>
              </w:rPr>
              <w:t>(a)</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1,602</w:t>
            </w: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1,207</w:t>
            </w: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960" w:type="dxa"/>
            <w:vAlign w:val="bottom"/>
            <w:tcBorders>
              <w:bottom w:val="single" w:sz="8" w:color="CEFFE7"/>
            </w:tcBorders>
            <w:gridSpan w:val="2"/>
            <w:shd w:val="clear" w:color="auto" w:fill="CEFFE7"/>
          </w:tcPr>
          <w:p>
            <w:pPr>
              <w:ind w:left="600"/>
              <w:spacing w:after="0"/>
              <w:rPr>
                <w:sz w:val="20"/>
                <w:szCs w:val="20"/>
                <w:color w:val="auto"/>
              </w:rPr>
            </w:pPr>
            <w:r>
              <w:rPr>
                <w:rFonts w:ascii="Arial" w:cs="Arial" w:eastAsia="Arial" w:hAnsi="Arial"/>
                <w:sz w:val="18"/>
                <w:szCs w:val="18"/>
                <w:color w:val="auto"/>
              </w:rPr>
              <w:t>Total operating expense</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9,729</w:t>
            </w:r>
          </w:p>
        </w:tc>
        <w:tc>
          <w:tcPr>
            <w:tcW w:w="180" w:type="dxa"/>
            <w:vAlign w:val="bottom"/>
            <w:tcBorders>
              <w:bottom w:val="single" w:sz="8" w:color="CEFFE7"/>
            </w:tcBorders>
            <w:shd w:val="clear" w:color="auto" w:fill="CEFFE7"/>
          </w:tcPr>
          <w:p>
            <w:pPr>
              <w:spacing w:after="0"/>
              <w:rPr>
                <w:sz w:val="22"/>
                <w:szCs w:val="22"/>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9,261</w:t>
            </w:r>
          </w:p>
        </w:tc>
        <w:tc>
          <w:tcPr>
            <w:tcW w:w="44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13,374</w:t>
            </w:r>
          </w:p>
        </w:tc>
        <w:tc>
          <w:tcPr>
            <w:tcW w:w="18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14,306</w:t>
            </w:r>
          </w:p>
        </w:tc>
        <w:tc>
          <w:tcPr>
            <w:tcW w:w="44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(1,173)</w:t>
            </w:r>
          </w:p>
        </w:tc>
        <w:tc>
          <w:tcPr>
            <w:tcW w:w="1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(587)</w:t>
            </w:r>
          </w:p>
        </w:tc>
        <w:tc>
          <w:tcPr>
            <w:tcW w:w="4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9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(2,721)</w:t>
            </w:r>
          </w:p>
        </w:tc>
        <w:tc>
          <w:tcPr>
            <w:tcW w:w="18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(3,655)</w:t>
            </w:r>
          </w:p>
        </w:tc>
        <w:tc>
          <w:tcPr>
            <w:tcW w:w="44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9,486</w:t>
            </w:r>
          </w:p>
        </w:tc>
        <w:tc>
          <w:tcPr>
            <w:tcW w:w="1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10,046</w:t>
            </w:r>
          </w:p>
        </w:tc>
        <w:tc>
          <w:tcPr>
            <w:tcW w:w="4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(3,630)</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(3,516)</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Borders>
              <w:bottom w:val="single" w:sz="8" w:color="CEFFE7"/>
            </w:tcBorders>
          </w:tcPr>
          <w:p>
            <w:pPr>
              <w:spacing w:after="0"/>
              <w:rPr>
                <w:sz w:val="2"/>
                <w:szCs w:val="2"/>
                <w:color w:val="auto"/>
              </w:rPr>
            </w:pPr>
          </w:p>
        </w:tc>
        <w:tc>
          <w:tcPr>
            <w:tcW w:w="564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Net income available for common stock</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5,856</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6,530</w:t>
            </w:r>
          </w:p>
        </w:tc>
        <w:tc>
          <w:tcPr>
            <w:tcW w:w="440" w:type="dxa"/>
            <w:vAlign w:val="bottom"/>
            <w:tcBorders>
              <w:bottom w:val="single" w:sz="8" w:color="auto"/>
            </w:tcBorders>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1340" w:type="dxa"/>
            <w:vAlign w:val="bottom"/>
            <w:gridSpan w:val="2"/>
            <w:vMerge w:val="restart"/>
          </w:tcPr>
          <w:p>
            <w:pPr>
              <w:spacing w:after="0"/>
              <w:rPr>
                <w:sz w:val="20"/>
                <w:szCs w:val="20"/>
                <w:color w:val="auto"/>
              </w:rPr>
            </w:pPr>
            <w:r>
              <w:rPr>
                <w:rFonts w:ascii="Arial" w:cs="Arial" w:eastAsia="Arial" w:hAnsi="Arial"/>
                <w:sz w:val="16"/>
                <w:szCs w:val="16"/>
                <w:color w:val="auto"/>
              </w:rPr>
              <w:t>____________</w:t>
            </w:r>
          </w:p>
        </w:tc>
        <w:tc>
          <w:tcPr>
            <w:tcW w:w="564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340" w:type="dxa"/>
            <w:vAlign w:val="bottom"/>
            <w:gridSpan w:val="2"/>
            <w:vMerge w:val="continue"/>
          </w:tcPr>
          <w:p>
            <w:pPr>
              <w:spacing w:after="0"/>
              <w:rPr>
                <w:sz w:val="13"/>
                <w:szCs w:val="13"/>
                <w:color w:val="auto"/>
              </w:rPr>
            </w:pPr>
          </w:p>
        </w:tc>
        <w:tc>
          <w:tcPr>
            <w:tcW w:w="56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460" w:hanging="332"/>
        <w:spacing w:after="0" w:line="25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generating facility located in Pueblo, Colorado is accounted for as a capital lease under GAAP; as such, revenue and depreciation expense are impacted by the accounting for this lease. Under the lease, the original cost of the facility is recorded at Colorado Electric and is being depreciated by Colorado Electric for segment reporting purposes.</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2016, Black Hills Electric Generation sold a 49.9%, noncontrolling interest in Colorado IPP. Black Hills Electric Generation continues to be the majority owner and operator of the facility, which is contracted to provide capacity and energy through 2031 to Colorado Electric. Net income available for common stock for the three months ended March 31, 2018 and March 31, 2017 was reduced by $3.6 million and $3.5 million, respectively, attributable to this noncontrolling interest.</w:t>
      </w:r>
    </w:p>
    <w:p>
      <w:pPr>
        <w:spacing w:after="0" w:line="183"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 xml:space="preserve">Results of Operations for Power Generation for the Three Months Ended March 31, 2018 Compared to the Three Months Ended March 31, 2017: </w:t>
      </w:r>
      <w:r>
        <w:rPr>
          <w:rFonts w:ascii="Arial" w:cs="Arial" w:eastAsia="Arial" w:hAnsi="Arial"/>
          <w:sz w:val="16"/>
          <w:szCs w:val="16"/>
          <w:color w:val="auto"/>
        </w:rPr>
        <w:t>Net income from continuing operations available for common stock for the Power Generation segment was $5.9 million for the three months ended March 31, 2018, compared to Net income from continuing operations available for common stock of $6.5 million for the same period in 2017. Revenue decreased in the current year as a result of lower Wygen I MWh sold. Operating expenses increased from higher depreciation in the current year. The variance in tax expense reflects the reduction in the federal tax rate from 35 percent to 21 percent from the TCJA, effective January 1, 2018, partially offset by $0.7 million of additional tax expense recorded on a valuation allowance due to changes in estimated future taxable income subsequent to the TCJA.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The following table summarizes MWh for our Power Generation segment:</w:t>
            </w:r>
          </w:p>
        </w:tc>
        <w:tc>
          <w:tcPr>
            <w:tcW w:w="1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400" w:type="dxa"/>
            <w:vAlign w:val="bottom"/>
            <w:gridSpan w:val="2"/>
          </w:tcPr>
          <w:p>
            <w:pPr>
              <w:jc w:val="right"/>
              <w:ind w:right="43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tcPr>
          <w:p>
            <w:pPr>
              <w:spacing w:after="0"/>
              <w:rPr>
                <w:sz w:val="23"/>
                <w:szCs w:val="23"/>
                <w:color w:val="auto"/>
              </w:rPr>
            </w:pPr>
          </w:p>
        </w:tc>
        <w:tc>
          <w:tcPr>
            <w:tcW w:w="1980" w:type="dxa"/>
            <w:vAlign w:val="bottom"/>
          </w:tcPr>
          <w:p>
            <w:pPr>
              <w:jc w:val="right"/>
              <w:ind w:right="850"/>
              <w:spacing w:after="0"/>
              <w:rPr>
                <w:sz w:val="20"/>
                <w:szCs w:val="20"/>
                <w:color w:val="auto"/>
              </w:rPr>
            </w:pPr>
            <w:r>
              <w:rPr>
                <w:rFonts w:ascii="Arial" w:cs="Arial" w:eastAsia="Arial" w:hAnsi="Arial"/>
                <w:sz w:val="18"/>
                <w:szCs w:val="18"/>
                <w:color w:val="auto"/>
              </w:rPr>
              <w:t>2018</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Quantities Sold, Generated and Purchased</w:t>
            </w:r>
          </w:p>
        </w:tc>
        <w:tc>
          <w:tcPr>
            <w:tcW w:w="1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(MWh) </w:t>
            </w:r>
            <w:r>
              <w:rPr>
                <w:rFonts w:ascii="Arial" w:cs="Arial" w:eastAsia="Arial" w:hAnsi="Arial"/>
                <w:sz w:val="25"/>
                <w:szCs w:val="25"/>
                <w:color w:val="auto"/>
                <w:vertAlign w:val="superscript"/>
              </w:rPr>
              <w:t>(a)</w:t>
            </w:r>
          </w:p>
        </w:tc>
        <w:tc>
          <w:tcPr>
            <w:tcW w:w="19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Sold</w:t>
            </w:r>
          </w:p>
        </w:tc>
        <w:tc>
          <w:tcPr>
            <w:tcW w:w="19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1980" w:type="dxa"/>
            <w:vAlign w:val="bottom"/>
          </w:tcPr>
          <w:p>
            <w:pPr>
              <w:jc w:val="right"/>
              <w:ind w:right="290"/>
              <w:spacing w:after="0"/>
              <w:rPr>
                <w:sz w:val="20"/>
                <w:szCs w:val="20"/>
                <w:color w:val="auto"/>
              </w:rPr>
            </w:pPr>
            <w:r>
              <w:rPr>
                <w:rFonts w:ascii="Arial" w:cs="Arial" w:eastAsia="Arial" w:hAnsi="Arial"/>
                <w:sz w:val="18"/>
                <w:szCs w:val="18"/>
                <w:color w:val="auto"/>
              </w:rPr>
              <w:t>232,375</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254,965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198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165,601</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170,376</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980" w:type="dxa"/>
            <w:vAlign w:val="bottom"/>
            <w:tcBorders>
              <w:bottom w:val="single" w:sz="8" w:color="CEFFE7"/>
            </w:tcBorders>
          </w:tcPr>
          <w:p>
            <w:pPr>
              <w:ind w:left="820"/>
              <w:spacing w:after="0"/>
              <w:rPr>
                <w:sz w:val="20"/>
                <w:szCs w:val="20"/>
                <w:color w:val="auto"/>
              </w:rPr>
            </w:pPr>
            <w:r>
              <w:rPr>
                <w:rFonts w:ascii="Arial" w:cs="Arial" w:eastAsia="Arial" w:hAnsi="Arial"/>
                <w:sz w:val="18"/>
                <w:szCs w:val="18"/>
                <w:color w:val="auto"/>
              </w:rPr>
              <w:t>Total Sold</w:t>
            </w:r>
          </w:p>
        </w:tc>
        <w:tc>
          <w:tcPr>
            <w:tcW w:w="1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397,976</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425,341</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7980" w:type="dxa"/>
            <w:vAlign w:val="bottom"/>
            <w:shd w:val="clear" w:color="auto" w:fill="CEFFE7"/>
          </w:tcPr>
          <w:p>
            <w:pPr>
              <w:spacing w:after="0"/>
              <w:rPr>
                <w:sz w:val="24"/>
                <w:szCs w:val="24"/>
                <w:color w:val="auto"/>
              </w:rPr>
            </w:pPr>
          </w:p>
        </w:tc>
        <w:tc>
          <w:tcPr>
            <w:tcW w:w="198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Generated</w:t>
            </w:r>
          </w:p>
        </w:tc>
        <w:tc>
          <w:tcPr>
            <w:tcW w:w="19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198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232,375</w:t>
            </w:r>
          </w:p>
        </w:tc>
        <w:tc>
          <w:tcPr>
            <w:tcW w:w="14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254,965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tcBorders>
              <w:bottom w:val="single" w:sz="8" w:color="CEFFE7"/>
            </w:tcBorders>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1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134,029</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140,240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Total Generated</w:t>
            </w:r>
          </w:p>
        </w:tc>
        <w:tc>
          <w:tcPr>
            <w:tcW w:w="198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366,404</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395,205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Purchased</w:t>
            </w:r>
          </w:p>
        </w:tc>
        <w:tc>
          <w:tcPr>
            <w:tcW w:w="19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Black Hills Colorado IPP</w:t>
            </w:r>
          </w:p>
        </w:tc>
        <w:tc>
          <w:tcPr>
            <w:tcW w:w="19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198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31,917</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21,255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Pr>
          <w:p>
            <w:pPr>
              <w:ind w:left="820"/>
              <w:spacing w:after="0"/>
              <w:rPr>
                <w:sz w:val="20"/>
                <w:szCs w:val="20"/>
                <w:color w:val="auto"/>
              </w:rPr>
            </w:pPr>
            <w:r>
              <w:rPr>
                <w:rFonts w:ascii="Arial" w:cs="Arial" w:eastAsia="Arial" w:hAnsi="Arial"/>
                <w:sz w:val="18"/>
                <w:szCs w:val="18"/>
                <w:color w:val="auto"/>
              </w:rPr>
              <w:t>Total Purchased</w:t>
            </w:r>
          </w:p>
        </w:tc>
        <w:tc>
          <w:tcPr>
            <w:tcW w:w="1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31,917</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21,255</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6"/>
                <w:szCs w:val="16"/>
                <w:color w:val="auto"/>
              </w:rPr>
              <w:t>____________</w:t>
            </w:r>
          </w:p>
        </w:tc>
        <w:tc>
          <w:tcPr>
            <w:tcW w:w="1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00" w:type="dxa"/>
            <w:vAlign w:val="bottom"/>
            <w:gridSpan w:val="2"/>
            <w:vMerge w:val="continue"/>
          </w:tcPr>
          <w:p>
            <w:pPr>
              <w:spacing w:after="0"/>
              <w:rPr>
                <w:sz w:val="13"/>
                <w:szCs w:val="13"/>
                <w:color w:val="auto"/>
              </w:rPr>
            </w:pPr>
          </w:p>
        </w:tc>
        <w:tc>
          <w:tcPr>
            <w:tcW w:w="1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Company uses and losses are not included in the quantities sold, generated, and purchased.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Decrease from the prior year is a result of the impact of Colorado Electric’s wind generation replacing natural-gas generation.</w:t>
      </w:r>
    </w:p>
    <w:p>
      <w:pPr>
        <w:spacing w:after="0" w:line="5" w:lineRule="exact"/>
        <w:rPr>
          <w:rFonts w:ascii="Arial" w:cs="Arial" w:eastAsia="Arial" w:hAnsi="Arial"/>
          <w:sz w:val="16"/>
          <w:szCs w:val="16"/>
          <w:color w:val="auto"/>
        </w:rPr>
      </w:pPr>
    </w:p>
    <w:p>
      <w:pPr>
        <w:ind w:left="340" w:hanging="332"/>
        <w:spacing w:after="0" w:line="25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Under the 20-year economy energy PPA with the City of Gillette effective September 2014, Black Hills Wyoming purchases energy on behalf of the City of Gillette and sells that energy to the City of Gillette. MWh sold may not equal MWh generated and purchased due to a dispatch agreement Black Hills Wyoming has with South Dakota Electric to cover energy imbalances.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gridSpan w:val="3"/>
          </w:tcPr>
          <w:p>
            <w:pPr>
              <w:jc w:val="right"/>
              <w:ind w:right="1110"/>
              <w:spacing w:after="0"/>
              <w:rPr>
                <w:sz w:val="20"/>
                <w:szCs w:val="20"/>
                <w:color w:val="auto"/>
              </w:rPr>
            </w:pPr>
            <w:r>
              <w:rPr>
                <w:rFonts w:ascii="Arial" w:cs="Arial" w:eastAsia="Arial" w:hAnsi="Arial"/>
                <w:sz w:val="18"/>
                <w:szCs w:val="18"/>
                <w:color w:val="auto"/>
                <w:w w:val="91"/>
              </w:rPr>
              <w:t>The following table provides certain operating statistics for our plants within the Power Generation segment:</w:t>
            </w:r>
          </w:p>
        </w:tc>
        <w:tc>
          <w:tcPr>
            <w:tcW w:w="17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Three Months Ended March 31,</w:t>
            </w:r>
          </w:p>
        </w:tc>
        <w:tc>
          <w:tcPr>
            <w:tcW w:w="600" w:type="dxa"/>
            <w:vAlign w:val="bottom"/>
          </w:tcPr>
          <w:p>
            <w:pPr>
              <w:spacing w:after="0"/>
              <w:rPr>
                <w:sz w:val="24"/>
                <w:szCs w:val="24"/>
                <w:color w:val="auto"/>
              </w:rPr>
            </w:pPr>
          </w:p>
        </w:tc>
      </w:tr>
      <w:tr>
        <w:trPr>
          <w:trHeight w:val="270"/>
        </w:trPr>
        <w:tc>
          <w:tcPr>
            <w:tcW w:w="9040" w:type="dxa"/>
            <w:vAlign w:val="bottom"/>
            <w:gridSpan w:val="3"/>
          </w:tcPr>
          <w:p>
            <w:pPr>
              <w:jc w:val="right"/>
              <w:ind w:right="10"/>
              <w:spacing w:after="0"/>
              <w:rPr>
                <w:sz w:val="20"/>
                <w:szCs w:val="20"/>
                <w:color w:val="auto"/>
              </w:rPr>
            </w:pPr>
            <w:r>
              <w:rPr>
                <w:rFonts w:ascii="Arial" w:cs="Arial" w:eastAsia="Arial" w:hAnsi="Arial"/>
                <w:sz w:val="18"/>
                <w:szCs w:val="18"/>
                <w:color w:val="auto"/>
              </w:rPr>
              <w:t>2018</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9020" w:type="dxa"/>
            <w:vAlign w:val="bottom"/>
            <w:gridSpan w:val="2"/>
          </w:tcPr>
          <w:p>
            <w:pPr>
              <w:ind w:left="20"/>
              <w:spacing w:after="0"/>
              <w:rPr>
                <w:sz w:val="20"/>
                <w:szCs w:val="20"/>
                <w:color w:val="auto"/>
              </w:rPr>
            </w:pPr>
            <w:r>
              <w:rPr>
                <w:rFonts w:ascii="Arial" w:cs="Arial" w:eastAsia="Arial" w:hAnsi="Arial"/>
                <w:sz w:val="18"/>
                <w:szCs w:val="18"/>
                <w:color w:val="auto"/>
              </w:rPr>
              <w:t>Contracted power plant fleet availability:</w:t>
            </w:r>
          </w:p>
        </w:tc>
        <w:tc>
          <w:tcPr>
            <w:tcW w:w="17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02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Coal-fired plant</w:t>
            </w:r>
          </w:p>
        </w:tc>
        <w:tc>
          <w:tcPr>
            <w:tcW w:w="1760" w:type="dxa"/>
            <w:vAlign w:val="bottom"/>
            <w:tcBorders>
              <w:bottom w:val="single" w:sz="8" w:color="CEFFE7"/>
            </w:tcBorders>
            <w:shd w:val="clear" w:color="auto" w:fill="CEFFE7"/>
          </w:tcPr>
          <w:p>
            <w:pPr>
              <w:jc w:val="right"/>
              <w:ind w:right="1110"/>
              <w:spacing w:after="0"/>
              <w:rPr>
                <w:sz w:val="20"/>
                <w:szCs w:val="20"/>
                <w:color w:val="auto"/>
              </w:rPr>
            </w:pPr>
            <w:r>
              <w:rPr>
                <w:rFonts w:ascii="Arial" w:cs="Arial" w:eastAsia="Arial" w:hAnsi="Arial"/>
                <w:sz w:val="18"/>
                <w:szCs w:val="18"/>
                <w:color w:val="auto"/>
              </w:rPr>
              <w:t>94.7%</w:t>
            </w: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88"/>
              </w:rPr>
              <w:t>100.0%</w:t>
            </w:r>
          </w:p>
        </w:tc>
      </w:tr>
      <w:tr>
        <w:trPr>
          <w:trHeight w:val="243"/>
        </w:trPr>
        <w:tc>
          <w:tcPr>
            <w:tcW w:w="20" w:type="dxa"/>
            <w:vAlign w:val="bottom"/>
          </w:tcPr>
          <w:p>
            <w:pPr>
              <w:spacing w:after="0"/>
              <w:rPr>
                <w:sz w:val="21"/>
                <w:szCs w:val="21"/>
                <w:color w:val="auto"/>
              </w:rPr>
            </w:pPr>
          </w:p>
        </w:tc>
        <w:tc>
          <w:tcPr>
            <w:tcW w:w="9020" w:type="dxa"/>
            <w:vAlign w:val="bottom"/>
            <w:gridSpan w:val="2"/>
          </w:tcPr>
          <w:p>
            <w:pPr>
              <w:ind w:left="240"/>
              <w:spacing w:after="0"/>
              <w:rPr>
                <w:sz w:val="20"/>
                <w:szCs w:val="20"/>
                <w:color w:val="auto"/>
              </w:rPr>
            </w:pPr>
            <w:r>
              <w:rPr>
                <w:rFonts w:ascii="Arial" w:cs="Arial" w:eastAsia="Arial" w:hAnsi="Arial"/>
                <w:sz w:val="18"/>
                <w:szCs w:val="18"/>
                <w:color w:val="auto"/>
              </w:rPr>
              <w:t>Natural gas-fired plants</w:t>
            </w:r>
          </w:p>
        </w:tc>
        <w:tc>
          <w:tcPr>
            <w:tcW w:w="1760" w:type="dxa"/>
            <w:vAlign w:val="bottom"/>
          </w:tcPr>
          <w:p>
            <w:pPr>
              <w:jc w:val="right"/>
              <w:ind w:right="1110"/>
              <w:spacing w:after="0"/>
              <w:rPr>
                <w:sz w:val="20"/>
                <w:szCs w:val="20"/>
                <w:color w:val="auto"/>
              </w:rPr>
            </w:pPr>
            <w:r>
              <w:rPr>
                <w:rFonts w:ascii="Arial" w:cs="Arial" w:eastAsia="Arial" w:hAnsi="Arial"/>
                <w:sz w:val="18"/>
                <w:szCs w:val="18"/>
                <w:color w:val="auto"/>
              </w:rPr>
              <w:t>99.5%</w:t>
            </w:r>
          </w:p>
        </w:tc>
        <w:tc>
          <w:tcPr>
            <w:tcW w:w="60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02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Total availability</w:t>
            </w:r>
          </w:p>
        </w:tc>
        <w:tc>
          <w:tcPr>
            <w:tcW w:w="1760" w:type="dxa"/>
            <w:vAlign w:val="bottom"/>
            <w:tcBorders>
              <w:bottom w:val="single" w:sz="8" w:color="CEFFE7"/>
            </w:tcBorders>
            <w:shd w:val="clear" w:color="auto" w:fill="CEFFE7"/>
          </w:tcPr>
          <w:p>
            <w:pPr>
              <w:jc w:val="right"/>
              <w:ind w:right="1110"/>
              <w:spacing w:after="0"/>
              <w:rPr>
                <w:sz w:val="20"/>
                <w:szCs w:val="20"/>
                <w:color w:val="auto"/>
              </w:rPr>
            </w:pPr>
            <w:r>
              <w:rPr>
                <w:rFonts w:ascii="Arial" w:cs="Arial" w:eastAsia="Arial" w:hAnsi="Arial"/>
                <w:sz w:val="18"/>
                <w:szCs w:val="18"/>
                <w:color w:val="auto"/>
              </w:rPr>
              <w:t>98.3%</w:t>
            </w: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99.3%</w:t>
            </w:r>
          </w:p>
        </w:tc>
      </w:tr>
      <w:tr>
        <w:trPr>
          <w:trHeight w:val="675"/>
        </w:trPr>
        <w:tc>
          <w:tcPr>
            <w:tcW w:w="7860" w:type="dxa"/>
            <w:vAlign w:val="bottom"/>
            <w:gridSpan w:val="2"/>
          </w:tcPr>
          <w:p>
            <w:pPr>
              <w:jc w:val="right"/>
              <w:ind w:right="1970"/>
              <w:spacing w:after="0"/>
              <w:rPr>
                <w:sz w:val="20"/>
                <w:szCs w:val="20"/>
                <w:color w:val="auto"/>
              </w:rPr>
            </w:pPr>
            <w:r>
              <w:rPr>
                <w:rFonts w:ascii="Arial" w:cs="Arial" w:eastAsia="Arial" w:hAnsi="Arial"/>
                <w:sz w:val="18"/>
                <w:szCs w:val="18"/>
                <w:color w:val="auto"/>
              </w:rPr>
              <w:t>47</w:t>
            </w:r>
          </w:p>
        </w:tc>
        <w:tc>
          <w:tcPr>
            <w:tcW w:w="1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20"/>
                <w:szCs w:val="20"/>
                <w:color w:val="auto"/>
              </w:rPr>
            </w:pPr>
            <w:r>
              <w:rPr>
                <w:rFonts w:ascii="Arial" w:cs="Arial" w:eastAsia="Arial" w:hAnsi="Arial"/>
                <w:sz w:val="18"/>
                <w:szCs w:val="18"/>
                <w:i w:val="1"/>
                <w:iCs w:val="1"/>
                <w:color w:val="auto"/>
              </w:rPr>
              <w:t>Mining</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99"/>
        </w:trPr>
        <w:tc>
          <w:tcPr>
            <w:tcW w:w="520" w:type="dxa"/>
            <w:vAlign w:val="bottom"/>
            <w:tcBorders>
              <w:top w:val="single" w:sz="8" w:color="auto"/>
            </w:tcBorders>
          </w:tcPr>
          <w:p>
            <w:pPr>
              <w:spacing w:after="0"/>
              <w:rPr>
                <w:sz w:val="24"/>
                <w:szCs w:val="24"/>
                <w:color w:val="auto"/>
              </w:rPr>
            </w:pPr>
          </w:p>
        </w:tc>
        <w:tc>
          <w:tcPr>
            <w:tcW w:w="6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4"/>
          </w:tcPr>
          <w:p>
            <w:pPr>
              <w:jc w:val="center"/>
              <w:ind w:left="650"/>
              <w:spacing w:after="0"/>
              <w:rPr>
                <w:sz w:val="20"/>
                <w:szCs w:val="20"/>
                <w:color w:val="auto"/>
              </w:rPr>
            </w:pPr>
            <w:r>
              <w:rPr>
                <w:rFonts w:ascii="Arial" w:cs="Arial" w:eastAsia="Arial" w:hAnsi="Arial"/>
                <w:sz w:val="18"/>
                <w:szCs w:val="18"/>
                <w:color w:val="auto"/>
                <w:w w:val="90"/>
              </w:rPr>
              <w:t>Three Months Ended March 31,</w:t>
            </w:r>
          </w:p>
        </w:tc>
        <w:tc>
          <w:tcPr>
            <w:tcW w:w="1060" w:type="dxa"/>
            <w:vAlign w:val="bottom"/>
          </w:tcPr>
          <w:p>
            <w:pPr>
              <w:spacing w:after="0"/>
              <w:rPr>
                <w:sz w:val="24"/>
                <w:szCs w:val="24"/>
                <w:color w:val="auto"/>
              </w:rPr>
            </w:pPr>
          </w:p>
        </w:tc>
      </w:tr>
      <w:tr>
        <w:trPr>
          <w:trHeight w:val="270"/>
        </w:trPr>
        <w:tc>
          <w:tcPr>
            <w:tcW w:w="52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3"/>
                <w:szCs w:val="23"/>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42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w w:val="87"/>
              </w:rPr>
              <w:t>Variance</w:t>
            </w:r>
          </w:p>
        </w:tc>
      </w:tr>
      <w:tr>
        <w:trPr>
          <w:trHeight w:val="27"/>
        </w:trPr>
        <w:tc>
          <w:tcPr>
            <w:tcW w:w="5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89"/>
              </w:rPr>
              <w:t>(in thousands)</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17,128</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16,546</w:t>
            </w:r>
          </w:p>
        </w:tc>
        <w:tc>
          <w:tcPr>
            <w:tcW w:w="420" w:type="dxa"/>
            <w:vAlign w:val="bottom"/>
            <w:tcBorders>
              <w:bottom w:val="single" w:sz="8" w:color="CEFFE7"/>
            </w:tcBorders>
            <w:shd w:val="clear" w:color="auto" w:fill="CEFFE7"/>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582</w:t>
            </w:r>
          </w:p>
        </w:tc>
      </w:tr>
      <w:tr>
        <w:trPr>
          <w:trHeight w:val="318"/>
        </w:trPr>
        <w:tc>
          <w:tcPr>
            <w:tcW w:w="5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10,922</w:t>
            </w:r>
          </w:p>
        </w:tc>
        <w:tc>
          <w:tcPr>
            <w:tcW w:w="1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11,094</w:t>
            </w:r>
          </w:p>
        </w:tc>
        <w:tc>
          <w:tcPr>
            <w:tcW w:w="4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1,935</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2,165</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520" w:type="dxa"/>
            <w:vAlign w:val="bottom"/>
            <w:tcBorders>
              <w:bottom w:val="single" w:sz="8" w:color="CEFFE7"/>
            </w:tcBorders>
          </w:tcPr>
          <w:p>
            <w:pPr>
              <w:spacing w:after="0"/>
              <w:rPr>
                <w:sz w:val="2"/>
                <w:szCs w:val="2"/>
                <w:color w:val="auto"/>
              </w:rPr>
            </w:pPr>
          </w:p>
        </w:tc>
        <w:tc>
          <w:tcPr>
            <w:tcW w:w="646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12,857</w:t>
            </w:r>
          </w:p>
        </w:tc>
        <w:tc>
          <w:tcPr>
            <w:tcW w:w="180" w:type="dxa"/>
            <w:vAlign w:val="bottom"/>
            <w:tcBorders>
              <w:bottom w:val="single" w:sz="8" w:color="CEFFE7"/>
            </w:tcBorders>
            <w:shd w:val="clear" w:color="auto" w:fill="CEFFE7"/>
          </w:tcPr>
          <w:p>
            <w:pPr>
              <w:spacing w:after="0"/>
              <w:rPr>
                <w:sz w:val="22"/>
                <w:szCs w:val="22"/>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13,259</w:t>
            </w:r>
          </w:p>
        </w:tc>
        <w:tc>
          <w:tcPr>
            <w:tcW w:w="42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(402)</w:t>
            </w:r>
          </w:p>
        </w:tc>
      </w:tr>
      <w:tr>
        <w:trPr>
          <w:trHeight w:val="318"/>
        </w:trPr>
        <w:tc>
          <w:tcPr>
            <w:tcW w:w="5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70"/>
        </w:trPr>
        <w:tc>
          <w:tcPr>
            <w:tcW w:w="69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4,271</w:t>
            </w:r>
          </w:p>
        </w:tc>
        <w:tc>
          <w:tcPr>
            <w:tcW w:w="1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3,287</w:t>
            </w:r>
          </w:p>
        </w:tc>
        <w:tc>
          <w:tcPr>
            <w:tcW w:w="42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984</w:t>
            </w:r>
          </w:p>
        </w:tc>
      </w:tr>
      <w:tr>
        <w:trPr>
          <w:trHeight w:val="318"/>
        </w:trPr>
        <w:tc>
          <w:tcPr>
            <w:tcW w:w="5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Interest (expense) income, net</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541</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7"/>
        </w:trPr>
        <w:tc>
          <w:tcPr>
            <w:tcW w:w="5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(1,161)</w:t>
            </w:r>
          </w:p>
        </w:tc>
        <w:tc>
          <w:tcPr>
            <w:tcW w:w="1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(913)</w:t>
            </w:r>
          </w:p>
        </w:tc>
        <w:tc>
          <w:tcPr>
            <w:tcW w:w="42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(248)</w:t>
            </w:r>
          </w:p>
        </w:tc>
      </w:tr>
      <w:tr>
        <w:trPr>
          <w:trHeight w:val="318"/>
        </w:trPr>
        <w:tc>
          <w:tcPr>
            <w:tcW w:w="5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64"/>
        </w:trPr>
        <w:tc>
          <w:tcPr>
            <w:tcW w:w="69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2,984</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2,890</w:t>
            </w:r>
          </w:p>
        </w:tc>
        <w:tc>
          <w:tcPr>
            <w:tcW w:w="420" w:type="dxa"/>
            <w:vAlign w:val="bottom"/>
            <w:tcBorders>
              <w:bottom w:val="single" w:sz="8" w:color="auto"/>
            </w:tcBorders>
            <w:shd w:val="clear" w:color="auto" w:fill="CEFFE7"/>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94</w:t>
            </w:r>
          </w:p>
        </w:tc>
      </w:tr>
      <w:tr>
        <w:trPr>
          <w:trHeight w:val="20"/>
        </w:trPr>
        <w:tc>
          <w:tcPr>
            <w:tcW w:w="5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operating statistics for our Mining segment (in thousands, except for Revenue per ton):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p>
        </w:tc>
        <w:tc>
          <w:tcPr>
            <w:tcW w:w="2900" w:type="dxa"/>
            <w:vAlign w:val="bottom"/>
            <w:gridSpan w:val="3"/>
          </w:tcPr>
          <w:p>
            <w:pPr>
              <w:jc w:val="right"/>
              <w:spacing w:after="0"/>
              <w:rPr>
                <w:sz w:val="20"/>
                <w:szCs w:val="20"/>
                <w:color w:val="auto"/>
              </w:rPr>
            </w:pPr>
            <w:r>
              <w:rPr>
                <w:rFonts w:ascii="Arial" w:cs="Arial" w:eastAsia="Arial" w:hAnsi="Arial"/>
                <w:sz w:val="18"/>
                <w:szCs w:val="18"/>
                <w:color w:val="auto"/>
              </w:rPr>
              <w:t>Three Months Ended March 31,</w:t>
            </w:r>
          </w:p>
        </w:tc>
        <w:tc>
          <w:tcPr>
            <w:tcW w:w="520" w:type="dxa"/>
            <w:vAlign w:val="bottom"/>
          </w:tcPr>
          <w:p>
            <w:pPr>
              <w:spacing w:after="0"/>
              <w:rPr>
                <w:sz w:val="20"/>
                <w:szCs w:val="20"/>
                <w:color w:val="auto"/>
              </w:rPr>
            </w:pPr>
          </w:p>
        </w:tc>
      </w:tr>
      <w:tr>
        <w:trPr>
          <w:trHeight w:val="270"/>
        </w:trPr>
        <w:tc>
          <w:tcPr>
            <w:tcW w:w="80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23"/>
                <w:szCs w:val="23"/>
                <w:color w:val="auto"/>
              </w:rPr>
            </w:pPr>
          </w:p>
        </w:tc>
      </w:tr>
      <w:tr>
        <w:trPr>
          <w:trHeight w:val="27"/>
        </w:trPr>
        <w:tc>
          <w:tcPr>
            <w:tcW w:w="8000" w:type="dxa"/>
            <w:vAlign w:val="bottom"/>
            <w:tcBorders>
              <w:bottom w:val="single" w:sz="8" w:color="CEFFE7"/>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Tons of coal sold</w:t>
            </w:r>
          </w:p>
        </w:tc>
        <w:tc>
          <w:tcPr>
            <w:tcW w:w="112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1,078</w:t>
            </w:r>
          </w:p>
        </w:tc>
        <w:tc>
          <w:tcPr>
            <w:tcW w:w="1220" w:type="dxa"/>
            <w:vAlign w:val="bottom"/>
            <w:tcBorders>
              <w:bottom w:val="single" w:sz="8" w:color="CEFFE7"/>
            </w:tcBorders>
            <w:shd w:val="clear" w:color="auto" w:fill="CEFFE7"/>
          </w:tcPr>
          <w:p>
            <w:pPr>
              <w:spacing w:after="0"/>
              <w:rPr>
                <w:sz w:val="21"/>
                <w:szCs w:val="21"/>
                <w:color w:val="auto"/>
              </w:rPr>
            </w:pPr>
          </w:p>
        </w:tc>
        <w:tc>
          <w:tcPr>
            <w:tcW w:w="5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88"/>
              </w:rPr>
              <w:t>1,049</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Cubic yards of overburden moved</w:t>
            </w: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2,022</w:t>
            </w:r>
          </w:p>
        </w:tc>
        <w:tc>
          <w:tcPr>
            <w:tcW w:w="12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2,104</w:t>
            </w:r>
          </w:p>
        </w:tc>
      </w:tr>
      <w:tr>
        <w:trPr>
          <w:trHeight w:val="27"/>
        </w:trPr>
        <w:tc>
          <w:tcPr>
            <w:tcW w:w="8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324"/>
        </w:trPr>
        <w:tc>
          <w:tcPr>
            <w:tcW w:w="800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56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Revenue per ton</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15.89</w:t>
            </w:r>
          </w:p>
        </w:tc>
        <w:tc>
          <w:tcPr>
            <w:tcW w:w="12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15.78</w:t>
            </w:r>
          </w:p>
        </w:tc>
      </w:tr>
    </w:tbl>
    <w:p>
      <w:pPr>
        <w:spacing w:after="0" w:line="225" w:lineRule="exact"/>
        <w:rPr>
          <w:sz w:val="20"/>
          <w:szCs w:val="20"/>
          <w:color w:val="auto"/>
        </w:rPr>
      </w:pPr>
    </w:p>
    <w:p>
      <w:pPr>
        <w:jc w:val="both"/>
        <w:ind w:right="200"/>
        <w:spacing w:after="0" w:line="289" w:lineRule="auto"/>
        <w:rPr>
          <w:sz w:val="20"/>
          <w:szCs w:val="20"/>
          <w:color w:val="auto"/>
        </w:rPr>
      </w:pPr>
      <w:r>
        <w:rPr>
          <w:rFonts w:ascii="Arial" w:cs="Arial" w:eastAsia="Arial" w:hAnsi="Arial"/>
          <w:sz w:val="17"/>
          <w:szCs w:val="17"/>
          <w:b w:val="1"/>
          <w:bCs w:val="1"/>
          <w:color w:val="auto"/>
        </w:rPr>
        <w:t xml:space="preserve">Results of Operations for Mining for the Three Months Ended March 31, 2018 Compared to the Three Months Ended March 31, 2017: </w:t>
      </w:r>
      <w:r>
        <w:rPr>
          <w:rFonts w:ascii="Arial" w:cs="Arial" w:eastAsia="Arial" w:hAnsi="Arial"/>
          <w:sz w:val="17"/>
          <w:szCs w:val="17"/>
          <w:color w:val="auto"/>
        </w:rPr>
        <w:t>Net income</w:t>
      </w:r>
      <w:r>
        <w:rPr>
          <w:rFonts w:ascii="Arial" w:cs="Arial" w:eastAsia="Arial" w:hAnsi="Arial"/>
          <w:sz w:val="17"/>
          <w:szCs w:val="17"/>
          <w:b w:val="1"/>
          <w:bCs w:val="1"/>
          <w:color w:val="auto"/>
        </w:rPr>
        <w:t xml:space="preserve"> </w:t>
      </w:r>
      <w:r>
        <w:rPr>
          <w:rFonts w:ascii="Arial" w:cs="Arial" w:eastAsia="Arial" w:hAnsi="Arial"/>
          <w:sz w:val="17"/>
          <w:szCs w:val="17"/>
          <w:color w:val="auto"/>
        </w:rPr>
        <w:t>from continuing operations available for common stock for the Mining segment was $3.0 million for the three months ended March 31, 2018, compared to Net income from continuing operations available for common stock of $2.9 million for the same period in 2017 as a result of:</w:t>
      </w:r>
    </w:p>
    <w:p>
      <w:pPr>
        <w:spacing w:after="0" w:line="162"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u w:val="single" w:color="auto"/>
          <w:color w:val="auto"/>
        </w:rPr>
        <w:t>Revenue</w:t>
      </w:r>
      <w:r>
        <w:rPr>
          <w:rFonts w:ascii="Arial" w:cs="Arial" w:eastAsia="Arial" w:hAnsi="Arial"/>
          <w:sz w:val="17"/>
          <w:szCs w:val="17"/>
          <w:color w:val="auto"/>
        </w:rPr>
        <w:t xml:space="preserve"> increased due to a 3 percent increase in tons sold, with comparable pricing to the same period last year. Current year revenue is also reflective of lease and rental revenue, previously reported in Other income (expense), net. During the current period, approximately 48 percent of the mine’s production was sold under contracts that include price adjustments based on actual mining costs, including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depletion and amortization</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income,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Other income, net</w:t>
      </w:r>
      <w:r>
        <w:rPr>
          <w:rFonts w:ascii="Arial" w:cs="Arial" w:eastAsia="Arial" w:hAnsi="Arial"/>
          <w:sz w:val="18"/>
          <w:szCs w:val="18"/>
          <w:color w:val="auto"/>
        </w:rPr>
        <w:t xml:space="preserve"> decreased from the prior year due to the presentation change of lease and rental revenue to Revenue in the current year, previously reported in Other income (expense), net.</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variance in tax expense to the prior year reflects the reduction in the federal corporate income tax rate from 35 percent to 21 percent from the TCJA, effective January 1, 2018, partially offset by $0.5 million of additional tax expense related to previous years' other comprehensive items pursuant to the TCJA.</w:t>
      </w:r>
    </w:p>
    <w:p>
      <w:pPr>
        <w:sectPr>
          <w:pgSz w:w="11900" w:h="16838" w:orient="portrait"/>
          <w:cols w:equalWidth="0" w:num="1">
            <w:col w:w="11420"/>
          </w:cols>
          <w:pgMar w:left="240" w:top="56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67" w:right="2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Corporate and Other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4"/>
          </w:tcPr>
          <w:p>
            <w:pPr>
              <w:jc w:val="center"/>
              <w:ind w:left="650"/>
              <w:spacing w:after="0"/>
              <w:rPr>
                <w:sz w:val="20"/>
                <w:szCs w:val="20"/>
                <w:color w:val="auto"/>
              </w:rPr>
            </w:pPr>
            <w:r>
              <w:rPr>
                <w:rFonts w:ascii="Arial" w:cs="Arial" w:eastAsia="Arial" w:hAnsi="Arial"/>
                <w:sz w:val="18"/>
                <w:szCs w:val="18"/>
                <w:color w:val="auto"/>
                <w:w w:val="90"/>
              </w:rPr>
              <w:t>Three Months Ended March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3"/>
                <w:szCs w:val="23"/>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42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w w:val="87"/>
              </w:rPr>
              <w:t>Variance</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89"/>
              </w:rPr>
              <w:t>(in thousands)</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Operating (loss) </w:t>
            </w:r>
            <w:r>
              <w:rPr>
                <w:rFonts w:ascii="Arial" w:cs="Arial" w:eastAsia="Arial" w:hAnsi="Arial"/>
                <w:sz w:val="25"/>
                <w:szCs w:val="25"/>
                <w:color w:val="auto"/>
                <w:vertAlign w:val="superscript"/>
              </w:rPr>
              <w:t>(a)</w:t>
            </w:r>
          </w:p>
        </w:tc>
        <w:tc>
          <w:tcPr>
            <w:tcW w:w="34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(1,640)</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(3,359)</w:t>
            </w:r>
          </w:p>
        </w:tc>
        <w:tc>
          <w:tcPr>
            <w:tcW w:w="420" w:type="dxa"/>
            <w:vAlign w:val="bottom"/>
            <w:shd w:val="clear" w:color="auto" w:fill="CEFFE7"/>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324"/>
        </w:trPr>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(expense) income, net </w:t>
            </w:r>
            <w:r>
              <w:rPr>
                <w:rFonts w:ascii="Arial" w:cs="Arial" w:eastAsia="Arial" w:hAnsi="Arial"/>
                <w:sz w:val="25"/>
                <w:szCs w:val="25"/>
                <w:color w:val="auto"/>
                <w:vertAlign w:val="superscript"/>
              </w:rPr>
              <w:t>(a)</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(665)</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(650)</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(667)</w:t>
            </w:r>
          </w:p>
        </w:tc>
        <w:tc>
          <w:tcPr>
            <w:tcW w:w="4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1,405</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5,108</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98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9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certain general and administrative expenses and interest expenses that are not reported as discontinued operations.</w:t>
      </w:r>
    </w:p>
    <w:p>
      <w:pPr>
        <w:spacing w:after="0" w:line="199"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Results of Operations for Corporate and Other for the Three Months Ended March 31, 2018 Compared to the Three Months Ended March 31, 2017: </w:t>
      </w:r>
      <w:r>
        <w:rPr>
          <w:rFonts w:ascii="Arial" w:cs="Arial" w:eastAsia="Arial" w:hAnsi="Arial"/>
          <w:sz w:val="17"/>
          <w:szCs w:val="17"/>
          <w:color w:val="auto"/>
        </w:rPr>
        <w:t>Net loss from continuing operations available for common stock for Corporate and Other was $(1.0) million for the three months ended March 31,</w:t>
      </w:r>
      <w:r>
        <w:rPr>
          <w:rFonts w:ascii="Arial" w:cs="Arial" w:eastAsia="Arial" w:hAnsi="Arial"/>
          <w:sz w:val="17"/>
          <w:szCs w:val="17"/>
          <w:b w:val="1"/>
          <w:bCs w:val="1"/>
          <w:color w:val="auto"/>
        </w:rPr>
        <w:t xml:space="preserve"> </w:t>
      </w:r>
      <w:r>
        <w:rPr>
          <w:rFonts w:ascii="Arial" w:cs="Arial" w:eastAsia="Arial" w:hAnsi="Arial"/>
          <w:sz w:val="17"/>
          <w:szCs w:val="17"/>
          <w:color w:val="auto"/>
        </w:rPr>
        <w:t>2018, compared to Net income from continuing operations available for common stock of $0.4 million for the three months ended March 31, 2017. The variance to the prior year was driven by transition and acquisition expenses which occurred in the prior year. Income tax benefit (expense) decreased due to a higher prior year tax benefit of $1.4 million comprised primarily of benefits from a carryback claim for specified liability losses involving prior tax years, and approximately $0.6 million of current year tax expense recorded pursuant to the TCJA.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20"/>
                <w:szCs w:val="20"/>
                <w:color w:val="auto"/>
              </w:rPr>
            </w:pPr>
            <w:r>
              <w:rPr>
                <w:rFonts w:ascii="Arial" w:cs="Arial" w:eastAsia="Arial" w:hAnsi="Arial"/>
                <w:sz w:val="18"/>
                <w:szCs w:val="18"/>
                <w:i w:val="1"/>
                <w:iCs w:val="1"/>
                <w:color w:val="auto"/>
              </w:rPr>
              <w:t>Discontinued Operations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99"/>
        </w:trPr>
        <w:tc>
          <w:tcPr>
            <w:tcW w:w="1820" w:type="dxa"/>
            <w:vAlign w:val="bottom"/>
            <w:tcBorders>
              <w:top w:val="single" w:sz="8" w:color="auto"/>
            </w:tcBorders>
          </w:tcPr>
          <w:p>
            <w:pPr>
              <w:spacing w:after="0"/>
              <w:rPr>
                <w:sz w:val="24"/>
                <w:szCs w:val="24"/>
                <w:color w:val="auto"/>
              </w:rPr>
            </w:pPr>
          </w:p>
        </w:tc>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4"/>
          </w:tcPr>
          <w:p>
            <w:pPr>
              <w:jc w:val="center"/>
              <w:ind w:left="650"/>
              <w:spacing w:after="0"/>
              <w:rPr>
                <w:sz w:val="20"/>
                <w:szCs w:val="20"/>
                <w:color w:val="auto"/>
              </w:rPr>
            </w:pPr>
            <w:r>
              <w:rPr>
                <w:rFonts w:ascii="Arial" w:cs="Arial" w:eastAsia="Arial" w:hAnsi="Arial"/>
                <w:sz w:val="18"/>
                <w:szCs w:val="18"/>
                <w:color w:val="auto"/>
                <w:w w:val="90"/>
              </w:rPr>
              <w:t>Three Months Ended March 31,</w:t>
            </w:r>
          </w:p>
        </w:tc>
        <w:tc>
          <w:tcPr>
            <w:tcW w:w="1060" w:type="dxa"/>
            <w:vAlign w:val="bottom"/>
          </w:tcPr>
          <w:p>
            <w:pPr>
              <w:spacing w:after="0"/>
              <w:rPr>
                <w:sz w:val="24"/>
                <w:szCs w:val="24"/>
                <w:color w:val="auto"/>
              </w:rPr>
            </w:pPr>
          </w:p>
        </w:tc>
      </w:tr>
      <w:tr>
        <w:trPr>
          <w:trHeight w:val="270"/>
        </w:trPr>
        <w:tc>
          <w:tcPr>
            <w:tcW w:w="182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3"/>
                <w:szCs w:val="23"/>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42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w w:val="87"/>
              </w:rPr>
              <w:t>Variance</w:t>
            </w:r>
          </w:p>
        </w:tc>
      </w:tr>
      <w:tr>
        <w:trPr>
          <w:trHeight w:val="27"/>
        </w:trPr>
        <w:tc>
          <w:tcPr>
            <w:tcW w:w="18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89"/>
              </w:rPr>
              <w:t>(in thousands)</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18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3,915</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6,475</w:t>
            </w:r>
          </w:p>
        </w:tc>
        <w:tc>
          <w:tcPr>
            <w:tcW w:w="420" w:type="dxa"/>
            <w:vAlign w:val="bottom"/>
            <w:tcBorders>
              <w:bottom w:val="single" w:sz="8" w:color="CEFFE7"/>
            </w:tcBorders>
            <w:shd w:val="clear" w:color="auto" w:fill="CEFFE7"/>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(2,560)</w:t>
            </w:r>
          </w:p>
        </w:tc>
      </w:tr>
      <w:tr>
        <w:trPr>
          <w:trHeight w:val="318"/>
        </w:trPr>
        <w:tc>
          <w:tcPr>
            <w:tcW w:w="18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5,901</w:t>
            </w:r>
          </w:p>
        </w:tc>
        <w:tc>
          <w:tcPr>
            <w:tcW w:w="1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7,205</w:t>
            </w:r>
          </w:p>
        </w:tc>
        <w:tc>
          <w:tcPr>
            <w:tcW w:w="4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(1,304)</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1,945</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7"/>
        </w:trPr>
        <w:tc>
          <w:tcPr>
            <w:tcW w:w="1820" w:type="dxa"/>
            <w:vAlign w:val="bottom"/>
            <w:tcBorders>
              <w:bottom w:val="single" w:sz="8" w:color="CEFFE7"/>
            </w:tcBorders>
          </w:tcPr>
          <w:p>
            <w:pPr>
              <w:spacing w:after="0"/>
              <w:rPr>
                <w:sz w:val="2"/>
                <w:szCs w:val="2"/>
                <w:color w:val="auto"/>
              </w:rPr>
            </w:pPr>
          </w:p>
        </w:tc>
        <w:tc>
          <w:tcPr>
            <w:tcW w:w="516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EFFE7"/>
            </w:tcBorders>
            <w:gridSpan w:val="2"/>
            <w:shd w:val="clear" w:color="auto" w:fill="CEFFE7"/>
          </w:tcPr>
          <w:p>
            <w:pPr>
              <w:ind w:left="5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7,201</w:t>
            </w:r>
          </w:p>
        </w:tc>
        <w:tc>
          <w:tcPr>
            <w:tcW w:w="180" w:type="dxa"/>
            <w:vAlign w:val="bottom"/>
            <w:tcBorders>
              <w:bottom w:val="single" w:sz="8" w:color="CEFFE7"/>
            </w:tcBorders>
            <w:shd w:val="clear" w:color="auto" w:fill="CEFFE7"/>
          </w:tcPr>
          <w:p>
            <w:pPr>
              <w:spacing w:after="0"/>
              <w:rPr>
                <w:sz w:val="22"/>
                <w:szCs w:val="22"/>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9,150</w:t>
            </w:r>
          </w:p>
        </w:tc>
        <w:tc>
          <w:tcPr>
            <w:tcW w:w="42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(1,949)</w:t>
            </w:r>
          </w:p>
        </w:tc>
      </w:tr>
      <w:tr>
        <w:trPr>
          <w:trHeight w:val="318"/>
        </w:trPr>
        <w:tc>
          <w:tcPr>
            <w:tcW w:w="18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7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(3,286)</w:t>
            </w:r>
          </w:p>
        </w:tc>
        <w:tc>
          <w:tcPr>
            <w:tcW w:w="1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(2,675)</w:t>
            </w:r>
          </w:p>
        </w:tc>
        <w:tc>
          <w:tcPr>
            <w:tcW w:w="42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(611)</w:t>
            </w:r>
          </w:p>
        </w:tc>
      </w:tr>
      <w:tr>
        <w:trPr>
          <w:trHeight w:val="318"/>
        </w:trPr>
        <w:tc>
          <w:tcPr>
            <w:tcW w:w="18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w:t>
            </w:r>
          </w:p>
        </w:tc>
        <w:tc>
          <w:tcPr>
            <w:tcW w:w="4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914</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1,033</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1820" w:type="dxa"/>
            <w:vAlign w:val="bottom"/>
            <w:tcBorders>
              <w:bottom w:val="single" w:sz="8" w:color="CEFFE7"/>
            </w:tcBorders>
          </w:tcPr>
          <w:p>
            <w:pPr>
              <w:spacing w:after="0"/>
              <w:rPr>
                <w:sz w:val="2"/>
                <w:szCs w:val="2"/>
                <w:color w:val="auto"/>
              </w:rPr>
            </w:pPr>
          </w:p>
        </w:tc>
        <w:tc>
          <w:tcPr>
            <w:tcW w:w="516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1820" w:type="dxa"/>
            <w:vAlign w:val="bottom"/>
            <w:shd w:val="clear" w:color="auto" w:fill="CEFFE7"/>
          </w:tcPr>
          <w:p>
            <w:pPr>
              <w:spacing w:after="0"/>
              <w:rPr>
                <w:sz w:val="22"/>
                <w:szCs w:val="22"/>
                <w:color w:val="auto"/>
              </w:rPr>
            </w:pPr>
          </w:p>
        </w:tc>
        <w:tc>
          <w:tcPr>
            <w:tcW w:w="5160" w:type="dxa"/>
            <w:vAlign w:val="bottom"/>
            <w:shd w:val="clear" w:color="auto" w:fill="CEFFE7"/>
          </w:tcPr>
          <w:p>
            <w:pPr>
              <w:spacing w:after="0"/>
              <w:rPr>
                <w:sz w:val="22"/>
                <w:szCs w:val="22"/>
                <w:color w:val="auto"/>
              </w:rPr>
            </w:pPr>
          </w:p>
        </w:tc>
        <w:tc>
          <w:tcPr>
            <w:tcW w:w="340" w:type="dxa"/>
            <w:vAlign w:val="bottom"/>
            <w:shd w:val="clear" w:color="auto" w:fill="CEFFE7"/>
          </w:tcPr>
          <w:p>
            <w:pPr>
              <w:spacing w:after="0"/>
              <w:rPr>
                <w:sz w:val="22"/>
                <w:szCs w:val="22"/>
                <w:color w:val="auto"/>
              </w:rPr>
            </w:pPr>
          </w:p>
        </w:tc>
        <w:tc>
          <w:tcPr>
            <w:tcW w:w="1140" w:type="dxa"/>
            <w:vAlign w:val="bottom"/>
            <w:shd w:val="clear" w:color="auto" w:fill="CEFFE7"/>
          </w:tcPr>
          <w:p>
            <w:pPr>
              <w:spacing w:after="0"/>
              <w:rPr>
                <w:sz w:val="22"/>
                <w:szCs w:val="22"/>
                <w:color w:val="auto"/>
              </w:rPr>
            </w:pPr>
          </w:p>
        </w:tc>
        <w:tc>
          <w:tcPr>
            <w:tcW w:w="180" w:type="dxa"/>
            <w:vAlign w:val="bottom"/>
            <w:shd w:val="clear" w:color="auto" w:fill="CEFFE7"/>
          </w:tcPr>
          <w:p>
            <w:pPr>
              <w:spacing w:after="0"/>
              <w:rPr>
                <w:sz w:val="22"/>
                <w:szCs w:val="22"/>
                <w:color w:val="auto"/>
              </w:rPr>
            </w:pPr>
          </w:p>
        </w:tc>
        <w:tc>
          <w:tcPr>
            <w:tcW w:w="1300" w:type="dxa"/>
            <w:vAlign w:val="bottom"/>
            <w:shd w:val="clear" w:color="auto" w:fill="CEFFE7"/>
          </w:tcPr>
          <w:p>
            <w:pPr>
              <w:spacing w:after="0"/>
              <w:rPr>
                <w:sz w:val="22"/>
                <w:szCs w:val="22"/>
                <w:color w:val="auto"/>
              </w:rPr>
            </w:pPr>
          </w:p>
        </w:tc>
        <w:tc>
          <w:tcPr>
            <w:tcW w:w="420" w:type="dxa"/>
            <w:vAlign w:val="bottom"/>
            <w:shd w:val="clear" w:color="auto" w:fill="CEFFE7"/>
          </w:tcPr>
          <w:p>
            <w:pPr>
              <w:spacing w:after="0"/>
              <w:rPr>
                <w:sz w:val="22"/>
                <w:szCs w:val="22"/>
                <w:color w:val="auto"/>
              </w:rPr>
            </w:pPr>
          </w:p>
        </w:tc>
        <w:tc>
          <w:tcPr>
            <w:tcW w:w="1060" w:type="dxa"/>
            <w:vAlign w:val="bottom"/>
            <w:shd w:val="clear" w:color="auto" w:fill="CEFFE7"/>
          </w:tcPr>
          <w:p>
            <w:pPr>
              <w:spacing w:after="0"/>
              <w:rPr>
                <w:sz w:val="22"/>
                <w:szCs w:val="22"/>
                <w:color w:val="auto"/>
              </w:rPr>
            </w:pPr>
          </w:p>
        </w:tc>
      </w:tr>
      <w:tr>
        <w:trPr>
          <w:trHeight w:val="264"/>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(Loss) from discontinued operations available for common stock</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r>
      <w:tr>
        <w:trPr>
          <w:trHeight w:val="20"/>
        </w:trPr>
        <w:tc>
          <w:tcPr>
            <w:tcW w:w="18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color w:val="auto"/>
        </w:rPr>
        <w:t xml:space="preserve">Results of Discontinued Operations for the Three Months Ended March 31, 2018 Compared to the Three Months Ended March 31, 2017: </w:t>
      </w:r>
      <w:r>
        <w:rPr>
          <w:rFonts w:ascii="Arial" w:cs="Arial" w:eastAsia="Arial" w:hAnsi="Arial"/>
          <w:sz w:val="18"/>
          <w:szCs w:val="18"/>
          <w:color w:val="auto"/>
        </w:rPr>
        <w:t>Net loss</w:t>
      </w:r>
      <w:r>
        <w:rPr>
          <w:rFonts w:ascii="Arial" w:cs="Arial" w:eastAsia="Arial" w:hAnsi="Arial"/>
          <w:sz w:val="18"/>
          <w:szCs w:val="18"/>
          <w:b w:val="1"/>
          <w:bCs w:val="1"/>
          <w:color w:val="auto"/>
        </w:rPr>
        <w:t xml:space="preserve"> </w:t>
      </w:r>
      <w:r>
        <w:rPr>
          <w:rFonts w:ascii="Arial" w:cs="Arial" w:eastAsia="Arial" w:hAnsi="Arial"/>
          <w:sz w:val="18"/>
          <w:szCs w:val="18"/>
          <w:color w:val="auto"/>
        </w:rPr>
        <w:t>from discontinued operations was $(2.3) million for the three months ended March 31, 2018, compared to Net loss from discontinued operations of $(1.6) million for the same period in 2017. The variance to the prior year is driven by lower revenues due to current year and prior year property sales, partially offset by lower oil and gas operating expenses and lower employee costs. Current year depreciation expense is representative of the write-down of the remaining book value of accounting software. Depreciation expense in the prior year is reflective of full cost accounting on full cost pool assets as full cost accounting continued through November 1, 2017.</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in our critical accounting estimates from those reported in our 2017 Annual Report on Form 10-K filed with the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our critical accounting estimates, see Part II, Item 7 of our 2017 Annual Report on Form 10-K.</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Company requires significant cash to support and grow our business. Our predominant source of cash is supplied by our operations and supplemented with corporate financings. This cash is used for, among other things, working capital, capital expenditures, dividends, pension funding, investments in or acquisitions of assets and businesses, payment of debt obligations, and redemption of outstanding debt and equity securities when required or financially appropriate. As discussed in more detail below under income taxes, we expect an increase in working capital requirements as a result of complying with the TCJA and the impact of providing TCJA benefits to customers.</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most significant uses of cash are our capital expenditures, the purchase of natural gas for our Gas Utilities and our Power Generation segment, as well as the payment of dividends to our shareholders. We experience significant cash requirements during peak months of the winter heating season due to higher natural gas consumption and during periods of high natural gas prices, as well as during the summer construction season.</w:t>
      </w:r>
    </w:p>
    <w:p>
      <w:pPr>
        <w:spacing w:after="0" w:line="16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believe that our cash on hand, operating cash flows, existing borrowing capacity and ability to complete new debt and equity financings, taken in their entirety, provide sufficient capital resources to fund our ongoing operating requirements, debt maturities, anticipated dividends, and anticipated capital expenditures discussed in this section.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Factors Affecting Liquidity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we believe we have sufficient resources to fund our cash requirements, there are many factors with the potential to influence our cash flow position, including seasonality, commodity prices, significant capital projects and acquisitions, requirements imposed by state and federal agencies, and economic market conditions. We have implemented risk mitigation programs, where possible, to stabilize cash flow; however, the potential for unforeseen events affecting cash needs will continue to exist.</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March 31, 2018, we had sufficient liquidity to cover collateral that could be required to be posted under these contracts.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225"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TCJA legislation was signed into law on December 22, 2017. The new tax law required revaluation at December 31, 2017 of federal deferred tax assets and liabilities using the new lower corporate tax rate of 21%. As a result of the revaluation, deferred tax assets and liabilities were reduced by approximately $309 million. Of the $309 million, approximately $301 million is related to our regulated utilities and is reclassified to a regulatory liability. This regulatory liability will generally be amortized over the remaining life of the related assets as specifically prescribed in the TCJA.</w:t>
      </w:r>
    </w:p>
    <w:p>
      <w:pPr>
        <w:spacing w:after="0" w:line="17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expect an increase in working capital requirements as a result of complying with the TCJA and the impact of providing TCJA benefits to customers. We estimate the lower tax rate will negatively impact the Company’s cash flows by approximately $35 million to $45 million annually for the next several years. Each of our utilities is working with their respective regulators to address the impact of tax reform and the appropriate benefit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580"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Cash Flow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March 31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Increase</w:t>
            </w:r>
          </w:p>
        </w:tc>
      </w:tr>
      <w:tr>
        <w:trPr>
          <w:trHeight w:val="230"/>
        </w:trPr>
        <w:tc>
          <w:tcPr>
            <w:tcW w:w="452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28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w w:val="98"/>
              </w:rPr>
              <w:t>(Decrease)</w:t>
            </w:r>
          </w:p>
        </w:tc>
      </w:tr>
      <w:tr>
        <w:trPr>
          <w:trHeight w:val="27"/>
        </w:trPr>
        <w:tc>
          <w:tcPr>
            <w:tcW w:w="45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activities</w:t>
            </w:r>
          </w:p>
        </w:tc>
        <w:tc>
          <w:tcPr>
            <w:tcW w:w="280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169,875</w:t>
            </w:r>
          </w:p>
        </w:tc>
        <w:tc>
          <w:tcPr>
            <w:tcW w:w="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146,840</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23,035</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(73,554)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(69,359)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(4,195)</w:t>
            </w: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520" w:type="dxa"/>
            <w:vAlign w:val="bottom"/>
            <w:shd w:val="clear" w:color="auto" w:fill="CEFFE7"/>
          </w:tcPr>
          <w:p>
            <w:pPr>
              <w:ind w:left="40"/>
              <w:spacing w:after="0"/>
              <w:rPr>
                <w:sz w:val="20"/>
                <w:szCs w:val="20"/>
                <w:color w:val="auto"/>
              </w:rPr>
            </w:pPr>
            <w:r>
              <w:rPr>
                <w:rFonts w:ascii="Arial" w:cs="Arial" w:eastAsia="Arial" w:hAnsi="Arial"/>
                <w:sz w:val="18"/>
                <w:szCs w:val="18"/>
                <w:color w:val="auto"/>
              </w:rPr>
              <w:t>Financing activities</w:t>
            </w:r>
          </w:p>
        </w:tc>
        <w:tc>
          <w:tcPr>
            <w:tcW w:w="280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(80,656)</w:t>
            </w:r>
          </w:p>
        </w:tc>
        <w:tc>
          <w:tcPr>
            <w:tcW w:w="36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(79,573)</w:t>
            </w:r>
          </w:p>
        </w:tc>
        <w:tc>
          <w:tcPr>
            <w:tcW w:w="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(1,083)</w:t>
            </w:r>
          </w:p>
        </w:tc>
      </w:tr>
      <w:tr>
        <w:trPr>
          <w:trHeight w:val="27"/>
        </w:trPr>
        <w:tc>
          <w:tcPr>
            <w:tcW w:w="4520" w:type="dxa"/>
            <w:vAlign w:val="bottom"/>
            <w:shd w:val="clear" w:color="auto" w:fill="CEFFE7"/>
          </w:tcPr>
          <w:p>
            <w:pPr>
              <w:spacing w:after="0"/>
              <w:rPr>
                <w:sz w:val="2"/>
                <w:szCs w:val="2"/>
                <w:color w:val="auto"/>
              </w:rPr>
            </w:pPr>
          </w:p>
        </w:tc>
        <w:tc>
          <w:tcPr>
            <w:tcW w:w="2800" w:type="dxa"/>
            <w:vAlign w:val="bottom"/>
            <w:shd w:val="clear" w:color="auto" w:fill="CEFFE7"/>
          </w:tcPr>
          <w:p>
            <w:pPr>
              <w:spacing w:after="0"/>
              <w:rPr>
                <w:sz w:val="2"/>
                <w:szCs w:val="2"/>
                <w:color w:val="auto"/>
              </w:rPr>
            </w:pPr>
          </w:p>
        </w:tc>
        <w:tc>
          <w:tcPr>
            <w:tcW w:w="114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112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240" w:type="dxa"/>
            <w:vAlign w:val="bottom"/>
            <w:shd w:val="clear" w:color="auto" w:fill="CEFFE7"/>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2018 Compared to Year-to-Date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Net cash provided by operating activities was $170 million for the three months ended March 31, 2018, compared to net cash provided by operating activities of $147 million for the same period in 2017 for a variance of $23 million. The variance was primarily attributable to:</w:t>
      </w:r>
    </w:p>
    <w:p>
      <w:pPr>
        <w:spacing w:after="0" w:line="170" w:lineRule="exact"/>
        <w:rPr>
          <w:sz w:val="20"/>
          <w:szCs w:val="20"/>
          <w:color w:val="auto"/>
        </w:rPr>
      </w:pPr>
    </w:p>
    <w:p>
      <w:pPr>
        <w:ind w:left="660" w:right="2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earnings (net income plus non-cash adjustments) were $2.7 million lower for the three months ended March 31, 2018 compared to the same period in the prior year;</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cash outflows from changes in operating assets and liabilities were $1.3 million for the three months ended March 31, 2018, compared to net cash outflows of $30 million in the same period in the prior year. This $28 million variance was primarily due to:</w:t>
      </w:r>
    </w:p>
    <w:p>
      <w:pPr>
        <w:spacing w:after="0" w:line="170" w:lineRule="exact"/>
        <w:rPr>
          <w:rFonts w:ascii="Arial" w:cs="Arial" w:eastAsia="Arial" w:hAnsi="Arial"/>
          <w:sz w:val="18"/>
          <w:szCs w:val="18"/>
          <w:color w:val="auto"/>
        </w:rPr>
      </w:pPr>
    </w:p>
    <w:p>
      <w:pPr>
        <w:ind w:left="1140" w:right="80" w:hanging="322"/>
        <w:spacing w:after="0" w:line="264" w:lineRule="auto"/>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Cash inflows decreased by approximately $55 million primarily as a result of changes in our accounts receivable, unbilled revenues and other operating assets, partially offset by lower natural gas in storage for the three months ended March 31, 2018 compared to the same period in the prior year;</w:t>
      </w:r>
    </w:p>
    <w:p>
      <w:pPr>
        <w:spacing w:after="0" w:line="181" w:lineRule="exact"/>
        <w:rPr>
          <w:rFonts w:ascii="Arial" w:cs="Arial" w:eastAsia="Arial" w:hAnsi="Arial"/>
          <w:sz w:val="18"/>
          <w:szCs w:val="18"/>
          <w:color w:val="auto"/>
        </w:rPr>
      </w:pPr>
    </w:p>
    <w:p>
      <w:pPr>
        <w:ind w:left="1140" w:right="80" w:hanging="322"/>
        <w:spacing w:after="0" w:line="277" w:lineRule="auto"/>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Cash outflows decreased by approximately $27 million as a result of changes in accounts payable and accrued liabilities driven by changes in working capital requirements;</w:t>
      </w:r>
    </w:p>
    <w:p>
      <w:pPr>
        <w:spacing w:after="0" w:line="170" w:lineRule="exact"/>
        <w:rPr>
          <w:rFonts w:ascii="Arial" w:cs="Arial" w:eastAsia="Arial" w:hAnsi="Arial"/>
          <w:sz w:val="18"/>
          <w:szCs w:val="18"/>
          <w:color w:val="auto"/>
        </w:rPr>
      </w:pPr>
    </w:p>
    <w:p>
      <w:pPr>
        <w:ind w:left="1140" w:right="320" w:hanging="322"/>
        <w:spacing w:after="0" w:line="264" w:lineRule="auto"/>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Cash inflows increased by approximately $55 million as a result of changes in our current regulatory assets and liabilities driven by differences in fuel cost adjustments and cash collected from customers on billings that do not reflect benefits of the TCJA compared to the same period in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Net cash used in investing activities was $74 million for the three months ended March 31, 2018, compared to net cash used in investing activities of $69 million for the same period in 2017 for a variance of $4.2 million. This variance was primarily due to:</w:t>
      </w:r>
    </w:p>
    <w:p>
      <w:pPr>
        <w:spacing w:after="0" w:line="170" w:lineRule="exact"/>
        <w:rPr>
          <w:sz w:val="20"/>
          <w:szCs w:val="20"/>
          <w:color w:val="auto"/>
        </w:rPr>
      </w:pPr>
    </w:p>
    <w:p>
      <w:pPr>
        <w:ind w:left="660" w:right="1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expenditures of approximately $70 million for the three months ended March 31, 2018 compared to $66 million for the three months ended March 31, 2017.</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$24 million investment partially offset by $23 million primarily due to net proceeds from the sale of assets held for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Net cash used in financing activities for the three months ended March 31, 2018 was $81 million, compared to $80 million of net cash used in financing activities for the same period in 2017 for a variance of $1.1 million. This variance is primarily due to higher current year dividend payments.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Dividends paid on our common stock totaled $25 million for the three months ended March 31, 2018, or $0.475 per share per quarter. On April 23, 2018, our board of directors declared a quarterly dividend of $0.475 per share payable June 1, 2018, equivalent to an annual dividend of $1.90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Transactions and Short-Term Liquidity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principal sources to meet day-to-day operating cash requirements are cash from operations, our CP Program and our corporate Revolving Credit Facility.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$750 million corporate Revolving Credit Facility extends through August 9, 2021 with two one-year extension options. The Facility includes an accordion feature that allows us, with the consent of the administrative agent and issuing agents, to increase total commitments of the facility to up to $1 billion. Borrowings continue to be available under a base rate or various Eurodollar rate options. The interest costs associated with the letters of credit or borrowings and the commitment fee under the Revolving Credit Facility are determined based upon our most favorable Corporate credit rating from S&amp;P or Moody’s for our unsecured debt. Based on our credit ratings, the margins for base rate borrowings, Eurodollar borrowings, and letters of credit were 0.250%, 1.250%, and 1.250%, respectively, at March 31, 2018. A 0.200% commitment fee is charged on the unused amount of the Revolving Credit Facility.</w:t>
      </w:r>
    </w:p>
    <w:p>
      <w:pPr>
        <w:spacing w:after="0" w:line="16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have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had the following borrowings, outstanding letters of credit, and available capacity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color w:val="auto"/>
                <w:w w:val="91"/>
              </w:rPr>
              <w:t>CP Program Borrowings</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center"/>
              <w:ind w:right="10"/>
              <w:spacing w:after="0"/>
              <w:rPr>
                <w:sz w:val="20"/>
                <w:szCs w:val="20"/>
                <w:color w:val="auto"/>
              </w:rPr>
            </w:pPr>
            <w:r>
              <w:rPr>
                <w:rFonts w:ascii="Arial" w:cs="Arial" w:eastAsia="Arial" w:hAnsi="Arial"/>
                <w:sz w:val="18"/>
                <w:szCs w:val="18"/>
                <w:color w:val="auto"/>
                <w:w w:val="89"/>
              </w:rPr>
              <w:t>Current</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92"/>
              </w:rPr>
              <w:t>Revolver Borrowings at</w:t>
            </w:r>
          </w:p>
        </w:tc>
        <w:tc>
          <w:tcPr>
            <w:tcW w:w="300" w:type="dxa"/>
            <w:vAlign w:val="bottom"/>
          </w:tcPr>
          <w:p>
            <w:pPr>
              <w:spacing w:after="0"/>
              <w:rPr>
                <w:sz w:val="20"/>
                <w:szCs w:val="20"/>
                <w:color w:val="auto"/>
              </w:rPr>
            </w:pPr>
          </w:p>
        </w:tc>
        <w:tc>
          <w:tcPr>
            <w:tcW w:w="1660" w:type="dxa"/>
            <w:vAlign w:val="bottom"/>
          </w:tcPr>
          <w:p>
            <w:pPr>
              <w:jc w:val="center"/>
              <w:ind w:right="150"/>
              <w:spacing w:after="0"/>
              <w:rPr>
                <w:sz w:val="20"/>
                <w:szCs w:val="20"/>
                <w:color w:val="auto"/>
              </w:rPr>
            </w:pPr>
            <w:r>
              <w:rPr>
                <w:rFonts w:ascii="Arial" w:cs="Arial" w:eastAsia="Arial" w:hAnsi="Arial"/>
                <w:sz w:val="18"/>
                <w:szCs w:val="18"/>
                <w:color w:val="auto"/>
                <w:w w:val="92"/>
              </w:rPr>
              <w:t>at</w:t>
            </w:r>
          </w:p>
        </w:tc>
        <w:tc>
          <w:tcPr>
            <w:tcW w:w="220" w:type="dxa"/>
            <w:vAlign w:val="bottom"/>
          </w:tcPr>
          <w:p>
            <w:pPr>
              <w:spacing w:after="0"/>
              <w:rPr>
                <w:sz w:val="20"/>
                <w:szCs w:val="20"/>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1"/>
              </w:rPr>
              <w:t>Letters of Credit at</w:t>
            </w:r>
          </w:p>
        </w:tc>
        <w:tc>
          <w:tcPr>
            <w:tcW w:w="200" w:type="dxa"/>
            <w:vAlign w:val="bottom"/>
          </w:tcPr>
          <w:p>
            <w:pPr>
              <w:spacing w:after="0"/>
              <w:rPr>
                <w:sz w:val="20"/>
                <w:szCs w:val="20"/>
                <w:color w:val="auto"/>
              </w:rPr>
            </w:pPr>
          </w:p>
        </w:tc>
        <w:tc>
          <w:tcPr>
            <w:tcW w:w="1780" w:type="dxa"/>
            <w:vAlign w:val="bottom"/>
          </w:tcPr>
          <w:p>
            <w:pPr>
              <w:jc w:val="center"/>
              <w:ind w:right="70"/>
              <w:spacing w:after="0"/>
              <w:rPr>
                <w:sz w:val="20"/>
                <w:szCs w:val="20"/>
                <w:color w:val="auto"/>
              </w:rPr>
            </w:pPr>
            <w:r>
              <w:rPr>
                <w:rFonts w:ascii="Arial" w:cs="Arial" w:eastAsia="Arial" w:hAnsi="Arial"/>
                <w:sz w:val="18"/>
                <w:szCs w:val="18"/>
                <w:color w:val="auto"/>
                <w:w w:val="91"/>
              </w:rPr>
              <w:t>Available Capacity at</w:t>
            </w: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Credit Facility</w:t>
            </w:r>
          </w:p>
        </w:tc>
        <w:tc>
          <w:tcPr>
            <w:tcW w:w="1140" w:type="dxa"/>
            <w:vAlign w:val="bottom"/>
          </w:tcPr>
          <w:p>
            <w:pPr>
              <w:jc w:val="center"/>
              <w:ind w:left="50"/>
              <w:spacing w:after="0"/>
              <w:rPr>
                <w:sz w:val="20"/>
                <w:szCs w:val="20"/>
                <w:color w:val="auto"/>
              </w:rPr>
            </w:pPr>
            <w:r>
              <w:rPr>
                <w:rFonts w:ascii="Arial" w:cs="Arial" w:eastAsia="Arial" w:hAnsi="Arial"/>
                <w:sz w:val="18"/>
                <w:szCs w:val="18"/>
                <w:color w:val="auto"/>
                <w:w w:val="94"/>
              </w:rPr>
              <w:t>Expiration</w:t>
            </w:r>
          </w:p>
        </w:tc>
        <w:tc>
          <w:tcPr>
            <w:tcW w:w="220" w:type="dxa"/>
            <w:vAlign w:val="bottom"/>
          </w:tcPr>
          <w:p>
            <w:pPr>
              <w:spacing w:after="0"/>
              <w:rPr>
                <w:sz w:val="23"/>
                <w:szCs w:val="23"/>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1"/>
              </w:rPr>
              <w:t>Capacity</w:t>
            </w:r>
          </w:p>
        </w:tc>
        <w:tc>
          <w:tcPr>
            <w:tcW w:w="300" w:type="dxa"/>
            <w:vAlign w:val="bottom"/>
          </w:tcPr>
          <w:p>
            <w:pPr>
              <w:spacing w:after="0"/>
              <w:rPr>
                <w:sz w:val="23"/>
                <w:szCs w:val="23"/>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92"/>
              </w:rPr>
              <w:t>March 31, 2018</w:t>
            </w:r>
          </w:p>
        </w:tc>
        <w:tc>
          <w:tcPr>
            <w:tcW w:w="300" w:type="dxa"/>
            <w:vAlign w:val="bottom"/>
          </w:tcPr>
          <w:p>
            <w:pPr>
              <w:spacing w:after="0"/>
              <w:rPr>
                <w:sz w:val="23"/>
                <w:szCs w:val="23"/>
                <w:color w:val="auto"/>
              </w:rPr>
            </w:pPr>
          </w:p>
        </w:tc>
        <w:tc>
          <w:tcPr>
            <w:tcW w:w="1660" w:type="dxa"/>
            <w:vAlign w:val="bottom"/>
          </w:tcPr>
          <w:p>
            <w:pPr>
              <w:jc w:val="center"/>
              <w:ind w:right="150"/>
              <w:spacing w:after="0"/>
              <w:rPr>
                <w:sz w:val="20"/>
                <w:szCs w:val="20"/>
                <w:color w:val="auto"/>
              </w:rPr>
            </w:pPr>
            <w:r>
              <w:rPr>
                <w:rFonts w:ascii="Arial" w:cs="Arial" w:eastAsia="Arial" w:hAnsi="Arial"/>
                <w:sz w:val="18"/>
                <w:szCs w:val="18"/>
                <w:color w:val="auto"/>
                <w:w w:val="91"/>
              </w:rPr>
              <w:t>March 31, 2018</w:t>
            </w:r>
          </w:p>
        </w:tc>
        <w:tc>
          <w:tcPr>
            <w:tcW w:w="220" w:type="dxa"/>
            <w:vAlign w:val="bottom"/>
          </w:tcPr>
          <w:p>
            <w:pPr>
              <w:spacing w:after="0"/>
              <w:rPr>
                <w:sz w:val="23"/>
                <w:szCs w:val="23"/>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1"/>
              </w:rPr>
              <w:t>March 31, 2018</w:t>
            </w:r>
          </w:p>
        </w:tc>
        <w:tc>
          <w:tcPr>
            <w:tcW w:w="200" w:type="dxa"/>
            <w:vAlign w:val="bottom"/>
          </w:tcPr>
          <w:p>
            <w:pPr>
              <w:spacing w:after="0"/>
              <w:rPr>
                <w:sz w:val="23"/>
                <w:szCs w:val="23"/>
                <w:color w:val="auto"/>
              </w:rPr>
            </w:pPr>
          </w:p>
        </w:tc>
        <w:tc>
          <w:tcPr>
            <w:tcW w:w="1780" w:type="dxa"/>
            <w:vAlign w:val="bottom"/>
          </w:tcPr>
          <w:p>
            <w:pPr>
              <w:jc w:val="center"/>
              <w:ind w:right="70"/>
              <w:spacing w:after="0"/>
              <w:rPr>
                <w:sz w:val="20"/>
                <w:szCs w:val="20"/>
                <w:color w:val="auto"/>
              </w:rPr>
            </w:pPr>
            <w:r>
              <w:rPr>
                <w:rFonts w:ascii="Arial" w:cs="Arial" w:eastAsia="Arial" w:hAnsi="Arial"/>
                <w:sz w:val="18"/>
                <w:szCs w:val="18"/>
                <w:color w:val="auto"/>
                <w:w w:val="91"/>
              </w:rPr>
              <w:t>March 31, 2018</w:t>
            </w:r>
          </w:p>
        </w:tc>
      </w:tr>
      <w:tr>
        <w:trPr>
          <w:trHeight w:val="27"/>
        </w:trPr>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2"/>
        </w:trPr>
        <w:tc>
          <w:tcPr>
            <w:tcW w:w="1540" w:type="dxa"/>
            <w:vAlign w:val="bottom"/>
            <w:shd w:val="clear" w:color="auto" w:fill="CEFFE7"/>
          </w:tcPr>
          <w:p>
            <w:pPr>
              <w:ind w:left="40"/>
              <w:spacing w:after="0"/>
              <w:rPr>
                <w:sz w:val="20"/>
                <w:szCs w:val="20"/>
                <w:color w:val="auto"/>
              </w:rPr>
            </w:pPr>
            <w:r>
              <w:rPr>
                <w:rFonts w:ascii="Arial" w:cs="Arial" w:eastAsia="Arial" w:hAnsi="Arial"/>
                <w:sz w:val="18"/>
                <w:szCs w:val="18"/>
                <w:color w:val="auto"/>
              </w:rPr>
              <w:t>Revolving Credit</w:t>
            </w:r>
          </w:p>
        </w:tc>
        <w:tc>
          <w:tcPr>
            <w:tcW w:w="1140" w:type="dxa"/>
            <w:vAlign w:val="bottom"/>
            <w:shd w:val="clear" w:color="auto" w:fill="CEFFE7"/>
          </w:tcPr>
          <w:p>
            <w:pPr>
              <w:jc w:val="center"/>
              <w:ind w:left="70"/>
              <w:spacing w:after="0"/>
              <w:rPr>
                <w:sz w:val="20"/>
                <w:szCs w:val="20"/>
                <w:color w:val="auto"/>
              </w:rPr>
            </w:pPr>
            <w:r>
              <w:rPr>
                <w:rFonts w:ascii="Arial" w:cs="Arial" w:eastAsia="Arial" w:hAnsi="Arial"/>
                <w:sz w:val="18"/>
                <w:szCs w:val="18"/>
                <w:color w:val="auto"/>
                <w:w w:val="91"/>
              </w:rPr>
              <w:t>August 9,</w:t>
            </w:r>
          </w:p>
        </w:tc>
        <w:tc>
          <w:tcPr>
            <w:tcW w:w="22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62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66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68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780" w:type="dxa"/>
            <w:vAlign w:val="bottom"/>
            <w:shd w:val="clear" w:color="auto" w:fill="CEFFE7"/>
          </w:tcPr>
          <w:p>
            <w:pPr>
              <w:spacing w:after="0"/>
              <w:rPr>
                <w:sz w:val="19"/>
                <w:szCs w:val="19"/>
                <w:color w:val="auto"/>
              </w:rPr>
            </w:pPr>
          </w:p>
        </w:tc>
      </w:tr>
      <w:tr>
        <w:trPr>
          <w:trHeight w:val="230"/>
        </w:trPr>
        <w:tc>
          <w:tcPr>
            <w:tcW w:w="1540" w:type="dxa"/>
            <w:vAlign w:val="bottom"/>
            <w:shd w:val="clear" w:color="auto" w:fill="CEFFE7"/>
          </w:tcPr>
          <w:p>
            <w:pPr>
              <w:ind w:left="40"/>
              <w:spacing w:after="0"/>
              <w:rPr>
                <w:sz w:val="20"/>
                <w:szCs w:val="20"/>
                <w:color w:val="auto"/>
              </w:rPr>
            </w:pPr>
            <w:r>
              <w:rPr>
                <w:rFonts w:ascii="Arial" w:cs="Arial" w:eastAsia="Arial" w:hAnsi="Arial"/>
                <w:sz w:val="18"/>
                <w:szCs w:val="18"/>
                <w:color w:val="auto"/>
              </w:rPr>
              <w:t>Facility</w:t>
            </w:r>
          </w:p>
        </w:tc>
        <w:tc>
          <w:tcPr>
            <w:tcW w:w="1140" w:type="dxa"/>
            <w:vAlign w:val="bottom"/>
            <w:shd w:val="clear" w:color="auto" w:fill="CEFFE7"/>
          </w:tcPr>
          <w:p>
            <w:pPr>
              <w:jc w:val="center"/>
              <w:ind w:left="50"/>
              <w:spacing w:after="0"/>
              <w:rPr>
                <w:sz w:val="20"/>
                <w:szCs w:val="20"/>
                <w:color w:val="auto"/>
              </w:rPr>
            </w:pPr>
            <w:r>
              <w:rPr>
                <w:rFonts w:ascii="Arial" w:cs="Arial" w:eastAsia="Arial" w:hAnsi="Arial"/>
                <w:sz w:val="18"/>
                <w:szCs w:val="18"/>
                <w:color w:val="auto"/>
                <w:w w:val="89"/>
              </w:rPr>
              <w:t>2021</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750</w:t>
            </w:r>
          </w:p>
        </w:tc>
        <w:tc>
          <w:tcPr>
            <w:tcW w:w="30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EFFE7"/>
          </w:tcPr>
          <w:p>
            <w:pPr>
              <w:ind w:left="1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570</w:t>
            </w:r>
          </w:p>
        </w:tc>
      </w:tr>
      <w:tr>
        <w:trPr>
          <w:trHeight w:val="27"/>
        </w:trPr>
        <w:tc>
          <w:tcPr>
            <w:tcW w:w="1540" w:type="dxa"/>
            <w:vAlign w:val="bottom"/>
            <w:shd w:val="clear" w:color="auto" w:fill="CEFFE7"/>
          </w:tcPr>
          <w:p>
            <w:pPr>
              <w:spacing w:after="0"/>
              <w:rPr>
                <w:sz w:val="2"/>
                <w:szCs w:val="2"/>
                <w:color w:val="auto"/>
              </w:rPr>
            </w:pPr>
          </w:p>
        </w:tc>
        <w:tc>
          <w:tcPr>
            <w:tcW w:w="114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760" w:type="dxa"/>
            <w:vAlign w:val="bottom"/>
            <w:shd w:val="clear" w:color="auto" w:fill="CEFFE7"/>
          </w:tcPr>
          <w:p>
            <w:pPr>
              <w:spacing w:after="0"/>
              <w:rPr>
                <w:sz w:val="2"/>
                <w:szCs w:val="2"/>
                <w:color w:val="auto"/>
              </w:rPr>
            </w:pPr>
          </w:p>
        </w:tc>
        <w:tc>
          <w:tcPr>
            <w:tcW w:w="300" w:type="dxa"/>
            <w:vAlign w:val="bottom"/>
            <w:shd w:val="clear" w:color="auto" w:fill="CEFFE7"/>
          </w:tcPr>
          <w:p>
            <w:pPr>
              <w:spacing w:after="0"/>
              <w:rPr>
                <w:sz w:val="2"/>
                <w:szCs w:val="2"/>
                <w:color w:val="auto"/>
              </w:rPr>
            </w:pPr>
          </w:p>
        </w:tc>
        <w:tc>
          <w:tcPr>
            <w:tcW w:w="1620" w:type="dxa"/>
            <w:vAlign w:val="bottom"/>
            <w:shd w:val="clear" w:color="auto" w:fill="CEFFE7"/>
          </w:tcPr>
          <w:p>
            <w:pPr>
              <w:spacing w:after="0"/>
              <w:rPr>
                <w:sz w:val="2"/>
                <w:szCs w:val="2"/>
                <w:color w:val="auto"/>
              </w:rPr>
            </w:pPr>
          </w:p>
        </w:tc>
        <w:tc>
          <w:tcPr>
            <w:tcW w:w="300" w:type="dxa"/>
            <w:vAlign w:val="bottom"/>
            <w:shd w:val="clear" w:color="auto" w:fill="CEFFE7"/>
          </w:tcPr>
          <w:p>
            <w:pPr>
              <w:spacing w:after="0"/>
              <w:rPr>
                <w:sz w:val="2"/>
                <w:szCs w:val="2"/>
                <w:color w:val="auto"/>
              </w:rPr>
            </w:pPr>
          </w:p>
        </w:tc>
        <w:tc>
          <w:tcPr>
            <w:tcW w:w="166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68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78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weighted average interest rate on CP Program borrowings at March 31, 2018 was 2.34%. Revolving Credit Facility and CP Program financing activity for the three months ended March 31, 2018 was (dollars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3620" w:type="dxa"/>
            <w:vAlign w:val="bottom"/>
            <w:gridSpan w:val="2"/>
          </w:tcPr>
          <w:p>
            <w:pPr>
              <w:jc w:val="right"/>
              <w:ind w:right="10"/>
              <w:spacing w:after="0"/>
              <w:rPr>
                <w:sz w:val="20"/>
                <w:szCs w:val="20"/>
                <w:color w:val="auto"/>
              </w:rPr>
            </w:pPr>
            <w:r>
              <w:rPr>
                <w:rFonts w:ascii="Arial" w:cs="Arial" w:eastAsia="Arial" w:hAnsi="Arial"/>
                <w:sz w:val="18"/>
                <w:szCs w:val="18"/>
                <w:color w:val="auto"/>
              </w:rPr>
              <w:t>For the Three Months Ended March</w:t>
            </w:r>
          </w:p>
        </w:tc>
      </w:tr>
      <w:tr>
        <w:trPr>
          <w:trHeight w:val="230"/>
        </w:trPr>
        <w:tc>
          <w:tcPr>
            <w:tcW w:w="7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jc w:val="right"/>
              <w:ind w:right="990"/>
              <w:spacing w:after="0"/>
              <w:rPr>
                <w:sz w:val="20"/>
                <w:szCs w:val="20"/>
                <w:color w:val="auto"/>
              </w:rPr>
            </w:pPr>
            <w:r>
              <w:rPr>
                <w:rFonts w:ascii="Arial" w:cs="Arial" w:eastAsia="Arial" w:hAnsi="Arial"/>
                <w:sz w:val="18"/>
                <w:szCs w:val="18"/>
                <w:color w:val="auto"/>
              </w:rPr>
              <w:t>31, 2018</w:t>
            </w:r>
          </w:p>
        </w:tc>
      </w:tr>
      <w:tr>
        <w:trPr>
          <w:trHeight w:val="27"/>
        </w:trPr>
        <w:tc>
          <w:tcPr>
            <w:tcW w:w="78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Maximum amount outstanding - commercial paper (based on daily outstanding balances)</w:t>
            </w:r>
          </w:p>
        </w:tc>
        <w:tc>
          <w:tcPr>
            <w:tcW w:w="142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231</w:t>
            </w:r>
          </w:p>
        </w:tc>
      </w:tr>
      <w:tr>
        <w:trPr>
          <w:trHeight w:val="243"/>
        </w:trPr>
        <w:tc>
          <w:tcPr>
            <w:tcW w:w="7800" w:type="dxa"/>
            <w:vAlign w:val="bottom"/>
          </w:tcPr>
          <w:p>
            <w:pPr>
              <w:ind w:left="120"/>
              <w:spacing w:after="0"/>
              <w:rPr>
                <w:sz w:val="20"/>
                <w:szCs w:val="20"/>
                <w:color w:val="auto"/>
              </w:rPr>
            </w:pPr>
            <w:r>
              <w:rPr>
                <w:rFonts w:ascii="Arial" w:cs="Arial" w:eastAsia="Arial" w:hAnsi="Arial"/>
                <w:sz w:val="18"/>
                <w:szCs w:val="18"/>
                <w:color w:val="auto"/>
              </w:rPr>
              <w:t>Maximum amount outstanding - revolving credit facility (based on daily outstanding balances)</w:t>
            </w: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78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Average amount outstanding - commercial paper (based on daily outstanding balances)</w:t>
            </w:r>
          </w:p>
        </w:tc>
        <w:tc>
          <w:tcPr>
            <w:tcW w:w="142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188</w:t>
            </w:r>
          </w:p>
        </w:tc>
      </w:tr>
      <w:tr>
        <w:trPr>
          <w:trHeight w:val="243"/>
        </w:trPr>
        <w:tc>
          <w:tcPr>
            <w:tcW w:w="7800" w:type="dxa"/>
            <w:vAlign w:val="bottom"/>
          </w:tcPr>
          <w:p>
            <w:pPr>
              <w:ind w:left="120"/>
              <w:spacing w:after="0"/>
              <w:rPr>
                <w:sz w:val="20"/>
                <w:szCs w:val="20"/>
                <w:color w:val="auto"/>
              </w:rPr>
            </w:pPr>
            <w:r>
              <w:rPr>
                <w:rFonts w:ascii="Arial" w:cs="Arial" w:eastAsia="Arial" w:hAnsi="Arial"/>
                <w:sz w:val="18"/>
                <w:szCs w:val="18"/>
                <w:color w:val="auto"/>
              </w:rPr>
              <w:t>Average amount outstanding - revolving credit facility (based on daily outstanding balances)</w:t>
            </w: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78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Weighted average interest rates - commercial paper</w:t>
            </w:r>
          </w:p>
        </w:tc>
        <w:tc>
          <w:tcPr>
            <w:tcW w:w="1420" w:type="dxa"/>
            <w:vAlign w:val="bottom"/>
            <w:tcBorders>
              <w:bottom w:val="single" w:sz="8" w:color="CEFFE7"/>
            </w:tcBorders>
            <w:shd w:val="clear" w:color="auto" w:fill="CEFFE7"/>
          </w:tcPr>
          <w:p>
            <w:pPr>
              <w:spacing w:after="0"/>
              <w:rPr>
                <w:sz w:val="21"/>
                <w:szCs w:val="21"/>
                <w:color w:val="auto"/>
              </w:rPr>
            </w:pPr>
          </w:p>
        </w:tc>
        <w:tc>
          <w:tcPr>
            <w:tcW w:w="2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7800" w:type="dxa"/>
            <w:vAlign w:val="bottom"/>
          </w:tcPr>
          <w:p>
            <w:pPr>
              <w:ind w:left="120"/>
              <w:spacing w:after="0"/>
              <w:rPr>
                <w:sz w:val="20"/>
                <w:szCs w:val="20"/>
                <w:color w:val="auto"/>
              </w:rPr>
            </w:pPr>
            <w:r>
              <w:rPr>
                <w:rFonts w:ascii="Arial" w:cs="Arial" w:eastAsia="Arial" w:hAnsi="Arial"/>
                <w:sz w:val="18"/>
                <w:szCs w:val="18"/>
                <w:color w:val="auto"/>
              </w:rPr>
              <w:t>Weighted average interest rates - revolving credit facility</w:t>
            </w:r>
          </w:p>
        </w:tc>
        <w:tc>
          <w:tcPr>
            <w:tcW w:w="14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Revolving Credit Facility contains customary affirmative and negative covenants, such as limitations on certain liens, restrictions on certain transactions, and maintenance of a certain Consolidated Indebtedness to Capitalization Ratio. Under the Revolving Credit Facility, our Consolidated Indebtedness to Capitalization Ratio is calculated by dividing (i) Consolidated Indebtedness, which includes letters of credit, certain guarantees issued and excludes RSNs by</w:t>
      </w:r>
    </w:p>
    <w:p>
      <w:pPr>
        <w:ind w:left="280" w:hanging="272"/>
        <w:spacing w:after="0"/>
        <w:tabs>
          <w:tab w:leader="none" w:pos="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Capital, which includes Consolidated Indebtedness plus Net Worth, which excludes noncontrolling interests in subsidiaries and includes the aggregate</w:t>
      </w:r>
    </w:p>
    <w:p>
      <w:pPr>
        <w:spacing w:after="0" w:line="26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52</w:t>
      </w:r>
    </w:p>
    <w:p>
      <w:pPr>
        <w:sectPr>
          <w:pgSz w:w="11900" w:h="16838" w:orient="portrait"/>
          <w:cols w:equalWidth="0" w:num="1">
            <w:col w:w="11420"/>
          </w:cols>
          <w:pgMar w:left="240" w:top="580" w:right="239" w:bottom="1440" w:gutter="0" w:footer="0" w:header="0"/>
        </w:sectPr>
      </w:pPr>
    </w:p>
    <w:bookmarkStart w:id="52" w:name="page53"/>
    <w:bookmarkEnd w:id="52"/>
    <w:p>
      <w:pPr>
        <w:ind w:right="20"/>
        <w:spacing w:after="0" w:line="264" w:lineRule="auto"/>
        <w:rPr>
          <w:sz w:val="20"/>
          <w:szCs w:val="20"/>
          <w:color w:val="auto"/>
        </w:rPr>
      </w:pPr>
      <w:r>
        <w:rPr>
          <w:rFonts w:ascii="Arial" w:cs="Arial" w:eastAsia="Arial" w:hAnsi="Arial"/>
          <w:sz w:val="18"/>
          <w:szCs w:val="18"/>
          <w:color w:val="auto"/>
        </w:rPr>
        <w:t>outstanding amount of the RSNs. Subject to applicable cure periods, a violation of any of these covenants would constitute an event of default that entitles the lenders to terminate their remaining commitments and accelerate all principal and interest outstanding. We were in compliance with these covenants as of March 31, 2018.</w:t>
      </w:r>
    </w:p>
    <w:p>
      <w:pPr>
        <w:spacing w:after="0" w:line="18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Revolving Credit Facility prohibits us from paying cash dividends if a default or an event of default exists prior to, or would result after, paying a dividend. Although these contractual restrictions exist, we do not anticipate triggering any default measures or restrictions.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Financing activities for the three months ended March 31, 2018 consisted of short-term borrowings from our CP Program. On August 4, 2017, we renewed the ATM equity offering program which reset the size of the ATM equity offering program to an aggregate value of up to $300 million. We did not issue any shares of common stock under our ATM equity offering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Financing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the following financing activities:</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Remarketing the junior subordinated notes maturing in November 2018. Proceeds will be used to pay down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Evaluating a one-to-two year extension of our Revolving Credit Facility and CP Program to be completed later in 2018; and</w:t>
      </w:r>
    </w:p>
    <w:p>
      <w:pPr>
        <w:spacing w:after="0" w:line="225" w:lineRule="exact"/>
        <w:rPr>
          <w:rFonts w:ascii="Arial" w:cs="Arial" w:eastAsia="Arial" w:hAnsi="Arial"/>
          <w:sz w:val="18"/>
          <w:szCs w:val="18"/>
          <w:color w:val="auto"/>
        </w:rPr>
      </w:pPr>
    </w:p>
    <w:p>
      <w:pPr>
        <w:ind w:right="1700" w:firstLine="332"/>
        <w:spacing w:after="0" w:line="501"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Evaluating refinancing options for term loan and short-term borrowings under our Revolving Credit Facility and CP Program. </w:t>
      </w:r>
      <w:r>
        <w:rPr>
          <w:rFonts w:ascii="Arial" w:cs="Arial" w:eastAsia="Arial" w:hAnsi="Arial"/>
          <w:sz w:val="18"/>
          <w:szCs w:val="18"/>
          <w:u w:val="single" w:color="auto"/>
          <w:color w:val="auto"/>
        </w:rPr>
        <w:t>Dividend Restrictions</w:t>
      </w:r>
    </w:p>
    <w:p>
      <w:pPr>
        <w:spacing w:after="0" w:line="269" w:lineRule="auto"/>
        <w:rPr>
          <w:sz w:val="20"/>
          <w:szCs w:val="20"/>
          <w:color w:val="auto"/>
        </w:rPr>
      </w:pPr>
      <w:r>
        <w:rPr>
          <w:rFonts w:ascii="Arial" w:cs="Arial" w:eastAsia="Arial" w:hAnsi="Arial"/>
          <w:sz w:val="17"/>
          <w:szCs w:val="17"/>
          <w:color w:val="auto"/>
        </w:rPr>
        <w:t>As a utility holding company which owns several regulated utilities, we are subject to various regulations that could influence our liquidity. Our utilities in Arkansas, Colorado, Iowa, Kansas, Nebraska and Wyoming have regulatory agreements in which they cannot pay dividends if they have issued debt to third parties and the payment of a dividend would reduce their equity ratio to below 40% of their total capitalization; and neither Black Hills Utility Holdings nor its subsidiaries can extend credit to the Company except in the ordinary course of business and upon reasonable terms consistent with market terms. The use of our utility assets as collateral generally requires the prior approval of the state regulators in the state in which the utility assets are located. Additionally, our utility subsidiaries may generally be limited to the amount of dividends allowed by state regulatory authorities to be paid to us as a utility holding company and also may have further restrictions under the Federal Power Act. As a result of our holding company structure, our right as a common shareholder to receive assets of any of our direct or indirect subsidiaries upon a subsidiary’s liquidation or reorganization is junior to the claims against the assets of such subsidiaries by their creditors. Therefore, our holding company debt obligations are effectively subordinated to all existing and future claims of the creditors of our subsidiaries, including trade creditors, debt holders, secured creditors, taxing authorities, and guarantee holders. As of March 31, 2018, the restricted net assets at our Electric Utilities and Gas Utilities were approximately $257 million.</w:t>
      </w:r>
    </w:p>
    <w:p>
      <w:pPr>
        <w:spacing w:after="0" w:line="14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credit facilities and other debt obligations contain restrictions on the payment of cash dividends upon a default or event of default. An event of default would be deemed to have occurred if we did not meet certain financial covenants. The only financial covenant under our Revolving Credit Facility and existing term loans is a Consolidated Indebtedness to Capitalization Ratio, which requires us to maintain a Consolidated Indebtedness to Capitalization Ratio not to exceed 0.65 to 1.00 at the end of any fiscal quarter. Our Consolidated Indebtedness to Capitalization Ratio is calculated by dividing (i) Consolidated Indebtedness, which includes letters of credit, certain guarantees issued and excludes RSNs by (ii) Capital, which includes Consolidated Indebtedness plus Net Worth, which excludes noncontrolling interests in subsidiaries and includes the aggregate outstanding amount of the RSNs. Additionally, covenants within Cheyenne Light’s financing agreements require Cheyenne Light to maintain a debt to capitalization ratio of no more than 0.60 to 1.00. As of March 31, 2018, we were in compliance with these covenants.</w:t>
      </w:r>
    </w:p>
    <w:p>
      <w:pPr>
        <w:spacing w:after="0" w:line="35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other material changes in our financing transactions and short-term liquidity from those reported in Item 7 of our 2017 Annual Report on Form 10-K filed with the SEC.</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Credit Ratings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Financing for operational needs and capital expenditure requirements not satisfied by operating cash flows depends upon the cost and availability of external funds through both short and long-term financing. The inability to raise capital on favorable terms could negatively affect our ability to maintain or expand our businesses. Access to funds is dependent upon factors such as general economic and capital market conditions, regulatory authorizations and policies, the Company’s credit ratings, cash flows from routine operations and the credit ratings of counterparties. After assessing the current operating performance, liquidity and the credit ratings of the Company, management believes that the Company will have access to the capital markets at prevailing market rates for companies with comparable credit ratings. BHC notes that credit ratings are not recommendations to buy, sell, or hold securities and may be subject to revision or withdrawal at any time by the assigning rating agency. Each rating should be evaluated independently of any other rating.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20"/>
                <w:szCs w:val="20"/>
                <w:color w:val="auto"/>
              </w:rPr>
            </w:pPr>
            <w:r>
              <w:rPr>
                <w:rFonts w:ascii="Arial" w:cs="Arial" w:eastAsia="Arial" w:hAnsi="Arial"/>
                <w:sz w:val="18"/>
                <w:szCs w:val="18"/>
                <w:color w:val="auto"/>
                <w:w w:val="96"/>
              </w:rPr>
              <w:t>The following table represents the credit ratings and outlook and risk profile of BHC at March 31, 2018:</w:t>
            </w:r>
          </w:p>
        </w:tc>
        <w:tc>
          <w:tcPr>
            <w:tcW w:w="2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Rating Agency</w:t>
            </w:r>
          </w:p>
        </w:tc>
        <w:tc>
          <w:tcPr>
            <w:tcW w:w="2440" w:type="dxa"/>
            <w:vAlign w:val="bottom"/>
          </w:tcPr>
          <w:p>
            <w:pPr>
              <w:ind w:left="320"/>
              <w:spacing w:after="0"/>
              <w:rPr>
                <w:sz w:val="20"/>
                <w:szCs w:val="20"/>
                <w:color w:val="auto"/>
              </w:rPr>
            </w:pPr>
            <w:r>
              <w:rPr>
                <w:rFonts w:ascii="Arial" w:cs="Arial" w:eastAsia="Arial" w:hAnsi="Arial"/>
                <w:sz w:val="18"/>
                <w:szCs w:val="18"/>
                <w:b w:val="1"/>
                <w:bCs w:val="1"/>
                <w:color w:val="auto"/>
                <w:w w:val="97"/>
              </w:rPr>
              <w:t>Senior Unsecured Rating</w:t>
            </w: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Outlook</w:t>
            </w:r>
          </w:p>
        </w:tc>
      </w:tr>
      <w:tr>
        <w:trPr>
          <w:trHeight w:val="27"/>
        </w:trPr>
        <w:tc>
          <w:tcPr>
            <w:tcW w:w="78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86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S&amp;P </w:t>
            </w:r>
            <w:r>
              <w:rPr>
                <w:rFonts w:ascii="Arial" w:cs="Arial" w:eastAsia="Arial" w:hAnsi="Arial"/>
                <w:sz w:val="25"/>
                <w:szCs w:val="25"/>
                <w:color w:val="auto"/>
                <w:vertAlign w:val="superscript"/>
              </w:rPr>
              <w:t>(a)</w:t>
            </w:r>
          </w:p>
        </w:tc>
        <w:tc>
          <w:tcPr>
            <w:tcW w:w="2440" w:type="dxa"/>
            <w:vAlign w:val="bottom"/>
            <w:shd w:val="clear" w:color="auto" w:fill="CEFFE7"/>
          </w:tcPr>
          <w:p>
            <w:pPr>
              <w:ind w:left="1100"/>
              <w:spacing w:after="0"/>
              <w:rPr>
                <w:sz w:val="20"/>
                <w:szCs w:val="20"/>
                <w:color w:val="auto"/>
              </w:rPr>
            </w:pPr>
            <w:r>
              <w:rPr>
                <w:rFonts w:ascii="Arial" w:cs="Arial" w:eastAsia="Arial" w:hAnsi="Arial"/>
                <w:sz w:val="18"/>
                <w:szCs w:val="18"/>
                <w:color w:val="auto"/>
              </w:rPr>
              <w:t>BBB</w:t>
            </w:r>
          </w:p>
        </w:tc>
        <w:tc>
          <w:tcPr>
            <w:tcW w:w="1120" w:type="dxa"/>
            <w:vAlign w:val="bottom"/>
            <w:shd w:val="clear" w:color="auto" w:fill="CEFFE7"/>
          </w:tcPr>
          <w:p>
            <w:pPr>
              <w:jc w:val="center"/>
              <w:ind w:right="50"/>
              <w:spacing w:after="0"/>
              <w:rPr>
                <w:sz w:val="20"/>
                <w:szCs w:val="20"/>
                <w:color w:val="auto"/>
              </w:rPr>
            </w:pPr>
            <w:r>
              <w:rPr>
                <w:rFonts w:ascii="Arial" w:cs="Arial" w:eastAsia="Arial" w:hAnsi="Arial"/>
                <w:sz w:val="18"/>
                <w:szCs w:val="18"/>
                <w:color w:val="auto"/>
                <w:w w:val="91"/>
              </w:rPr>
              <w:t>Positive</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Moody’s </w:t>
            </w:r>
            <w:r>
              <w:rPr>
                <w:rFonts w:ascii="Arial" w:cs="Arial" w:eastAsia="Arial" w:hAnsi="Arial"/>
                <w:sz w:val="25"/>
                <w:szCs w:val="25"/>
                <w:color w:val="auto"/>
                <w:vertAlign w:val="superscript"/>
              </w:rPr>
              <w:t>(b)</w:t>
            </w:r>
          </w:p>
        </w:tc>
        <w:tc>
          <w:tcPr>
            <w:tcW w:w="2440" w:type="dxa"/>
            <w:vAlign w:val="bottom"/>
          </w:tcPr>
          <w:p>
            <w:pPr>
              <w:ind w:left="1100"/>
              <w:spacing w:after="0"/>
              <w:rPr>
                <w:sz w:val="20"/>
                <w:szCs w:val="20"/>
                <w:color w:val="auto"/>
              </w:rPr>
            </w:pPr>
            <w:r>
              <w:rPr>
                <w:rFonts w:ascii="Arial" w:cs="Arial" w:eastAsia="Arial" w:hAnsi="Arial"/>
                <w:sz w:val="18"/>
                <w:szCs w:val="18"/>
                <w:color w:val="auto"/>
              </w:rPr>
              <w:t>Baa2</w:t>
            </w: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6"/>
              </w:rPr>
              <w:t>Stable</w:t>
            </w:r>
          </w:p>
        </w:tc>
      </w:tr>
      <w:tr>
        <w:trPr>
          <w:trHeight w:val="270"/>
        </w:trPr>
        <w:tc>
          <w:tcPr>
            <w:tcW w:w="786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Fitch </w:t>
            </w:r>
            <w:r>
              <w:rPr>
                <w:rFonts w:ascii="Arial" w:cs="Arial" w:eastAsia="Arial" w:hAnsi="Arial"/>
                <w:sz w:val="25"/>
                <w:szCs w:val="25"/>
                <w:color w:val="auto"/>
                <w:vertAlign w:val="superscript"/>
              </w:rPr>
              <w:t>(c)</w:t>
            </w:r>
          </w:p>
        </w:tc>
        <w:tc>
          <w:tcPr>
            <w:tcW w:w="2440" w:type="dxa"/>
            <w:vAlign w:val="bottom"/>
            <w:shd w:val="clear" w:color="auto" w:fill="CEFFE7"/>
          </w:tcPr>
          <w:p>
            <w:pPr>
              <w:ind w:left="1100"/>
              <w:spacing w:after="0"/>
              <w:rPr>
                <w:sz w:val="20"/>
                <w:szCs w:val="20"/>
                <w:color w:val="auto"/>
              </w:rPr>
            </w:pPr>
            <w:r>
              <w:rPr>
                <w:rFonts w:ascii="Arial" w:cs="Arial" w:eastAsia="Arial" w:hAnsi="Arial"/>
                <w:sz w:val="18"/>
                <w:szCs w:val="18"/>
                <w:color w:val="auto"/>
              </w:rPr>
              <w:t>BBB+</w:t>
            </w:r>
          </w:p>
        </w:tc>
        <w:tc>
          <w:tcPr>
            <w:tcW w:w="1120" w:type="dxa"/>
            <w:vAlign w:val="bottom"/>
            <w:shd w:val="clear" w:color="auto" w:fill="CEFFE7"/>
          </w:tcPr>
          <w:p>
            <w:pPr>
              <w:jc w:val="center"/>
              <w:ind w:right="30"/>
              <w:spacing w:after="0"/>
              <w:rPr>
                <w:sz w:val="20"/>
                <w:szCs w:val="20"/>
                <w:color w:val="auto"/>
              </w:rPr>
            </w:pPr>
            <w:r>
              <w:rPr>
                <w:rFonts w:ascii="Arial" w:cs="Arial" w:eastAsia="Arial" w:hAnsi="Arial"/>
                <w:sz w:val="18"/>
                <w:szCs w:val="18"/>
                <w:color w:val="auto"/>
                <w:w w:val="86"/>
              </w:rPr>
              <w:t>Stable</w:t>
            </w:r>
          </w:p>
        </w:tc>
      </w:tr>
      <w:tr>
        <w:trPr>
          <w:trHeight w:val="179"/>
        </w:trPr>
        <w:tc>
          <w:tcPr>
            <w:tcW w:w="786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2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9"/>
        </w:trPr>
        <w:tc>
          <w:tcPr>
            <w:tcW w:w="7860" w:type="dxa"/>
            <w:vAlign w:val="bottom"/>
          </w:tcPr>
          <w:p>
            <w:pPr>
              <w:spacing w:after="0"/>
              <w:rPr>
                <w:sz w:val="20"/>
                <w:szCs w:val="20"/>
                <w:color w:val="auto"/>
              </w:rPr>
            </w:pPr>
            <w:r>
              <w:rPr>
                <w:rFonts w:ascii="Arial" w:cs="Arial" w:eastAsia="Arial" w:hAnsi="Arial"/>
                <w:sz w:val="16"/>
                <w:szCs w:val="16"/>
                <w:color w:val="auto"/>
              </w:rPr>
              <w:t>(a)  On March 8, 2018, S&amp;P affirmed BBB rating and revised the outlook to Positive.</w:t>
            </w:r>
          </w:p>
        </w:tc>
        <w:tc>
          <w:tcPr>
            <w:tcW w:w="2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7860" w:type="dxa"/>
            <w:vAlign w:val="bottom"/>
          </w:tcPr>
          <w:p>
            <w:pPr>
              <w:spacing w:after="0"/>
              <w:rPr>
                <w:sz w:val="20"/>
                <w:szCs w:val="20"/>
                <w:color w:val="auto"/>
              </w:rPr>
            </w:pPr>
            <w:r>
              <w:rPr>
                <w:rFonts w:ascii="Arial" w:cs="Arial" w:eastAsia="Arial" w:hAnsi="Arial"/>
                <w:sz w:val="16"/>
                <w:szCs w:val="16"/>
                <w:color w:val="auto"/>
              </w:rPr>
              <w:t>(b)  On December 12, 2017, Moody’s affirmed our Baa2 rating and maintained a Stable outlook.</w:t>
            </w:r>
          </w:p>
        </w:tc>
        <w:tc>
          <w:tcPr>
            <w:tcW w:w="2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6"/>
        </w:trPr>
        <w:tc>
          <w:tcPr>
            <w:tcW w:w="7860" w:type="dxa"/>
            <w:vAlign w:val="bottom"/>
          </w:tcPr>
          <w:p>
            <w:pPr>
              <w:spacing w:after="0"/>
              <w:rPr>
                <w:sz w:val="20"/>
                <w:szCs w:val="20"/>
                <w:color w:val="auto"/>
              </w:rPr>
            </w:pPr>
            <w:r>
              <w:rPr>
                <w:rFonts w:ascii="Arial" w:cs="Arial" w:eastAsia="Arial" w:hAnsi="Arial"/>
                <w:sz w:val="16"/>
                <w:szCs w:val="16"/>
                <w:color w:val="auto"/>
              </w:rPr>
              <w:t>(c)  On October 4, 2017, Fitch affirmed BBB+ rating and maintained a Stable outlook.</w:t>
            </w:r>
          </w:p>
        </w:tc>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98"/>
        </w:trPr>
        <w:tc>
          <w:tcPr>
            <w:tcW w:w="7860" w:type="dxa"/>
            <w:vAlign w:val="bottom"/>
          </w:tcPr>
          <w:p>
            <w:pPr>
              <w:spacing w:after="0"/>
              <w:rPr>
                <w:sz w:val="20"/>
                <w:szCs w:val="20"/>
                <w:color w:val="auto"/>
              </w:rPr>
            </w:pPr>
            <w:r>
              <w:rPr>
                <w:rFonts w:ascii="Arial" w:cs="Arial" w:eastAsia="Arial" w:hAnsi="Arial"/>
                <w:sz w:val="18"/>
                <w:szCs w:val="18"/>
                <w:color w:val="auto"/>
              </w:rPr>
              <w:t>The following table represents the credit ratings of South Dakota Electric at March 31, 2018:</w:t>
            </w:r>
          </w:p>
        </w:tc>
        <w:tc>
          <w:tcPr>
            <w:tcW w:w="24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Rating Agency</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9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9"/>
              </w:rPr>
              <w:t>Senior Secured Rating</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S&amp;P</w:t>
            </w:r>
          </w:p>
        </w:tc>
        <w:tc>
          <w:tcPr>
            <w:tcW w:w="24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center"/>
              <w:ind w:right="510"/>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Moody’s</w:t>
            </w:r>
          </w:p>
        </w:tc>
        <w:tc>
          <w:tcPr>
            <w:tcW w:w="2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center"/>
              <w:ind w:right="510"/>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Fitch</w:t>
            </w:r>
          </w:p>
        </w:tc>
        <w:tc>
          <w:tcPr>
            <w:tcW w:w="24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center"/>
              <w:ind w:right="51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432"/>
        </w:trPr>
        <w:tc>
          <w:tcPr>
            <w:tcW w:w="7820" w:type="dxa"/>
            <w:vAlign w:val="bottom"/>
            <w:gridSpan w:val="6"/>
          </w:tcPr>
          <w:p>
            <w:pPr>
              <w:spacing w:after="0"/>
              <w:rPr>
                <w:sz w:val="20"/>
                <w:szCs w:val="20"/>
                <w:color w:val="auto"/>
              </w:rPr>
            </w:pPr>
            <w:r>
              <w:rPr>
                <w:rFonts w:ascii="Arial" w:cs="Arial" w:eastAsia="Arial" w:hAnsi="Arial"/>
                <w:sz w:val="18"/>
                <w:szCs w:val="18"/>
                <w:color w:val="auto"/>
              </w:rPr>
              <w:t>There were no rating changes for South Dakota Electric from previously disclosed ratings.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Capital Requirements</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7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20" w:type="dxa"/>
            <w:vAlign w:val="bottom"/>
            <w:gridSpan w:val="4"/>
          </w:tcPr>
          <w:p>
            <w:pPr>
              <w:spacing w:after="0"/>
              <w:rPr>
                <w:sz w:val="20"/>
                <w:szCs w:val="20"/>
                <w:color w:val="auto"/>
              </w:rPr>
            </w:pPr>
            <w:r>
              <w:rPr>
                <w:rFonts w:ascii="Arial" w:cs="Arial" w:eastAsia="Arial" w:hAnsi="Arial"/>
                <w:sz w:val="18"/>
                <w:szCs w:val="18"/>
                <w:color w:val="auto"/>
              </w:rPr>
              <w:t>Actual and forecasted capital requirements are as follows (in thousands):</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jc w:val="center"/>
              <w:ind w:right="190"/>
              <w:spacing w:after="0"/>
              <w:rPr>
                <w:sz w:val="20"/>
                <w:szCs w:val="20"/>
                <w:color w:val="auto"/>
              </w:rPr>
            </w:pPr>
            <w:r>
              <w:rPr>
                <w:rFonts w:ascii="Arial" w:cs="Arial" w:eastAsia="Arial" w:hAnsi="Arial"/>
                <w:sz w:val="18"/>
                <w:szCs w:val="18"/>
                <w:color w:val="auto"/>
                <w:w w:val="91"/>
              </w:rPr>
              <w:t>Expenditures for the</w:t>
            </w:r>
          </w:p>
        </w:tc>
        <w:tc>
          <w:tcPr>
            <w:tcW w:w="280" w:type="dxa"/>
            <w:vAlign w:val="bottom"/>
          </w:tcPr>
          <w:p>
            <w:pPr>
              <w:spacing w:after="0"/>
              <w:rPr>
                <w:sz w:val="24"/>
                <w:szCs w:val="24"/>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94"/>
              </w:rPr>
              <w:t>Total</w:t>
            </w:r>
          </w:p>
        </w:tc>
        <w:tc>
          <w:tcPr>
            <w:tcW w:w="320" w:type="dxa"/>
            <w:vAlign w:val="bottom"/>
          </w:tcPr>
          <w:p>
            <w:pPr>
              <w:spacing w:after="0"/>
              <w:rPr>
                <w:sz w:val="24"/>
                <w:szCs w:val="24"/>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color w:val="auto"/>
                <w:w w:val="89"/>
              </w:rPr>
              <w:t>Total</w:t>
            </w:r>
          </w:p>
        </w:tc>
        <w:tc>
          <w:tcPr>
            <w:tcW w:w="440" w:type="dxa"/>
            <w:vAlign w:val="bottom"/>
          </w:tcPr>
          <w:p>
            <w:pPr>
              <w:spacing w:after="0"/>
              <w:rPr>
                <w:sz w:val="24"/>
                <w:szCs w:val="24"/>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56"/>
        </w:trPr>
        <w:tc>
          <w:tcPr>
            <w:tcW w:w="15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240" w:type="dxa"/>
            <w:vAlign w:val="bottom"/>
            <w:gridSpan w:val="2"/>
          </w:tcPr>
          <w:p>
            <w:pPr>
              <w:jc w:val="center"/>
              <w:spacing w:after="0"/>
              <w:rPr>
                <w:sz w:val="20"/>
                <w:szCs w:val="20"/>
                <w:color w:val="auto"/>
              </w:rPr>
            </w:pPr>
            <w:r>
              <w:rPr>
                <w:rFonts w:ascii="Arial" w:cs="Arial" w:eastAsia="Arial" w:hAnsi="Arial"/>
                <w:sz w:val="18"/>
                <w:szCs w:val="18"/>
                <w:color w:val="auto"/>
                <w:w w:val="91"/>
              </w:rPr>
              <w:t>Three Months Ended March</w:t>
            </w:r>
          </w:p>
        </w:tc>
        <w:tc>
          <w:tcPr>
            <w:tcW w:w="280" w:type="dxa"/>
            <w:vAlign w:val="bottom"/>
          </w:tcPr>
          <w:p>
            <w:pPr>
              <w:spacing w:after="0"/>
              <w:rPr>
                <w:sz w:val="22"/>
                <w:szCs w:val="22"/>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88"/>
              </w:rPr>
              <w:t>2018 Planned</w:t>
            </w:r>
          </w:p>
        </w:tc>
        <w:tc>
          <w:tcPr>
            <w:tcW w:w="320" w:type="dxa"/>
            <w:vAlign w:val="bottom"/>
          </w:tcPr>
          <w:p>
            <w:pPr>
              <w:spacing w:after="0"/>
              <w:rPr>
                <w:sz w:val="22"/>
                <w:szCs w:val="22"/>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color w:val="auto"/>
                <w:w w:val="89"/>
              </w:rPr>
              <w:t>2019 Planned</w:t>
            </w:r>
          </w:p>
        </w:tc>
        <w:tc>
          <w:tcPr>
            <w:tcW w:w="440" w:type="dxa"/>
            <w:vAlign w:val="bottom"/>
          </w:tcPr>
          <w:p>
            <w:pPr>
              <w:spacing w:after="0"/>
              <w:rPr>
                <w:sz w:val="22"/>
                <w:szCs w:val="22"/>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88"/>
              </w:rPr>
              <w:t>2020 Planned</w:t>
            </w:r>
          </w:p>
        </w:tc>
        <w:tc>
          <w:tcPr>
            <w:tcW w:w="0" w:type="dxa"/>
            <w:vAlign w:val="bottom"/>
          </w:tcPr>
          <w:p>
            <w:pPr>
              <w:spacing w:after="0"/>
              <w:rPr>
                <w:sz w:val="1"/>
                <w:szCs w:val="1"/>
                <w:color w:val="auto"/>
              </w:rPr>
            </w:pPr>
          </w:p>
        </w:tc>
      </w:tr>
      <w:tr>
        <w:trPr>
          <w:trHeight w:val="257"/>
        </w:trPr>
        <w:tc>
          <w:tcPr>
            <w:tcW w:w="1520" w:type="dxa"/>
            <w:vAlign w:val="bottom"/>
            <w:tcBorders>
              <w:bottom w:val="single" w:sz="8" w:color="CEFFE7"/>
            </w:tcBorders>
          </w:tcPr>
          <w:p>
            <w:pPr>
              <w:spacing w:after="0"/>
              <w:rPr>
                <w:sz w:val="22"/>
                <w:szCs w:val="22"/>
                <w:color w:val="auto"/>
              </w:rPr>
            </w:pPr>
          </w:p>
        </w:tc>
        <w:tc>
          <w:tcPr>
            <w:tcW w:w="2260" w:type="dxa"/>
            <w:vAlign w:val="bottom"/>
            <w:tcBorders>
              <w:bottom w:val="single" w:sz="8" w:color="CEFFE7"/>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center"/>
              <w:ind w:right="210"/>
              <w:spacing w:after="0" w:line="257" w:lineRule="exact"/>
              <w:rPr>
                <w:sz w:val="20"/>
                <w:szCs w:val="20"/>
                <w:color w:val="auto"/>
              </w:rPr>
            </w:pPr>
            <w:r>
              <w:rPr>
                <w:rFonts w:ascii="Arial" w:cs="Arial" w:eastAsia="Arial" w:hAnsi="Arial"/>
                <w:sz w:val="18"/>
                <w:szCs w:val="18"/>
                <w:color w:val="auto"/>
                <w:w w:val="85"/>
              </w:rPr>
              <w:t xml:space="preserve">31, 2018 </w:t>
            </w:r>
            <w:r>
              <w:rPr>
                <w:rFonts w:ascii="Arial" w:cs="Arial" w:eastAsia="Arial" w:hAnsi="Arial"/>
                <w:sz w:val="25"/>
                <w:szCs w:val="25"/>
                <w:color w:val="auto"/>
                <w:w w:val="85"/>
                <w:vertAlign w:val="superscript"/>
              </w:rPr>
              <w:t>(a)</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30"/>
              <w:spacing w:after="0" w:line="257" w:lineRule="exact"/>
              <w:rPr>
                <w:sz w:val="20"/>
                <w:szCs w:val="20"/>
                <w:color w:val="auto"/>
              </w:rPr>
            </w:pPr>
            <w:r>
              <w:rPr>
                <w:rFonts w:ascii="Arial" w:cs="Arial" w:eastAsia="Arial" w:hAnsi="Arial"/>
                <w:sz w:val="18"/>
                <w:szCs w:val="18"/>
                <w:color w:val="auto"/>
                <w:w w:val="87"/>
              </w:rPr>
              <w:t xml:space="preserve">Expenditures </w:t>
            </w:r>
            <w:r>
              <w:rPr>
                <w:rFonts w:ascii="Arial" w:cs="Arial" w:eastAsia="Arial" w:hAnsi="Arial"/>
                <w:sz w:val="25"/>
                <w:szCs w:val="25"/>
                <w:color w:val="auto"/>
                <w:w w:val="87"/>
                <w:vertAlign w:val="superscript"/>
              </w:rPr>
              <w:t>(b)</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Expenditures</w:t>
            </w: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Expenditures</w:t>
            </w:r>
          </w:p>
        </w:tc>
        <w:tc>
          <w:tcPr>
            <w:tcW w:w="0" w:type="dxa"/>
            <w:vAlign w:val="bottom"/>
          </w:tcPr>
          <w:p>
            <w:pPr>
              <w:spacing w:after="0"/>
              <w:rPr>
                <w:sz w:val="1"/>
                <w:szCs w:val="1"/>
                <w:color w:val="auto"/>
              </w:rPr>
            </w:pPr>
          </w:p>
        </w:tc>
      </w:tr>
      <w:tr>
        <w:trPr>
          <w:trHeight w:val="244"/>
        </w:trPr>
        <w:tc>
          <w:tcPr>
            <w:tcW w:w="3780" w:type="dxa"/>
            <w:vAlign w:val="bottom"/>
            <w:tcBorders>
              <w:bottom w:val="single" w:sz="8" w:color="CEFFE7"/>
            </w:tcBorders>
            <w:gridSpan w:val="2"/>
            <w:shd w:val="clear" w:color="auto" w:fill="CEFFE7"/>
          </w:tcPr>
          <w:p>
            <w:pPr>
              <w:ind w:left="120"/>
              <w:spacing w:after="0"/>
              <w:rPr>
                <w:sz w:val="20"/>
                <w:szCs w:val="20"/>
                <w:color w:val="auto"/>
              </w:rPr>
            </w:pPr>
            <w:r>
              <w:rPr>
                <w:rFonts w:ascii="Arial" w:cs="Arial" w:eastAsia="Arial" w:hAnsi="Arial"/>
                <w:sz w:val="18"/>
                <w:szCs w:val="18"/>
                <w:color w:val="auto"/>
              </w:rPr>
              <w:t>Electric Utilities</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23,985</w:t>
            </w:r>
          </w:p>
        </w:tc>
        <w:tc>
          <w:tcPr>
            <w:tcW w:w="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149,000</w:t>
            </w:r>
          </w:p>
        </w:tc>
        <w:tc>
          <w:tcPr>
            <w:tcW w:w="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193,000</w:t>
            </w:r>
          </w:p>
        </w:tc>
        <w:tc>
          <w:tcPr>
            <w:tcW w:w="4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141,000</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20"/>
              <w:spacing w:after="0"/>
              <w:rPr>
                <w:sz w:val="20"/>
                <w:szCs w:val="20"/>
                <w:color w:val="auto"/>
              </w:rPr>
            </w:pPr>
            <w:r>
              <w:rPr>
                <w:rFonts w:ascii="Arial" w:cs="Arial" w:eastAsia="Arial" w:hAnsi="Arial"/>
                <w:sz w:val="18"/>
                <w:szCs w:val="18"/>
                <w:color w:val="auto"/>
              </w:rPr>
              <w:t>Gas Utilities</w:t>
            </w:r>
          </w:p>
        </w:tc>
        <w:tc>
          <w:tcPr>
            <w:tcW w:w="24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38,060</w:t>
            </w:r>
          </w:p>
        </w:tc>
        <w:tc>
          <w:tcPr>
            <w:tcW w:w="2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263,000</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279,000</w:t>
            </w: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245,000</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gridSpan w:val="2"/>
            <w:shd w:val="clear" w:color="auto" w:fill="CEFFE7"/>
          </w:tcPr>
          <w:p>
            <w:pPr>
              <w:ind w:left="12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(c)</w:t>
            </w:r>
          </w:p>
        </w:tc>
        <w:tc>
          <w:tcPr>
            <w:tcW w:w="240" w:type="dxa"/>
            <w:vAlign w:val="bottom"/>
            <w:shd w:val="clear" w:color="auto" w:fill="CEFFE7"/>
          </w:tcPr>
          <w:p>
            <w:pPr>
              <w:spacing w:after="0"/>
              <w:rPr>
                <w:sz w:val="23"/>
                <w:szCs w:val="23"/>
                <w:color w:val="auto"/>
              </w:rPr>
            </w:pPr>
          </w:p>
        </w:tc>
        <w:tc>
          <w:tcPr>
            <w:tcW w:w="200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322</w:t>
            </w:r>
          </w:p>
        </w:tc>
        <w:tc>
          <w:tcPr>
            <w:tcW w:w="280" w:type="dxa"/>
            <w:vAlign w:val="bottom"/>
            <w:shd w:val="clear" w:color="auto" w:fill="CEFFE7"/>
          </w:tcPr>
          <w:p>
            <w:pPr>
              <w:spacing w:after="0"/>
              <w:rPr>
                <w:sz w:val="23"/>
                <w:szCs w:val="23"/>
                <w:color w:val="auto"/>
              </w:rPr>
            </w:pPr>
          </w:p>
        </w:tc>
        <w:tc>
          <w:tcPr>
            <w:tcW w:w="15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13,000</w:t>
            </w:r>
          </w:p>
        </w:tc>
        <w:tc>
          <w:tcPr>
            <w:tcW w:w="320" w:type="dxa"/>
            <w:vAlign w:val="bottom"/>
            <w:shd w:val="clear" w:color="auto" w:fill="CEFFE7"/>
          </w:tcPr>
          <w:p>
            <w:pPr>
              <w:spacing w:after="0"/>
              <w:rPr>
                <w:sz w:val="23"/>
                <w:szCs w:val="23"/>
                <w:color w:val="auto"/>
              </w:rPr>
            </w:pPr>
          </w:p>
        </w:tc>
        <w:tc>
          <w:tcPr>
            <w:tcW w:w="13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74,000</w:t>
            </w:r>
          </w:p>
        </w:tc>
        <w:tc>
          <w:tcPr>
            <w:tcW w:w="440" w:type="dxa"/>
            <w:vAlign w:val="bottom"/>
            <w:shd w:val="clear" w:color="auto" w:fill="CEFFE7"/>
          </w:tcPr>
          <w:p>
            <w:pPr>
              <w:spacing w:after="0"/>
              <w:rPr>
                <w:sz w:val="23"/>
                <w:szCs w:val="23"/>
                <w:color w:val="auto"/>
              </w:rPr>
            </w:pPr>
          </w:p>
        </w:tc>
        <w:tc>
          <w:tcPr>
            <w:tcW w:w="14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20"/>
              <w:spacing w:after="0"/>
              <w:rPr>
                <w:sz w:val="20"/>
                <w:szCs w:val="20"/>
                <w:color w:val="auto"/>
              </w:rPr>
            </w:pPr>
            <w:r>
              <w:rPr>
                <w:rFonts w:ascii="Arial" w:cs="Arial" w:eastAsia="Arial" w:hAnsi="Arial"/>
                <w:sz w:val="18"/>
                <w:szCs w:val="18"/>
                <w:color w:val="auto"/>
              </w:rPr>
              <w:t>Mining</w:t>
            </w:r>
          </w:p>
        </w:tc>
        <w:tc>
          <w:tcPr>
            <w:tcW w:w="24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1,668</w:t>
            </w:r>
          </w:p>
        </w:tc>
        <w:tc>
          <w:tcPr>
            <w:tcW w:w="2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7,000</w:t>
            </w: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EFFE7"/>
            </w:tcBorders>
            <w:gridSpan w:val="2"/>
            <w:shd w:val="clear" w:color="auto" w:fill="CEFFE7"/>
          </w:tcPr>
          <w:p>
            <w:pPr>
              <w:ind w:left="12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CEFFE7"/>
            </w:tcBorders>
            <w:shd w:val="clear" w:color="auto" w:fill="CEFFE7"/>
          </w:tcPr>
          <w:p>
            <w:pPr>
              <w:spacing w:after="0"/>
              <w:rPr>
                <w:sz w:val="23"/>
                <w:szCs w:val="23"/>
                <w:color w:val="auto"/>
              </w:rPr>
            </w:pPr>
          </w:p>
        </w:tc>
        <w:tc>
          <w:tcPr>
            <w:tcW w:w="20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461</w:t>
            </w:r>
          </w:p>
        </w:tc>
        <w:tc>
          <w:tcPr>
            <w:tcW w:w="280" w:type="dxa"/>
            <w:vAlign w:val="bottom"/>
            <w:tcBorders>
              <w:bottom w:val="single" w:sz="8" w:color="CEFFE7"/>
            </w:tcBorders>
            <w:shd w:val="clear" w:color="auto" w:fill="CEFFE7"/>
          </w:tcPr>
          <w:p>
            <w:pPr>
              <w:spacing w:after="0"/>
              <w:rPr>
                <w:sz w:val="23"/>
                <w:szCs w:val="23"/>
                <w:color w:val="auto"/>
              </w:rPr>
            </w:pP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10,000</w:t>
            </w:r>
          </w:p>
        </w:tc>
        <w:tc>
          <w:tcPr>
            <w:tcW w:w="320" w:type="dxa"/>
            <w:vAlign w:val="bottom"/>
            <w:tcBorders>
              <w:bottom w:val="single" w:sz="8" w:color="CEFFE7"/>
            </w:tcBorders>
            <w:shd w:val="clear" w:color="auto" w:fill="CEFFE7"/>
          </w:tcPr>
          <w:p>
            <w:pPr>
              <w:spacing w:after="0"/>
              <w:rPr>
                <w:sz w:val="23"/>
                <w:szCs w:val="23"/>
                <w:color w:val="auto"/>
              </w:rPr>
            </w:pP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13,000</w:t>
            </w:r>
          </w:p>
        </w:tc>
        <w:tc>
          <w:tcPr>
            <w:tcW w:w="44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64,496</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442,000</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566,000</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406,000</w:t>
            </w:r>
          </w:p>
        </w:tc>
        <w:tc>
          <w:tcPr>
            <w:tcW w:w="0" w:type="dxa"/>
            <w:vAlign w:val="bottom"/>
          </w:tcPr>
          <w:p>
            <w:pPr>
              <w:spacing w:after="0"/>
              <w:rPr>
                <w:sz w:val="1"/>
                <w:szCs w:val="1"/>
                <w:color w:val="auto"/>
              </w:rPr>
            </w:pPr>
          </w:p>
        </w:tc>
      </w:tr>
      <w:tr>
        <w:trPr>
          <w:trHeight w:val="27"/>
        </w:trPr>
        <w:tc>
          <w:tcPr>
            <w:tcW w:w="15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20" w:type="dxa"/>
            <w:vAlign w:val="bottom"/>
            <w:vMerge w:val="continu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520" w:type="dxa"/>
            <w:vAlign w:val="bottom"/>
            <w:vMerge w:val="continue"/>
          </w:tcPr>
          <w:p>
            <w:pPr>
              <w:spacing w:after="0"/>
              <w:rPr>
                <w:sz w:val="15"/>
                <w:szCs w:val="15"/>
                <w:color w:val="auto"/>
              </w:rPr>
            </w:pPr>
          </w:p>
        </w:tc>
        <w:tc>
          <w:tcPr>
            <w:tcW w:w="2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60" w:hanging="352"/>
        <w:spacing w:after="0"/>
        <w:tabs>
          <w:tab w:leader="none" w:pos="3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Expenditures for the three months ended March 31, 2018 include the impact of accruals for property, plant and equipment.</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actual capital expenditures for the three months ended March 31, 2018.</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Planned capital expenditures for 2018 and 2019 include the Busch Ranch II wind project.</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continue to evaluate potential future acquisitions and other growth opportunities when they arise. As a result, capital expenditures may vary significantly from the estimates identified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have been no significant changes in contractual obligations from those previously disclosed in Note 19 of our Notes to the Consolidated Financial Statements in our 2017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significant changes to guarantees from those previously disclosed in Note 20 of the Notes to the Consolidated Financial Statements in our 2017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Other than the pronouncements reported in our 2017 Annual Report on Form 10-K filed with the SEC and those discussed in Note 1 of the Notes to Condensed Consolidated Financial Statements in this Quarterly Report on Form 10-Q, there have been no new accounting pronouncements that are expected to have a material effect on our financial position, results of operations, or cash flows.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Quarterly Report on Form 10-Q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Item 2 - Management’s Discussion &amp; Analysis of Financial Condition and Results of Operations.</w:t>
      </w:r>
    </w:p>
    <w:p>
      <w:pPr>
        <w:spacing w:after="0" w:line="19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forward-looking statement contained in this document speaks only as of the date on which the statement was made, and the Company undertakes no obligation to update any forward-looking statement or statements to reflect events or circumstances that occur after the date on which the statement was made or to reflect the occurrence of unanticipated events. New factors emerge from time to time,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described in our 2017 Annual Report on Form 10-K including statements contained within Item 1A - Risk Factors of our 2017 Annual Report on Form 10-K, Part II, Item 1A of this Quarterly Report on Form 10-Q and other reports that we file with the SEC from time to time.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796" w:right="279" w:bottom="1440" w:gutter="0" w:footer="0" w:header="0"/>
        </w:sectPr>
      </w:pPr>
    </w:p>
    <w:bookmarkStart w:id="55" w:name="page56"/>
    <w:bookmarkEnd w:id="55"/>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Utilities</w:t>
      </w:r>
    </w:p>
    <w:p>
      <w:pPr>
        <w:spacing w:after="0" w:line="229"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Our utility customers are exposed to natural gas price volatility. Therefore, as allowed or required by state utility commissions, we have entered into commission-approved hedging programs utilizing natural gas futures, options and basis swaps to reduce our customers’ underlying exposure to these fluctuations. The fair value of our utilities’ derivative contracts is summarized below (in thousands) as of:</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jc w:val="right"/>
              <w:ind w:right="470"/>
              <w:spacing w:after="0"/>
              <w:rPr>
                <w:sz w:val="20"/>
                <w:szCs w:val="20"/>
                <w:color w:val="auto"/>
              </w:rPr>
            </w:pPr>
            <w:r>
              <w:rPr>
                <w:rFonts w:ascii="Arial" w:cs="Arial" w:eastAsia="Arial" w:hAnsi="Arial"/>
                <w:sz w:val="18"/>
                <w:szCs w:val="18"/>
                <w:color w:val="auto"/>
              </w:rPr>
              <w:t>March 31, 2018</w:t>
            </w:r>
          </w:p>
        </w:tc>
        <w:tc>
          <w:tcPr>
            <w:tcW w:w="320" w:type="dxa"/>
            <w:vAlign w:val="bottom"/>
          </w:tcPr>
          <w:p>
            <w:pPr>
              <w:spacing w:after="0"/>
              <w:rPr>
                <w:sz w:val="20"/>
                <w:szCs w:val="20"/>
                <w:color w:val="auto"/>
              </w:rPr>
            </w:pPr>
          </w:p>
        </w:tc>
        <w:tc>
          <w:tcPr>
            <w:tcW w:w="1960" w:type="dxa"/>
            <w:vAlign w:val="bottom"/>
          </w:tcPr>
          <w:p>
            <w:pPr>
              <w:jc w:val="right"/>
              <w:ind w:right="330"/>
              <w:spacing w:after="0"/>
              <w:rPr>
                <w:sz w:val="20"/>
                <w:szCs w:val="20"/>
                <w:color w:val="auto"/>
              </w:rPr>
            </w:pPr>
            <w:r>
              <w:rPr>
                <w:rFonts w:ascii="Arial" w:cs="Arial" w:eastAsia="Arial" w:hAnsi="Arial"/>
                <w:sz w:val="18"/>
                <w:szCs w:val="18"/>
                <w:color w:val="auto"/>
                <w:w w:val="96"/>
              </w:rPr>
              <w:t>December 31, 2017</w:t>
            </w:r>
          </w:p>
        </w:tc>
        <w:tc>
          <w:tcPr>
            <w:tcW w:w="380" w:type="dxa"/>
            <w:vAlign w:val="bottom"/>
          </w:tcPr>
          <w:p>
            <w:pPr>
              <w:spacing w:after="0"/>
              <w:rPr>
                <w:sz w:val="20"/>
                <w:szCs w:val="20"/>
                <w:color w:val="auto"/>
              </w:rPr>
            </w:pPr>
          </w:p>
        </w:tc>
        <w:tc>
          <w:tcPr>
            <w:tcW w:w="1840" w:type="dxa"/>
            <w:vAlign w:val="bottom"/>
          </w:tcPr>
          <w:p>
            <w:pPr>
              <w:jc w:val="right"/>
              <w:ind w:right="410"/>
              <w:spacing w:after="0"/>
              <w:rPr>
                <w:sz w:val="20"/>
                <w:szCs w:val="20"/>
                <w:color w:val="auto"/>
              </w:rPr>
            </w:pPr>
            <w:r>
              <w:rPr>
                <w:rFonts w:ascii="Arial" w:cs="Arial" w:eastAsia="Arial" w:hAnsi="Arial"/>
                <w:sz w:val="18"/>
                <w:szCs w:val="18"/>
                <w:color w:val="auto"/>
              </w:rPr>
              <w:t>March 31, 2017</w:t>
            </w:r>
          </w:p>
        </w:tc>
      </w:tr>
      <w:tr>
        <w:trPr>
          <w:trHeight w:val="27"/>
        </w:trPr>
        <w:tc>
          <w:tcPr>
            <w:tcW w:w="470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derivative (liabilities) assets</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(6,002)</w:t>
            </w:r>
          </w:p>
        </w:tc>
        <w:tc>
          <w:tcPr>
            <w:tcW w:w="3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(6,644)</w:t>
            </w:r>
          </w:p>
        </w:tc>
        <w:tc>
          <w:tcPr>
            <w:tcW w:w="38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(7,931)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collateral offset in Derivatives</w:t>
            </w:r>
          </w:p>
        </w:tc>
        <w:tc>
          <w:tcPr>
            <w:tcW w:w="320" w:type="dxa"/>
            <w:vAlign w:val="bottom"/>
          </w:tcPr>
          <w:p>
            <w:pPr>
              <w:spacing w:after="0"/>
              <w:rPr>
                <w:sz w:val="21"/>
                <w:szCs w:val="21"/>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5,078</w:t>
            </w:r>
          </w:p>
        </w:tc>
        <w:tc>
          <w:tcPr>
            <w:tcW w:w="32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7,694</w:t>
            </w:r>
          </w:p>
        </w:tc>
        <w:tc>
          <w:tcPr>
            <w:tcW w:w="3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8,716</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Cash collateral included in Other current assets</w:t>
            </w:r>
          </w:p>
        </w:tc>
        <w:tc>
          <w:tcPr>
            <w:tcW w:w="320" w:type="dxa"/>
            <w:vAlign w:val="bottom"/>
            <w:tcBorders>
              <w:bottom w:val="single" w:sz="8" w:color="CEFFE7"/>
            </w:tcBorders>
            <w:shd w:val="clear" w:color="auto" w:fill="CEFFE7"/>
          </w:tcPr>
          <w:p>
            <w:pPr>
              <w:spacing w:after="0"/>
              <w:rPr>
                <w:sz w:val="23"/>
                <w:szCs w:val="23"/>
                <w:color w:val="auto"/>
              </w:rPr>
            </w:pPr>
          </w:p>
        </w:tc>
        <w:tc>
          <w:tcPr>
            <w:tcW w:w="19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EFFE7"/>
            </w:tcBorders>
            <w:shd w:val="clear" w:color="auto" w:fill="CEFFE7"/>
          </w:tcPr>
          <w:p>
            <w:pPr>
              <w:spacing w:after="0"/>
              <w:rPr>
                <w:sz w:val="23"/>
                <w:szCs w:val="23"/>
                <w:color w:val="auto"/>
              </w:rPr>
            </w:pPr>
          </w:p>
        </w:tc>
        <w:tc>
          <w:tcPr>
            <w:tcW w:w="19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562</w:t>
            </w:r>
          </w:p>
        </w:tc>
        <w:tc>
          <w:tcPr>
            <w:tcW w:w="38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3,231</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Net asset (liability) position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1,096</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1,612</w:t>
            </w:r>
          </w:p>
        </w:tc>
        <w:tc>
          <w:tcPr>
            <w:tcW w:w="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4,016</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Historically, we have entered into floating-to-fixed interest rate swap agreements to reduce our exposure to interest rate fluctuations associated with our floating rate debt obligations and anticipated debt refinancings. At March 31, 2018, December 31, 2017 and March 31, 2017, we had no interest rate swaps in place.</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Chief Executive Officer and Chief Financial Officer evaluated the effectiveness of our disclosure controls and procedures (as defined in Rules 13a-15(e) and 15d-15(e) of the Securities Exchange Act of 1934) as of March 31, 2018. Based on their evaluation, they have concluded that our disclosure controls and procedures were effective at March 31, 2018.</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Security Exchange Act of 1934, as amended,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quarter ended March 31, 2018, there have been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0" w:right="23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color w:val="auto"/>
        </w:rPr>
        <w:t>BLACK HILLS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 II — Other Information</w:t>
      </w:r>
    </w:p>
    <w:p>
      <w:pPr>
        <w:spacing w:after="0" w:line="200" w:lineRule="exact"/>
        <w:rPr>
          <w:sz w:val="20"/>
          <w:szCs w:val="20"/>
          <w:color w:val="auto"/>
        </w:rPr>
      </w:pP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Legal Proceedings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regarding legal proceedings, see Note 19 in Item 8 of our 2017 Annual Report on Form 10-K and Note 17 in Item 1 of Part I of this Quarterly Report on Form 10-Q, which information from Note 17 is incorporated by reference into this item.</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There are no material changes to the risk factors previously disclosed in Item 1A of Part I in our 2017 Annual Report on Form 10-K filed with the SEC.</w:t>
      </w:r>
    </w:p>
    <w:p>
      <w:pPr>
        <w:spacing w:after="0" w:line="2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securities sold during the three months ended March 31, 2018.</w:t>
      </w:r>
    </w:p>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Mine Safety Disclosures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in Exhibit 95 of this Quarterly Report on Form 10-Q.</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584" w:right="2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134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47"/>
        </w:trPr>
        <w:tc>
          <w:tcPr>
            <w:tcW w:w="2320" w:type="dxa"/>
            <w:vAlign w:val="bottom"/>
            <w:gridSpan w:val="3"/>
          </w:tcPr>
          <w:p>
            <w:pPr>
              <w:ind w:left="520"/>
              <w:spacing w:after="0"/>
              <w:rPr>
                <w:sz w:val="20"/>
                <w:szCs w:val="20"/>
                <w:color w:val="auto"/>
              </w:rPr>
            </w:pPr>
            <w:r>
              <w:rPr>
                <w:rFonts w:ascii="Arial" w:cs="Arial" w:eastAsia="Arial" w:hAnsi="Arial"/>
                <w:sz w:val="18"/>
                <w:szCs w:val="18"/>
                <w:b w:val="1"/>
                <w:bCs w:val="1"/>
                <w:color w:val="auto"/>
              </w:rPr>
              <w:t>Exhibit Number</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40" w:type="dxa"/>
            <w:vAlign w:val="bottom"/>
            <w:gridSpan w:val="23"/>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426"/>
        </w:trPr>
        <w:tc>
          <w:tcPr>
            <w:tcW w:w="980" w:type="dxa"/>
            <w:vAlign w:val="bottom"/>
          </w:tcPr>
          <w:p>
            <w:pPr>
              <w:ind w:left="40"/>
              <w:spacing w:after="0"/>
              <w:rPr>
                <w:sz w:val="20"/>
                <w:szCs w:val="20"/>
                <w:color w:val="auto"/>
              </w:rPr>
            </w:pPr>
            <w:r>
              <w:rPr>
                <w:rFonts w:ascii="Arial" w:cs="Arial" w:eastAsia="Arial" w:hAnsi="Arial"/>
                <w:sz w:val="18"/>
                <w:szCs w:val="18"/>
                <w:color w:val="auto"/>
              </w:rPr>
              <w:t>Exhibit 2.1*</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20" w:type="dxa"/>
            <w:vAlign w:val="bottom"/>
            <w:tcBorders>
              <w:bottom w:val="single" w:sz="8" w:color="0000FF"/>
            </w:tcBorders>
            <w:gridSpan w:val="18"/>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Purchase and Sale Agreement by and among Alinda Gas Delaware LLC, Alinda Infrastructure Fund I, L.P. and Aircraft</w:t>
              </w:r>
            </w:hyperlink>
          </w:p>
        </w:tc>
        <w:tc>
          <w:tcPr>
            <w:tcW w:w="480" w:type="dxa"/>
            <w:vAlign w:val="bottom"/>
            <w:gridSpan w:val="1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8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Services Corporation, as Sellers, and Black Hills Utility Holdings, Inc., as Buyer dated as of July 12, 2015 (filed as Exhibit</w:t>
              </w:r>
            </w:hyperlink>
          </w:p>
        </w:tc>
        <w:tc>
          <w:tcPr>
            <w:tcW w:w="220" w:type="dxa"/>
            <w:vAlign w:val="bottom"/>
            <w:gridSpan w:val="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31"/>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2.</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Form 8-K filed on July 14, 2015).</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960" w:type="dxa"/>
            <w:vAlign w:val="bottom"/>
            <w:tcBorders>
              <w:bottom w:val="single" w:sz="8" w:color="0000FF"/>
            </w:tcBorders>
            <w:gridSpan w:val="29"/>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First Amendment to Purchase and Sale Agreement effective December 10, 2015, by and among, Alinda Gas Delaware LLC,</w:t>
              </w:r>
            </w:hyperlink>
          </w:p>
        </w:tc>
        <w:tc>
          <w:tcPr>
            <w:tcW w:w="140" w:type="dxa"/>
            <w:vAlign w:val="bottom"/>
            <w:gridSpan w:val="2"/>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8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Alinda Infrastructure Fund I L.P. and Aircraft Services Corporation, as Sellers, and Black Hills Utility Holdings, Inc., as</w:t>
              </w:r>
            </w:hyperlink>
          </w:p>
        </w:tc>
        <w:tc>
          <w:tcPr>
            <w:tcW w:w="420" w:type="dxa"/>
            <w:vAlign w:val="bottom"/>
            <w:gridSpan w:val="11"/>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31"/>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Buyer (filed as Exhibit 2.2 to the Registrant’s Form 10-K for 2015).</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980" w:type="dxa"/>
            <w:vAlign w:val="bottom"/>
          </w:tcPr>
          <w:p>
            <w:pPr>
              <w:ind w:left="40"/>
              <w:spacing w:after="0"/>
              <w:rPr>
                <w:sz w:val="20"/>
                <w:szCs w:val="20"/>
                <w:color w:val="auto"/>
              </w:rPr>
            </w:pPr>
            <w:r>
              <w:rPr>
                <w:rFonts w:ascii="Arial" w:cs="Arial" w:eastAsia="Arial" w:hAnsi="Arial"/>
                <w:sz w:val="18"/>
                <w:szCs w:val="18"/>
                <w:color w:val="auto"/>
              </w:rPr>
              <w:t>Exhibit 2.2*</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00" w:type="dxa"/>
            <w:vAlign w:val="bottom"/>
            <w:gridSpan w:val="31"/>
          </w:tcPr>
          <w:p>
            <w:pPr>
              <w:spacing w:after="0"/>
              <w:rPr>
                <w:rFonts w:ascii="Arial" w:cs="Arial" w:eastAsia="Arial" w:hAnsi="Arial"/>
                <w:sz w:val="18"/>
                <w:szCs w:val="18"/>
                <w:color w:val="0000FF"/>
                <w:w w:val="94"/>
              </w:rPr>
            </w:pPr>
            <w:hyperlink r:id="rId47">
              <w:r>
                <w:rPr>
                  <w:rFonts w:ascii="Arial" w:cs="Arial" w:eastAsia="Arial" w:hAnsi="Arial"/>
                  <w:sz w:val="18"/>
                  <w:szCs w:val="18"/>
                  <w:color w:val="0000FF"/>
                  <w:w w:val="94"/>
                </w:rPr>
                <w:t>Option Agreement by and among Aircraft Services Corporation, as ASC, SourceGas Holdings LLC, as the Company and</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4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Black Hills Utility Holdings, Inc., as Buyer (filed as Exhibit 2.2 to the Registrant’s Form 8-K filed on July 14, 2015).</w:t>
              </w:r>
            </w:hyperlink>
          </w:p>
        </w:tc>
        <w:tc>
          <w:tcPr>
            <w:tcW w:w="300" w:type="dxa"/>
            <w:vAlign w:val="bottom"/>
            <w:tcBorders>
              <w:top w:val="single" w:sz="8" w:color="0000FF"/>
            </w:tcBorders>
            <w:gridSpan w:val="5"/>
          </w:tcPr>
          <w:p>
            <w:pPr>
              <w:spacing w:after="0"/>
              <w:rPr>
                <w:sz w:val="17"/>
                <w:szCs w:val="17"/>
                <w:color w:val="auto"/>
              </w:rPr>
            </w:pPr>
          </w:p>
        </w:tc>
        <w:tc>
          <w:tcPr>
            <w:tcW w:w="360" w:type="dxa"/>
            <w:vAlign w:val="bottom"/>
            <w:gridSpan w:val="10"/>
          </w:tcPr>
          <w:p>
            <w:pPr>
              <w:spacing w:after="0"/>
              <w:rPr>
                <w:sz w:val="17"/>
                <w:szCs w:val="17"/>
                <w:color w:val="auto"/>
              </w:rPr>
            </w:pPr>
          </w:p>
        </w:tc>
      </w:tr>
      <w:tr>
        <w:trPr>
          <w:trHeight w:val="466"/>
        </w:trPr>
        <w:tc>
          <w:tcPr>
            <w:tcW w:w="980" w:type="dxa"/>
            <w:vAlign w:val="bottom"/>
          </w:tcPr>
          <w:p>
            <w:pPr>
              <w:ind w:left="40"/>
              <w:spacing w:after="0"/>
              <w:rPr>
                <w:sz w:val="20"/>
                <w:szCs w:val="20"/>
                <w:color w:val="auto"/>
              </w:rPr>
            </w:pPr>
            <w:r>
              <w:rPr>
                <w:rFonts w:ascii="Arial" w:cs="Arial" w:eastAsia="Arial" w:hAnsi="Arial"/>
                <w:sz w:val="18"/>
                <w:szCs w:val="18"/>
                <w:color w:val="auto"/>
              </w:rPr>
              <w:t>Exhibit 3.1*</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00" w:type="dxa"/>
            <w:vAlign w:val="bottom"/>
            <w:gridSpan w:val="31"/>
          </w:tcPr>
          <w:p>
            <w:pPr>
              <w:spacing w:after="0"/>
              <w:rPr>
                <w:rFonts w:ascii="Arial" w:cs="Arial" w:eastAsia="Arial" w:hAnsi="Arial"/>
                <w:sz w:val="18"/>
                <w:szCs w:val="18"/>
                <w:color w:val="0000FF"/>
                <w:w w:val="93"/>
              </w:rPr>
            </w:pPr>
            <w:hyperlink r:id="rId48">
              <w:r>
                <w:rPr>
                  <w:rFonts w:ascii="Arial" w:cs="Arial" w:eastAsia="Arial" w:hAnsi="Arial"/>
                  <w:sz w:val="18"/>
                  <w:szCs w:val="18"/>
                  <w:color w:val="0000FF"/>
                  <w:w w:val="93"/>
                </w:rPr>
                <w:t>Restated Articles of Incorporation of the Registrant dated January 30, 2018 (filed as Exhibit 3 to the Registrant’s Form 8-K</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filed on February 5, 2018).</w:t>
              </w:r>
            </w:hyperlink>
          </w:p>
        </w:tc>
        <w:tc>
          <w:tcPr>
            <w:tcW w:w="6920" w:type="dxa"/>
            <w:vAlign w:val="bottom"/>
            <w:tcBorders>
              <w:top w:val="single" w:sz="8" w:color="0000FF"/>
            </w:tcBorders>
            <w:gridSpan w:val="19"/>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480"/>
        </w:trPr>
        <w:tc>
          <w:tcPr>
            <w:tcW w:w="980" w:type="dxa"/>
            <w:vAlign w:val="bottom"/>
          </w:tcPr>
          <w:p>
            <w:pPr>
              <w:ind w:left="40"/>
              <w:spacing w:after="0"/>
              <w:rPr>
                <w:sz w:val="20"/>
                <w:szCs w:val="20"/>
                <w:color w:val="auto"/>
              </w:rPr>
            </w:pPr>
            <w:r>
              <w:rPr>
                <w:rFonts w:ascii="Arial" w:cs="Arial" w:eastAsia="Arial" w:hAnsi="Arial"/>
                <w:sz w:val="18"/>
                <w:szCs w:val="18"/>
                <w:color w:val="auto"/>
              </w:rPr>
              <w:t>Exhibit 3.2*</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00" w:type="dxa"/>
            <w:vAlign w:val="bottom"/>
            <w:gridSpan w:val="31"/>
          </w:tcPr>
          <w:p>
            <w:pPr>
              <w:spacing w:after="0"/>
              <w:rPr>
                <w:rFonts w:ascii="Arial" w:cs="Arial" w:eastAsia="Arial" w:hAnsi="Arial"/>
                <w:sz w:val="18"/>
                <w:szCs w:val="18"/>
                <w:color w:val="0000FF"/>
                <w:w w:val="94"/>
              </w:rPr>
            </w:pPr>
            <w:hyperlink r:id="rId49">
              <w:r>
                <w:rPr>
                  <w:rFonts w:ascii="Arial" w:cs="Arial" w:eastAsia="Arial" w:hAnsi="Arial"/>
                  <w:sz w:val="18"/>
                  <w:szCs w:val="18"/>
                  <w:color w:val="0000FF"/>
                  <w:w w:val="94"/>
                </w:rPr>
                <w:t>Amended and Restated Bylaws of the Registrant dated April 24, 2017 (filed as Exhibit 3 to the Registrant’s Form 8-K filed</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6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on April 28, 2017).</w:t>
              </w:r>
            </w:hyperlink>
          </w:p>
        </w:tc>
        <w:tc>
          <w:tcPr>
            <w:tcW w:w="240" w:type="dxa"/>
            <w:vAlign w:val="bottom"/>
            <w:gridSpan w:val="7"/>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980" w:type="dxa"/>
            <w:vAlign w:val="bottom"/>
          </w:tcPr>
          <w:p>
            <w:pPr>
              <w:ind w:left="40"/>
              <w:spacing w:after="0"/>
              <w:rPr>
                <w:sz w:val="20"/>
                <w:szCs w:val="20"/>
                <w:color w:val="auto"/>
              </w:rPr>
            </w:pPr>
            <w:r>
              <w:rPr>
                <w:rFonts w:ascii="Arial" w:cs="Arial" w:eastAsia="Arial" w:hAnsi="Arial"/>
                <w:sz w:val="18"/>
                <w:szCs w:val="18"/>
                <w:color w:val="auto"/>
              </w:rPr>
              <w:t>Exhibit 4.1*</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80" w:type="dxa"/>
            <w:vAlign w:val="bottom"/>
            <w:tcBorders>
              <w:bottom w:val="single" w:sz="8" w:color="0000FF"/>
            </w:tcBorders>
            <w:gridSpan w:val="20"/>
          </w:tcPr>
          <w:p>
            <w:pPr>
              <w:spacing w:after="0"/>
              <w:rPr>
                <w:rFonts w:ascii="Arial" w:cs="Arial" w:eastAsia="Arial" w:hAnsi="Arial"/>
                <w:sz w:val="18"/>
                <w:szCs w:val="18"/>
                <w:color w:val="0000FF"/>
                <w:w w:val="89"/>
              </w:rPr>
            </w:pPr>
            <w:hyperlink r:id="rId50">
              <w:r>
                <w:rPr>
                  <w:rFonts w:ascii="Arial" w:cs="Arial" w:eastAsia="Arial" w:hAnsi="Arial"/>
                  <w:sz w:val="18"/>
                  <w:szCs w:val="18"/>
                  <w:color w:val="0000FF"/>
                  <w:w w:val="89"/>
                </w:rPr>
                <w:t>Indenture dated as of May 21, 2003 between the Registrant and Wells Fargo Bank, National Association (as successor to</w:t>
              </w:r>
            </w:hyperlink>
          </w:p>
        </w:tc>
        <w:tc>
          <w:tcPr>
            <w:tcW w:w="420" w:type="dxa"/>
            <w:vAlign w:val="bottom"/>
            <w:gridSpan w:val="11"/>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31"/>
          </w:tcPr>
          <w:p>
            <w:pPr>
              <w:spacing w:after="0" w:line="196"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LaSalle Bank National Association), as Trustee (filed as Exhibit 4.1 to the Registrant’s Form 10-Q for the quarterly period</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ended June 30, 2003).</w:t>
              </w:r>
            </w:hyperlink>
          </w:p>
        </w:tc>
        <w:tc>
          <w:tcPr>
            <w:tcW w:w="300" w:type="dxa"/>
            <w:vAlign w:val="bottom"/>
            <w:gridSpan w:val="8"/>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1"/>
          </w:tcPr>
          <w:p>
            <w:pPr>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First Supplemental Indenture dated as of May 21, 2003 (filed as Exhibit 4.2 to the Registrant’s Form 10-Q for the quarterly</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6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period ended June 30, 2003).</w:t>
              </w:r>
            </w:hyperlink>
          </w:p>
        </w:tc>
        <w:tc>
          <w:tcPr>
            <w:tcW w:w="240" w:type="dxa"/>
            <w:vAlign w:val="bottom"/>
            <w:gridSpan w:val="7"/>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1"/>
          </w:tcPr>
          <w:p>
            <w:pPr>
              <w:spacing w:after="0"/>
              <w:rPr>
                <w:rFonts w:ascii="Arial" w:cs="Arial" w:eastAsia="Arial" w:hAnsi="Arial"/>
                <w:sz w:val="18"/>
                <w:szCs w:val="18"/>
                <w:color w:val="0000FF"/>
                <w:w w:val="93"/>
              </w:rPr>
            </w:pPr>
            <w:hyperlink r:id="rId52">
              <w:r>
                <w:rPr>
                  <w:rFonts w:ascii="Arial" w:cs="Arial" w:eastAsia="Arial" w:hAnsi="Arial"/>
                  <w:sz w:val="18"/>
                  <w:szCs w:val="18"/>
                  <w:color w:val="0000FF"/>
                  <w:w w:val="93"/>
                </w:rPr>
                <w:t>Second Supplemental Indenture dated as of May 14, 2009 (filed as Exhibit 4 to the Registrant’s Form 8-K filed on May 14,</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2">
              <w:r>
                <w:rPr>
                  <w:rFonts w:ascii="Arial" w:cs="Arial" w:eastAsia="Arial" w:hAnsi="Arial"/>
                  <w:sz w:val="18"/>
                  <w:szCs w:val="18"/>
                  <w:color w:val="0000FF"/>
                  <w:w w:val="86"/>
                </w:rPr>
                <w:t>2009).</w:t>
              </w:r>
            </w:hyperlink>
          </w:p>
        </w:tc>
        <w:tc>
          <w:tcPr>
            <w:tcW w:w="2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1"/>
          </w:tcPr>
          <w:p>
            <w:pPr>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Third Supplemental Indenture dated as of July 16, 2010 (filed as Exhibit 4 to Registrant’s Form 8-K filed on July 15, 2010).</w:t>
              </w:r>
            </w:hyperlink>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920" w:type="dxa"/>
            <w:vAlign w:val="bottom"/>
            <w:tcBorders>
              <w:top w:val="single" w:sz="8" w:color="0000FF"/>
            </w:tcBorders>
            <w:gridSpan w:val="27"/>
          </w:tcPr>
          <w:p>
            <w:pPr>
              <w:spacing w:after="0"/>
              <w:rPr>
                <w:rFonts w:ascii="Arial" w:cs="Arial" w:eastAsia="Arial" w:hAnsi="Arial"/>
                <w:sz w:val="18"/>
                <w:szCs w:val="18"/>
                <w:color w:val="0000FF"/>
                <w:w w:val="94"/>
              </w:rPr>
            </w:pPr>
            <w:hyperlink r:id="rId54">
              <w:r>
                <w:rPr>
                  <w:rFonts w:ascii="Arial" w:cs="Arial" w:eastAsia="Arial" w:hAnsi="Arial"/>
                  <w:sz w:val="18"/>
                  <w:szCs w:val="18"/>
                  <w:color w:val="0000FF"/>
                  <w:w w:val="94"/>
                </w:rPr>
                <w:t>Fourth Supplemental Indenture dated as of November 19, 2013 (filed as Exhibit 4 to the Registrant’s Form 8-K filed on</w:t>
              </w:r>
            </w:hyperlink>
          </w:p>
        </w:tc>
        <w:tc>
          <w:tcPr>
            <w:tcW w:w="180" w:type="dxa"/>
            <w:vAlign w:val="bottom"/>
            <w:gridSpan w:val="4"/>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November 18, 2013).</w:t>
              </w:r>
            </w:hyperlink>
          </w:p>
        </w:tc>
        <w:tc>
          <w:tcPr>
            <w:tcW w:w="7020" w:type="dxa"/>
            <w:vAlign w:val="bottom"/>
            <w:tcBorders>
              <w:top w:val="single" w:sz="8" w:color="0000FF"/>
            </w:tcBorders>
            <w:gridSpan w:val="13"/>
          </w:tcPr>
          <w:p>
            <w:pPr>
              <w:spacing w:after="0"/>
              <w:rPr>
                <w:sz w:val="17"/>
                <w:szCs w:val="17"/>
                <w:color w:val="auto"/>
              </w:rPr>
            </w:pPr>
          </w:p>
        </w:tc>
        <w:tc>
          <w:tcPr>
            <w:tcW w:w="500" w:type="dxa"/>
            <w:vAlign w:val="bottom"/>
            <w:gridSpan w:val="14"/>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1"/>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Fifth Supplemental Indenture dated as of January 13, 2016 (filed as Exhibit 4.1 to the Registrant’s Form 8-K filed on January</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55">
              <w:r>
                <w:rPr>
                  <w:rFonts w:ascii="Arial" w:cs="Arial" w:eastAsia="Arial" w:hAnsi="Arial"/>
                  <w:sz w:val="18"/>
                  <w:szCs w:val="18"/>
                  <w:color w:val="0000FF"/>
                  <w:w w:val="88"/>
                </w:rPr>
                <w:t>13, 2016).</w:t>
              </w:r>
            </w:hyperlink>
          </w:p>
        </w:tc>
        <w:tc>
          <w:tcPr>
            <w:tcW w:w="6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1"/>
          </w:tcPr>
          <w:p>
            <w:pPr>
              <w:spacing w:after="0"/>
              <w:rPr>
                <w:rFonts w:ascii="Arial" w:cs="Arial" w:eastAsia="Arial" w:hAnsi="Arial"/>
                <w:sz w:val="18"/>
                <w:szCs w:val="18"/>
                <w:color w:val="0000FF"/>
                <w:w w:val="92"/>
              </w:rPr>
            </w:pPr>
            <w:hyperlink r:id="rId56">
              <w:r>
                <w:rPr>
                  <w:rFonts w:ascii="Arial" w:cs="Arial" w:eastAsia="Arial" w:hAnsi="Arial"/>
                  <w:sz w:val="18"/>
                  <w:szCs w:val="18"/>
                  <w:color w:val="0000FF"/>
                  <w:w w:val="92"/>
                </w:rPr>
                <w:t>Sixth Supplemental Indenture dated as of August 19, 2016 (filed as Exhibit 4.1 to the Registrant’s Form 8-K filed on August</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56">
              <w:r>
                <w:rPr>
                  <w:rFonts w:ascii="Arial" w:cs="Arial" w:eastAsia="Arial" w:hAnsi="Arial"/>
                  <w:sz w:val="18"/>
                  <w:szCs w:val="18"/>
                  <w:color w:val="0000FF"/>
                  <w:w w:val="88"/>
                </w:rPr>
                <w:t>19, 2016).</w:t>
              </w:r>
            </w:hyperlink>
          </w:p>
        </w:tc>
        <w:tc>
          <w:tcPr>
            <w:tcW w:w="6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09"/>
        </w:trPr>
        <w:tc>
          <w:tcPr>
            <w:tcW w:w="980" w:type="dxa"/>
            <w:vAlign w:val="bottom"/>
          </w:tcPr>
          <w:p>
            <w:pPr>
              <w:ind w:left="40"/>
              <w:spacing w:after="0"/>
              <w:rPr>
                <w:sz w:val="20"/>
                <w:szCs w:val="20"/>
                <w:color w:val="auto"/>
              </w:rPr>
            </w:pPr>
            <w:r>
              <w:rPr>
                <w:rFonts w:ascii="Arial" w:cs="Arial" w:eastAsia="Arial" w:hAnsi="Arial"/>
                <w:sz w:val="18"/>
                <w:szCs w:val="18"/>
                <w:color w:val="auto"/>
              </w:rPr>
              <w:t>Exhibit 4.2*</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960" w:type="dxa"/>
            <w:vAlign w:val="bottom"/>
            <w:tcBorders>
              <w:bottom w:val="single" w:sz="8" w:color="0000FF"/>
            </w:tcBorders>
            <w:gridSpan w:val="29"/>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Restated and Amended Indenture of Mortgage and Deed of Trust of Black Hills Corporation (now called Black Hills Power,</w:t>
              </w:r>
            </w:hyperlink>
          </w:p>
        </w:tc>
        <w:tc>
          <w:tcPr>
            <w:tcW w:w="140" w:type="dxa"/>
            <w:vAlign w:val="bottom"/>
            <w:gridSpan w:val="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38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Inc.) dated as of September 1, 1999 (filed as Exhibit 4.19 to the Registrant’s Post-Effective Amendment No. 1 to the</w:t>
              </w:r>
            </w:hyperlink>
          </w:p>
        </w:tc>
        <w:tc>
          <w:tcPr>
            <w:tcW w:w="720" w:type="dxa"/>
            <w:vAlign w:val="bottom"/>
            <w:gridSpan w:val="1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9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Registrant’s Registration Statement on Form S-3 (No. 333-150669)).</w:t>
              </w:r>
            </w:hyperlink>
          </w:p>
        </w:tc>
        <w:tc>
          <w:tcPr>
            <w:tcW w:w="4140" w:type="dxa"/>
            <w:vAlign w:val="bottom"/>
            <w:gridSpan w:val="21"/>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60" w:type="dxa"/>
            <w:vAlign w:val="bottom"/>
            <w:tcBorders>
              <w:bottom w:val="single" w:sz="8" w:color="0000FF"/>
            </w:tcBorders>
            <w:gridSpan w:val="19"/>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First Supplemental Indenture, dated as of August 13, 2002, between Black Hills Power, Inc. and The Bank of New York</w:t>
              </w:r>
            </w:hyperlink>
          </w:p>
        </w:tc>
        <w:tc>
          <w:tcPr>
            <w:tcW w:w="440" w:type="dxa"/>
            <w:vAlign w:val="bottom"/>
            <w:gridSpan w:val="12"/>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6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Mellon (as successor to JPMorgan Chase Bank), as Trustee (filed as Exhibit 4.20 to the Registrant’s Post-Effective</w:t>
              </w:r>
            </w:hyperlink>
          </w:p>
        </w:tc>
        <w:tc>
          <w:tcPr>
            <w:tcW w:w="840" w:type="dxa"/>
            <w:vAlign w:val="bottom"/>
            <w:gridSpan w:val="1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31"/>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Amendment No. 1 to the Registrant’s Registration Statement on Form S</w:t>
              </w:r>
              <w:r>
                <w:rPr>
                  <w:rFonts w:ascii="MS PGothic" w:cs="MS PGothic" w:eastAsia="MS PGothic" w:hAnsi="MS PGothic"/>
                  <w:sz w:val="18"/>
                  <w:szCs w:val="18"/>
                  <w:color w:val="0000FF"/>
                </w:rPr>
                <w:t>‑</w:t>
              </w:r>
              <w:r>
                <w:rPr>
                  <w:rFonts w:ascii="Arial" w:cs="Arial" w:eastAsia="Arial" w:hAnsi="Arial"/>
                  <w:sz w:val="18"/>
                  <w:szCs w:val="18"/>
                  <w:color w:val="0000FF"/>
                </w:rPr>
                <w:t>3 (No. 333</w:t>
              </w:r>
              <w:r>
                <w:rPr>
                  <w:rFonts w:ascii="MS PGothic" w:cs="MS PGothic" w:eastAsia="MS PGothic" w:hAnsi="MS PGothic"/>
                  <w:sz w:val="18"/>
                  <w:szCs w:val="18"/>
                  <w:color w:val="0000FF"/>
                </w:rPr>
                <w:t>‑</w:t>
              </w:r>
              <w:r>
                <w:rPr>
                  <w:rFonts w:ascii="Arial" w:cs="Arial" w:eastAsia="Arial" w:hAnsi="Arial"/>
                  <w:sz w:val="18"/>
                  <w:szCs w:val="18"/>
                  <w:color w:val="0000FF"/>
                </w:rPr>
                <w:t>150669)).</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1"/>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Second Supplemental Indenture, dated as of October 27, 2009, between Black Hills Power, Inc. and The Bank of New York</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560" w:type="dxa"/>
            <w:vAlign w:val="bottom"/>
            <w:gridSpan w:val="8"/>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4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Mellon (filed as Exhibit 4.21 to the Registrant’s Post-Effective Amendment No. 2 to the Registrant’s Registration Statement</w:t>
              </w:r>
            </w:hyperlink>
          </w:p>
        </w:tc>
        <w:tc>
          <w:tcPr>
            <w:tcW w:w="16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on Form S-3 (No. 333-150669)).</w:t>
              </w:r>
            </w:hyperlink>
          </w:p>
        </w:tc>
        <w:tc>
          <w:tcPr>
            <w:tcW w:w="6740" w:type="dxa"/>
            <w:vAlign w:val="bottom"/>
            <w:gridSpan w:val="24"/>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1"/>
          </w:tcPr>
          <w:p>
            <w:pPr>
              <w:spacing w:after="0"/>
              <w:rPr>
                <w:rFonts w:ascii="Arial" w:cs="Arial" w:eastAsia="Arial" w:hAnsi="Arial"/>
                <w:sz w:val="18"/>
                <w:szCs w:val="18"/>
                <w:color w:val="0000FF"/>
                <w:w w:val="95"/>
              </w:rPr>
            </w:pPr>
            <w:hyperlink r:id="rId60">
              <w:r>
                <w:rPr>
                  <w:rFonts w:ascii="Arial" w:cs="Arial" w:eastAsia="Arial" w:hAnsi="Arial"/>
                  <w:sz w:val="18"/>
                  <w:szCs w:val="18"/>
                  <w:color w:val="0000FF"/>
                  <w:w w:val="95"/>
                </w:rPr>
                <w:t>Third Supplemental Indenture, dated as of October 1, 2014, between Black Hills Power, Inc. and The Bank of New York</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1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Mellon (filed as Exhibit 10.1 to the Registrant’s Form 8-K filed on October 2, 2014).</w:t>
              </w:r>
            </w:hyperlink>
          </w:p>
        </w:tc>
        <w:tc>
          <w:tcPr>
            <w:tcW w:w="2560" w:type="dxa"/>
            <w:vAlign w:val="bottom"/>
            <w:tcBorders>
              <w:top w:val="single" w:sz="8" w:color="0000FF"/>
            </w:tcBorders>
            <w:gridSpan w:val="8"/>
          </w:tcPr>
          <w:p>
            <w:pPr>
              <w:spacing w:after="0"/>
              <w:rPr>
                <w:sz w:val="17"/>
                <w:szCs w:val="17"/>
                <w:color w:val="auto"/>
              </w:rPr>
            </w:pPr>
          </w:p>
        </w:tc>
        <w:tc>
          <w:tcPr>
            <w:tcW w:w="420" w:type="dxa"/>
            <w:vAlign w:val="bottom"/>
            <w:gridSpan w:val="11"/>
          </w:tcPr>
          <w:p>
            <w:pPr>
              <w:spacing w:after="0"/>
              <w:rPr>
                <w:sz w:val="17"/>
                <w:szCs w:val="17"/>
                <w:color w:val="auto"/>
              </w:rPr>
            </w:pPr>
          </w:p>
        </w:tc>
      </w:tr>
      <w:tr>
        <w:trPr>
          <w:trHeight w:val="480"/>
        </w:trPr>
        <w:tc>
          <w:tcPr>
            <w:tcW w:w="980" w:type="dxa"/>
            <w:vAlign w:val="bottom"/>
          </w:tcPr>
          <w:p>
            <w:pPr>
              <w:ind w:left="40"/>
              <w:spacing w:after="0"/>
              <w:rPr>
                <w:sz w:val="20"/>
                <w:szCs w:val="20"/>
                <w:color w:val="auto"/>
              </w:rPr>
            </w:pPr>
            <w:r>
              <w:rPr>
                <w:rFonts w:ascii="Arial" w:cs="Arial" w:eastAsia="Arial" w:hAnsi="Arial"/>
                <w:sz w:val="18"/>
                <w:szCs w:val="18"/>
                <w:color w:val="auto"/>
              </w:rPr>
              <w:t>Exhibit 4.3*</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00" w:type="dxa"/>
            <w:vAlign w:val="bottom"/>
            <w:gridSpan w:val="31"/>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Restated Indenture of Mortgage, Deed of Trust, Security Agreement and Financing Statement, amended and restated as of</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120" w:type="dxa"/>
            <w:vAlign w:val="bottom"/>
            <w:gridSpan w:val="11"/>
            <w:shd w:val="clear" w:color="auto" w:fill="0000FF"/>
          </w:tcPr>
          <w:p>
            <w:pPr>
              <w:spacing w:after="0" w:line="20" w:lineRule="exact"/>
              <w:rPr>
                <w:sz w:val="1"/>
                <w:szCs w:val="1"/>
                <w:color w:val="auto"/>
              </w:rPr>
            </w:pPr>
          </w:p>
        </w:tc>
        <w:tc>
          <w:tcPr>
            <w:tcW w:w="3660" w:type="dxa"/>
            <w:vAlign w:val="bottom"/>
            <w:gridSpan w:val="11"/>
            <w:shd w:val="clear" w:color="auto" w:fill="0000FF"/>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31"/>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November 20, 2007, between Cheyenne Light, Fuel and Power Company and Wells Fargo Bank, National Association (filed</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1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as Exhibit 10.2 to the Registrant’s Form 8-K filed on October 2, 2014).</w:t>
              </w:r>
            </w:hyperlink>
          </w:p>
        </w:tc>
        <w:tc>
          <w:tcPr>
            <w:tcW w:w="3840" w:type="dxa"/>
            <w:vAlign w:val="bottom"/>
            <w:tcBorders>
              <w:top w:val="single" w:sz="8" w:color="0000FF"/>
            </w:tcBorders>
            <w:gridSpan w:val="18"/>
          </w:tcPr>
          <w:p>
            <w:pPr>
              <w:spacing w:after="0"/>
              <w:rPr>
                <w:sz w:val="17"/>
                <w:szCs w:val="17"/>
                <w:color w:val="auto"/>
              </w:rPr>
            </w:pPr>
          </w:p>
        </w:tc>
        <w:tc>
          <w:tcPr>
            <w:tcW w:w="140" w:type="dxa"/>
            <w:vAlign w:val="bottom"/>
            <w:gridSpan w:val="2"/>
          </w:tcPr>
          <w:p>
            <w:pPr>
              <w:spacing w:after="0"/>
              <w:rPr>
                <w:sz w:val="17"/>
                <w:szCs w:val="17"/>
                <w:color w:val="auto"/>
              </w:rPr>
            </w:pPr>
          </w:p>
        </w:tc>
      </w:tr>
    </w:tbl>
    <w:p>
      <w:pPr>
        <w:spacing w:after="0" w:line="67" w:lineRule="exact"/>
        <w:rPr>
          <w:sz w:val="20"/>
          <w:szCs w:val="20"/>
          <w:color w:val="auto"/>
        </w:rPr>
      </w:pPr>
    </w:p>
    <w:p>
      <w:pPr>
        <w:ind w:left="2320" w:right="120"/>
        <w:spacing w:after="0" w:line="308" w:lineRule="auto"/>
        <w:rPr>
          <w:rFonts w:ascii="Arial" w:cs="Arial" w:eastAsia="Arial" w:hAnsi="Arial"/>
          <w:sz w:val="17"/>
          <w:szCs w:val="17"/>
          <w:u w:val="single" w:color="auto"/>
          <w:color w:val="0000FF"/>
        </w:rPr>
      </w:pPr>
      <w:hyperlink r:id="rId62">
        <w:r>
          <w:rPr>
            <w:rFonts w:ascii="Arial" w:cs="Arial" w:eastAsia="Arial" w:hAnsi="Arial"/>
            <w:sz w:val="17"/>
            <w:szCs w:val="17"/>
            <w:u w:val="single" w:color="auto"/>
            <w:color w:val="0000FF"/>
          </w:rPr>
          <w:t>First Supplemental Indenture, dated as of September 3, 2009, between Cheyenne Light, Fuel and Power Company and Wells</w:t>
        </w:r>
      </w:hyperlink>
      <w:r>
        <w:rPr>
          <w:rFonts w:ascii="Arial" w:cs="Arial" w:eastAsia="Arial" w:hAnsi="Arial"/>
          <w:sz w:val="17"/>
          <w:szCs w:val="17"/>
          <w:u w:val="single" w:color="auto"/>
          <w:color w:val="0000FF"/>
        </w:rPr>
        <w:t xml:space="preserve"> </w:t>
      </w:r>
      <w:hyperlink r:id="rId62">
        <w:r>
          <w:rPr>
            <w:rFonts w:ascii="Arial" w:cs="Arial" w:eastAsia="Arial" w:hAnsi="Arial"/>
            <w:sz w:val="17"/>
            <w:szCs w:val="17"/>
            <w:u w:val="single" w:color="auto"/>
            <w:color w:val="0000FF"/>
          </w:rPr>
          <w:t>Fargo Bank, National Association (filed as Exhibit 10.3 to the Registrant’s Form 8-K filed on October 2, 2014).</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8"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9060" w:type="dxa"/>
            <w:vAlign w:val="bottom"/>
            <w:gridSpan w:val="17"/>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Second Supplemental Indenture, dated as of October 1, 2014, between Cheyenne Light, Fuel and Power Company and Wells</w:t>
              </w:r>
            </w:hyperlink>
          </w:p>
        </w:tc>
      </w:tr>
      <w:tr>
        <w:trPr>
          <w:trHeight w:val="196"/>
        </w:trPr>
        <w:tc>
          <w:tcPr>
            <w:tcW w:w="2320" w:type="dxa"/>
            <w:vAlign w:val="bottom"/>
          </w:tcPr>
          <w:p>
            <w:pPr>
              <w:spacing w:after="0"/>
              <w:rPr>
                <w:sz w:val="17"/>
                <w:szCs w:val="17"/>
                <w:color w:val="auto"/>
              </w:rPr>
            </w:pPr>
          </w:p>
        </w:tc>
        <w:tc>
          <w:tcPr>
            <w:tcW w:w="80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Fargo Bank, National Association (filed as Exhibit 10.4 to the Registrant’s Form 8-K filed on October 2, 2014).</w:t>
              </w:r>
            </w:hyperlink>
          </w:p>
        </w:tc>
        <w:tc>
          <w:tcPr>
            <w:tcW w:w="940" w:type="dxa"/>
            <w:vAlign w:val="bottom"/>
            <w:tcBorders>
              <w:top w:val="single" w:sz="8" w:color="0000FF"/>
            </w:tcBorders>
            <w:gridSpan w:val="8"/>
          </w:tcPr>
          <w:p>
            <w:pPr>
              <w:spacing w:after="0"/>
              <w:rPr>
                <w:sz w:val="17"/>
                <w:szCs w:val="17"/>
                <w:color w:val="auto"/>
              </w:rPr>
            </w:pPr>
          </w:p>
        </w:tc>
        <w:tc>
          <w:tcPr>
            <w:tcW w:w="80" w:type="dxa"/>
            <w:vAlign w:val="bottom"/>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4.4*</w:t>
            </w:r>
          </w:p>
        </w:tc>
        <w:tc>
          <w:tcPr>
            <w:tcW w:w="8680" w:type="dxa"/>
            <w:vAlign w:val="bottom"/>
            <w:tcBorders>
              <w:bottom w:val="single" w:sz="8" w:color="0000FF"/>
            </w:tcBorders>
            <w:gridSpan w:val="13"/>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Junior Subordinated Indenture dated as of November 23, 2015 between Black Hills Corporation and U.S. Bank National</w:t>
              </w:r>
            </w:hyperlink>
          </w:p>
        </w:tc>
        <w:tc>
          <w:tcPr>
            <w:tcW w:w="380" w:type="dxa"/>
            <w:vAlign w:val="bottom"/>
            <w:gridSpan w:val="4"/>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9060" w:type="dxa"/>
            <w:vAlign w:val="bottom"/>
            <w:gridSpan w:val="17"/>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Association, as trustee (filed as Exhibit 4.1 to the Registrant’s Form 8-K filed on November 23, 2015).</w:t>
              </w:r>
            </w:hyperlink>
          </w:p>
        </w:tc>
      </w:tr>
      <w:tr>
        <w:trPr>
          <w:trHeight w:val="20"/>
        </w:trPr>
        <w:tc>
          <w:tcPr>
            <w:tcW w:w="2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2320" w:type="dxa"/>
            <w:vAlign w:val="bottom"/>
          </w:tcPr>
          <w:p>
            <w:pPr>
              <w:spacing w:after="0"/>
              <w:rPr>
                <w:sz w:val="21"/>
                <w:szCs w:val="21"/>
                <w:color w:val="auto"/>
              </w:rPr>
            </w:pPr>
          </w:p>
        </w:tc>
        <w:tc>
          <w:tcPr>
            <w:tcW w:w="8600" w:type="dxa"/>
            <w:vAlign w:val="bottom"/>
            <w:tcBorders>
              <w:bottom w:val="single" w:sz="8" w:color="0000FF"/>
            </w:tcBorders>
            <w:gridSpan w:val="11"/>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First Supplemental Indenture dated as of November 23, 2015 (filed as Exhibit 4.2 to the Registrant’s Form 8-K filed on</w:t>
              </w:r>
            </w:hyperlink>
          </w:p>
        </w:tc>
        <w:tc>
          <w:tcPr>
            <w:tcW w:w="460" w:type="dxa"/>
            <w:vAlign w:val="bottom"/>
            <w:gridSpan w:val="6"/>
          </w:tcPr>
          <w:p>
            <w:pPr>
              <w:spacing w:after="0"/>
              <w:rPr>
                <w:sz w:val="21"/>
                <w:szCs w:val="21"/>
                <w:color w:val="auto"/>
              </w:rPr>
            </w:pPr>
          </w:p>
        </w:tc>
      </w:tr>
      <w:tr>
        <w:trPr>
          <w:trHeight w:val="196"/>
        </w:trPr>
        <w:tc>
          <w:tcPr>
            <w:tcW w:w="2320" w:type="dxa"/>
            <w:vAlign w:val="bottom"/>
          </w:tcPr>
          <w:p>
            <w:pPr>
              <w:spacing w:after="0"/>
              <w:rPr>
                <w:sz w:val="17"/>
                <w:szCs w:val="17"/>
                <w:color w:val="auto"/>
              </w:rPr>
            </w:pPr>
          </w:p>
        </w:tc>
        <w:tc>
          <w:tcPr>
            <w:tcW w:w="15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November 23, 2015).</w:t>
              </w:r>
            </w:hyperlink>
          </w:p>
        </w:tc>
        <w:tc>
          <w:tcPr>
            <w:tcW w:w="7520" w:type="dxa"/>
            <w:vAlign w:val="bottom"/>
            <w:gridSpan w:val="15"/>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4.5*</w:t>
            </w:r>
          </w:p>
        </w:tc>
        <w:tc>
          <w:tcPr>
            <w:tcW w:w="8820" w:type="dxa"/>
            <w:vAlign w:val="bottom"/>
            <w:tcBorders>
              <w:bottom w:val="single" w:sz="8" w:color="0000FF"/>
            </w:tcBorders>
            <w:gridSpan w:val="14"/>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Purchase Contract and Pledge Agreement dated as of November 23, 2015 between Black Hills Corporation and U.S. Bank</w:t>
              </w:r>
            </w:hyperlink>
          </w:p>
        </w:tc>
        <w:tc>
          <w:tcPr>
            <w:tcW w:w="240" w:type="dxa"/>
            <w:vAlign w:val="bottom"/>
            <w:gridSpan w:val="3"/>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90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National Association, as purchase contract agent, collateral agent, custodial agent and securities intermediary (filed as Exhibit</w:t>
              </w:r>
            </w:hyperlink>
          </w:p>
        </w:tc>
      </w:tr>
      <w:tr>
        <w:trPr>
          <w:trHeight w:val="196"/>
        </w:trPr>
        <w:tc>
          <w:tcPr>
            <w:tcW w:w="2320" w:type="dxa"/>
            <w:vAlign w:val="bottom"/>
          </w:tcPr>
          <w:p>
            <w:pPr>
              <w:spacing w:after="0"/>
              <w:rPr>
                <w:sz w:val="17"/>
                <w:szCs w:val="17"/>
                <w:color w:val="auto"/>
              </w:rPr>
            </w:pPr>
          </w:p>
        </w:tc>
        <w:tc>
          <w:tcPr>
            <w:tcW w:w="9060" w:type="dxa"/>
            <w:vAlign w:val="bottom"/>
            <w:gridSpan w:val="17"/>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4.</w:t>
              </w:r>
              <w:r>
                <w:rPr>
                  <w:rFonts w:ascii="Arial" w:cs="Arial" w:eastAsia="Arial" w:hAnsi="Arial"/>
                  <w:sz w:val="18"/>
                  <w:szCs w:val="18"/>
                  <w:u w:val="single" w:color="auto"/>
                  <w:color w:val="0000FF"/>
                </w:rPr>
                <w:t>4</w:t>
              </w:r>
              <w:r>
                <w:rPr>
                  <w:rFonts w:ascii="Arial" w:cs="Arial" w:eastAsia="Arial" w:hAnsi="Arial"/>
                  <w:sz w:val="18"/>
                  <w:szCs w:val="18"/>
                  <w:color w:val="0000FF"/>
                </w:rPr>
                <w:t xml:space="preserve"> to the Registrant’s Form 8-K filed on November 23, 2015).</w:t>
              </w:r>
            </w:hyperlink>
          </w:p>
        </w:tc>
      </w:tr>
      <w:tr>
        <w:trPr>
          <w:trHeight w:val="20"/>
        </w:trPr>
        <w:tc>
          <w:tcPr>
            <w:tcW w:w="2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4.6*</w:t>
            </w:r>
          </w:p>
        </w:tc>
        <w:tc>
          <w:tcPr>
            <w:tcW w:w="9060" w:type="dxa"/>
            <w:vAlign w:val="bottom"/>
            <w:gridSpan w:val="17"/>
          </w:tcPr>
          <w:p>
            <w:pPr>
              <w:spacing w:after="0"/>
              <w:rPr>
                <w:rFonts w:ascii="Arial" w:cs="Arial" w:eastAsia="Arial" w:hAnsi="Arial"/>
                <w:sz w:val="18"/>
                <w:szCs w:val="18"/>
                <w:color w:val="0000FF"/>
                <w:w w:val="92"/>
              </w:rPr>
            </w:pPr>
            <w:hyperlink r:id="rId67">
              <w:r>
                <w:rPr>
                  <w:rFonts w:ascii="Arial" w:cs="Arial" w:eastAsia="Arial" w:hAnsi="Arial"/>
                  <w:sz w:val="18"/>
                  <w:szCs w:val="18"/>
                  <w:color w:val="0000FF"/>
                  <w:w w:val="92"/>
                </w:rPr>
                <w:t xml:space="preserve">Form of Stock Certificate for Common Stock, Par Value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1.00 Per Share (filed as Exhibit 4.2 to the Registrant’s Form 10-K</w:t>
              </w:r>
            </w:hyperlink>
          </w:p>
        </w:tc>
      </w:tr>
      <w:tr>
        <w:trPr>
          <w:trHeight w:val="196"/>
        </w:trPr>
        <w:tc>
          <w:tcPr>
            <w:tcW w:w="2320" w:type="dxa"/>
            <w:vAlign w:val="bottom"/>
          </w:tcPr>
          <w:p>
            <w:pPr>
              <w:spacing w:after="0"/>
              <w:rPr>
                <w:sz w:val="17"/>
                <w:szCs w:val="17"/>
                <w:color w:val="auto"/>
              </w:rPr>
            </w:pPr>
          </w:p>
        </w:tc>
        <w:tc>
          <w:tcPr>
            <w:tcW w:w="7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for 2000).</w:t>
              </w:r>
            </w:hyperlink>
          </w:p>
        </w:tc>
        <w:tc>
          <w:tcPr>
            <w:tcW w:w="8200" w:type="dxa"/>
            <w:vAlign w:val="bottom"/>
            <w:tcBorders>
              <w:top w:val="single" w:sz="8" w:color="0000FF"/>
            </w:tcBorders>
            <w:gridSpan w:val="14"/>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31.1</w:t>
            </w:r>
          </w:p>
        </w:tc>
        <w:tc>
          <w:tcPr>
            <w:tcW w:w="868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Certification of Chief Executive Officer pursuant to Rule 13a - 14(a) of the Securities Exchange Act of 1934, as adopted</w:t>
              </w:r>
            </w:hyperlink>
          </w:p>
        </w:tc>
        <w:tc>
          <w:tcPr>
            <w:tcW w:w="380" w:type="dxa"/>
            <w:vAlign w:val="bottom"/>
            <w:gridSpan w:val="4"/>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44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w:anchor="page61">
              <w:r>
                <w:rPr>
                  <w:rFonts w:ascii="Arial" w:cs="Arial" w:eastAsia="Arial" w:hAnsi="Arial"/>
                  <w:sz w:val="18"/>
                  <w:szCs w:val="18"/>
                  <w:color w:val="0000FF"/>
                  <w:w w:val="90"/>
                </w:rPr>
                <w:t>pursuant to Section 302 of the Sarbanes - Oxley Act of 2002.</w:t>
              </w:r>
            </w:hyperlink>
          </w:p>
        </w:tc>
        <w:tc>
          <w:tcPr>
            <w:tcW w:w="4660" w:type="dxa"/>
            <w:vAlign w:val="bottom"/>
            <w:gridSpan w:val="12"/>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31.2</w:t>
            </w:r>
          </w:p>
        </w:tc>
        <w:tc>
          <w:tcPr>
            <w:tcW w:w="9060" w:type="dxa"/>
            <w:vAlign w:val="bottom"/>
            <w:gridSpan w:val="17"/>
          </w:tcPr>
          <w:p>
            <w:pPr>
              <w:spacing w:after="0"/>
              <w:rPr>
                <w:rFonts w:ascii="Arial" w:cs="Arial" w:eastAsia="Arial" w:hAnsi="Arial"/>
                <w:sz w:val="18"/>
                <w:szCs w:val="18"/>
                <w:color w:val="0000FF"/>
                <w:w w:val="96"/>
              </w:rPr>
            </w:pPr>
            <w:hyperlink w:anchor="page62">
              <w:r>
                <w:rPr>
                  <w:rFonts w:ascii="Arial" w:cs="Arial" w:eastAsia="Arial" w:hAnsi="Arial"/>
                  <w:sz w:val="18"/>
                  <w:szCs w:val="18"/>
                  <w:color w:val="0000FF"/>
                  <w:w w:val="96"/>
                </w:rPr>
                <w:t>Certification of Chief Financial Officer pursuant to Rule 13a - 14(a) of the Securities Exchange Act of 1934, as adopted</w:t>
              </w:r>
            </w:hyperlink>
          </w:p>
        </w:tc>
      </w:tr>
      <w:tr>
        <w:trPr>
          <w:trHeight w:val="196"/>
        </w:trPr>
        <w:tc>
          <w:tcPr>
            <w:tcW w:w="2320" w:type="dxa"/>
            <w:vAlign w:val="bottom"/>
          </w:tcPr>
          <w:p>
            <w:pPr>
              <w:spacing w:after="0"/>
              <w:rPr>
                <w:sz w:val="17"/>
                <w:szCs w:val="17"/>
                <w:color w:val="auto"/>
              </w:rPr>
            </w:pPr>
          </w:p>
        </w:tc>
        <w:tc>
          <w:tcPr>
            <w:tcW w:w="44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w:anchor="page62">
              <w:r>
                <w:rPr>
                  <w:rFonts w:ascii="Arial" w:cs="Arial" w:eastAsia="Arial" w:hAnsi="Arial"/>
                  <w:sz w:val="18"/>
                  <w:szCs w:val="18"/>
                  <w:color w:val="0000FF"/>
                  <w:w w:val="90"/>
                </w:rPr>
                <w:t>pursuant to Section 302 of the Sarbanes - Oxley Act of 2002.</w:t>
              </w:r>
            </w:hyperlink>
          </w:p>
        </w:tc>
        <w:tc>
          <w:tcPr>
            <w:tcW w:w="4220" w:type="dxa"/>
            <w:vAlign w:val="bottom"/>
            <w:tcBorders>
              <w:top w:val="single" w:sz="8" w:color="0000FF"/>
            </w:tcBorders>
            <w:gridSpan w:val="7"/>
          </w:tcPr>
          <w:p>
            <w:pPr>
              <w:spacing w:after="0"/>
              <w:rPr>
                <w:sz w:val="17"/>
                <w:szCs w:val="17"/>
                <w:color w:val="auto"/>
              </w:rPr>
            </w:pPr>
          </w:p>
        </w:tc>
        <w:tc>
          <w:tcPr>
            <w:tcW w:w="440" w:type="dxa"/>
            <w:vAlign w:val="bottom"/>
            <w:gridSpan w:val="5"/>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32.1</w:t>
            </w:r>
          </w:p>
        </w:tc>
        <w:tc>
          <w:tcPr>
            <w:tcW w:w="854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63">
              <w:r>
                <w:rPr>
                  <w:rFonts w:ascii="Arial" w:cs="Arial" w:eastAsia="Arial" w:hAnsi="Arial"/>
                  <w:sz w:val="18"/>
                  <w:szCs w:val="18"/>
                  <w:color w:val="0000FF"/>
                  <w:w w:val="91"/>
                </w:rPr>
                <w:t>Certification of Chief Executive Officer pursuant to 18 U.S.C. Section 1350, as adopted pursuant to Section 906 of the</w:t>
              </w:r>
            </w:hyperlink>
          </w:p>
        </w:tc>
        <w:tc>
          <w:tcPr>
            <w:tcW w:w="520" w:type="dxa"/>
            <w:vAlign w:val="bottom"/>
            <w:gridSpan w:val="7"/>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9060" w:type="dxa"/>
            <w:vAlign w:val="bottom"/>
            <w:gridSpan w:val="17"/>
          </w:tcPr>
          <w:p>
            <w:pPr>
              <w:spacing w:after="0" w:line="196" w:lineRule="exact"/>
              <w:rPr>
                <w:rFonts w:ascii="Arial" w:cs="Arial" w:eastAsia="Arial" w:hAnsi="Arial"/>
                <w:sz w:val="18"/>
                <w:szCs w:val="18"/>
                <w:color w:val="0000FF"/>
              </w:rPr>
            </w:pPr>
            <w:hyperlink w:anchor="page63">
              <w:r>
                <w:rPr>
                  <w:rFonts w:ascii="Arial" w:cs="Arial" w:eastAsia="Arial" w:hAnsi="Arial"/>
                  <w:sz w:val="18"/>
                  <w:szCs w:val="18"/>
                  <w:color w:val="0000FF"/>
                </w:rPr>
                <w:t>Sarbanes - Oxley Act of 2002.</w:t>
              </w:r>
            </w:hyperlink>
          </w:p>
        </w:tc>
      </w:tr>
      <w:tr>
        <w:trPr>
          <w:trHeight w:val="20"/>
        </w:trPr>
        <w:tc>
          <w:tcPr>
            <w:tcW w:w="232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32.2</w:t>
            </w:r>
          </w:p>
        </w:tc>
        <w:tc>
          <w:tcPr>
            <w:tcW w:w="9060" w:type="dxa"/>
            <w:vAlign w:val="bottom"/>
            <w:gridSpan w:val="17"/>
          </w:tcPr>
          <w:p>
            <w:pPr>
              <w:spacing w:after="0"/>
              <w:rPr>
                <w:rFonts w:ascii="Arial" w:cs="Arial" w:eastAsia="Arial" w:hAnsi="Arial"/>
                <w:sz w:val="18"/>
                <w:szCs w:val="18"/>
                <w:color w:val="0000FF"/>
                <w:w w:val="97"/>
              </w:rPr>
            </w:pPr>
            <w:hyperlink w:anchor="page64">
              <w:r>
                <w:rPr>
                  <w:rFonts w:ascii="Arial" w:cs="Arial" w:eastAsia="Arial" w:hAnsi="Arial"/>
                  <w:sz w:val="18"/>
                  <w:szCs w:val="18"/>
                  <w:color w:val="0000FF"/>
                  <w:w w:val="97"/>
                </w:rPr>
                <w:t>Certification of Chief Financial Officer pursuant to 18 U.S.C. Section 1350, as adopted pursuant to Section 906 of the</w:t>
              </w:r>
            </w:hyperlink>
          </w:p>
        </w:tc>
      </w:tr>
      <w:tr>
        <w:trPr>
          <w:trHeight w:val="196"/>
        </w:trPr>
        <w:tc>
          <w:tcPr>
            <w:tcW w:w="2320" w:type="dxa"/>
            <w:vAlign w:val="bottom"/>
          </w:tcPr>
          <w:p>
            <w:pPr>
              <w:spacing w:after="0"/>
              <w:rPr>
                <w:sz w:val="17"/>
                <w:szCs w:val="17"/>
                <w:color w:val="auto"/>
              </w:rPr>
            </w:pPr>
          </w:p>
        </w:tc>
        <w:tc>
          <w:tcPr>
            <w:tcW w:w="848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64">
              <w:r>
                <w:rPr>
                  <w:rFonts w:ascii="Arial" w:cs="Arial" w:eastAsia="Arial" w:hAnsi="Arial"/>
                  <w:sz w:val="18"/>
                  <w:szCs w:val="18"/>
                  <w:color w:val="0000FF"/>
                </w:rPr>
                <w:t>Sarbanes - Oxley Act of 2002.</w:t>
              </w:r>
            </w:hyperlink>
          </w:p>
        </w:tc>
        <w:tc>
          <w:tcPr>
            <w:tcW w:w="580" w:type="dxa"/>
            <w:vAlign w:val="bottom"/>
            <w:gridSpan w:val="8"/>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80" w:type="dxa"/>
            <w:vAlign w:val="bottom"/>
            <w:gridSpan w:val="13"/>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95</w:t>
            </w:r>
          </w:p>
        </w:tc>
        <w:tc>
          <w:tcPr>
            <w:tcW w:w="9060" w:type="dxa"/>
            <w:vAlign w:val="bottom"/>
            <w:gridSpan w:val="17"/>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Mine Safety and Health Administration Safety Data.</w:t>
              </w:r>
            </w:hyperlink>
          </w:p>
        </w:tc>
      </w:tr>
      <w:tr>
        <w:trPr>
          <w:trHeight w:val="520"/>
        </w:trPr>
        <w:tc>
          <w:tcPr>
            <w:tcW w:w="2320" w:type="dxa"/>
            <w:vAlign w:val="bottom"/>
          </w:tcPr>
          <w:p>
            <w:pPr>
              <w:ind w:left="40"/>
              <w:spacing w:after="0"/>
              <w:rPr>
                <w:sz w:val="20"/>
                <w:szCs w:val="20"/>
                <w:color w:val="auto"/>
              </w:rPr>
            </w:pPr>
            <w:r>
              <w:rPr>
                <w:rFonts w:ascii="Arial" w:cs="Arial" w:eastAsia="Arial" w:hAnsi="Arial"/>
                <w:sz w:val="18"/>
                <w:szCs w:val="18"/>
                <w:color w:val="auto"/>
              </w:rPr>
              <w:t>Exhibit 101</w:t>
            </w:r>
          </w:p>
        </w:tc>
        <w:tc>
          <w:tcPr>
            <w:tcW w:w="37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Financial Statements for XBRL Format.</w:t>
            </w:r>
          </w:p>
        </w:tc>
        <w:tc>
          <w:tcPr>
            <w:tcW w:w="5280" w:type="dxa"/>
            <w:vAlign w:val="bottom"/>
            <w:gridSpan w:val="13"/>
          </w:tcPr>
          <w:p>
            <w:pPr>
              <w:spacing w:after="0"/>
              <w:rPr>
                <w:sz w:val="24"/>
                <w:szCs w:val="24"/>
                <w:color w:val="auto"/>
              </w:rPr>
            </w:pPr>
          </w:p>
        </w:tc>
      </w:tr>
      <w:tr>
        <w:trPr>
          <w:trHeight w:val="243"/>
        </w:trPr>
        <w:tc>
          <w:tcPr>
            <w:tcW w:w="2320" w:type="dxa"/>
            <w:vAlign w:val="bottom"/>
          </w:tcPr>
          <w:p>
            <w:pPr>
              <w:spacing w:after="0"/>
              <w:rPr>
                <w:sz w:val="20"/>
                <w:szCs w:val="20"/>
                <w:color w:val="auto"/>
              </w:rPr>
            </w:pPr>
            <w:r>
              <w:rPr>
                <w:rFonts w:ascii="Arial" w:cs="Arial" w:eastAsia="Arial" w:hAnsi="Arial"/>
                <w:sz w:val="18"/>
                <w:szCs w:val="18"/>
                <w:color w:val="auto"/>
              </w:rPr>
              <w:t>__________</w:t>
            </w: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Previously filed as part of the filing indicated and incorporated by reference herein.</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59</w:t>
      </w:r>
    </w:p>
    <w:p>
      <w:pPr>
        <w:sectPr>
          <w:pgSz w:w="11900" w:h="16838" w:orient="portrait"/>
          <w:cols w:equalWidth="0" w:num="1">
            <w:col w:w="11380"/>
          </w:cols>
          <w:pgMar w:left="240" w:top="513" w:right="279" w:bottom="1440" w:gutter="0" w:footer="0" w:header="0"/>
        </w:sectPr>
      </w:pPr>
    </w:p>
    <w:bookmarkStart w:id="59" w:name="page60"/>
    <w:bookmarkEnd w:id="59"/>
    <w:p>
      <w:pPr>
        <w:jc w:val="center"/>
        <w:ind w:right="-439"/>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BLACK HILLS CORPORATION</w:t>
      </w:r>
    </w:p>
    <w:p>
      <w:pPr>
        <w:spacing w:after="0" w:line="1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David R. Emery, Chairman and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9">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Richard W. Kinzley, Senior Vice President and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Financial Officer</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Dated:</w:t>
            </w:r>
          </w:p>
        </w:tc>
        <w:tc>
          <w:tcPr>
            <w:tcW w:w="1200" w:type="dxa"/>
            <w:vAlign w:val="bottom"/>
          </w:tcPr>
          <w:p>
            <w:pPr>
              <w:ind w:left="280"/>
              <w:spacing w:after="0"/>
              <w:rPr>
                <w:sz w:val="20"/>
                <w:szCs w:val="20"/>
                <w:color w:val="auto"/>
              </w:rPr>
            </w:pPr>
            <w:r>
              <w:rPr>
                <w:rFonts w:ascii="Arial" w:cs="Arial" w:eastAsia="Arial" w:hAnsi="Arial"/>
                <w:sz w:val="18"/>
                <w:szCs w:val="18"/>
                <w:color w:val="auto"/>
                <w:w w:val="90"/>
              </w:rPr>
              <w:t>May 4, 2018</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240" w:top="584" w:right="6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David R. Emery, certify that:</w:t>
      </w:r>
    </w:p>
    <w:p>
      <w:pPr>
        <w:spacing w:after="0" w:line="387" w:lineRule="exact"/>
        <w:rPr>
          <w:sz w:val="20"/>
          <w:szCs w:val="20"/>
          <w:color w:val="auto"/>
        </w:rPr>
      </w:pPr>
    </w:p>
    <w:p>
      <w:pPr>
        <w:ind w:left="840" w:hanging="805"/>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4, 2018</w:t>
            </w:r>
          </w:p>
        </w:tc>
      </w:tr>
    </w:tbl>
    <w:p>
      <w:pPr>
        <w:spacing w:after="0" w:line="4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David R. Emery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Richard W. Kinzley, certify that:</w:t>
      </w:r>
    </w:p>
    <w:p>
      <w:pPr>
        <w:spacing w:after="0" w:line="387" w:lineRule="exact"/>
        <w:rPr>
          <w:sz w:val="20"/>
          <w:szCs w:val="20"/>
          <w:color w:val="auto"/>
        </w:rPr>
      </w:pPr>
    </w:p>
    <w:p>
      <w:pPr>
        <w:ind w:left="840" w:hanging="805"/>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4, 2018</w:t>
            </w:r>
          </w:p>
        </w:tc>
      </w:tr>
    </w:tbl>
    <w:p>
      <w:pPr>
        <w:spacing w:after="0" w:line="4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Quarterly Report of Black Hills Corporation (the “Company”) on Form 10-Q for the period ended March 31, 2018 as filed with the Securities and Exchange Commission on the date hereof (the “Report”), I, David R. Emery, Chairman and Chief Executive Officer of the Company, certify, pursuant to 18 U.S.C. ss. 1350, as adopted pursuant to ss. 906 of the Sarbanes-Oxley Act of 2002, that:</w:t>
      </w:r>
    </w:p>
    <w:p>
      <w:pPr>
        <w:spacing w:after="0" w:line="289" w:lineRule="exact"/>
        <w:rPr>
          <w:sz w:val="20"/>
          <w:szCs w:val="20"/>
          <w:color w:val="auto"/>
        </w:rPr>
      </w:pPr>
    </w:p>
    <w:p>
      <w:pPr>
        <w:ind w:left="1640" w:hanging="795"/>
        <w:spacing w:after="0"/>
        <w:tabs>
          <w:tab w:leader="none" w:pos="1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4, 2018</w:t>
            </w:r>
          </w:p>
        </w:tc>
      </w:tr>
    </w:tbl>
    <w:p>
      <w:pPr>
        <w:spacing w:after="0" w:line="36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David R. Emery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connection with the Quarterly Report of Black Hills Corporation (the “Company”) on Form 10-Q for the period ended March 31, 2018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274" w:lineRule="exact"/>
        <w:rPr>
          <w:sz w:val="20"/>
          <w:szCs w:val="20"/>
          <w:color w:val="auto"/>
        </w:rPr>
      </w:pPr>
    </w:p>
    <w:p>
      <w:pPr>
        <w:ind w:left="1640" w:hanging="795"/>
        <w:spacing w:after="0"/>
        <w:tabs>
          <w:tab w:leader="none" w:pos="1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4, 2018</w:t>
            </w:r>
          </w:p>
        </w:tc>
      </w:tr>
    </w:tbl>
    <w:p>
      <w:pPr>
        <w:spacing w:after="0" w:line="36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95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and Health Administration Safety Data</w:t>
      </w:r>
    </w:p>
    <w:p>
      <w:pPr>
        <w:spacing w:after="0" w:line="18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March 31, 2018.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89" w:lineRule="exact"/>
        <w:rPr>
          <w:sz w:val="20"/>
          <w:szCs w:val="20"/>
          <w:color w:val="auto"/>
        </w:rPr>
      </w:pPr>
    </w:p>
    <w:p>
      <w:pPr>
        <w:ind w:left="660" w:right="14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number of orders issued under section 104(b) of the Mine Act;</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number of citations and orders for unwarrantable failure of the mine operator to comply with mandatory health and safety standards under section 104(d) of the Mine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number of imminent danger orders issued under section 107(a) of the Mine 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dollar value of proposed assessments from MSHA under the Mine Act.</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table below sets forth the total number of citations and/or orders issued by MSHA to WRDC under the indicated provisions of the Mine Act, together with the total dollar value of proposed MSHA assessments received during the three months ended March 31, 2018 and legal actions pending before the Federal Mine Safety and Health Review Commission, together with the Administrative Law Judges thereof, for WRDC, our only mining complex. All citations were abated within 24 hours of issue.</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Mine Act Section</w:t>
            </w: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9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Legal</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 S&amp;S</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Mine Act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200" w:type="dxa"/>
            <w:vAlign w:val="bottom"/>
          </w:tcPr>
          <w:p>
            <w:pPr>
              <w:spacing w:after="0"/>
              <w:rPr>
                <w:sz w:val="12"/>
                <w:szCs w:val="12"/>
                <w:color w:val="auto"/>
              </w:rPr>
            </w:pPr>
          </w:p>
        </w:tc>
        <w:tc>
          <w:tcPr>
            <w:tcW w:w="10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6"/>
              </w:rPr>
              <w:t>Total Dollar</w:t>
            </w:r>
          </w:p>
        </w:tc>
        <w:tc>
          <w:tcPr>
            <w:tcW w:w="88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Received Notice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Citations issued</w:t>
            </w:r>
          </w:p>
        </w:tc>
        <w:tc>
          <w:tcPr>
            <w:tcW w:w="68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104(d)</w:t>
            </w:r>
          </w:p>
        </w:tc>
        <w:tc>
          <w:tcPr>
            <w:tcW w:w="98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107(a)</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4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Pending as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0" w:type="dxa"/>
            <w:vAlign w:val="bottom"/>
          </w:tcPr>
          <w:p>
            <w:pPr>
              <w:spacing w:after="0"/>
              <w:rPr>
                <w:sz w:val="1"/>
                <w:szCs w:val="1"/>
                <w:color w:val="auto"/>
              </w:rPr>
            </w:pPr>
          </w:p>
        </w:tc>
      </w:tr>
      <w:tr>
        <w:trPr>
          <w:trHeight w:val="149"/>
        </w:trPr>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MSHA</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during three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Citations</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Imminent</w:t>
            </w:r>
          </w:p>
        </w:tc>
        <w:tc>
          <w:tcPr>
            <w:tcW w:w="200" w:type="dxa"/>
            <w:vAlign w:val="bottom"/>
          </w:tcPr>
          <w:p>
            <w:pPr>
              <w:spacing w:after="0"/>
              <w:rPr>
                <w:sz w:val="12"/>
                <w:szCs w:val="12"/>
                <w:color w:val="auto"/>
              </w:rPr>
            </w:pPr>
          </w:p>
        </w:tc>
        <w:tc>
          <w:tcPr>
            <w:tcW w:w="10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Value of</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Mining</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Potential to Have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Last Day</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Initiated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Resolved</w:t>
            </w:r>
          </w:p>
        </w:tc>
        <w:tc>
          <w:tcPr>
            <w:tcW w:w="0" w:type="dxa"/>
            <w:vAlign w:val="bottom"/>
          </w:tcPr>
          <w:p>
            <w:pPr>
              <w:spacing w:after="0"/>
              <w:rPr>
                <w:sz w:val="1"/>
                <w:szCs w:val="1"/>
                <w:color w:val="auto"/>
              </w:rPr>
            </w:pPr>
          </w:p>
        </w:tc>
      </w:tr>
      <w:tr>
        <w:trPr>
          <w:trHeight w:val="186"/>
        </w:trPr>
        <w:tc>
          <w:tcPr>
            <w:tcW w:w="122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months ended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104(b)</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and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110(b)(2)</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Danger</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Proposed MSHA</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Related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Pattern Under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65"/>
        </w:trPr>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March 31, 2018</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Orders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Orders (#)</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Violations (#)</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Orders (#)</w:t>
            </w:r>
          </w:p>
        </w:tc>
        <w:tc>
          <w:tcPr>
            <w:tcW w:w="200" w:type="dxa"/>
            <w:vAlign w:val="bottom"/>
          </w:tcPr>
          <w:p>
            <w:pPr>
              <w:spacing w:after="0"/>
              <w:rPr>
                <w:sz w:val="14"/>
                <w:szCs w:val="14"/>
                <w:color w:val="auto"/>
              </w:rPr>
            </w:pPr>
          </w:p>
        </w:tc>
        <w:tc>
          <w:tcPr>
            <w:tcW w:w="10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4"/>
              </w:rPr>
              <w:t>Assessments</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Fatalities (#)</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Section 104(e)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(yes/no)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7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ind w:left="20"/>
              <w:spacing w:after="0" w:line="157" w:lineRule="exact"/>
              <w:rPr>
                <w:sz w:val="20"/>
                <w:szCs w:val="20"/>
                <w:color w:val="auto"/>
              </w:rPr>
            </w:pPr>
            <w:r>
              <w:rPr>
                <w:rFonts w:ascii="Arial" w:cs="Arial" w:eastAsia="Arial" w:hAnsi="Arial"/>
                <w:sz w:val="14"/>
                <w:szCs w:val="14"/>
                <w:color w:val="auto"/>
              </w:rPr>
              <w:t>Wyodak Coal Mine</w:t>
            </w: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tcPr>
          <w:p>
            <w:pPr>
              <w:ind w:left="20"/>
              <w:spacing w:after="0"/>
              <w:rPr>
                <w:sz w:val="20"/>
                <w:szCs w:val="20"/>
                <w:color w:val="auto"/>
              </w:rPr>
            </w:pPr>
            <w:r>
              <w:rPr>
                <w:rFonts w:ascii="Arial" w:cs="Arial" w:eastAsia="Arial" w:hAnsi="Arial"/>
                <w:sz w:val="14"/>
                <w:szCs w:val="14"/>
                <w:color w:val="auto"/>
              </w:rPr>
              <w:t>- 4800083</w:t>
            </w: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ind w:left="760"/>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Pr>
          <w:p>
            <w:pPr>
              <w:ind w:left="540"/>
              <w:spacing w:after="0"/>
              <w:rPr>
                <w:sz w:val="20"/>
                <w:szCs w:val="20"/>
                <w:color w:val="auto"/>
              </w:rPr>
            </w:pPr>
            <w:r>
              <w:rPr>
                <w:rFonts w:ascii="Arial" w:cs="Arial" w:eastAsia="Arial" w:hAnsi="Arial"/>
                <w:sz w:val="14"/>
                <w:szCs w:val="14"/>
                <w:color w:val="auto"/>
              </w:rPr>
              <w:t>—</w:t>
            </w:r>
          </w:p>
        </w:tc>
        <w:tc>
          <w:tcPr>
            <w:tcW w:w="760" w:type="dxa"/>
            <w:vAlign w:val="bottom"/>
          </w:tcPr>
          <w:p>
            <w:pPr>
              <w:ind w:left="500"/>
              <w:spacing w:after="0"/>
              <w:rPr>
                <w:sz w:val="20"/>
                <w:szCs w:val="20"/>
                <w:color w:val="auto"/>
              </w:rPr>
            </w:pPr>
            <w:r>
              <w:rPr>
                <w:rFonts w:ascii="Arial" w:cs="Arial" w:eastAsia="Arial" w:hAnsi="Arial"/>
                <w:sz w:val="14"/>
                <w:szCs w:val="14"/>
                <w:color w:val="auto"/>
              </w:rPr>
              <w:t>—</w:t>
            </w:r>
          </w:p>
        </w:tc>
        <w:tc>
          <w:tcPr>
            <w:tcW w:w="76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21" w:lineRule="exact"/>
        <w:rPr>
          <w:sz w:val="20"/>
          <w:szCs w:val="20"/>
          <w:color w:val="auto"/>
        </w:rPr>
      </w:pPr>
    </w:p>
    <w:p>
      <w:pPr>
        <w:ind w:left="340" w:right="180" w:hanging="332"/>
        <w:spacing w:after="0" w:line="254"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lowerLetter"/>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lowerLetter"/>
      <w:start w:val="1"/>
    </w:lvl>
  </w:abstractNum>
  <w:abstractNum w:abstractNumId="8">
    <w:nsid w:val="8EDBDAB"/>
    <w:multiLevelType w:val="hybridMultilevel"/>
    <w:lvl w:ilvl="0">
      <w:lvlJc w:val="left"/>
      <w:lvlText w:val="(%1)"/>
      <w:numFmt w:val="decimal"/>
      <w:start w:val="12"/>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decimal"/>
      <w:start w:val="14"/>
    </w:lvl>
  </w:abstractNum>
  <w:abstractNum w:abstractNumId="14">
    <w:nsid w:val="71F32454"/>
    <w:multiLevelType w:val="hybridMultilevel"/>
    <w:lvl w:ilvl="0">
      <w:lvlJc w:val="left"/>
      <w:lvlText w:val="(%1)"/>
      <w:numFmt w:val="decimal"/>
      <w:start w:val="16"/>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
      <w:numFmt w:val="bullet"/>
      <w:start w:val="1"/>
    </w:lvl>
    <w:lvl w:ilvl="1">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lowerRoman"/>
      <w:start w:val="2"/>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decimal"/>
      <w:start w:val="1"/>
    </w:lvl>
    <w:lvl w:ilvl="1">
      <w:lvlJc w:val="left"/>
      <w:lvlText w:val="%2)"/>
      <w:numFmt w:val="lowerLetter"/>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68" Type="http://schemas.openxmlformats.org/officeDocument/2006/relationships/image" Target="media/image38.png"/><Relationship Id="rId69" Type="http://schemas.openxmlformats.org/officeDocument/2006/relationships/image" Target="media/image39.png"/><Relationship Id="rId70" Type="http://schemas.openxmlformats.org/officeDocument/2006/relationships/image" Target="media/image40.png"/><Relationship Id="rId71" Type="http://schemas.openxmlformats.org/officeDocument/2006/relationships/image" Target="media/image41.png"/><Relationship Id="rId72" Type="http://schemas.openxmlformats.org/officeDocument/2006/relationships/image" Target="media/image42.png"/><Relationship Id="rId73" Type="http://schemas.openxmlformats.org/officeDocument/2006/relationships/image" Target="media/image43.png"/><Relationship Id="rId45" Type="http://schemas.openxmlformats.org/officeDocument/2006/relationships/hyperlink" Target="http://www.sec.gov/Archives/edgar/data/1130464/000113046415000133/ex21purchaseandsaleagr.htm" TargetMode="External"/><Relationship Id="rId46" Type="http://schemas.openxmlformats.org/officeDocument/2006/relationships/hyperlink" Target="http://www.sec.gov/Archives/edgar/data/1130464/000113046416000176/bkhex-221stamdpurchasesale.htm" TargetMode="External"/><Relationship Id="rId47" Type="http://schemas.openxmlformats.org/officeDocument/2006/relationships/hyperlink" Target="http://www.sec.gov/Archives/edgar/data/1130464/000113046415000133/ex22optionagreement.htm" TargetMode="External"/><Relationship Id="rId48" Type="http://schemas.openxmlformats.org/officeDocument/2006/relationships/hyperlink" Target="http://www.sec.gov/Archives/edgar/data/1130464/000113046418000007/bhcamendedarticles.htm" TargetMode="External"/><Relationship Id="rId49" Type="http://schemas.openxmlformats.org/officeDocument/2006/relationships/hyperlink" Target="http://www.sec.gov/Archives/edgar/data/1130464/000113046417000016/bkhexh3-amdrestatedbylawso.htm" TargetMode="External"/><Relationship Id="rId50" Type="http://schemas.openxmlformats.org/officeDocument/2006/relationships/hyperlink" Target="http://www.sec.gov/Archives/edgar/data/1130464/000113046403000214/ex4-1_10q603.htm" TargetMode="External"/><Relationship Id="rId51" Type="http://schemas.openxmlformats.org/officeDocument/2006/relationships/hyperlink" Target="http://www.sec.gov/Archives/edgar/data/1130464/000113046403000214/ex4-2_10q603.htm" TargetMode="External"/><Relationship Id="rId52" Type="http://schemas.openxmlformats.org/officeDocument/2006/relationships/hyperlink" Target="http://www.sec.gov/Archives/edgar/data/1130464/000110465909032244/a09-13238_3ex4.htm" TargetMode="External"/><Relationship Id="rId53" Type="http://schemas.openxmlformats.org/officeDocument/2006/relationships/hyperlink" Target="http://www.sec.gov/Archives/edgar/data/1130464/000110465910038202/a10-11184_5ex4.htm" TargetMode="External"/><Relationship Id="rId54" Type="http://schemas.openxmlformats.org/officeDocument/2006/relationships/hyperlink" Target="http://www.sec.gov/Archives/edgar/data/1130464/000110465913085420/a13-24110_4ex4.htm" TargetMode="External"/><Relationship Id="rId55" Type="http://schemas.openxmlformats.org/officeDocument/2006/relationships/hyperlink" Target="http://www.sec.gov/Archives/edgar/data/1130464/000110465916089656/a16-1059_4ex4d1.htm" TargetMode="External"/><Relationship Id="rId56" Type="http://schemas.openxmlformats.org/officeDocument/2006/relationships/hyperlink" Target="http://www.sec.gov/Archives/edgar/data/1130464/000110465916140657/a16-17027_1ex4d1.htm" TargetMode="External"/><Relationship Id="rId57" Type="http://schemas.openxmlformats.org/officeDocument/2006/relationships/hyperlink" Target="http://www.sec.gov/Archives/edgar/data/12400/000104746909009108/a2195001zex-4_19.htm" TargetMode="External"/><Relationship Id="rId58" Type="http://schemas.openxmlformats.org/officeDocument/2006/relationships/hyperlink" Target="http://www.sec.gov/Archives/edgar/data/12400/000093066102002633/dex42.txt" TargetMode="External"/><Relationship Id="rId59" Type="http://schemas.openxmlformats.org/officeDocument/2006/relationships/hyperlink" Target="http://www.sec.gov/Archives/edgar/data/12400/000110465909060487/a09-31821_7ex4d21.htm" TargetMode="External"/><Relationship Id="rId60" Type="http://schemas.openxmlformats.org/officeDocument/2006/relationships/hyperlink" Target="http://www.sec.gov/Archives/edgar/data/12400/000113046414000164/ex_10-1thirdsuppindentureb.htm" TargetMode="External"/><Relationship Id="rId61" Type="http://schemas.openxmlformats.org/officeDocument/2006/relationships/hyperlink" Target="http://www.sec.gov/Archives/edgar/data/12400/000113046414000164/ex_10-2restatedindenture.htm" TargetMode="External"/><Relationship Id="rId62" Type="http://schemas.openxmlformats.org/officeDocument/2006/relationships/hyperlink" Target="http://www.sec.gov/Archives/edgar/data/12400/000113046414000164/ex_10-3clfpfirstsupplement.htm" TargetMode="External"/><Relationship Id="rId63" Type="http://schemas.openxmlformats.org/officeDocument/2006/relationships/hyperlink" Target="http://www.sec.gov/Archives/edgar/data/12400/000113046414000164/ex_10-4clfpsupplementalind.htm" TargetMode="External"/><Relationship Id="rId64" Type="http://schemas.openxmlformats.org/officeDocument/2006/relationships/hyperlink" Target="http://www.sec.gov/Archives/edgar/data/1130464/000110465915080657/a15-22831_8ex4d1.htm" TargetMode="External"/><Relationship Id="rId65" Type="http://schemas.openxmlformats.org/officeDocument/2006/relationships/hyperlink" Target="http://www.sec.gov/Archives/edgar/data/1130464/000110465915080657/a15-22831_8ex4d2.htm" TargetMode="External"/><Relationship Id="rId66" Type="http://schemas.openxmlformats.org/officeDocument/2006/relationships/hyperlink" Target="http://www.sec.gov/Archives/edgar/data/1130464/000110465915080657/a15-22831_8ex4d4.htm" TargetMode="External"/><Relationship Id="rId67" Type="http://schemas.openxmlformats.org/officeDocument/2006/relationships/hyperlink" Target="http://www.sec.gov/Archives/edgar/data/1130464/000001240001000024/0000012400-01-000024-000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2020-01-15T09:15:00Z</dcterms:created>
  <dcterms:modified xsi:type="dcterms:W3CDTF">2020-01-15T09:15:00Z</dcterms:modified>
</cp:coreProperties>
</file>