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bkh-20260630.htm"/>
        <w:bookmarkStart w:id="1" w:name="ksbkh20260630"/>
        <w:bookmarkEnd w:id="0"/>
        <w:bookmarkEnd w:id="1"/>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UNITED STATES</w:t>
      </w:r>
    </w:p>
    <w:p>
      <w:pPr>
        <w:pStyle w:val="TextBody"/>
        <w:bidi w:val="0"/>
        <w:jc w:val="center"/>
        <w:rPr>
          <w:rFonts w:ascii="Arial" w:hAnsi="Arial"/>
          <w:b/>
          <w:color w:val="000000"/>
          <w:sz w:val="18"/>
        </w:rPr>
      </w:pPr>
      <w:r>
        <w:rPr>
          <w:rFonts w:ascii="Arial" w:hAnsi="Arial"/>
          <w:b/>
          <w:color w:val="000000"/>
          <w:sz w:val="18"/>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Form 10-Q</w:t>
      </w:r>
    </w:p>
    <w:p>
      <w:pPr>
        <w:pStyle w:val="TextBody"/>
        <w:bidi w:val="0"/>
        <w:jc w:val="center"/>
        <w:rPr/>
      </w:pPr>
      <w:r>
        <w:rPr/>
        <w:t> </w:t>
      </w:r>
    </w:p>
    <w:p>
      <w:pPr>
        <w:pStyle w:val="TextBody"/>
        <w:bidi w:val="0"/>
        <w:jc w:val="center"/>
        <w:rPr/>
      </w:pPr>
      <w:r>
        <w:rPr>
          <w:color w:val="000000"/>
        </w:rPr>
        <w:t xml:space="preserve">☒ </w:t>
      </w:r>
      <w:r>
        <w:rPr>
          <w:rFonts w:ascii="Arial" w:hAnsi="Arial"/>
          <w:color w:val="000000"/>
          <w:sz w:val="18"/>
        </w:rPr>
        <w:t>QUARTERLY REPORT PURSUANT TO SECTION 13 OR 15(d) OF THE SECURITIES EXCHANGE ACT OF 1934</w:t>
      </w:r>
    </w:p>
    <w:p>
      <w:pPr>
        <w:pStyle w:val="TextBody"/>
        <w:bidi w:val="0"/>
        <w:jc w:val="center"/>
        <w:rPr>
          <w:rFonts w:ascii="Arial" w:hAnsi="Arial"/>
          <w:color w:val="000000"/>
          <w:sz w:val="18"/>
        </w:rPr>
      </w:pPr>
      <w:r>
        <w:rPr>
          <w:rFonts w:ascii="Arial" w:hAnsi="Arial"/>
          <w:color w:val="000000"/>
          <w:sz w:val="18"/>
        </w:rPr>
        <w:t>For the quarterly period ended June 30, 2026</w:t>
      </w:r>
    </w:p>
    <w:p>
      <w:pPr>
        <w:pStyle w:val="TextBody"/>
        <w:bidi w:val="0"/>
        <w:jc w:val="center"/>
        <w:rPr>
          <w:rFonts w:ascii="Arial" w:hAnsi="Arial"/>
          <w:color w:val="000000"/>
          <w:sz w:val="18"/>
        </w:rPr>
      </w:pPr>
      <w:r>
        <w:rPr>
          <w:rFonts w:ascii="Arial" w:hAnsi="Arial"/>
          <w:color w:val="000000"/>
          <w:sz w:val="18"/>
        </w:rPr>
        <w:t>OR</w:t>
      </w:r>
    </w:p>
    <w:p>
      <w:pPr>
        <w:pStyle w:val="TextBody"/>
        <w:bidi w:val="0"/>
        <w:jc w:val="center"/>
        <w:rPr/>
      </w:pPr>
      <w:r>
        <w:rPr>
          <w:color w:val="000000"/>
        </w:rPr>
        <w:t xml:space="preserve">☐ </w:t>
      </w:r>
      <w:r>
        <w:rPr>
          <w:rFonts w:ascii="Arial" w:hAnsi="Arial"/>
          <w:color w:val="000000"/>
          <w:sz w:val="18"/>
        </w:rPr>
        <w:t>TRANSITION REPORT PURSUANT TO SECTION 13 OR 15(d) OF THE SECURITIES EXCHANGE ACT OF 1934</w:t>
      </w:r>
    </w:p>
    <w:p>
      <w:pPr>
        <w:pStyle w:val="TextBody"/>
        <w:bidi w:val="0"/>
        <w:jc w:val="center"/>
        <w:rPr>
          <w:rFonts w:ascii="Arial" w:hAnsi="Arial"/>
          <w:color w:val="000000"/>
          <w:sz w:val="18"/>
        </w:rPr>
      </w:pPr>
      <w:r>
        <w:rPr>
          <w:rFonts w:ascii="Arial" w:hAnsi="Arial"/>
          <w:color w:val="000000"/>
          <w:sz w:val="18"/>
        </w:rPr>
        <w:t>For the transition period from __________ to __________</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Commission File Number 001-31303</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Black Hills Corporation</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Incorporated in South Dakota IRS Identification Number 46-0458824</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7001 Mount Rushmore Road</w:t>
      </w:r>
    </w:p>
    <w:p>
      <w:pPr>
        <w:pStyle w:val="TextBody"/>
        <w:bidi w:val="0"/>
        <w:jc w:val="center"/>
        <w:rPr>
          <w:rFonts w:ascii="Times New Roman" w:hAnsi="Times New Roman"/>
          <w:sz w:val="20"/>
        </w:rPr>
      </w:pPr>
      <w:r>
        <w:rPr>
          <w:rFonts w:ascii="Arial" w:hAnsi="Arial"/>
          <w:color w:val="000000"/>
          <w:sz w:val="18"/>
        </w:rPr>
        <w:t>Rapid City, South Dakota</w:t>
      </w:r>
      <w:r>
        <w:rPr>
          <w:rFonts w:ascii="Times New Roman" w:hAnsi="Times New Roman"/>
          <w:color w:val="000000"/>
          <w:sz w:val="20"/>
        </w:rPr>
        <w:t xml:space="preserve"> </w:t>
      </w:r>
      <w:r>
        <w:rPr>
          <w:rFonts w:ascii="Arial" w:hAnsi="Arial"/>
          <w:color w:val="000000"/>
          <w:sz w:val="18"/>
        </w:rPr>
        <w:t>57702</w:t>
      </w:r>
    </w:p>
    <w:p>
      <w:pPr>
        <w:pStyle w:val="TextBody"/>
        <w:bidi w:val="0"/>
        <w:jc w:val="center"/>
        <w:rPr>
          <w:rFonts w:ascii="Arial" w:hAnsi="Arial"/>
          <w:color w:val="000000"/>
          <w:sz w:val="18"/>
        </w:rPr>
      </w:pPr>
      <w:r>
        <w:rPr>
          <w:rFonts w:ascii="Arial" w:hAnsi="Arial"/>
          <w:color w:val="000000"/>
          <w:sz w:val="18"/>
        </w:rPr>
        <w:t>Registrant’s telephone number (605) 721-1700</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Former name, former address, and former fiscal year if changed since last report</w:t>
      </w:r>
    </w:p>
    <w:p>
      <w:pPr>
        <w:pStyle w:val="TextBody"/>
        <w:bidi w:val="0"/>
        <w:jc w:val="center"/>
        <w:rPr>
          <w:rFonts w:ascii="Arial" w:hAnsi="Arial"/>
          <w:color w:val="000000"/>
          <w:sz w:val="18"/>
        </w:rPr>
      </w:pPr>
      <w:r>
        <w:rPr>
          <w:rFonts w:ascii="Arial" w:hAnsi="Arial"/>
          <w:color w:val="000000"/>
          <w:sz w:val="18"/>
        </w:rPr>
        <w:t>NONE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Times New Roman" w:hAnsi="Times New Roman"/>
          <w:color w:val="000000"/>
          <w:sz w:val="20"/>
        </w:rPr>
        <w:t xml:space="preserve">☒ </w:t>
      </w:r>
      <w:r>
        <w:rPr>
          <w:rFonts w:ascii="Arial" w:hAnsi="Arial"/>
          <w:color w:val="000000"/>
          <w:sz w:val="18"/>
        </w:rPr>
        <w:t>No ☐</w:t>
      </w:r>
    </w:p>
    <w:p>
      <w:pPr>
        <w:pStyle w:val="TextBody"/>
        <w:bidi w:val="0"/>
        <w:jc w:val="left"/>
        <w:rPr/>
      </w:pPr>
      <w:r>
        <w:rPr/>
        <w:t> </w:t>
      </w:r>
    </w:p>
    <w:p>
      <w:pPr>
        <w:pStyle w:val="TextBody"/>
        <w:bidi w:val="0"/>
        <w:spacing w:before="0" w:after="10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572" w:type="dxa"/>
        <w:jc w:val="left"/>
        <w:tblInd w:w="0" w:type="dxa"/>
        <w:tblLayout w:type="fixed"/>
        <w:tblCellMar>
          <w:top w:w="28" w:type="dxa"/>
          <w:left w:w="28" w:type="dxa"/>
          <w:bottom w:w="28" w:type="dxa"/>
          <w:right w:w="28" w:type="dxa"/>
        </w:tblCellMar>
      </w:tblPr>
      <w:tblGrid>
        <w:gridCol w:w="161"/>
        <w:gridCol w:w="2011"/>
        <w:gridCol w:w="316"/>
        <w:gridCol w:w="146"/>
        <w:gridCol w:w="243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18"/>
              </w:rPr>
            </w:pPr>
            <w:r>
              <w:rPr>
                <w:rFonts w:ascii="Wingdings;serif" w:hAnsi="Wingdings;serif"/>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r>
        <w:rPr>
          <w:rFonts w:ascii="Wingdings;serif" w:hAnsi="Wingdings;serif"/>
          <w:color w:val="000000"/>
          <w:sz w:val="18"/>
        </w:rPr>
        <w:t>o</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Act).Yes ☐ No </w:t>
      </w:r>
      <w:r>
        <w:rPr>
          <w:rFonts w:ascii="Times New Roman" w:hAnsi="Times New Roman"/>
          <w:color w:val="000000"/>
          <w:sz w:val="20"/>
        </w:rPr>
        <w:t>☒</w:t>
      </w:r>
    </w:p>
    <w:p>
      <w:pPr>
        <w:pStyle w:val="TextBody"/>
        <w:bidi w:val="0"/>
        <w:jc w:val="center"/>
        <w:rPr/>
      </w:pPr>
      <w:r>
        <w:rPr/>
        <w:t> </w:t>
      </w:r>
    </w:p>
    <w:tbl>
      <w:tblPr>
        <w:tblW w:w="8837" w:type="dxa"/>
        <w:jc w:val="left"/>
        <w:tblInd w:w="0" w:type="dxa"/>
        <w:tblLayout w:type="fixed"/>
        <w:tblCellMar>
          <w:top w:w="28" w:type="dxa"/>
          <w:left w:w="28" w:type="dxa"/>
          <w:bottom w:w="28" w:type="dxa"/>
          <w:right w:w="28" w:type="dxa"/>
        </w:tblCellMar>
      </w:tblPr>
      <w:tblGrid>
        <w:gridCol w:w="161"/>
        <w:gridCol w:w="2836"/>
        <w:gridCol w:w="146"/>
        <w:gridCol w:w="1606"/>
        <w:gridCol w:w="146"/>
        <w:gridCol w:w="375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37" w:type="dxa"/>
            <w:gridSpan w:val="7"/>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Securities registered pursuant to Section 12(b) of the Act: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Name of each exchange on which registered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Common stock of $1.00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BKH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New York Stock Exchange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Indicate the number of shares outstanding of each of the issuer’s classes of common stock as of the latest practicable date.</w:t>
      </w:r>
    </w:p>
    <w:tbl>
      <w:tblPr>
        <w:tblW w:w="5603" w:type="dxa"/>
        <w:jc w:val="left"/>
        <w:tblInd w:w="0" w:type="dxa"/>
        <w:tblLayout w:type="fixed"/>
        <w:tblCellMar>
          <w:top w:w="28" w:type="dxa"/>
          <w:left w:w="28" w:type="dxa"/>
          <w:bottom w:w="28" w:type="dxa"/>
          <w:right w:w="28" w:type="dxa"/>
        </w:tblCellMar>
      </w:tblPr>
      <w:tblGrid>
        <w:gridCol w:w="161"/>
        <w:gridCol w:w="2686"/>
        <w:gridCol w:w="1566"/>
        <w:gridCol w:w="999"/>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Class</w:t>
            </w:r>
          </w:p>
        </w:tc>
        <w:tc>
          <w:tcPr>
            <w:tcW w:w="2565" w:type="dxa"/>
            <w:gridSpan w:val="2"/>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Outstanding at August 4, 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53" w:after="30"/>
              <w:jc w:val="right"/>
              <w:rPr/>
            </w:pPr>
            <w:r>
              <w:rPr/>
              <w:t> </w:t>
            </w:r>
          </w:p>
        </w:tc>
        <w:tc>
          <w:tcPr>
            <w:tcW w:w="2686"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18"/>
              </w:rPr>
            </w:pPr>
            <w:r>
              <w:rPr>
                <w:rFonts w:ascii="Arial" w:hAnsi="Arial"/>
                <w:color w:val="000000"/>
                <w:sz w:val="18"/>
              </w:rPr>
              <w:t>Common stock, $1.00 par value</w:t>
            </w:r>
          </w:p>
        </w:tc>
        <w:tc>
          <w:tcPr>
            <w:tcW w:w="1566"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8"/>
              </w:rPr>
            </w:pPr>
            <w:r>
              <w:rPr>
                <w:rFonts w:ascii="Arial" w:hAnsi="Arial"/>
                <w:color w:val="000000"/>
                <w:sz w:val="18"/>
              </w:rPr>
              <w:t>76,253,141</w:t>
            </w:r>
          </w:p>
        </w:tc>
        <w:tc>
          <w:tcPr>
            <w:tcW w:w="999"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shares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center"/>
        <w:rPr>
          <w:rFonts w:ascii="Arial" w:hAnsi="Arial"/>
          <w:b/>
          <w:color w:val="000000"/>
          <w:sz w:val="18"/>
        </w:rPr>
      </w:pPr>
      <w:bookmarkStart w:id="2" w:name="toc_page"/>
      <w:bookmarkEnd w:id="2"/>
      <w:r>
        <w:rPr>
          <w:rFonts w:ascii="Arial" w:hAnsi="Arial"/>
          <w:b/>
          <w:color w:val="000000"/>
          <w:sz w:val="18"/>
        </w:rPr>
        <w:t>TABLE OF CONTENTS</w:t>
      </w:r>
    </w:p>
    <w:p>
      <w:pPr>
        <w:pStyle w:val="TextBody"/>
        <w:bidi w:val="0"/>
        <w:jc w:val="left"/>
        <w:rPr/>
      </w:pPr>
      <w:r>
        <w:rPr/>
        <w:t> </w:t>
      </w:r>
    </w:p>
    <w:tbl>
      <w:tblPr>
        <w:tblW w:w="9168" w:type="dxa"/>
        <w:jc w:val="left"/>
        <w:tblInd w:w="0" w:type="dxa"/>
        <w:tblLayout w:type="fixed"/>
        <w:tblCellMar>
          <w:top w:w="28" w:type="dxa"/>
          <w:left w:w="28" w:type="dxa"/>
          <w:bottom w:w="28" w:type="dxa"/>
          <w:right w:w="28" w:type="dxa"/>
        </w:tblCellMar>
      </w:tblPr>
      <w:tblGrid>
        <w:gridCol w:w="1231"/>
        <w:gridCol w:w="7351"/>
        <w:gridCol w:w="586"/>
      </w:tblGrid>
      <w:tr>
        <w:trPr/>
        <w:tc>
          <w:tcPr>
            <w:tcW w:w="123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Arial" w:hAnsi="Arial"/>
                <w:color w:val="000000"/>
                <w:sz w:val="18"/>
              </w:rPr>
            </w:pPr>
            <w:r>
              <w:rPr>
                <w:rFonts w:ascii="Arial" w:hAnsi="Arial"/>
                <w:color w:val="000000"/>
                <w:sz w:val="18"/>
              </w:rPr>
              <w:t>Page</w:t>
            </w:r>
          </w:p>
        </w:tc>
      </w:tr>
      <w:tr>
        <w:trPr/>
        <w:tc>
          <w:tcPr>
            <w:tcW w:w="8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hyperlink w:anchor="glossary">
              <w:r>
                <w:rPr>
                  <w:rStyle w:val="InternetLink"/>
                  <w:rFonts w:ascii="Arial" w:hAnsi="Arial"/>
                  <w:color w:val="0000FF"/>
                  <w:sz w:val="18"/>
                  <w:u w:val="single"/>
                </w:rPr>
                <w:t>Glossary of Terms and Abbreviations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ind w:left="0" w:right="0" w:firstLine="15"/>
              <w:jc w:val="center"/>
              <w:rPr/>
            </w:pPr>
            <w:hyperlink w:anchor="glossary">
              <w:r>
                <w:rPr>
                  <w:rStyle w:val="InternetLink"/>
                  <w:rFonts w:ascii="Arial" w:hAnsi="Arial"/>
                  <w:color w:val="0000FF"/>
                  <w:sz w:val="18"/>
                  <w:u w:val="single"/>
                </w:rPr>
                <w:t>3</w:t>
              </w:r>
            </w:hyperlink>
          </w:p>
        </w:tc>
      </w:tr>
      <w:tr>
        <w:trPr/>
        <w:tc>
          <w:tcPr>
            <w:tcW w:w="8582" w:type="dxa"/>
            <w:gridSpan w:val="2"/>
            <w:tcBorders/>
            <w:tcMar>
              <w:top w:w="0" w:type="dxa"/>
              <w:left w:w="0" w:type="dxa"/>
              <w:bottom w:w="0" w:type="dxa"/>
              <w:right w:w="0" w:type="dxa"/>
            </w:tcMar>
            <w:vAlign w:val="center"/>
          </w:tcPr>
          <w:p>
            <w:pPr>
              <w:pStyle w:val="TableContents"/>
              <w:bidi w:val="0"/>
              <w:spacing w:before="0" w:after="283"/>
              <w:ind w:left="0" w:right="0" w:firstLine="15"/>
              <w:jc w:val="left"/>
              <w:rPr/>
            </w:pPr>
            <w:hyperlink w:anchor="forward_looking_info">
              <w:r>
                <w:rPr>
                  <w:rStyle w:val="InternetLink"/>
                  <w:rFonts w:ascii="Arial" w:hAnsi="Arial"/>
                  <w:color w:val="0000FF"/>
                  <w:sz w:val="18"/>
                  <w:u w:val="single"/>
                </w:rPr>
                <w:t>Forward-Looking Information</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forward_looking_info">
              <w:r>
                <w:rPr>
                  <w:rStyle w:val="InternetLink"/>
                  <w:rFonts w:ascii="Arial" w:hAnsi="Arial"/>
                  <w:color w:val="0000FF"/>
                  <w:sz w:val="18"/>
                  <w:u w:val="single"/>
                </w:rPr>
                <w:t>6</w:t>
              </w:r>
            </w:hyperlink>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hyperlink w:anchor="part1_fin_info">
              <w:r>
                <w:rPr>
                  <w:rStyle w:val="InternetLink"/>
                  <w:rFonts w:ascii="Arial" w:hAnsi="Arial"/>
                  <w:color w:val="0000FF"/>
                  <w:sz w:val="18"/>
                  <w:u w:val="single"/>
                </w:rPr>
                <w:t>PART I. FINANCIAL INFORMATION</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part1_fin_info">
              <w:r>
                <w:rPr>
                  <w:rStyle w:val="InternetLink"/>
                  <w:rFonts w:ascii="Arial" w:hAnsi="Arial"/>
                  <w:color w:val="0000FF"/>
                  <w:sz w:val="18"/>
                  <w:u w:val="single"/>
                </w:rPr>
                <w:t>7</w:t>
              </w:r>
            </w:hyperlink>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_fin_stmts">
              <w:r>
                <w:rPr>
                  <w:rStyle w:val="InternetLink"/>
                  <w:rFonts w:ascii="Arial" w:hAnsi="Arial"/>
                  <w:color w:val="0000FF"/>
                  <w:sz w:val="18"/>
                  <w:u w:val="single"/>
                </w:rPr>
                <w:t>Financial Statements - unaudited</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item1_fin_stmts">
              <w:r>
                <w:rPr>
                  <w:rStyle w:val="InternetLink"/>
                  <w:rFonts w:ascii="Arial" w:hAnsi="Arial"/>
                  <w:color w:val="0000FF"/>
                  <w:sz w:val="18"/>
                  <w:u w:val="single"/>
                </w:rPr>
                <w:t>7</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135"/>
              <w:jc w:val="left"/>
              <w:rPr/>
            </w:pPr>
            <w:hyperlink w:anchor="stmt_of_income">
              <w:r>
                <w:rPr>
                  <w:rStyle w:val="InternetLink"/>
                  <w:rFonts w:ascii="Arial" w:hAnsi="Arial"/>
                  <w:color w:val="0000FF"/>
                  <w:sz w:val="18"/>
                  <w:u w:val="single"/>
                </w:rPr>
                <w:t>Consolidated Statements of Income</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stmt_of_income">
              <w:r>
                <w:rPr>
                  <w:rStyle w:val="InternetLink"/>
                  <w:rFonts w:ascii="Arial" w:hAnsi="Arial"/>
                  <w:color w:val="0000FF"/>
                  <w:sz w:val="18"/>
                  <w:u w:val="single"/>
                </w:rPr>
                <w:t>7</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hyperlink w:anchor="stmt_comp_income">
              <w:r>
                <w:rPr>
                  <w:rStyle w:val="InternetLink"/>
                  <w:rFonts w:ascii="Arial" w:hAnsi="Arial"/>
                  <w:color w:val="0000FF"/>
                  <w:sz w:val="18"/>
                  <w:u w:val="single"/>
                </w:rPr>
                <w:t>Consolidated Statements of Comprehensive Income</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stmt_comp_income">
              <w:r>
                <w:rPr>
                  <w:rStyle w:val="InternetLink"/>
                  <w:rFonts w:ascii="Arial" w:hAnsi="Arial"/>
                  <w:color w:val="0000FF"/>
                  <w:sz w:val="18"/>
                  <w:u w:val="single"/>
                </w:rPr>
                <w:t>8</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135"/>
              <w:jc w:val="left"/>
              <w:rPr/>
            </w:pPr>
            <w:hyperlink w:anchor="bal_sheet">
              <w:r>
                <w:rPr>
                  <w:rStyle w:val="InternetLink"/>
                  <w:rFonts w:ascii="Arial" w:hAnsi="Arial"/>
                  <w:color w:val="0000FF"/>
                  <w:sz w:val="18"/>
                  <w:u w:val="single"/>
                </w:rPr>
                <w:t>Consolidated Balance Sheets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bal_sheet">
              <w:r>
                <w:rPr>
                  <w:rStyle w:val="InternetLink"/>
                  <w:rFonts w:ascii="Arial" w:hAnsi="Arial"/>
                  <w:color w:val="0000FF"/>
                  <w:sz w:val="18"/>
                  <w:u w:val="single"/>
                </w:rPr>
                <w:t>9</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hyperlink w:anchor="stmt_cash_flows">
              <w:r>
                <w:rPr>
                  <w:rStyle w:val="InternetLink"/>
                  <w:rFonts w:ascii="Arial" w:hAnsi="Arial"/>
                  <w:color w:val="0000FF"/>
                  <w:sz w:val="18"/>
                  <w:u w:val="single"/>
                </w:rPr>
                <w:t>Consolidated Statements of Cash Flows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stmt_cash_flows">
              <w:r>
                <w:rPr>
                  <w:rStyle w:val="InternetLink"/>
                  <w:rFonts w:ascii="Arial" w:hAnsi="Arial"/>
                  <w:color w:val="0000FF"/>
                  <w:sz w:val="18"/>
                  <w:u w:val="single"/>
                </w:rPr>
                <w:t>11</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135"/>
              <w:jc w:val="left"/>
              <w:rPr/>
            </w:pPr>
            <w:hyperlink w:anchor="stmt_of_equity">
              <w:r>
                <w:rPr>
                  <w:rStyle w:val="InternetLink"/>
                  <w:rFonts w:ascii="Arial" w:hAnsi="Arial"/>
                  <w:color w:val="0000FF"/>
                  <w:sz w:val="18"/>
                  <w:u w:val="single"/>
                </w:rPr>
                <w:t>Consolidated Statements of Equity</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stmt_of_equity">
              <w:r>
                <w:rPr>
                  <w:rStyle w:val="InternetLink"/>
                  <w:rFonts w:ascii="Arial" w:hAnsi="Arial"/>
                  <w:color w:val="0000FF"/>
                  <w:sz w:val="18"/>
                  <w:u w:val="single"/>
                </w:rPr>
                <w:t>12</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hyperlink w:anchor="notes_to_fin_stmts">
              <w:r>
                <w:rPr>
                  <w:rStyle w:val="InternetLink"/>
                  <w:rFonts w:ascii="Arial" w:hAnsi="Arial"/>
                  <w:color w:val="0000FF"/>
                  <w:sz w:val="18"/>
                  <w:u w:val="single"/>
                </w:rPr>
                <w:t>Condensed Notes to Consolidated Financial Statements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notes_to_fin_stmts">
              <w:r>
                <w:rPr>
                  <w:rStyle w:val="InternetLink"/>
                  <w:rFonts w:ascii="Arial" w:hAnsi="Arial"/>
                  <w:color w:val="0000FF"/>
                  <w:sz w:val="18"/>
                  <w:u w:val="single"/>
                </w:rPr>
                <w:t>13</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fn1_managements_statement">
              <w:r>
                <w:rPr>
                  <w:rStyle w:val="InternetLink"/>
                  <w:rFonts w:ascii="Arial" w:hAnsi="Arial"/>
                  <w:color w:val="0000FF"/>
                  <w:sz w:val="18"/>
                  <w:u w:val="single"/>
                </w:rPr>
                <w:t>Note 1. Management’s Statement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fn1_managements_statement">
              <w:r>
                <w:rPr>
                  <w:rStyle w:val="InternetLink"/>
                  <w:rFonts w:ascii="Arial" w:hAnsi="Arial"/>
                  <w:color w:val="0000FF"/>
                  <w:sz w:val="18"/>
                  <w:u w:val="single"/>
                </w:rPr>
                <w:t>13</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hyperlink w:anchor="fn2_regulatory_matters">
              <w:r>
                <w:rPr>
                  <w:rStyle w:val="InternetLink"/>
                  <w:rFonts w:ascii="Arial" w:hAnsi="Arial"/>
                  <w:color w:val="0000FF"/>
                  <w:sz w:val="18"/>
                  <w:u w:val="single"/>
                </w:rPr>
                <w:t>Note 2. Regulatory Matters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fn2_regulatory_matters">
              <w:r>
                <w:rPr>
                  <w:rStyle w:val="InternetLink"/>
                  <w:rFonts w:ascii="Arial" w:hAnsi="Arial"/>
                  <w:color w:val="0000FF"/>
                  <w:sz w:val="18"/>
                  <w:u w:val="single"/>
                </w:rPr>
                <w:t>14</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fn3_commit_contingencies_and_guarantees">
              <w:r>
                <w:rPr>
                  <w:rStyle w:val="InternetLink"/>
                  <w:rFonts w:ascii="Arial" w:hAnsi="Arial"/>
                  <w:color w:val="0000FF"/>
                  <w:sz w:val="18"/>
                  <w:u w:val="single"/>
                </w:rPr>
                <w:t>Note 3. Commitments, Contingencies and Guarantees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fn3_commit_contingencies_and_guarantees">
              <w:r>
                <w:rPr>
                  <w:rStyle w:val="InternetLink"/>
                  <w:rFonts w:ascii="Arial" w:hAnsi="Arial"/>
                  <w:color w:val="0000FF"/>
                  <w:sz w:val="18"/>
                  <w:u w:val="single"/>
                </w:rPr>
                <w:t>15</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hyperlink w:anchor="fn4_revenue">
              <w:r>
                <w:rPr>
                  <w:rStyle w:val="InternetLink"/>
                  <w:rFonts w:ascii="Arial" w:hAnsi="Arial"/>
                  <w:color w:val="0000FF"/>
                  <w:sz w:val="18"/>
                  <w:u w:val="single"/>
                </w:rPr>
                <w:t>Note 4. Revenue</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fn4_revenue">
              <w:r>
                <w:rPr>
                  <w:rStyle w:val="InternetLink"/>
                  <w:rFonts w:ascii="Arial" w:hAnsi="Arial"/>
                  <w:color w:val="0000FF"/>
                  <w:sz w:val="18"/>
                  <w:u w:val="single"/>
                </w:rPr>
                <w:t>16</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fn5_financing">
              <w:r>
                <w:rPr>
                  <w:rStyle w:val="InternetLink"/>
                  <w:rFonts w:ascii="Arial" w:hAnsi="Arial"/>
                  <w:color w:val="0000FF"/>
                  <w:sz w:val="18"/>
                  <w:u w:val="single"/>
                </w:rPr>
                <w:t>Note 5. Financing</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fn5_financing">
              <w:r>
                <w:rPr>
                  <w:rStyle w:val="InternetLink"/>
                  <w:rFonts w:ascii="Arial" w:hAnsi="Arial"/>
                  <w:color w:val="0000FF"/>
                  <w:sz w:val="18"/>
                  <w:u w:val="single"/>
                </w:rPr>
                <w:t>17</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hyperlink w:anchor="fn6_earnings_per_share">
              <w:r>
                <w:rPr>
                  <w:rStyle w:val="InternetLink"/>
                  <w:rFonts w:ascii="Arial" w:hAnsi="Arial"/>
                  <w:color w:val="0000FF"/>
                  <w:sz w:val="18"/>
                  <w:u w:val="single"/>
                </w:rPr>
                <w:t>Note 6. Earnings Per Share</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fn6_earnings_per_share">
              <w:r>
                <w:rPr>
                  <w:rStyle w:val="InternetLink"/>
                  <w:rFonts w:ascii="Arial" w:hAnsi="Arial"/>
                  <w:color w:val="0000FF"/>
                  <w:sz w:val="18"/>
                  <w:u w:val="single"/>
                </w:rPr>
                <w:t>19</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fn7_risk_management_and_derivatives">
              <w:r>
                <w:rPr>
                  <w:rStyle w:val="InternetLink"/>
                  <w:rFonts w:ascii="Arial" w:hAnsi="Arial"/>
                  <w:color w:val="0000FF"/>
                  <w:sz w:val="18"/>
                  <w:u w:val="single"/>
                </w:rPr>
                <w:t>Note 7. Risk Management and Derivatives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fn7_risk_management_and_derivatives">
              <w:r>
                <w:rPr>
                  <w:rStyle w:val="InternetLink"/>
                  <w:rFonts w:ascii="Arial" w:hAnsi="Arial"/>
                  <w:color w:val="0000FF"/>
                  <w:sz w:val="18"/>
                  <w:u w:val="single"/>
                </w:rPr>
                <w:t>19</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hyperlink w:anchor="fn8_fair_value_measurements">
              <w:r>
                <w:rPr>
                  <w:rStyle w:val="InternetLink"/>
                  <w:rFonts w:ascii="Arial" w:hAnsi="Arial"/>
                  <w:color w:val="0000FF"/>
                  <w:sz w:val="18"/>
                  <w:u w:val="single"/>
                </w:rPr>
                <w:t>Note 8. Fair Value Measurements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fn8_fair_value_measurements">
              <w:r>
                <w:rPr>
                  <w:rStyle w:val="InternetLink"/>
                  <w:rFonts w:ascii="Arial" w:hAnsi="Arial"/>
                  <w:color w:val="0000FF"/>
                  <w:sz w:val="18"/>
                  <w:u w:val="single"/>
                </w:rPr>
                <w:t>22</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fn9_other_comprehensive_income">
              <w:r>
                <w:rPr>
                  <w:rStyle w:val="InternetLink"/>
                  <w:rFonts w:ascii="Arial" w:hAnsi="Arial"/>
                  <w:color w:val="0000FF"/>
                  <w:sz w:val="18"/>
                  <w:u w:val="single"/>
                </w:rPr>
                <w:t>Note 9. Other Comprehensive Income</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fn9_other_comprehensive_income">
              <w:r>
                <w:rPr>
                  <w:rStyle w:val="InternetLink"/>
                  <w:rFonts w:ascii="Arial" w:hAnsi="Arial"/>
                  <w:color w:val="0000FF"/>
                  <w:sz w:val="18"/>
                  <w:u w:val="single"/>
                </w:rPr>
                <w:t>24</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hyperlink w:anchor="fn10_employee_benefit_plans">
              <w:r>
                <w:rPr>
                  <w:rStyle w:val="InternetLink"/>
                  <w:rFonts w:ascii="Arial" w:hAnsi="Arial"/>
                  <w:color w:val="0000FF"/>
                  <w:sz w:val="18"/>
                  <w:u w:val="single"/>
                </w:rPr>
                <w:t>Note 10. Employee Benefit Plans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fn10_employee_benefit_plans">
              <w:r>
                <w:rPr>
                  <w:rStyle w:val="InternetLink"/>
                  <w:rFonts w:ascii="Arial" w:hAnsi="Arial"/>
                  <w:color w:val="0000FF"/>
                  <w:sz w:val="18"/>
                  <w:u w:val="single"/>
                </w:rPr>
                <w:t>25</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fn11_income_taxes">
              <w:r>
                <w:rPr>
                  <w:rStyle w:val="InternetLink"/>
                  <w:rFonts w:ascii="Arial" w:hAnsi="Arial"/>
                  <w:color w:val="0000FF"/>
                  <w:sz w:val="18"/>
                  <w:u w:val="single"/>
                </w:rPr>
                <w:t>Note 11. Income Taxes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fn11_income_taxes">
              <w:r>
                <w:rPr>
                  <w:rStyle w:val="InternetLink"/>
                  <w:rFonts w:ascii="Arial" w:hAnsi="Arial"/>
                  <w:color w:val="0000FF"/>
                  <w:sz w:val="18"/>
                  <w:u w:val="single"/>
                </w:rPr>
                <w:t>26</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hyperlink w:anchor="fn12_business_segment_information">
              <w:r>
                <w:rPr>
                  <w:rStyle w:val="InternetLink"/>
                  <w:rFonts w:ascii="Arial" w:hAnsi="Arial"/>
                  <w:color w:val="0000FF"/>
                  <w:sz w:val="18"/>
                  <w:u w:val="single"/>
                </w:rPr>
                <w:t>Note 12. Business Segment Information</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fn12_business_segment_information">
              <w:r>
                <w:rPr>
                  <w:rStyle w:val="InternetLink"/>
                  <w:rFonts w:ascii="Arial" w:hAnsi="Arial"/>
                  <w:color w:val="0000FF"/>
                  <w:sz w:val="18"/>
                  <w:u w:val="single"/>
                </w:rPr>
                <w:t>26</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fn13_selected_balance_sheet_information">
              <w:r>
                <w:rPr>
                  <w:rStyle w:val="InternetLink"/>
                  <w:rFonts w:ascii="Arial" w:hAnsi="Arial"/>
                  <w:color w:val="0000FF"/>
                  <w:sz w:val="18"/>
                  <w:u w:val="single"/>
                </w:rPr>
                <w:t>Note 13. Selected Balance Sheet Information</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fn13_selected_balance_sheet_information">
              <w:r>
                <w:rPr>
                  <w:rStyle w:val="InternetLink"/>
                  <w:rFonts w:ascii="Arial" w:hAnsi="Arial"/>
                  <w:color w:val="0000FF"/>
                  <w:sz w:val="18"/>
                  <w:u w:val="single"/>
                </w:rPr>
                <w:t>29</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hyperlink w:anchor="fn14_proposed">
              <w:r>
                <w:rPr>
                  <w:rStyle w:val="InternetLink"/>
                  <w:rFonts w:ascii="Arial" w:hAnsi="Arial"/>
                  <w:color w:val="0000FF"/>
                  <w:sz w:val="18"/>
                  <w:u w:val="single"/>
                </w:rPr>
                <w:t>Note 14. Pending Merger with NorthWestern</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fn14_proposed">
              <w:r>
                <w:rPr>
                  <w:rStyle w:val="InternetLink"/>
                  <w:rFonts w:ascii="Arial" w:hAnsi="Arial"/>
                  <w:color w:val="0000FF"/>
                  <w:sz w:val="18"/>
                  <w:u w:val="single"/>
                </w:rPr>
                <w:t>30</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fn15_subsequent">
              <w:r>
                <w:rPr>
                  <w:rStyle w:val="InternetLink"/>
                  <w:rFonts w:ascii="Arial" w:hAnsi="Arial"/>
                  <w:color w:val="0000FF"/>
                  <w:sz w:val="18"/>
                  <w:u w:val="single"/>
                </w:rPr>
                <w:t>Note 15. Subsequent Events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fn15_subsequent">
              <w:r>
                <w:rPr>
                  <w:rStyle w:val="InternetLink"/>
                  <w:rFonts w:ascii="Arial" w:hAnsi="Arial"/>
                  <w:color w:val="0000FF"/>
                  <w:sz w:val="18"/>
                  <w:u w:val="single"/>
                </w:rPr>
                <w:t>30</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Arial" w:hAnsi="Arial"/>
                  <w:color w:val="0000FF"/>
                  <w:sz w:val="18"/>
                  <w:u w:val="single"/>
                </w:rPr>
                <w:t>Management’s Discussion and Analysis of Financial Condition and Results of Operations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item2_mda">
              <w:r>
                <w:rPr>
                  <w:rStyle w:val="InternetLink"/>
                  <w:rFonts w:ascii="Arial" w:hAnsi="Arial"/>
                  <w:color w:val="0000FF"/>
                  <w:sz w:val="18"/>
                  <w:u w:val="single"/>
                </w:rPr>
                <w:t>31</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hyperlink w:anchor="mda_exec_summary">
              <w:r>
                <w:rPr>
                  <w:rStyle w:val="InternetLink"/>
                  <w:rFonts w:ascii="Arial" w:hAnsi="Arial"/>
                  <w:color w:val="0000FF"/>
                  <w:sz w:val="18"/>
                  <w:u w:val="single"/>
                </w:rPr>
                <w:t>Executive Summary</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mda_exec_summary">
              <w:r>
                <w:rPr>
                  <w:rStyle w:val="InternetLink"/>
                  <w:rFonts w:ascii="Arial" w:hAnsi="Arial"/>
                  <w:color w:val="0000FF"/>
                  <w:sz w:val="18"/>
                  <w:u w:val="single"/>
                </w:rPr>
                <w:t>31</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135"/>
              <w:jc w:val="left"/>
              <w:rPr/>
            </w:pPr>
            <w:hyperlink w:anchor="mda_recent_developments">
              <w:r>
                <w:rPr>
                  <w:rStyle w:val="InternetLink"/>
                  <w:rFonts w:ascii="Arial" w:hAnsi="Arial"/>
                  <w:color w:val="0000FF"/>
                  <w:sz w:val="18"/>
                  <w:u w:val="single"/>
                </w:rPr>
                <w:t>Recent Developments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mda_recent_developments">
              <w:r>
                <w:rPr>
                  <w:rStyle w:val="InternetLink"/>
                  <w:rFonts w:ascii="Arial" w:hAnsi="Arial"/>
                  <w:color w:val="0000FF"/>
                  <w:sz w:val="18"/>
                  <w:u w:val="single"/>
                </w:rPr>
                <w:t>31</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hyperlink w:anchor="mda_results_of_ops">
              <w:r>
                <w:rPr>
                  <w:rStyle w:val="InternetLink"/>
                  <w:rFonts w:ascii="Arial" w:hAnsi="Arial"/>
                  <w:color w:val="0000FF"/>
                  <w:sz w:val="18"/>
                  <w:u w:val="single"/>
                </w:rPr>
                <w:t>Results of Operations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mda_results_of_ops">
              <w:r>
                <w:rPr>
                  <w:rStyle w:val="InternetLink"/>
                  <w:rFonts w:ascii="Arial" w:hAnsi="Arial"/>
                  <w:color w:val="0000FF"/>
                  <w:sz w:val="18"/>
                  <w:u w:val="single"/>
                </w:rPr>
                <w:t>32</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37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375"/>
              <w:jc w:val="left"/>
              <w:rPr/>
            </w:pPr>
            <w:hyperlink w:anchor="mda_consol_summary">
              <w:r>
                <w:rPr>
                  <w:rStyle w:val="InternetLink"/>
                  <w:rFonts w:ascii="Arial" w:hAnsi="Arial"/>
                  <w:color w:val="0000FF"/>
                  <w:sz w:val="18"/>
                  <w:u w:val="single"/>
                </w:rPr>
                <w:t>Consolidated Summary and Overview</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mda_consol_summary">
              <w:r>
                <w:rPr>
                  <w:rStyle w:val="InternetLink"/>
                  <w:rFonts w:ascii="Arial" w:hAnsi="Arial"/>
                  <w:color w:val="0000FF"/>
                  <w:sz w:val="18"/>
                  <w:u w:val="single"/>
                </w:rPr>
                <w:t>33</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37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375"/>
              <w:jc w:val="left"/>
              <w:rPr/>
            </w:pPr>
            <w:hyperlink w:anchor="mda_non_gaap_fin_measures">
              <w:r>
                <w:rPr>
                  <w:rStyle w:val="InternetLink"/>
                  <w:rFonts w:ascii="Arial" w:hAnsi="Arial"/>
                  <w:color w:val="0000FF"/>
                  <w:sz w:val="18"/>
                  <w:u w:val="single"/>
                </w:rPr>
                <w:t>Non-GAAP Financial Measure</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mda_non_gaap_fin_measures">
              <w:r>
                <w:rPr>
                  <w:rStyle w:val="InternetLink"/>
                  <w:rFonts w:ascii="Arial" w:hAnsi="Arial"/>
                  <w:color w:val="0000FF"/>
                  <w:sz w:val="18"/>
                  <w:u w:val="single"/>
                </w:rPr>
                <w:t>34</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mda_electric">
              <w:r>
                <w:rPr>
                  <w:rStyle w:val="InternetLink"/>
                  <w:rFonts w:ascii="Arial" w:hAnsi="Arial"/>
                  <w:color w:val="0000FF"/>
                  <w:sz w:val="18"/>
                  <w:u w:val="single"/>
                </w:rPr>
                <w:t>Electric Utilities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mda_electric">
              <w:r>
                <w:rPr>
                  <w:rStyle w:val="InternetLink"/>
                  <w:rFonts w:ascii="Arial" w:hAnsi="Arial"/>
                  <w:color w:val="0000FF"/>
                  <w:sz w:val="18"/>
                  <w:u w:val="single"/>
                </w:rPr>
                <w:t>35</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pPr>
            <w:hyperlink w:anchor="mda_gas">
              <w:r>
                <w:rPr>
                  <w:rStyle w:val="InternetLink"/>
                  <w:rFonts w:ascii="Arial" w:hAnsi="Arial"/>
                  <w:color w:val="0000FF"/>
                  <w:sz w:val="18"/>
                  <w:u w:val="single"/>
                </w:rPr>
                <w:t>Gas Utilities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mda_gas">
              <w:r>
                <w:rPr>
                  <w:rStyle w:val="InternetLink"/>
                  <w:rFonts w:ascii="Arial" w:hAnsi="Arial"/>
                  <w:color w:val="0000FF"/>
                  <w:sz w:val="18"/>
                  <w:u w:val="single"/>
                </w:rPr>
                <w:t>38</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mda_corp_other">
              <w:r>
                <w:rPr>
                  <w:rStyle w:val="InternetLink"/>
                  <w:rFonts w:ascii="Arial" w:hAnsi="Arial"/>
                  <w:color w:val="0000FF"/>
                  <w:sz w:val="18"/>
                  <w:u w:val="single"/>
                </w:rPr>
                <w:t>Corporate and Other</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mda_corp_other">
              <w:r>
                <w:rPr>
                  <w:rStyle w:val="InternetLink"/>
                  <w:rFonts w:ascii="Arial" w:hAnsi="Arial"/>
                  <w:color w:val="0000FF"/>
                  <w:sz w:val="18"/>
                  <w:u w:val="single"/>
                </w:rPr>
                <w:t>40</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pPr>
            <w:hyperlink w:anchor="mda_below_the_line_exp">
              <w:r>
                <w:rPr>
                  <w:rStyle w:val="InternetLink"/>
                  <w:rFonts w:ascii="Arial" w:hAnsi="Arial"/>
                  <w:color w:val="0000FF"/>
                  <w:sz w:val="18"/>
                  <w:u w:val="single"/>
                </w:rPr>
                <w:t>Consolidated Interest Expense, Other Income and Income Tax Expense</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mda_below_the_line_exp">
              <w:r>
                <w:rPr>
                  <w:rStyle w:val="InternetLink"/>
                  <w:rFonts w:ascii="Arial" w:hAnsi="Arial"/>
                  <w:color w:val="0000FF"/>
                  <w:sz w:val="18"/>
                  <w:u w:val="single"/>
                </w:rPr>
                <w:t>40</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135"/>
              <w:jc w:val="left"/>
              <w:rPr/>
            </w:pPr>
            <w:hyperlink w:anchor="mda_liquidity">
              <w:r>
                <w:rPr>
                  <w:rStyle w:val="InternetLink"/>
                  <w:rFonts w:ascii="Arial" w:hAnsi="Arial"/>
                  <w:color w:val="0000FF"/>
                  <w:sz w:val="18"/>
                  <w:u w:val="single"/>
                </w:rPr>
                <w:t>Liquidity and Capital Resources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mda_liquidity">
              <w:r>
                <w:rPr>
                  <w:rStyle w:val="InternetLink"/>
                  <w:rFonts w:ascii="Arial" w:hAnsi="Arial"/>
                  <w:color w:val="0000FF"/>
                  <w:sz w:val="18"/>
                  <w:u w:val="single"/>
                </w:rPr>
                <w:t>41</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pPr>
            <w:hyperlink w:anchor="mda_liq_cashflow_act">
              <w:r>
                <w:rPr>
                  <w:rStyle w:val="InternetLink"/>
                  <w:rFonts w:ascii="Arial" w:hAnsi="Arial"/>
                  <w:color w:val="0000FF"/>
                  <w:sz w:val="18"/>
                  <w:u w:val="single"/>
                </w:rPr>
                <w:t>Cash Flow Activities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mda_liq_cashflow_act">
              <w:r>
                <w:rPr>
                  <w:rStyle w:val="InternetLink"/>
                  <w:rFonts w:ascii="Arial" w:hAnsi="Arial"/>
                  <w:color w:val="0000FF"/>
                  <w:sz w:val="18"/>
                  <w:u w:val="single"/>
                </w:rPr>
                <w:t>41</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mda_liq_cap_resources">
              <w:r>
                <w:rPr>
                  <w:rStyle w:val="InternetLink"/>
                  <w:rFonts w:ascii="Arial" w:hAnsi="Arial"/>
                  <w:color w:val="0000FF"/>
                  <w:sz w:val="18"/>
                  <w:u w:val="single"/>
                </w:rPr>
                <w:t>Capital Resources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mda_liq_cap_resources">
              <w:r>
                <w:rPr>
                  <w:rStyle w:val="InternetLink"/>
                  <w:rFonts w:ascii="Arial" w:hAnsi="Arial"/>
                  <w:color w:val="0000FF"/>
                  <w:sz w:val="18"/>
                  <w:u w:val="single"/>
                </w:rPr>
                <w:t>43</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pPr>
            <w:hyperlink w:anchor="mda_liq_credit_ratings">
              <w:r>
                <w:rPr>
                  <w:rStyle w:val="InternetLink"/>
                  <w:rFonts w:ascii="Arial" w:hAnsi="Arial"/>
                  <w:color w:val="0000FF"/>
                  <w:sz w:val="18"/>
                  <w:u w:val="single"/>
                </w:rPr>
                <w:t>Credit Ratings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mda_liq_credit_ratings">
              <w:r>
                <w:rPr>
                  <w:rStyle w:val="InternetLink"/>
                  <w:rFonts w:ascii="Arial" w:hAnsi="Arial"/>
                  <w:color w:val="0000FF"/>
                  <w:sz w:val="18"/>
                  <w:u w:val="single"/>
                </w:rPr>
                <w:t>43</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mda_liq_cap_require">
              <w:r>
                <w:rPr>
                  <w:rStyle w:val="InternetLink"/>
                  <w:rFonts w:ascii="Arial" w:hAnsi="Arial"/>
                  <w:color w:val="0000FF"/>
                  <w:sz w:val="18"/>
                  <w:u w:val="single"/>
                </w:rPr>
                <w:t>Capital Requirements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mda_liq_cap_require">
              <w:r>
                <w:rPr>
                  <w:rStyle w:val="InternetLink"/>
                  <w:rFonts w:ascii="Arial" w:hAnsi="Arial"/>
                  <w:color w:val="0000FF"/>
                  <w:sz w:val="18"/>
                  <w:u w:val="single"/>
                </w:rPr>
                <w:t>43</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135"/>
              <w:jc w:val="left"/>
              <w:rPr/>
            </w:pPr>
            <w:hyperlink w:anchor="mda_critical_acct_est">
              <w:r>
                <w:rPr>
                  <w:rStyle w:val="InternetLink"/>
                  <w:rFonts w:ascii="Arial" w:hAnsi="Arial"/>
                  <w:color w:val="0000FF"/>
                  <w:sz w:val="18"/>
                  <w:u w:val="single"/>
                </w:rPr>
                <w:t>Critical Accounting Estimates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mda_critical_acct_est">
              <w:r>
                <w:rPr>
                  <w:rStyle w:val="InternetLink"/>
                  <w:rFonts w:ascii="Arial" w:hAnsi="Arial"/>
                  <w:color w:val="0000FF"/>
                  <w:sz w:val="18"/>
                  <w:u w:val="single"/>
                </w:rPr>
                <w:t>43</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135"/>
              <w:jc w:val="left"/>
              <w:rPr/>
            </w:pPr>
            <w:hyperlink w:anchor="mda_new_acctg_pronounce">
              <w:r>
                <w:rPr>
                  <w:rStyle w:val="InternetLink"/>
                  <w:rFonts w:ascii="Arial" w:hAnsi="Arial"/>
                  <w:color w:val="0000FF"/>
                  <w:sz w:val="18"/>
                  <w:u w:val="single"/>
                </w:rPr>
                <w:t>New Accounting Pronouncements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mda_new_acctg_pronounce">
              <w:r>
                <w:rPr>
                  <w:rStyle w:val="InternetLink"/>
                  <w:rFonts w:ascii="Arial" w:hAnsi="Arial"/>
                  <w:color w:val="0000FF"/>
                  <w:sz w:val="18"/>
                  <w:u w:val="single"/>
                </w:rPr>
                <w:t>44</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7351" w:type="dxa"/>
            <w:tcBorders/>
            <w:tcMar>
              <w:top w:w="0" w:type="dxa"/>
              <w:left w:w="0" w:type="dxa"/>
              <w:bottom w:w="0" w:type="dxa"/>
              <w:right w:w="0" w:type="dxa"/>
            </w:tcMar>
            <w:vAlign w:val="center"/>
          </w:tcPr>
          <w:p>
            <w:pPr>
              <w:pStyle w:val="TableContents"/>
              <w:bidi w:val="0"/>
              <w:spacing w:before="0" w:after="283"/>
              <w:jc w:val="left"/>
              <w:rPr/>
            </w:pPr>
            <w:hyperlink w:anchor="item3_quan_qual_discl">
              <w:r>
                <w:rPr>
                  <w:rStyle w:val="InternetLink"/>
                  <w:rFonts w:ascii="Arial" w:hAnsi="Arial"/>
                  <w:color w:val="0000FF"/>
                  <w:sz w:val="18"/>
                  <w:u w:val="single"/>
                </w:rPr>
                <w:t>Quantitative and Qualitative Disclosures About Market Risk</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item3_quan_qual_discl">
              <w:r>
                <w:rPr>
                  <w:rStyle w:val="InternetLink"/>
                  <w:rFonts w:ascii="Arial" w:hAnsi="Arial"/>
                  <w:color w:val="0000FF"/>
                  <w:sz w:val="18"/>
                  <w:u w:val="single"/>
                </w:rPr>
                <w:t>44</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4_controls_procedures">
              <w:r>
                <w:rPr>
                  <w:rStyle w:val="InternetLink"/>
                  <w:rFonts w:ascii="Arial" w:hAnsi="Arial"/>
                  <w:color w:val="0000FF"/>
                  <w:sz w:val="18"/>
                  <w:u w:val="single"/>
                </w:rPr>
                <w:t>Controls and Procedures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item4_controls_procedures">
              <w:r>
                <w:rPr>
                  <w:rStyle w:val="InternetLink"/>
                  <w:rFonts w:ascii="Arial" w:hAnsi="Arial"/>
                  <w:color w:val="0000FF"/>
                  <w:sz w:val="18"/>
                  <w:u w:val="single"/>
                </w:rPr>
                <w:t>44</w:t>
              </w:r>
            </w:hyperlink>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6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PART II. OTHER INFORMATION</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tcMar>
              <w:top w:w="0" w:type="dxa"/>
              <w:left w:w="0" w:type="dxa"/>
              <w:bottom w:w="0" w:type="dxa"/>
              <w:right w:w="0" w:type="dxa"/>
            </w:tcMar>
            <w:vAlign w:val="center"/>
          </w:tcPr>
          <w:p>
            <w:pPr>
              <w:pStyle w:val="TableContents"/>
              <w:bidi w:val="0"/>
              <w:spacing w:before="0" w:after="283"/>
              <w:jc w:val="left"/>
              <w:rPr/>
            </w:pPr>
            <w:hyperlink w:anchor="partii_item1_legal_proceed">
              <w:r>
                <w:rPr>
                  <w:rStyle w:val="InternetLink"/>
                  <w:rFonts w:ascii="Arial" w:hAnsi="Arial"/>
                  <w:color w:val="0000FF"/>
                  <w:sz w:val="18"/>
                  <w:u w:val="single"/>
                </w:rPr>
                <w:t>Legal Proceedings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partii_item1_legal_proceed">
              <w:r>
                <w:rPr>
                  <w:rStyle w:val="InternetLink"/>
                  <w:rFonts w:ascii="Arial" w:hAnsi="Arial"/>
                  <w:color w:val="0000FF"/>
                  <w:sz w:val="18"/>
                  <w:u w:val="single"/>
                </w:rPr>
                <w:t>44</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1A.</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artii_item1a_risk_factors">
              <w:r>
                <w:rPr>
                  <w:rStyle w:val="InternetLink"/>
                  <w:rFonts w:ascii="Arial" w:hAnsi="Arial"/>
                  <w:color w:val="0000FF"/>
                  <w:sz w:val="18"/>
                  <w:u w:val="single"/>
                </w:rPr>
                <w:t>Risk Factors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partii_item1a_risk_factors">
              <w:r>
                <w:rPr>
                  <w:rStyle w:val="InternetLink"/>
                  <w:rFonts w:ascii="Arial" w:hAnsi="Arial"/>
                  <w:color w:val="0000FF"/>
                  <w:sz w:val="18"/>
                  <w:u w:val="single"/>
                </w:rPr>
                <w:t>44</w:t>
              </w:r>
            </w:hyperlink>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tcMar>
              <w:top w:w="0" w:type="dxa"/>
              <w:left w:w="0" w:type="dxa"/>
              <w:bottom w:w="0" w:type="dxa"/>
              <w:right w:w="0" w:type="dxa"/>
            </w:tcMar>
            <w:vAlign w:val="center"/>
          </w:tcPr>
          <w:p>
            <w:pPr>
              <w:pStyle w:val="TableContents"/>
              <w:bidi w:val="0"/>
              <w:spacing w:before="0" w:after="283"/>
              <w:jc w:val="left"/>
              <w:rPr/>
            </w:pPr>
            <w:hyperlink w:anchor="partii_item2_unreg_sales">
              <w:r>
                <w:rPr>
                  <w:rStyle w:val="InternetLink"/>
                  <w:rFonts w:ascii="Arial" w:hAnsi="Arial"/>
                  <w:color w:val="0000FF"/>
                  <w:sz w:val="18"/>
                  <w:u w:val="single"/>
                </w:rPr>
                <w:t>Unregistered Sales of Equity Securities and Use of Proceeds</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partii_item2_unreg_sales">
              <w:r>
                <w:rPr>
                  <w:rStyle w:val="InternetLink"/>
                  <w:rFonts w:ascii="Arial" w:hAnsi="Arial"/>
                  <w:color w:val="0000FF"/>
                  <w:sz w:val="18"/>
                  <w:u w:val="single"/>
                </w:rPr>
                <w:t>44</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artii_item4_mine_safety">
              <w:r>
                <w:rPr>
                  <w:rStyle w:val="InternetLink"/>
                  <w:rFonts w:ascii="Arial" w:hAnsi="Arial"/>
                  <w:color w:val="0000FF"/>
                  <w:sz w:val="18"/>
                  <w:u w:val="single"/>
                </w:rPr>
                <w:t>Mine Safety Disclosures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partii_item4_mine_safety">
              <w:r>
                <w:rPr>
                  <w:rStyle w:val="InternetLink"/>
                  <w:rFonts w:ascii="Arial" w:hAnsi="Arial"/>
                  <w:color w:val="0000FF"/>
                  <w:sz w:val="18"/>
                  <w:u w:val="single"/>
                </w:rPr>
                <w:t>44</w:t>
              </w:r>
            </w:hyperlink>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5.</w:t>
            </w:r>
          </w:p>
        </w:tc>
        <w:tc>
          <w:tcPr>
            <w:tcW w:w="7351" w:type="dxa"/>
            <w:tcBorders/>
            <w:tcMar>
              <w:top w:w="0" w:type="dxa"/>
              <w:left w:w="0" w:type="dxa"/>
              <w:bottom w:w="0" w:type="dxa"/>
              <w:right w:w="0" w:type="dxa"/>
            </w:tcMar>
            <w:vAlign w:val="center"/>
          </w:tcPr>
          <w:p>
            <w:pPr>
              <w:pStyle w:val="TableContents"/>
              <w:bidi w:val="0"/>
              <w:spacing w:before="0" w:after="283"/>
              <w:jc w:val="left"/>
              <w:rPr/>
            </w:pPr>
            <w:hyperlink w:anchor="partii_item5_otherinfo">
              <w:r>
                <w:rPr>
                  <w:rStyle w:val="InternetLink"/>
                  <w:rFonts w:ascii="Arial" w:hAnsi="Arial"/>
                  <w:color w:val="0000FF"/>
                  <w:sz w:val="18"/>
                  <w:u w:val="single"/>
                </w:rPr>
                <w:t>Other Information</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hyperlink w:anchor="partii_item5_otherinfo">
              <w:r>
                <w:rPr>
                  <w:rStyle w:val="InternetLink"/>
                  <w:rFonts w:ascii="Arial" w:hAnsi="Arial"/>
                  <w:color w:val="0000FF"/>
                  <w:sz w:val="18"/>
                  <w:u w:val="single"/>
                </w:rPr>
                <w:t>45</w:t>
              </w:r>
            </w:hyperlink>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6.</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artii_item6_exhibits">
              <w:r>
                <w:rPr>
                  <w:rStyle w:val="InternetLink"/>
                  <w:rFonts w:ascii="Arial" w:hAnsi="Arial"/>
                  <w:color w:val="0000FF"/>
                  <w:sz w:val="18"/>
                  <w:u w:val="single"/>
                </w:rPr>
                <w:t>Exhibits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partii_item6_exhibits">
              <w:r>
                <w:rPr>
                  <w:rStyle w:val="InternetLink"/>
                  <w:rFonts w:ascii="Arial" w:hAnsi="Arial"/>
                  <w:color w:val="0000FF"/>
                  <w:sz w:val="18"/>
                  <w:u w:val="single"/>
                </w:rPr>
                <w:t>45</w:t>
              </w:r>
            </w:hyperlink>
          </w:p>
        </w:tc>
      </w:tr>
      <w:tr>
        <w:trPr/>
        <w:tc>
          <w:tcPr>
            <w:tcW w:w="123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hyperlink w:anchor="signatures">
              <w:r>
                <w:rPr>
                  <w:rStyle w:val="InternetLink"/>
                  <w:rFonts w:ascii="Arial" w:hAnsi="Arial"/>
                  <w:color w:val="0000FF"/>
                  <w:sz w:val="18"/>
                  <w:u w:val="single"/>
                </w:rPr>
                <w:t>Signatures</w:t>
              </w:r>
            </w:hyperlink>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pPr>
            <w:hyperlink w:anchor="signatures">
              <w:r>
                <w:rPr>
                  <w:rStyle w:val="InternetLink"/>
                  <w:rFonts w:ascii="Arial" w:hAnsi="Arial"/>
                  <w:color w:val="0000FF"/>
                  <w:sz w:val="18"/>
                  <w:u w:val="single"/>
                </w:rPr>
                <w:t>46</w:t>
              </w:r>
            </w:hyperlink>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bookmarkStart w:id="3" w:name="glossary"/>
      <w:bookmarkEnd w:id="3"/>
      <w:r>
        <w:rPr>
          <w:rFonts w:ascii="Arial" w:hAnsi="Arial"/>
          <w:b/>
          <w:color w:val="000000"/>
          <w:sz w:val="18"/>
        </w:rPr>
        <w:t>GLOSSARY OF TERMS AND ABBREVIATIONS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terms and abbreviations appear in the text of this report and have the definitions described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4"/>
        <w:gridCol w:w="8501"/>
      </w:tblGrid>
      <w:tr>
        <w:trPr/>
        <w:tc>
          <w:tcPr>
            <w:tcW w:w="1704" w:type="dxa"/>
            <w:tcBorders/>
            <w:vAlign w:val="center"/>
          </w:tcPr>
          <w:p>
            <w:pPr>
              <w:pStyle w:val="TableContents"/>
              <w:bidi w:val="0"/>
              <w:spacing w:before="0" w:after="283"/>
              <w:jc w:val="left"/>
              <w:rPr>
                <w:sz w:val="4"/>
                <w:szCs w:val="4"/>
              </w:rPr>
            </w:pPr>
            <w:r>
              <w:rPr>
                <w:sz w:val="4"/>
                <w:szCs w:val="4"/>
              </w:rPr>
            </w:r>
          </w:p>
        </w:tc>
        <w:tc>
          <w:tcPr>
            <w:tcW w:w="8501" w:type="dxa"/>
            <w:tcBorders/>
            <w:vAlign w:val="center"/>
          </w:tcPr>
          <w:p>
            <w:pPr>
              <w:pStyle w:val="TableContents"/>
              <w:bidi w:val="0"/>
              <w:spacing w:before="0" w:after="283"/>
              <w:jc w:val="left"/>
              <w:rPr>
                <w:sz w:val="4"/>
                <w:szCs w:val="4"/>
              </w:rPr>
            </w:pPr>
            <w:r>
              <w:rPr>
                <w:sz w:val="4"/>
                <w:szCs w:val="4"/>
              </w:rPr>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AFUDC</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Allowance for Funds Used During Construction</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AOCI</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Other Comprehensive Income (Loss)</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APSC</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Arkansas Public Service Commission</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Arkansas Gas</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Energy Arkansas, Inc., an indirect, wholly-owned subsidiary of Black Hills Utility Holdings, providing natural gas services to customers in Arkansas (doing business as Black Hills Energy).</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ASU</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Accounting Standards Update as issued by the FASB</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ATM</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At-the-market equity offering program</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BHC</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Corporation; the Company</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BHSC</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Service Company, LLC, a direct, wholly-owned subsidiary of Black Hills Corporation (doing business as Black Hills Energy)</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Black-box Settlement</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Settlement with a utility's commission where the revenue requirement is agreed upon, but the specific adjustments used by each party to arrive at the amount are not specified in public rate orders.</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Electric Generation</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Electric Generation, LLC, a direct, wholly-owned subsidiary of Black Hills Non-regulated Holdings, providing wholesale electric capacity and energy primarily to our affiliate utilities.</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Electric Parent Holdings</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Electric Utility Holdings, LLC., a direct, wholly-owned subsidiary of Black Hills Corporation</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Energy</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The name used to conduct the business of our Utilities</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Energy Services</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Energy Services Company, an indirect, wholly-owned subsidiary of Black Hills Utility Holdings, providing natural gas commodity supply for the Choice Gas Programs.</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Non-regulated Holdings</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Non-regulated Holdings, LLC, a direct, wholly-owned subsidiary of Black Hills Corporation</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Utility Holdings</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Utility Holdings, Inc., a direct, wholly-owned subsidiary of Black Hills Corporation (doing business as Black Hills Energy)</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Blockchain Interruptible Service (BCIS) Tariff</w:t>
            </w:r>
            <w:r>
              <w:rPr>
                <w:rFonts w:ascii="Times New Roman" w:hAnsi="Times New Roman"/>
                <w:color w:val="000000"/>
                <w:sz w:val="18"/>
              </w:rPr>
              <w:t xml:space="preserve"> </w:t>
            </w:r>
          </w:p>
        </w:tc>
        <w:tc>
          <w:tcPr>
            <w:tcW w:w="850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A WPSC-approved tariff applicable to prospective new Wyoming Electric blockchain customers. The tariff allows customers to negotiate rates and terms and conditions for interruptible electric utility service of 10 MW or greater that would be interconnected with Wyoming Electric’s system. Agreements under the BCIS tariff must be filed with the WPSC prior to the first customer billing, be at least 2 years in duration and include specific pricing for all electricity purchased (with pricing terms subject to renegotiation every three years). BCIS customers shall not participate in the PCA to the extent of service received under the tariff.</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Choice Gas Program</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Regulator-approved programs in Wyoming and Nebraska that allow certain utility customers to select their natural gas commodity supplier, providing for the unbundling of the commodity service from the distribution delivery service.</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Operating Decision Maker (CODM)</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CIAC</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Contribution in aid of construction</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Clean Energy Plan</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2030 Ready Plan that establishes a roadmap and preferred resource portfolio for Colorado Electric to achieve the State of Colorado's requirement calling upon electric utilities to reduce greenhouse gas emissions by a minimum of 80% from 2005 levels by 2030.</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Colorado Electric</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Colorado Electric, LLC, a direct, wholly-owned subsidiary of Black Hills Electric Parent Holdings, providing electric services to customers in Colorado (doing business as Black Hills Energy).</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Colorado Gas</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Colorado Gas, Inc., an indirect, wholly-owned subsidiary of Black Hills Utility Holdings, providing natural gas services to customers in Colorado (doing business as Black Hills Energy).</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Consolidated Indebtedness to Capitalization Ratio</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Any indebtedness outstanding at such time, divided by capital at such time. Capital being consolidated net worth (excluding non-controlling interest) plus consolidated indebtedness (including letters of credit and certain guarantees issued) as defined within the current Revolving Credit Facility.</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Cooling Degree Day</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 cooling degree day is equivalent to each degree that the average of the high and the low temperatures for a day is above 65 degrees. The warmer the climate, the greater the number of cooling degree days. Cooling degree days are used in the utility industry to measure the relative warmth of weather and to compare relative temperatures between one geographic area and another. Normal degree days are based on the National Weather Service data for selected locations.</w:t>
            </w:r>
          </w:p>
        </w:tc>
      </w:tr>
      <w:tr>
        <w:trPr/>
        <w:tc>
          <w:tcPr>
            <w:tcW w:w="17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CP Program</w:t>
            </w:r>
          </w:p>
        </w:tc>
        <w:tc>
          <w:tcPr>
            <w:tcW w:w="8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Commercial Paper Program</w:t>
            </w:r>
          </w:p>
        </w:tc>
      </w:tr>
      <w:tr>
        <w:trPr/>
        <w:tc>
          <w:tcPr>
            <w:tcW w:w="17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CPUC</w:t>
            </w:r>
          </w:p>
        </w:tc>
        <w:tc>
          <w:tcPr>
            <w:tcW w:w="85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Colorado Public Utilities Commission</w:t>
            </w:r>
          </w:p>
        </w:tc>
      </w:tr>
    </w:tbl>
    <w:p>
      <w:pPr>
        <w:pStyle w:val="TextBody"/>
        <w:bidi w:val="0"/>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0"/>
        <w:gridCol w:w="8535"/>
      </w:tblGrid>
      <w:tr>
        <w:trPr/>
        <w:tc>
          <w:tcPr>
            <w:tcW w:w="1670" w:type="dxa"/>
            <w:tcBorders/>
            <w:vAlign w:val="center"/>
          </w:tcPr>
          <w:p>
            <w:pPr>
              <w:pStyle w:val="TableContents"/>
              <w:bidi w:val="0"/>
              <w:spacing w:before="0" w:after="283"/>
              <w:jc w:val="left"/>
              <w:rPr>
                <w:sz w:val="4"/>
                <w:szCs w:val="4"/>
              </w:rPr>
            </w:pPr>
            <w:r>
              <w:rPr>
                <w:sz w:val="4"/>
                <w:szCs w:val="4"/>
              </w:rPr>
            </w:r>
          </w:p>
        </w:tc>
        <w:tc>
          <w:tcPr>
            <w:tcW w:w="853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Dth</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Dekatherm. A unit of energy equal to 10 therms or one million British thermal units (MMBtu)</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FASB</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Financial Accounting Standards Board</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FCC</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Federal Communications Commission</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FERC</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Federal Energy Regulatory Commission</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Accounting principles generally accepted in the United States of America</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GSRS</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Gas System Reliability Surcharge is a monthly charge that recovers Kansas Gas's costs associated with pipeline safety and government-mandated projects.</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GW</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Gigawatts</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GWh</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Gigawatt Hours</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Heating Degree Day</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 heating degree day is equivalent to each degree that the average of the high and the low temperatures for a day is below 65 degrees. The colder the climate, the greater the number of heating degree days. Heating degree days are used in the utility industry to measure the relative coldness of weather and to compare relative temperatures between one geographic area and another. Normal degree days are based on the National Weather Service data for selected locations.</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HomeServe</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 offer HomeServe products to our natural gas residential customers interested in purchasing additional home repair service plans.</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HSR Act</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Hart-Scott-Rodino Antitrust Improvements Act of 1976</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Integrated Generation</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Non-regulated power generation and mining businesses (Black Hills Electric Generation and WRDC) that are vertically integrated within our Electric Utilities segment.</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Iowa Gas</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Iowa Gas Utility Company, LLC, a direct, wholly-owned subsidiary of Black Hills Utility Holdings, providing natural gas services to customers in Iowa (doing business as Black Hills Energy).</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IRP</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Integrated Resource Plan</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IRS</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United States Internal Revenue Service</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Kansas Gas</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Kansas Gas Utility Company, LLC, a direct, wholly-owned subsidiary of Black Hills Utility Holdings, providing natural gas services to customers in Kansas (doing business as Black Hills Energy).</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KCC</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Kansas Corporation Commission</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Lange II</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 dual fuel (natural gas and diesel oil) electric generation project in Rapid City, South Dakota with an estimated total capacity of 99 MW. This facility will be owned and operated by South Dakota Electric and will be located adjacent to the Lange CT generation facility. This project is expected to be in service by the second half of 2026. The addition of these resources will replace generation facilities planned for retirement and support updated planning reserve margin requirements.</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LCTCAM</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Customer Transmission Cost Adjustment Mechanism</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Power Contract Service (LPCS) Tariff</w:t>
            </w:r>
          </w:p>
        </w:tc>
        <w:tc>
          <w:tcPr>
            <w:tcW w:w="8535"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Wyoming Electric offers service under the LPCS tariff approved by the Wyoming Public Service Commission. The LPCS Tariff provides a cost-based rate structure for customers with very large electric loads, typically data centers or other high-demand facilities.This Tariff is designed to ensure that service to LPCS customers is fully self-supporting and does not shift costs to other customer classes.</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Merger</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Merger Sub merging with and into NorthWestern</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Merger Agreement</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The Agreement and Plan of Merger, dated August 18, 2025, by and among BHC, Merger Sub, and NorthWestern</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Merger Sub</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River Merger Sub Inc., a Delaware corporation and direct, wholly owned subsidiary of BHC</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MMBtu</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Million British thermal units</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Moody's</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Moody's Ratings</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MPSC</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Montana Public Service Commission</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MW</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Megawatts</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MWh</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Megawatt-hours</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 applicable</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Nebraska Gas</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Nebraska Gas, LLC, an indirect, wholly-owned subsidiary of Black Hills Utility Holdings, providing natural gas services to customers in Nebraska (doing business as Black Hills Energy).</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NorthWestern</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NorthWestern Energy Group, Inc., a Delaware corporation</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NPSC</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Nebraska Public Service Commission</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OCI</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Phase-in Plan Rate (PIPR) Rider</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South Dakota law provides for a utility to begin recovering costs outside of a general rate review for investments in new generation facilities.</w:t>
            </w:r>
          </w:p>
        </w:tc>
      </w:tr>
      <w:tr>
        <w:trPr/>
        <w:tc>
          <w:tcPr>
            <w:tcW w:w="1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PPA</w:t>
            </w:r>
          </w:p>
        </w:tc>
        <w:tc>
          <w:tcPr>
            <w:tcW w:w="8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Power Purchase Agreement</w:t>
            </w:r>
          </w:p>
        </w:tc>
      </w:tr>
      <w:tr>
        <w:trPr/>
        <w:tc>
          <w:tcPr>
            <w:tcW w:w="167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PTC</w:t>
            </w:r>
          </w:p>
        </w:tc>
        <w:tc>
          <w:tcPr>
            <w:tcW w:w="85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Production Tax Credit</w:t>
            </w:r>
          </w:p>
        </w:tc>
      </w:tr>
    </w:tbl>
    <w:p>
      <w:pPr>
        <w:pStyle w:val="TextBody"/>
        <w:bidi w:val="0"/>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3"/>
        <w:gridCol w:w="8912"/>
      </w:tblGrid>
      <w:tr>
        <w:trPr/>
        <w:tc>
          <w:tcPr>
            <w:tcW w:w="1293" w:type="dxa"/>
            <w:tcBorders/>
            <w:vAlign w:val="center"/>
          </w:tcPr>
          <w:p>
            <w:pPr>
              <w:pStyle w:val="TableContents"/>
              <w:bidi w:val="0"/>
              <w:spacing w:before="0" w:after="283"/>
              <w:jc w:val="left"/>
              <w:rPr>
                <w:sz w:val="4"/>
                <w:szCs w:val="4"/>
              </w:rPr>
            </w:pPr>
            <w:r>
              <w:rPr>
                <w:sz w:val="4"/>
                <w:szCs w:val="4"/>
              </w:rPr>
            </w:r>
          </w:p>
        </w:tc>
        <w:tc>
          <w:tcPr>
            <w:tcW w:w="8912" w:type="dxa"/>
            <w:tcBorders/>
            <w:vAlign w:val="center"/>
          </w:tcPr>
          <w:p>
            <w:pPr>
              <w:pStyle w:val="TableContents"/>
              <w:bidi w:val="0"/>
              <w:spacing w:before="0" w:after="283"/>
              <w:jc w:val="left"/>
              <w:rPr>
                <w:sz w:val="4"/>
                <w:szCs w:val="4"/>
              </w:rPr>
            </w:pPr>
            <w:r>
              <w:rPr>
                <w:sz w:val="4"/>
                <w:szCs w:val="4"/>
              </w:rPr>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Ready Wyoming</w:t>
            </w:r>
          </w:p>
        </w:tc>
        <w:tc>
          <w:tcPr>
            <w:tcW w:w="89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 260-mile, multi-phase transmission expansion project in Wyoming which was fully completed and placed in service in 2025. The project provides customers long-term price stability and greater flexibility as power markets develop in the western United States. This project is also expected to enable economic growth in Wyoming, expand access to renewable resources and facilitate additional renewable development across wind- and sun-rich resource areas.</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Revolving Credit Facility</w:t>
            </w:r>
          </w:p>
        </w:tc>
        <w:tc>
          <w:tcPr>
            <w:tcW w:w="89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Our $750 million credit facility used to fund working capital needs, letters of credit and other corporate purposes, which was amended on May 31, 2024, and will terminate on May 31, 2030. This facility includes an accordion feature that allows us to increase total commitments up to $1.0 billion with the consent of the administrative agent, the issuing agents and each bank increasing or providing a new commitment.</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SDPUC</w:t>
            </w:r>
          </w:p>
        </w:tc>
        <w:tc>
          <w:tcPr>
            <w:tcW w:w="89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South Dakota Public Utilities Commission</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SEC</w:t>
            </w:r>
          </w:p>
        </w:tc>
        <w:tc>
          <w:tcPr>
            <w:tcW w:w="89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United States Securities and Exchange Commission</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Service Guard Comfort Plan</w:t>
            </w:r>
          </w:p>
        </w:tc>
        <w:tc>
          <w:tcPr>
            <w:tcW w:w="89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Appliance protection plan that provides home appliance repair services through ongoing monthly service agreements to residential utility customers.</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S&amp;P</w:t>
            </w:r>
          </w:p>
        </w:tc>
        <w:tc>
          <w:tcPr>
            <w:tcW w:w="89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S&amp;P Global Ratings, a division of S&amp;P Global Inc.</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South Dakota Electric</w:t>
            </w:r>
          </w:p>
        </w:tc>
        <w:tc>
          <w:tcPr>
            <w:tcW w:w="89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Power, Inc., a direct, wholly-owned subsidiary of Black Hills Corporation, providing electric service to customers in Montana, South Dakota and Wyoming (doing business as Black Hills Energy).</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SSIR</w:t>
            </w:r>
          </w:p>
        </w:tc>
        <w:tc>
          <w:tcPr>
            <w:tcW w:w="89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System Safety and Integrity Rider is a mechanism that allows us to recover the costs associated with certain pipeline safety and integrity investments, including the replacement of higher risk pipe, the improvement of the data management system, and the mitigation of other safety issues identified on our natural gas system.</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System Peak Demand</w:t>
            </w:r>
          </w:p>
        </w:tc>
        <w:tc>
          <w:tcPr>
            <w:tcW w:w="89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Represents the highest point of retail customer usage for a single hour.</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TCAM</w:t>
            </w:r>
          </w:p>
        </w:tc>
        <w:tc>
          <w:tcPr>
            <w:tcW w:w="89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Transmission Cost Adjustment Mechanism is a WPSC-approved tariff based on a</w:t>
              <w:br/>
              <w:t>formulaic approach that determines the recovery of Wyoming Electric's transmission costs.</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Tech Services</w:t>
            </w:r>
          </w:p>
        </w:tc>
        <w:tc>
          <w:tcPr>
            <w:tcW w:w="89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Non-regulated product lines delivered by our Utilities that 1) provide electrical system construction services to large industrial customers of our Electric Utilities, and 2) serve gas transportation customers throughout its service territory by constructing and maintaining customer-owned gas infrastructure facilities, typically through one-time contracts.</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Utilities</w:t>
            </w:r>
          </w:p>
        </w:tc>
        <w:tc>
          <w:tcPr>
            <w:tcW w:w="89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Electric and Gas Utilities</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Winter Storm Uri</w:t>
            </w:r>
          </w:p>
        </w:tc>
        <w:tc>
          <w:tcPr>
            <w:tcW w:w="89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February 2021 winter weather event that caused extreme cold temperatures in the central United States and led to unprecedented fluctuations in customer demand and market pricing for natural gas and energy.</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Wildfire Mitigation Plan (WMP)</w:t>
            </w:r>
            <w:r>
              <w:rPr>
                <w:rFonts w:ascii="Times New Roman" w:hAnsi="Times New Roman"/>
                <w:color w:val="000000"/>
                <w:sz w:val="18"/>
              </w:rPr>
              <w:t xml:space="preserve"> </w:t>
            </w:r>
          </w:p>
        </w:tc>
        <w:tc>
          <w:tcPr>
            <w:tcW w:w="89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Our three-layered approach to manage wildfire risks driven by asset-based risk assessments that include asset programs, integrity programs and operational response.</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WPSC</w:t>
            </w:r>
          </w:p>
        </w:tc>
        <w:tc>
          <w:tcPr>
            <w:tcW w:w="89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Wyoming Public Service Commission</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WRDC</w:t>
            </w:r>
          </w:p>
        </w:tc>
        <w:tc>
          <w:tcPr>
            <w:tcW w:w="89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Wyodak Resources Development Corp., a coal mine which is a direct, wholly-owned subsidiary of Black Hills Non-regulated Holdings, providing coal supply primarily to five on-site, mine-mouth generating facilities at our Gillette Energy Complex (doing business as Black Hills Energy).</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Wyoming Electric</w:t>
            </w:r>
          </w:p>
        </w:tc>
        <w:tc>
          <w:tcPr>
            <w:tcW w:w="89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Cheyenne Light, Fuel and Power Company, a direct, wholly-owned subsidiary of Black Hills Corporation, providing electric service to customers in the Cheyenne, Wyoming area (doing business as Black Hills Energy).</w:t>
            </w:r>
          </w:p>
        </w:tc>
      </w:tr>
      <w:tr>
        <w:trPr/>
        <w:tc>
          <w:tcPr>
            <w:tcW w:w="1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Wyoming Gas</w:t>
            </w:r>
          </w:p>
        </w:tc>
        <w:tc>
          <w:tcPr>
            <w:tcW w:w="89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Black Hills Wyoming Gas, LLC, an indirect, wholly-owned subsidiary of Black Hills Utility Holdings, providing natural gas services to customers in Wyoming (doing business as Black Hills Energy).</w:t>
            </w:r>
          </w:p>
        </w:tc>
      </w:tr>
    </w:tbl>
    <w:p>
      <w:pPr>
        <w:pStyle w:val="TextBody"/>
        <w:bidi w:val="0"/>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bookmarkStart w:id="4" w:name="forward_looking_info"/>
      <w:bookmarkEnd w:id="4"/>
      <w:r>
        <w:rPr>
          <w:rFonts w:ascii="Arial" w:hAnsi="Arial"/>
          <w:b/>
          <w:color w:val="000000"/>
          <w:sz w:val="18"/>
        </w:rPr>
        <w:t>FORWARD-LOOKING INFORMATION</w:t>
      </w:r>
    </w:p>
    <w:p>
      <w:pPr>
        <w:pStyle w:val="TextBody"/>
        <w:bidi w:val="0"/>
        <w:jc w:val="left"/>
        <w:rPr/>
      </w:pPr>
      <w:r>
        <w:rPr/>
        <w:t> </w:t>
      </w:r>
    </w:p>
    <w:p>
      <w:pPr>
        <w:pStyle w:val="TextBody"/>
        <w:bidi w:val="0"/>
        <w:jc w:val="left"/>
        <w:rPr/>
      </w:pPr>
      <w:r>
        <w:rPr>
          <w:rFonts w:ascii="Arial" w:hAnsi="Arial"/>
          <w:color w:val="000000"/>
          <w:sz w:val="18"/>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2025 Annual Report on Form 10-K, Part II, </w:t>
      </w:r>
      <w:hyperlink w:anchor="partii_item1a_risk_factors">
        <w:r>
          <w:rPr>
            <w:rStyle w:val="InternetLink"/>
            <w:rFonts w:ascii="Arial" w:hAnsi="Arial"/>
            <w:color w:val="0000FF"/>
            <w:sz w:val="18"/>
            <w:u w:val="single"/>
          </w:rPr>
          <w:t>Item 1A</w:t>
        </w:r>
      </w:hyperlink>
      <w:r>
        <w:rPr>
          <w:rFonts w:ascii="Times New Roman" w:hAnsi="Times New Roman"/>
          <w:color w:val="000000"/>
          <w:sz w:val="20"/>
        </w:rPr>
        <w:t xml:space="preserve"> </w:t>
      </w:r>
      <w:r>
        <w:rPr>
          <w:rFonts w:ascii="Arial" w:hAnsi="Arial"/>
          <w:color w:val="000000"/>
          <w:sz w:val="18"/>
        </w:rPr>
        <w:t>of this Quarterly Report on Form 10-Q, and other reports that we file with the SEC from time to time,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obtain timely and adequate regulatory approvals and cost recovery;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execute our capital investment program and strategic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access capital markets and successfully execute financing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effects of inflation, interest rates, commodity prices, supply chain constraints and labor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Severe weather, wildfire, cybersecurity incidents (including risks associated with the use of artificial intelligence and evolving cyber threats), operational and other business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serve customer growth opportunities, including large-load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Changes in laws, regulations and governmental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expected timing and likelihood of completion and our ability to realize the anticipated benefits of the proposed merger with NorthWestern, including the timing, receipt and terms and conditions of any required governmental and regulatory approvals of the proposed acquisition that could reduce anticipated benefits or give rise to the termination of the merger.</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5" w:name="part1_fin_info"/>
      <w:bookmarkEnd w:id="5"/>
      <w:r>
        <w:rPr>
          <w:rFonts w:ascii="Arial" w:hAnsi="Arial"/>
          <w:b/>
          <w:color w:val="000000"/>
          <w:sz w:val="18"/>
        </w:rPr>
        <w:t>PART I. FINANCIAL INFORMATION</w:t>
      </w:r>
    </w:p>
    <w:p>
      <w:pPr>
        <w:pStyle w:val="TextBody"/>
        <w:bidi w:val="0"/>
        <w:jc w:val="left"/>
        <w:rPr/>
      </w:pPr>
      <w:r>
        <w:rPr/>
        <w:t> </w:t>
      </w:r>
    </w:p>
    <w:p>
      <w:pPr>
        <w:pStyle w:val="TextBody"/>
        <w:bidi w:val="0"/>
        <w:jc w:val="left"/>
        <w:rPr>
          <w:rFonts w:ascii="Arial" w:hAnsi="Arial"/>
          <w:b/>
          <w:color w:val="000000"/>
          <w:sz w:val="18"/>
        </w:rPr>
      </w:pPr>
      <w:bookmarkStart w:id="6" w:name="item1_fin_stmts"/>
      <w:bookmarkEnd w:id="6"/>
      <w:r>
        <w:rPr>
          <w:rFonts w:ascii="Arial" w:hAnsi="Arial"/>
          <w:b/>
          <w:color w:val="000000"/>
          <w:sz w:val="18"/>
        </w:rPr>
        <w:t>ITEM 1. FINANCIAL STATEMENTS</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BLACK HILLS CORPORATION</w:t>
      </w:r>
    </w:p>
    <w:p>
      <w:pPr>
        <w:pStyle w:val="TextBody"/>
        <w:bidi w:val="0"/>
        <w:jc w:val="center"/>
        <w:rPr>
          <w:rFonts w:ascii="Arial" w:hAnsi="Arial"/>
          <w:b/>
          <w:color w:val="000000"/>
          <w:sz w:val="18"/>
        </w:rPr>
      </w:pPr>
      <w:bookmarkStart w:id="7" w:name="stmt_of_income"/>
      <w:bookmarkEnd w:id="7"/>
      <w:r>
        <w:rPr>
          <w:rFonts w:ascii="Arial" w:hAnsi="Arial"/>
          <w:b/>
          <w:color w:val="000000"/>
          <w:sz w:val="18"/>
        </w:rPr>
        <w:t>CONSOLIDATED STATEMENTS OF INCOME</w:t>
      </w:r>
    </w:p>
    <w:p>
      <w:pPr>
        <w:pStyle w:val="TextBody"/>
        <w:bidi w:val="0"/>
        <w:jc w:val="left"/>
        <w:rPr/>
      </w:pPr>
      <w:r>
        <w:rPr/>
        <w:t> </w:t>
      </w:r>
    </w:p>
    <w:tbl>
      <w:tblPr>
        <w:tblW w:w="8683" w:type="dxa"/>
        <w:jc w:val="left"/>
        <w:tblInd w:w="0" w:type="dxa"/>
        <w:tblLayout w:type="fixed"/>
        <w:tblCellMar>
          <w:top w:w="28" w:type="dxa"/>
          <w:left w:w="28" w:type="dxa"/>
          <w:bottom w:w="28" w:type="dxa"/>
          <w:right w:w="28" w:type="dxa"/>
        </w:tblCellMar>
      </w:tblPr>
      <w:tblGrid>
        <w:gridCol w:w="4366"/>
        <w:gridCol w:w="211"/>
        <w:gridCol w:w="571"/>
        <w:gridCol w:w="166"/>
        <w:gridCol w:w="211"/>
        <w:gridCol w:w="571"/>
        <w:gridCol w:w="166"/>
        <w:gridCol w:w="211"/>
        <w:gridCol w:w="721"/>
        <w:gridCol w:w="166"/>
        <w:gridCol w:w="211"/>
        <w:gridCol w:w="721"/>
        <w:gridCol w:w="391"/>
      </w:tblGrid>
      <w:tr>
        <w:trPr/>
        <w:tc>
          <w:tcPr>
            <w:tcW w:w="4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(unaudited)</w:t>
            </w:r>
          </w:p>
        </w:tc>
        <w:tc>
          <w:tcPr>
            <w:tcW w:w="17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 except per share 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Operations and maintenance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incurred net of amounts capitalized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Earnings per share of common stock:</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Earnings per share, 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Earnings per share,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rFonts w:ascii="Arial" w:hAnsi="Arial"/>
          <w:color w:val="000000"/>
          <w:sz w:val="18"/>
        </w:rPr>
        <w:t xml:space="preserve">The accompanying </w:t>
      </w:r>
      <w:hyperlink w:anchor="notes_to_fin_stmts">
        <w:r>
          <w:rPr>
            <w:rStyle w:val="InternetLink"/>
            <w:rFonts w:ascii="Arial" w:hAnsi="Arial"/>
            <w:color w:val="0000FF"/>
            <w:sz w:val="18"/>
            <w:u w:val="single"/>
          </w:rPr>
          <w:t>Condensed Notes to Consolidated Financial Statements</w:t>
        </w:r>
      </w:hyperlink>
      <w:r>
        <w:rPr>
          <w:rFonts w:ascii="Times New Roman" w:hAnsi="Times New Roman"/>
          <w:color w:val="000000"/>
          <w:sz w:val="20"/>
        </w:rPr>
        <w:t xml:space="preserve"> </w:t>
      </w:r>
      <w:r>
        <w:rPr>
          <w:rFonts w:ascii="Arial" w:hAnsi="Arial"/>
          <w:color w:val="000000"/>
          <w:sz w:val="18"/>
        </w:rPr>
        <w:t>are an integral part of these Consolidated Financial Statements.</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BLACK HILLS CORPORATION</w:t>
      </w:r>
    </w:p>
    <w:p>
      <w:pPr>
        <w:pStyle w:val="TextBody"/>
        <w:bidi w:val="0"/>
        <w:jc w:val="center"/>
        <w:rPr>
          <w:rFonts w:ascii="Arial" w:hAnsi="Arial"/>
          <w:b/>
          <w:color w:val="000000"/>
          <w:sz w:val="18"/>
        </w:rPr>
      </w:pPr>
      <w:bookmarkStart w:id="8" w:name="stmt_comp_income"/>
      <w:bookmarkEnd w:id="8"/>
      <w:r>
        <w:rPr>
          <w:rFonts w:ascii="Arial" w:hAnsi="Arial"/>
          <w:b/>
          <w:color w:val="000000"/>
          <w:sz w:val="18"/>
        </w:rPr>
        <w:t>CONSOLIDATED STATEMENTS OF COMPREHENSIVE INCOME</w:t>
      </w:r>
    </w:p>
    <w:p>
      <w:pPr>
        <w:pStyle w:val="TextBody"/>
        <w:bidi w:val="0"/>
        <w:jc w:val="left"/>
        <w:rPr/>
      </w:pPr>
      <w:r>
        <w:rPr/>
        <w:t> </w:t>
      </w:r>
    </w:p>
    <w:tbl>
      <w:tblPr>
        <w:tblW w:w="9608" w:type="dxa"/>
        <w:jc w:val="left"/>
        <w:tblInd w:w="0" w:type="dxa"/>
        <w:tblLayout w:type="fixed"/>
        <w:tblCellMar>
          <w:top w:w="28" w:type="dxa"/>
          <w:left w:w="28" w:type="dxa"/>
          <w:bottom w:w="28" w:type="dxa"/>
          <w:right w:w="28" w:type="dxa"/>
        </w:tblCellMar>
      </w:tblPr>
      <w:tblGrid>
        <w:gridCol w:w="5581"/>
        <w:gridCol w:w="211"/>
        <w:gridCol w:w="466"/>
        <w:gridCol w:w="166"/>
        <w:gridCol w:w="211"/>
        <w:gridCol w:w="466"/>
        <w:gridCol w:w="166"/>
        <w:gridCol w:w="211"/>
        <w:gridCol w:w="571"/>
        <w:gridCol w:w="166"/>
        <w:gridCol w:w="211"/>
        <w:gridCol w:w="571"/>
        <w:gridCol w:w="611"/>
      </w:tblGrid>
      <w:tr>
        <w:trPr/>
        <w:tc>
          <w:tcPr>
            <w:tcW w:w="5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(unaudited)</w:t>
            </w:r>
          </w:p>
        </w:tc>
        <w:tc>
          <w:tcPr>
            <w:tcW w:w="15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 (loss), net of tax;</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Reclassification of benefit plan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Derivative instruments designated as cash flow hedges:</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Reclassification of settled/amortized interest rate swaps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Unrealized gain on commodity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Reclassification of settled commodity derivatives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 (loss), net of tax</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comprehensive income attributable to non-controlling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income available for common stock</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rFonts w:ascii="Arial" w:hAnsi="Arial"/>
          <w:color w:val="000000"/>
          <w:sz w:val="18"/>
        </w:rPr>
        <w:t xml:space="preserve">See </w:t>
      </w:r>
      <w:hyperlink w:anchor="fn9_other_comprehensive_income">
        <w:r>
          <w:rPr>
            <w:rStyle w:val="InternetLink"/>
            <w:rFonts w:ascii="Arial" w:hAnsi="Arial"/>
            <w:color w:val="0000FF"/>
            <w:sz w:val="18"/>
            <w:u w:val="single"/>
          </w:rPr>
          <w:t>Note 9</w:t>
        </w:r>
      </w:hyperlink>
      <w:r>
        <w:rPr>
          <w:rFonts w:ascii="Times New Roman" w:hAnsi="Times New Roman"/>
          <w:color w:val="000000"/>
          <w:sz w:val="20"/>
        </w:rPr>
        <w:t xml:space="preserve"> </w:t>
      </w:r>
      <w:r>
        <w:rPr>
          <w:rFonts w:ascii="Arial" w:hAnsi="Arial"/>
          <w:color w:val="000000"/>
          <w:sz w:val="18"/>
        </w:rPr>
        <w:t>for additional disclosures.</w:t>
      </w:r>
    </w:p>
    <w:p>
      <w:pPr>
        <w:pStyle w:val="TextBody"/>
        <w:bidi w:val="0"/>
        <w:jc w:val="left"/>
        <w:rPr/>
      </w:pPr>
      <w:r>
        <w:rPr/>
        <w:t> </w:t>
      </w:r>
    </w:p>
    <w:p>
      <w:pPr>
        <w:pStyle w:val="TextBody"/>
        <w:bidi w:val="0"/>
        <w:jc w:val="center"/>
        <w:rPr/>
      </w:pPr>
      <w:r>
        <w:rPr>
          <w:rFonts w:ascii="Arial" w:hAnsi="Arial"/>
          <w:color w:val="000000"/>
          <w:sz w:val="18"/>
        </w:rPr>
        <w:t xml:space="preserve">The accompanying </w:t>
      </w:r>
      <w:hyperlink w:anchor="notes_to_fin_stmts">
        <w:r>
          <w:rPr>
            <w:rStyle w:val="InternetLink"/>
            <w:rFonts w:ascii="Arial" w:hAnsi="Arial"/>
            <w:color w:val="0000FF"/>
            <w:sz w:val="18"/>
            <w:u w:val="single"/>
          </w:rPr>
          <w:t>Condensed Notes to Consolidated Financial Statements</w:t>
        </w:r>
      </w:hyperlink>
      <w:r>
        <w:rPr>
          <w:rFonts w:ascii="Times New Roman" w:hAnsi="Times New Roman"/>
          <w:color w:val="000000"/>
          <w:sz w:val="20"/>
        </w:rPr>
        <w:t xml:space="preserve"> </w:t>
      </w:r>
      <w:r>
        <w:rPr>
          <w:rFonts w:ascii="Arial" w:hAnsi="Arial"/>
          <w:color w:val="000000"/>
          <w:sz w:val="18"/>
        </w:rPr>
        <w:t>are an integral part of these Consolidated Financial Statements.</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BLACK HILLS CORPORATION</w:t>
      </w:r>
    </w:p>
    <w:p>
      <w:pPr>
        <w:pStyle w:val="TextBody"/>
        <w:bidi w:val="0"/>
        <w:jc w:val="center"/>
        <w:rPr>
          <w:rFonts w:ascii="Arial" w:hAnsi="Arial"/>
          <w:b/>
          <w:color w:val="000000"/>
          <w:sz w:val="18"/>
        </w:rPr>
      </w:pPr>
      <w:bookmarkStart w:id="9" w:name="bal_sheet"/>
      <w:bookmarkEnd w:id="9"/>
      <w:r>
        <w:rPr>
          <w:rFonts w:ascii="Arial" w:hAnsi="Arial"/>
          <w:b/>
          <w:color w:val="000000"/>
          <w:sz w:val="18"/>
        </w:rPr>
        <w:t>CONSOLIDATED BALANCE SHEETS</w:t>
      </w:r>
    </w:p>
    <w:p>
      <w:pPr>
        <w:pStyle w:val="TextBody"/>
        <w:bidi w:val="0"/>
        <w:jc w:val="center"/>
        <w:rPr/>
      </w:pPr>
      <w:r>
        <w:rPr/>
        <w:t> </w:t>
      </w:r>
    </w:p>
    <w:tbl>
      <w:tblPr>
        <w:tblW w:w="7598" w:type="dxa"/>
        <w:jc w:val="left"/>
        <w:tblInd w:w="0" w:type="dxa"/>
        <w:tblLayout w:type="fixed"/>
        <w:tblCellMar>
          <w:top w:w="28" w:type="dxa"/>
          <w:left w:w="28" w:type="dxa"/>
          <w:bottom w:w="28" w:type="dxa"/>
          <w:right w:w="28" w:type="dxa"/>
        </w:tblCellMar>
      </w:tblPr>
      <w:tblGrid>
        <w:gridCol w:w="3761"/>
        <w:gridCol w:w="262"/>
        <w:gridCol w:w="1028"/>
        <w:gridCol w:w="166"/>
        <w:gridCol w:w="360"/>
        <w:gridCol w:w="1410"/>
        <w:gridCol w:w="611"/>
      </w:tblGrid>
      <w:tr>
        <w:trPr/>
        <w:tc>
          <w:tcPr>
            <w:tcW w:w="37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(unaudited)</w:t>
            </w:r>
          </w:p>
        </w:tc>
        <w:tc>
          <w:tcPr>
            <w:tcW w:w="322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ASSETS</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Restricted cash and equivalents</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net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Materials, supplies and fuel</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 receivable, net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Regulatory assets, current</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current assets</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assets</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plant and equipment</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10,344.9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accumulated depreciation</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property, plant and equipment, net</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8,234.2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Goodwill</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Intangible assets, net</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Regulatory assets, non-current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assets, non-current</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assets, non-current</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10,869.8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rFonts w:ascii="Arial" w:hAnsi="Arial"/>
          <w:color w:val="000000"/>
          <w:sz w:val="18"/>
        </w:rPr>
        <w:t xml:space="preserve">The accompanying </w:t>
      </w:r>
      <w:hyperlink w:anchor="notes_to_fin_stmts">
        <w:r>
          <w:rPr>
            <w:rStyle w:val="InternetLink"/>
            <w:rFonts w:ascii="Arial" w:hAnsi="Arial"/>
            <w:color w:val="0000FF"/>
            <w:sz w:val="18"/>
            <w:u w:val="single"/>
          </w:rPr>
          <w:t>Condensed Notes to Consolidated Financial Statements</w:t>
        </w:r>
      </w:hyperlink>
      <w:r>
        <w:rPr>
          <w:rFonts w:ascii="Times New Roman" w:hAnsi="Times New Roman"/>
          <w:color w:val="000000"/>
          <w:sz w:val="20"/>
        </w:rPr>
        <w:t xml:space="preserve"> </w:t>
      </w:r>
      <w:r>
        <w:rPr>
          <w:rFonts w:ascii="Arial" w:hAnsi="Arial"/>
          <w:color w:val="000000"/>
          <w:sz w:val="18"/>
        </w:rPr>
        <w:t>are an integral part of these Consolidated Financial Statements.</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BLACK HILLS CORPORATION</w:t>
      </w:r>
    </w:p>
    <w:p>
      <w:pPr>
        <w:pStyle w:val="TextBody"/>
        <w:bidi w:val="0"/>
        <w:jc w:val="center"/>
        <w:rPr>
          <w:rFonts w:ascii="Arial" w:hAnsi="Arial"/>
          <w:b/>
          <w:color w:val="000000"/>
          <w:sz w:val="18"/>
        </w:rPr>
      </w:pPr>
      <w:r>
        <w:rPr>
          <w:rFonts w:ascii="Arial" w:hAnsi="Arial"/>
          <w:b/>
          <w:color w:val="000000"/>
          <w:sz w:val="18"/>
        </w:rPr>
        <w:t>CONSOLIDATED BALANCE SHEETS</w:t>
      </w:r>
    </w:p>
    <w:p>
      <w:pPr>
        <w:pStyle w:val="TextBody"/>
        <w:bidi w:val="0"/>
        <w:jc w:val="center"/>
        <w:rPr>
          <w:rFonts w:ascii="Arial" w:hAnsi="Arial"/>
          <w:b/>
          <w:color w:val="000000"/>
          <w:sz w:val="18"/>
        </w:rPr>
      </w:pPr>
      <w:r>
        <w:rPr>
          <w:rFonts w:ascii="Arial" w:hAnsi="Arial"/>
          <w:b/>
          <w:color w:val="000000"/>
          <w:sz w:val="18"/>
        </w:rPr>
        <w:t>(Continued)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33"/>
        <w:gridCol w:w="252"/>
        <w:gridCol w:w="988"/>
        <w:gridCol w:w="172"/>
        <w:gridCol w:w="314"/>
        <w:gridCol w:w="1232"/>
        <w:gridCol w:w="614"/>
      </w:tblGrid>
      <w:tr>
        <w:trPr/>
        <w:tc>
          <w:tcPr>
            <w:tcW w:w="663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(unaudited)</w:t>
            </w:r>
          </w:p>
        </w:tc>
        <w:tc>
          <w:tcPr>
            <w:tcW w:w="295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 except par value and shares)</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LIABILITIES AND EQUITY</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Accrued liabilities</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Refundable advances for construction</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Derivative liabilities, current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Regulatory liabilities, current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Notes payable</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Current maturities of long-term debt</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current liabilities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1,425.2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740.0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net of current maturities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3,993.9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4,701.1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credits and other liabilities:</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income tax liabilities, net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697.9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Regulatory liabilities, non-current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Benefit plan liabilities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deferred credits and other liabilities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deferred credits and other liabilities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1,595.3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1,523.0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Commitments, contingencies and guarantees</w:t>
            </w:r>
            <w:r>
              <w:rPr>
                <w:rFonts w:ascii="Times New Roman" w:hAnsi="Times New Roman"/>
                <w:color w:val="000000"/>
                <w:sz w:val="20"/>
              </w:rPr>
              <w:t> </w:t>
            </w:r>
            <w:r>
              <w:rPr>
                <w:rFonts w:ascii="Arial" w:hAnsi="Arial"/>
                <w:color w:val="000000"/>
                <w:sz w:val="18"/>
              </w:rPr>
              <w:t>(Note 3)</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Equity:</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Stockholders' equity -</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Common stock $1</w:t>
            </w:r>
            <w:r>
              <w:rPr>
                <w:rFonts w:ascii="Times New Roman" w:hAnsi="Times New Roman"/>
                <w:color w:val="000000"/>
                <w:sz w:val="20"/>
              </w:rPr>
              <w:t> </w:t>
            </w:r>
            <w:r>
              <w:rPr>
                <w:rFonts w:ascii="Arial" w:hAnsi="Arial"/>
                <w:color w:val="000000"/>
                <w:sz w:val="18"/>
              </w:rPr>
              <w:t>par value; 100,000,000</w:t>
            </w:r>
            <w:r>
              <w:rPr>
                <w:rFonts w:ascii="Times New Roman" w:hAnsi="Times New Roman"/>
                <w:color w:val="000000"/>
                <w:sz w:val="20"/>
              </w:rPr>
              <w:t> </w:t>
            </w:r>
            <w:r>
              <w:rPr>
                <w:rFonts w:ascii="Arial" w:hAnsi="Arial"/>
                <w:color w:val="000000"/>
                <w:sz w:val="18"/>
              </w:rPr>
              <w:t>shares authorized; issued 76,317,445</w:t>
            </w:r>
            <w:r>
              <w:rPr>
                <w:rFonts w:ascii="Times New Roman" w:hAnsi="Times New Roman"/>
                <w:color w:val="000000"/>
                <w:sz w:val="20"/>
              </w:rPr>
              <w:t> </w:t>
            </w:r>
            <w:r>
              <w:rPr>
                <w:rFonts w:ascii="Arial" w:hAnsi="Arial"/>
                <w:color w:val="000000"/>
                <w:sz w:val="18"/>
              </w:rPr>
              <w:t>and 75,520,234</w:t>
            </w:r>
            <w:r>
              <w:rPr>
                <w:rFonts w:ascii="Times New Roman" w:hAnsi="Times New Roman"/>
                <w:color w:val="000000"/>
                <w:sz w:val="20"/>
              </w:rPr>
              <w:t> </w:t>
            </w:r>
            <w:r>
              <w:rPr>
                <w:rFonts w:ascii="Arial" w:hAnsi="Arial"/>
                <w:color w:val="000000"/>
                <w:sz w:val="18"/>
              </w:rPr>
              <w:t>shares, respectively</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Additional paid-in capital</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2,472.2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2,417.5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Retained earnings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1,342.9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Treasury stock, at cost - 61,109</w:t>
            </w:r>
            <w:r>
              <w:rPr>
                <w:rFonts w:ascii="Times New Roman" w:hAnsi="Times New Roman"/>
                <w:color w:val="000000"/>
                <w:sz w:val="20"/>
              </w:rPr>
              <w:t> </w:t>
            </w:r>
            <w:r>
              <w:rPr>
                <w:rFonts w:ascii="Arial" w:hAnsi="Arial"/>
                <w:color w:val="000000"/>
                <w:sz w:val="18"/>
              </w:rPr>
              <w:t>and 43,167</w:t>
            </w:r>
            <w:r>
              <w:rPr>
                <w:rFonts w:ascii="Times New Roman" w:hAnsi="Times New Roman"/>
                <w:color w:val="000000"/>
                <w:sz w:val="20"/>
              </w:rPr>
              <w:t> </w:t>
            </w:r>
            <w:r>
              <w:rPr>
                <w:rFonts w:ascii="Arial" w:hAnsi="Arial"/>
                <w:color w:val="000000"/>
                <w:sz w:val="18"/>
              </w:rPr>
              <w:t>shares, respectively</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Accumulated other comprehensive (loss)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stockholders' equity</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3,943.4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3,823.6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Non-controlling interest</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equity</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4,023.7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TOTAL EQUITY</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11,038.1</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10,869.8</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rFonts w:ascii="Arial" w:hAnsi="Arial"/>
          <w:color w:val="000000"/>
          <w:sz w:val="18"/>
        </w:rPr>
        <w:t xml:space="preserve">The accompanying </w:t>
      </w:r>
      <w:hyperlink w:anchor="notes_to_fin_stmts">
        <w:r>
          <w:rPr>
            <w:rStyle w:val="InternetLink"/>
            <w:rFonts w:ascii="Arial" w:hAnsi="Arial"/>
            <w:color w:val="0000FF"/>
            <w:sz w:val="18"/>
            <w:u w:val="single"/>
          </w:rPr>
          <w:t>Condensed Notes to Consolidated Financial Statements</w:t>
        </w:r>
      </w:hyperlink>
      <w:r>
        <w:rPr>
          <w:rFonts w:ascii="Times New Roman" w:hAnsi="Times New Roman"/>
          <w:color w:val="000000"/>
          <w:sz w:val="20"/>
        </w:rPr>
        <w:t xml:space="preserve"> </w:t>
      </w:r>
      <w:r>
        <w:rPr>
          <w:rFonts w:ascii="Arial" w:hAnsi="Arial"/>
          <w:color w:val="000000"/>
          <w:sz w:val="18"/>
        </w:rPr>
        <w:t>are an integral part of these Consolidated Financial Statements.</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BLACK HILLS CORPORATION</w:t>
      </w:r>
    </w:p>
    <w:p>
      <w:pPr>
        <w:pStyle w:val="TextBody"/>
        <w:bidi w:val="0"/>
        <w:jc w:val="center"/>
        <w:rPr>
          <w:rFonts w:ascii="Arial" w:hAnsi="Arial"/>
          <w:b/>
          <w:color w:val="000000"/>
          <w:sz w:val="18"/>
        </w:rPr>
      </w:pPr>
      <w:bookmarkStart w:id="10" w:name="stmt_cash_flows"/>
      <w:bookmarkEnd w:id="10"/>
      <w:r>
        <w:rPr>
          <w:rFonts w:ascii="Arial" w:hAnsi="Arial"/>
          <w:b/>
          <w:color w:val="000000"/>
          <w:sz w:val="18"/>
        </w:rPr>
        <w:t>CONSOLIDATED STATEMENTS OF CASH FLOWS</w:t>
      </w:r>
    </w:p>
    <w:p>
      <w:pPr>
        <w:pStyle w:val="TextBody"/>
        <w:bidi w:val="0"/>
        <w:jc w:val="center"/>
        <w:rPr/>
      </w:pPr>
      <w:r>
        <w:rPr/>
        <w:t> </w:t>
      </w:r>
    </w:p>
    <w:tbl>
      <w:tblPr>
        <w:tblW w:w="9624" w:type="dxa"/>
        <w:jc w:val="left"/>
        <w:tblInd w:w="0" w:type="dxa"/>
        <w:tblLayout w:type="fixed"/>
        <w:tblCellMar>
          <w:top w:w="28" w:type="dxa"/>
          <w:left w:w="28" w:type="dxa"/>
          <w:bottom w:w="28" w:type="dxa"/>
          <w:right w:w="28" w:type="dxa"/>
        </w:tblCellMar>
      </w:tblPr>
      <w:tblGrid>
        <w:gridCol w:w="6716"/>
        <w:gridCol w:w="273"/>
        <w:gridCol w:w="818"/>
        <w:gridCol w:w="215"/>
        <w:gridCol w:w="273"/>
        <w:gridCol w:w="818"/>
        <w:gridCol w:w="511"/>
      </w:tblGrid>
      <w:tr>
        <w:trPr/>
        <w:tc>
          <w:tcPr>
            <w:tcW w:w="67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(unaudited)</w:t>
            </w:r>
          </w:p>
        </w:tc>
        <w:tc>
          <w:tcPr>
            <w:tcW w:w="239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activities:</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Adjustments to reconcile net income to net cash provided by operating activities:</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Depreciation and amortization</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Deferred financing cost amortization</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Stock compensation</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Deferred income taxes</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Employee benefit plans</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adjustments</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Changes in certain operating assets and liabilities:</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Materials, supplies and fuel</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Accounts receivable and other current assets</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Accounts payable and other current liabilities</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Regulatory assets</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operating activities, net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operating activities</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Investing activities:</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Property, plant and equipment additions</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investing activities</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investing activities</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Financing activities:</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Dividends paid on common stock</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Common stock issued</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borrowings (payments) of Revolving Credit Facility and CP Program</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Long-term debt - repayments</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Distributions to non-controlling interests</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Proceeds from refundable advances for construction</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financing activities</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financing activities</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change in cash, restricted cash and cash equivalents</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restricted cash, and cash equivalents beginning of period</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restricted cash, and cash equivalents end of period</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Supplemental cash flow information:</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(paid) received during the period:</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(net of amounts capitalized)</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taxes, net of transferred tax credits (Note 11)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Non-cash investing and financing activities:</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Accrued property, plant, and equipment purchases</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rFonts w:ascii="Arial" w:hAnsi="Arial"/>
          <w:color w:val="000000"/>
          <w:sz w:val="18"/>
        </w:rPr>
        <w:t xml:space="preserve">The accompanying </w:t>
      </w:r>
      <w:hyperlink w:anchor="notes_to_fin_stmts">
        <w:r>
          <w:rPr>
            <w:rStyle w:val="InternetLink"/>
            <w:rFonts w:ascii="Arial" w:hAnsi="Arial"/>
            <w:color w:val="0000FF"/>
            <w:sz w:val="18"/>
            <w:u w:val="single"/>
          </w:rPr>
          <w:t>Condensed Notes to Consolidated Financial Statements</w:t>
        </w:r>
      </w:hyperlink>
      <w:r>
        <w:rPr>
          <w:rFonts w:ascii="Times New Roman" w:hAnsi="Times New Roman"/>
          <w:color w:val="000000"/>
          <w:sz w:val="20"/>
        </w:rPr>
        <w:t xml:space="preserve"> </w:t>
      </w:r>
      <w:r>
        <w:rPr>
          <w:rFonts w:ascii="Arial" w:hAnsi="Arial"/>
          <w:color w:val="000000"/>
          <w:sz w:val="18"/>
        </w:rPr>
        <w:t>are an integral part of these Consolidated Financial Statements.</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BLACK HILLS CORPORATION</w:t>
      </w:r>
    </w:p>
    <w:p>
      <w:pPr>
        <w:pStyle w:val="TextBody"/>
        <w:bidi w:val="0"/>
        <w:jc w:val="center"/>
        <w:rPr>
          <w:rFonts w:ascii="Arial" w:hAnsi="Arial"/>
          <w:b/>
          <w:color w:val="000000"/>
          <w:sz w:val="18"/>
        </w:rPr>
      </w:pPr>
      <w:bookmarkStart w:id="11" w:name="stmt_of_equity"/>
      <w:bookmarkEnd w:id="11"/>
      <w:r>
        <w:rPr>
          <w:rFonts w:ascii="Arial" w:hAnsi="Arial"/>
          <w:b/>
          <w:color w:val="000000"/>
          <w:sz w:val="18"/>
        </w:rPr>
        <w:t>CONSOLIDATED STATEMENTS OF EQUITY</w:t>
      </w:r>
    </w:p>
    <w:p>
      <w:pPr>
        <w:pStyle w:val="TextBody"/>
        <w:bidi w:val="0"/>
        <w:jc w:val="left"/>
        <w:rPr/>
      </w:pPr>
      <w:r>
        <w:rPr/>
        <w:t> </w:t>
      </w:r>
    </w:p>
    <w:tbl>
      <w:tblPr>
        <w:tblW w:w="10306" w:type="dxa"/>
        <w:jc w:val="left"/>
        <w:tblInd w:w="0" w:type="dxa"/>
        <w:tblLayout w:type="fixed"/>
        <w:tblCellMar>
          <w:top w:w="28" w:type="dxa"/>
          <w:left w:w="28" w:type="dxa"/>
          <w:bottom w:w="28" w:type="dxa"/>
          <w:right w:w="28" w:type="dxa"/>
        </w:tblCellMar>
      </w:tblPr>
      <w:tblGrid>
        <w:gridCol w:w="1246"/>
        <w:gridCol w:w="146"/>
        <w:gridCol w:w="916"/>
        <w:gridCol w:w="146"/>
        <w:gridCol w:w="196"/>
        <w:gridCol w:w="421"/>
        <w:gridCol w:w="146"/>
        <w:gridCol w:w="146"/>
        <w:gridCol w:w="601"/>
        <w:gridCol w:w="146"/>
        <w:gridCol w:w="196"/>
        <w:gridCol w:w="391"/>
        <w:gridCol w:w="166"/>
        <w:gridCol w:w="216"/>
        <w:gridCol w:w="715"/>
        <w:gridCol w:w="166"/>
        <w:gridCol w:w="196"/>
        <w:gridCol w:w="646"/>
        <w:gridCol w:w="166"/>
        <w:gridCol w:w="196"/>
        <w:gridCol w:w="391"/>
        <w:gridCol w:w="166"/>
        <w:gridCol w:w="433"/>
        <w:gridCol w:w="933"/>
        <w:gridCol w:w="166"/>
        <w:gridCol w:w="196"/>
        <w:gridCol w:w="646"/>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(unaudited)</w:t>
            </w:r>
          </w:p>
        </w:tc>
        <w:tc>
          <w:tcPr>
            <w:tcW w:w="18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 Paid 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AOCI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9"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millions except share amounts)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75,520,234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Dividends on common stock ($0.703</w:t>
            </w:r>
            <w:r>
              <w:rPr>
                <w:rFonts w:ascii="Times New Roman" w:hAnsi="Times New Roman"/>
                <w:color w:val="000000"/>
                <w:sz w:val="20"/>
              </w:rPr>
              <w:t> </w:t>
            </w:r>
            <w:r>
              <w:rPr>
                <w:rFonts w:ascii="Arial" w:hAnsi="Arial"/>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560,966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 to non-controlling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76,174,264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Dividends on common stock ($0.703</w:t>
            </w:r>
            <w:r>
              <w:rPr>
                <w:rFonts w:ascii="Times New Roman" w:hAnsi="Times New Roman"/>
                <w:color w:val="000000"/>
                <w:sz w:val="20"/>
              </w:rPr>
              <w:t> </w:t>
            </w:r>
            <w:r>
              <w:rPr>
                <w:rFonts w:ascii="Arial" w:hAnsi="Arial"/>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 to non-controlling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76,317,445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386" w:type="dxa"/>
        <w:jc w:val="left"/>
        <w:tblInd w:w="0" w:type="dxa"/>
        <w:tblLayout w:type="fixed"/>
        <w:tblCellMar>
          <w:top w:w="28" w:type="dxa"/>
          <w:left w:w="28" w:type="dxa"/>
          <w:bottom w:w="28" w:type="dxa"/>
          <w:right w:w="28" w:type="dxa"/>
        </w:tblCellMar>
      </w:tblPr>
      <w:tblGrid>
        <w:gridCol w:w="1246"/>
        <w:gridCol w:w="146"/>
        <w:gridCol w:w="916"/>
        <w:gridCol w:w="146"/>
        <w:gridCol w:w="196"/>
        <w:gridCol w:w="421"/>
        <w:gridCol w:w="146"/>
        <w:gridCol w:w="146"/>
        <w:gridCol w:w="661"/>
        <w:gridCol w:w="166"/>
        <w:gridCol w:w="196"/>
        <w:gridCol w:w="391"/>
        <w:gridCol w:w="166"/>
        <w:gridCol w:w="216"/>
        <w:gridCol w:w="715"/>
        <w:gridCol w:w="166"/>
        <w:gridCol w:w="196"/>
        <w:gridCol w:w="646"/>
        <w:gridCol w:w="166"/>
        <w:gridCol w:w="196"/>
        <w:gridCol w:w="391"/>
        <w:gridCol w:w="166"/>
        <w:gridCol w:w="433"/>
        <w:gridCol w:w="933"/>
        <w:gridCol w:w="166"/>
        <w:gridCol w:w="196"/>
        <w:gridCol w:w="646"/>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(unaudited)</w:t>
            </w:r>
          </w:p>
        </w:tc>
        <w:tc>
          <w:tcPr>
            <w:tcW w:w="18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 Paid 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AOCI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9"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millions except share amounts)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71,676,756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Dividends on common stock ($0.676</w:t>
            </w:r>
            <w:r>
              <w:rPr>
                <w:rFonts w:ascii="Times New Roman" w:hAnsi="Times New Roman"/>
                <w:color w:val="000000"/>
                <w:sz w:val="20"/>
              </w:rPr>
              <w:t> </w:t>
            </w:r>
            <w:r>
              <w:rPr>
                <w:rFonts w:ascii="Arial" w:hAnsi="Arial"/>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763,481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Distributions to non-controlling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72,544,232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Dividends on common stock ($0.676</w:t>
            </w:r>
            <w:r>
              <w:rPr>
                <w:rFonts w:ascii="Times New Roman" w:hAnsi="Times New Roman"/>
                <w:color w:val="000000"/>
                <w:sz w:val="20"/>
              </w:rPr>
              <w:t> </w:t>
            </w:r>
            <w:r>
              <w:rPr>
                <w:rFonts w:ascii="Arial" w:hAnsi="Arial"/>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June 30, 2025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72,902,676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47,947</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2,260.7</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1,313.3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3,719.4</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BLACK HILLS CORPORATION</w:t>
      </w:r>
    </w:p>
    <w:p>
      <w:pPr>
        <w:pStyle w:val="TextBody"/>
        <w:bidi w:val="0"/>
        <w:jc w:val="center"/>
        <w:rPr/>
      </w:pPr>
      <w:r>
        <w:rPr/>
        <w:t> </w:t>
      </w:r>
    </w:p>
    <w:p>
      <w:pPr>
        <w:pStyle w:val="TextBody"/>
        <w:bidi w:val="0"/>
        <w:jc w:val="center"/>
        <w:rPr>
          <w:rFonts w:ascii="Arial" w:hAnsi="Arial"/>
          <w:color w:val="000000"/>
          <w:sz w:val="18"/>
        </w:rPr>
      </w:pPr>
      <w:bookmarkStart w:id="12" w:name="notes_to_fin_stmts"/>
      <w:bookmarkEnd w:id="12"/>
      <w:r>
        <w:rPr>
          <w:rFonts w:ascii="Arial" w:hAnsi="Arial"/>
          <w:color w:val="000000"/>
          <w:sz w:val="18"/>
        </w:rPr>
        <w:t>Condensed Notes to Consolidated Financial Statements</w:t>
      </w:r>
    </w:p>
    <w:p>
      <w:pPr>
        <w:pStyle w:val="TextBody"/>
        <w:bidi w:val="0"/>
        <w:jc w:val="center"/>
        <w:rPr>
          <w:rFonts w:ascii="Arial" w:hAnsi="Arial"/>
          <w:color w:val="000000"/>
          <w:sz w:val="18"/>
        </w:rPr>
      </w:pPr>
      <w:r>
        <w:rPr>
          <w:rFonts w:ascii="Arial" w:hAnsi="Arial"/>
          <w:color w:val="000000"/>
          <w:sz w:val="18"/>
        </w:rPr>
        <w:t>(unaudited)</w:t>
      </w:r>
    </w:p>
    <w:p>
      <w:pPr>
        <w:pStyle w:val="TextBody"/>
        <w:bidi w:val="0"/>
        <w:jc w:val="center"/>
        <w:rPr>
          <w:rFonts w:ascii="Arial" w:hAnsi="Arial"/>
          <w:color w:val="000000"/>
          <w:sz w:val="18"/>
        </w:rPr>
      </w:pPr>
      <w:r>
        <w:rPr>
          <w:rFonts w:ascii="Arial" w:hAnsi="Arial"/>
          <w:color w:val="000000"/>
          <w:sz w:val="18"/>
        </w:rPr>
        <w:t>(Reference is made to Notes to Consolidated Financial Statements</w:t>
      </w:r>
    </w:p>
    <w:p>
      <w:pPr>
        <w:pStyle w:val="TextBody"/>
        <w:bidi w:val="0"/>
        <w:jc w:val="center"/>
        <w:rPr>
          <w:rFonts w:ascii="Arial" w:hAnsi="Arial"/>
          <w:color w:val="000000"/>
          <w:sz w:val="18"/>
        </w:rPr>
      </w:pPr>
      <w:r>
        <w:rPr>
          <w:rFonts w:ascii="Arial" w:hAnsi="Arial"/>
          <w:color w:val="000000"/>
          <w:sz w:val="18"/>
        </w:rPr>
        <w:t>included in the Company’s 2025 Annual Report on Form 10-K)</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Management’s Statement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2025 Annual Report on Form 10-K.</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Use of Estimates and Basis of Presentation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information furnished in the accompanying Consolidated Financial Statements reflects certain estimates required and all adjustments, including accruals, which are, in the opinion of management, necessary for a fair presentation of the June 30, 2026, December 31, 2025, and June 30, 2025, financial information. Certain lines of business in which we operate are highly seasonal and our interim results of operations are not necessarily indicative of the results of operations to be expected for an entire year.</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Recently Issued Accounting Standards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Disaggregation of Income Statement Expenses, ASU 2024-03</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 November 2024, the FASB issued ASU 2024-03, </w:t>
      </w:r>
      <w:r>
        <w:rPr>
          <w:rFonts w:ascii="Arial" w:hAnsi="Arial"/>
          <w:i/>
          <w:color w:val="000000"/>
          <w:sz w:val="18"/>
        </w:rPr>
        <w:t>Income Statement - Reporting Comprehensive Income - Expense Disaggregation Disclosures</w:t>
      </w:r>
      <w:r>
        <w:rPr>
          <w:rFonts w:ascii="Arial" w:hAnsi="Arial"/>
          <w:color w:val="000000"/>
          <w:sz w:val="18"/>
        </w:rPr>
        <w:t xml:space="preserve">, and in January 2025, the FASB issued ASU 2025-01, </w:t>
      </w:r>
      <w:r>
        <w:rPr>
          <w:rFonts w:ascii="Arial" w:hAnsi="Arial"/>
          <w:i/>
          <w:color w:val="000000"/>
          <w:sz w:val="18"/>
        </w:rPr>
        <w:t xml:space="preserve">Income Statement - Reporting Comprehensive Income - Expense Disaggregation Disclosures: Clarifying the Effective Date. </w:t>
      </w:r>
      <w:r>
        <w:rPr>
          <w:rFonts w:ascii="Arial" w:hAnsi="Arial"/>
          <w:color w:val="000000"/>
          <w:sz w:val="18"/>
        </w:rPr>
        <w:t>ASU 2024-03 requires public entities to disclose, in the notes to financial statements, certain costs and expenses, such as purchases of inventory, employee compensation, and costs related to depreciation and amortization. ASU 2024-03, as clarified by ASU 2025-01, is effective for our Annual Report on Form 10-K for the fiscal year ended December 31, 2027, and subsequent interim periods, with early adoption permitted. We are currently evaluating the impact of these standards on our consolidated financial statement disclosures.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Targeted Improvements to the Accounting for Internal-Use Software, ASU 2025-06</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 September 2025, the FASB issued ASU 2025-06, Targeted Improvements to the Accounting for Internal-Use Software, which amends the accounting guidance for internal-use software under ASC 350-40. The amendments are intended to modernize the recognition and capitalization framework to better reflect current software development practices, particularly agile methodologies. ASU 2025-06 is effective for fiscal years beginning after December 15, 2027, including interim periods within those fiscal years. Early adoption is permitted. We are currently evaluating the impact of ASU 2025-06 on our consolidated financial statements and related disclosures.</w:t>
      </w:r>
    </w:p>
    <w:p>
      <w:pPr>
        <w:pStyle w:val="TextBody"/>
        <w:bidi w:val="0"/>
        <w:jc w:val="center"/>
        <w:rPr>
          <w:rFonts w:ascii="Arial" w:hAnsi="Arial"/>
          <w:color w:val="000000"/>
          <w:sz w:val="18"/>
        </w:rPr>
      </w:pPr>
      <w:r>
        <w:rPr>
          <w:rFonts w:ascii="Arial" w:hAnsi="Arial"/>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Regulatory Matters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had the following regulatory assets and liabilities:</w:t>
      </w:r>
    </w:p>
    <w:p>
      <w:pPr>
        <w:pStyle w:val="TextBody"/>
        <w:bidi w:val="0"/>
        <w:jc w:val="left"/>
        <w:rPr/>
      </w:pPr>
      <w:r>
        <w:rPr/>
        <w:t> </w:t>
      </w:r>
    </w:p>
    <w:tbl>
      <w:tblPr>
        <w:tblW w:w="8223" w:type="dxa"/>
        <w:jc w:val="left"/>
        <w:tblInd w:w="0" w:type="dxa"/>
        <w:tblLayout w:type="fixed"/>
        <w:tblCellMar>
          <w:top w:w="28" w:type="dxa"/>
          <w:left w:w="28" w:type="dxa"/>
          <w:bottom w:w="28" w:type="dxa"/>
          <w:right w:w="28" w:type="dxa"/>
        </w:tblCellMar>
      </w:tblPr>
      <w:tblGrid>
        <w:gridCol w:w="4706"/>
        <w:gridCol w:w="323"/>
        <w:gridCol w:w="967"/>
        <w:gridCol w:w="166"/>
        <w:gridCol w:w="443"/>
        <w:gridCol w:w="1327"/>
        <w:gridCol w:w="291"/>
      </w:tblGrid>
      <w:tr>
        <w:trPr/>
        <w:tc>
          <w:tcPr>
            <w:tcW w:w="470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assets</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Winter Storm Uri</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energy and fuel cost adjustments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gas cost adjustments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Gas price derivatives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taxes on AFUDC</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Employee benefit plans and related deferred taxes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Environmental</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Loss on reacquired debt</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taxes on flow through accounting</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regulatory assets</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regulatory assets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current regulatory assets</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assets, non-current</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energy and fuel cost adjustments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gas cost adjustments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Employee benefit plan costs and related deferred taxes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Cost of removal</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Excess deferred income taxes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Colorado renewable energy</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regulatory liabilities</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regulatory liabilities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current regulatory liabilities</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Regulatory liabilities, non-current</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Recent Rate Review Activity</w:t>
      </w:r>
    </w:p>
    <w:p>
      <w:pPr>
        <w:pStyle w:val="TextBody"/>
        <w:bidi w:val="0"/>
        <w:jc w:val="left"/>
        <w:rPr/>
      </w:pPr>
      <w:r>
        <w:rPr/>
        <w:t> </w:t>
      </w:r>
    </w:p>
    <w:p>
      <w:pPr>
        <w:pStyle w:val="TextBody"/>
        <w:bidi w:val="0"/>
        <w:jc w:val="left"/>
        <w:rPr>
          <w:rFonts w:ascii="Arial" w:hAnsi="Arial"/>
          <w:i/>
          <w:color w:val="000000"/>
          <w:sz w:val="18"/>
          <w:u w:val="single"/>
        </w:rPr>
      </w:pPr>
      <w:r>
        <w:rPr>
          <w:rFonts w:ascii="Arial" w:hAnsi="Arial"/>
          <w:i/>
          <w:color w:val="000000"/>
          <w:sz w:val="18"/>
          <w:u w:val="single"/>
        </w:rPr>
        <w:t>Arkansas Gas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December 5, 2025, Arkansas Gas filed a rate review with the APSC seeking recovery of infrastructure investments in its natural gas pipeline system. The rate review requested $29.4</w:t>
      </w:r>
      <w:r>
        <w:rPr>
          <w:rFonts w:ascii="Times New Roman" w:hAnsi="Times New Roman"/>
          <w:color w:val="000000"/>
          <w:sz w:val="20"/>
        </w:rPr>
        <w:t xml:space="preserve"> </w:t>
      </w:r>
      <w:r>
        <w:rPr>
          <w:rFonts w:ascii="Arial" w:hAnsi="Arial"/>
          <w:color w:val="000000"/>
          <w:sz w:val="18"/>
        </w:rPr>
        <w:t>million in new annual revenue with a capital structure of 50% equity and 50% debt and a return on equity of 10.5%. The request seeks to implement new rates in the fourth quarter of 2026.</w:t>
      </w:r>
    </w:p>
    <w:p>
      <w:pPr>
        <w:pStyle w:val="TextBody"/>
        <w:bidi w:val="0"/>
        <w:jc w:val="left"/>
        <w:rPr/>
      </w:pPr>
      <w:r>
        <w:rPr/>
        <w:t> </w:t>
      </w:r>
    </w:p>
    <w:p>
      <w:pPr>
        <w:pStyle w:val="TextBody"/>
        <w:bidi w:val="0"/>
        <w:jc w:val="left"/>
        <w:rPr>
          <w:rFonts w:ascii="Arial" w:hAnsi="Arial"/>
          <w:i/>
          <w:color w:val="000000"/>
          <w:sz w:val="18"/>
          <w:u w:val="single"/>
        </w:rPr>
      </w:pPr>
      <w:r>
        <w:rPr>
          <w:rFonts w:ascii="Arial" w:hAnsi="Arial"/>
          <w:i/>
          <w:color w:val="000000"/>
          <w:sz w:val="18"/>
          <w:u w:val="single"/>
        </w:rPr>
        <w:t>Colorado Electric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June 12, 2026, Colorado Electric filed a rate review with the CPUC seeking recovery of infrastructure and operational costs in its electric service. The rate review requested $26.7</w:t>
      </w:r>
      <w:r>
        <w:rPr>
          <w:rFonts w:ascii="Times New Roman" w:hAnsi="Times New Roman"/>
          <w:color w:val="000000"/>
          <w:sz w:val="20"/>
        </w:rPr>
        <w:t xml:space="preserve"> </w:t>
      </w:r>
      <w:r>
        <w:rPr>
          <w:rFonts w:ascii="Arial" w:hAnsi="Arial"/>
          <w:color w:val="000000"/>
          <w:sz w:val="18"/>
        </w:rPr>
        <w:t>million in new annual revenue with a capital structure of 51% equity and 49% debt and a return on equity of 10.5%. The request seeks to implement new rates in the first quarter of 2027.</w:t>
      </w:r>
    </w:p>
    <w:p>
      <w:pPr>
        <w:pStyle w:val="TextBody"/>
        <w:bidi w:val="0"/>
        <w:jc w:val="left"/>
        <w:rPr/>
      </w:pPr>
      <w:r>
        <w:rPr/>
        <w:t> </w:t>
      </w:r>
    </w:p>
    <w:p>
      <w:pPr>
        <w:pStyle w:val="TextBody"/>
        <w:bidi w:val="0"/>
        <w:jc w:val="left"/>
        <w:rPr>
          <w:rFonts w:ascii="Arial" w:hAnsi="Arial"/>
          <w:i/>
          <w:color w:val="000000"/>
          <w:sz w:val="18"/>
          <w:u w:val="single"/>
        </w:rPr>
      </w:pPr>
      <w:r>
        <w:rPr>
          <w:rFonts w:ascii="Arial" w:hAnsi="Arial"/>
          <w:i/>
          <w:color w:val="000000"/>
          <w:sz w:val="18"/>
          <w:u w:val="single"/>
        </w:rPr>
        <w:t>Kansas Gas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February 3, 2025, Kansas Gas filed a rate review with the KCC seeking recovery of infrastructure investments and increased operations and maintenance costs driven by inflation and operational needs to serve customers. On July 24, 2025, Kansas Gas received final approval from the KCC for a Black-box Settlement agreement for a general rate increase expected to generate $10.8</w:t>
      </w:r>
      <w:r>
        <w:rPr>
          <w:rFonts w:ascii="Times New Roman" w:hAnsi="Times New Roman"/>
          <w:color w:val="000000"/>
          <w:sz w:val="20"/>
        </w:rPr>
        <w:t xml:space="preserve"> </w:t>
      </w:r>
      <w:r>
        <w:rPr>
          <w:rFonts w:ascii="Arial" w:hAnsi="Arial"/>
          <w:color w:val="000000"/>
          <w:sz w:val="18"/>
        </w:rPr>
        <w:t>million in new annual revenue and shift $4.4</w:t>
      </w:r>
      <w:r>
        <w:rPr>
          <w:rFonts w:ascii="Times New Roman" w:hAnsi="Times New Roman"/>
          <w:color w:val="000000"/>
          <w:sz w:val="20"/>
        </w:rPr>
        <w:t xml:space="preserve"> </w:t>
      </w:r>
      <w:r>
        <w:rPr>
          <w:rFonts w:ascii="Arial" w:hAnsi="Arial"/>
          <w:color w:val="000000"/>
          <w:sz w:val="18"/>
        </w:rPr>
        <w:t>million of GSRS rider revenue to base rates. New rates were enacted on August 1, 2025. The settlement also included approval for Kansas Gas to file an abbreviated case in first quarter of 2026 that includes the addition of capital placed in service through December 31, 2025. On March 2, 2026, Kansas Gas filed the abbreviated case, which was limited in scope and requested increases in base rate revenues of $2.4</w:t>
      </w:r>
      <w:r>
        <w:rPr>
          <w:rFonts w:ascii="Times New Roman" w:hAnsi="Times New Roman"/>
          <w:color w:val="000000"/>
          <w:sz w:val="20"/>
        </w:rPr>
        <w:t xml:space="preserve"> </w:t>
      </w:r>
      <w:r>
        <w:rPr>
          <w:rFonts w:ascii="Arial" w:hAnsi="Arial"/>
          <w:color w:val="000000"/>
          <w:sz w:val="18"/>
        </w:rPr>
        <w:t>million. On June 25, 2026, the KCC approved the abbreviated request with new rates effective July 1, 2026.</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18"/>
          <w:u w:val="single"/>
        </w:rPr>
      </w:pPr>
      <w:r>
        <w:rPr>
          <w:rFonts w:ascii="Arial" w:hAnsi="Arial"/>
          <w:i/>
          <w:color w:val="000000"/>
          <w:sz w:val="18"/>
          <w:u w:val="single"/>
        </w:rPr>
        <w:t>Nebraska Gas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May 1, 2025, Nebraska Gas filed a rate review with the NPSC seeking recovery of infrastructure investments and increased operations and maintenance costs driven by inflation and operational needs to serve customers. On December 9, 2025, Nebraska Gas received final approval from the NPSC for a settlement agreement for a general rate increase. The settlement is expected to generate $23.9</w:t>
      </w:r>
      <w:r>
        <w:rPr>
          <w:rFonts w:ascii="Times New Roman" w:hAnsi="Times New Roman"/>
          <w:color w:val="000000"/>
          <w:sz w:val="20"/>
        </w:rPr>
        <w:t xml:space="preserve"> </w:t>
      </w:r>
      <w:r>
        <w:rPr>
          <w:rFonts w:ascii="Arial" w:hAnsi="Arial"/>
          <w:color w:val="000000"/>
          <w:sz w:val="18"/>
        </w:rPr>
        <w:t>million in new annual revenue with a capital structure of 51% equity and 49% debt and a return on equity of 9.85%. The settlement also includes renewal of Nebraska Gas' SSIR for five years and the development of a two-year pilot program for a weather normalization adjustment rider. New rates were enacted on January 1, 2026, which replaced interim rates effective in August 2025. Nebraska Gas customers were entitled to a $4.7</w:t>
      </w:r>
      <w:r>
        <w:rPr>
          <w:rFonts w:ascii="Times New Roman" w:hAnsi="Times New Roman"/>
          <w:color w:val="000000"/>
          <w:sz w:val="20"/>
        </w:rPr>
        <w:t xml:space="preserve"> </w:t>
      </w:r>
      <w:r>
        <w:rPr>
          <w:rFonts w:ascii="Arial" w:hAnsi="Arial"/>
          <w:color w:val="000000"/>
          <w:sz w:val="18"/>
        </w:rPr>
        <w:t>million refund due to the interim rate increase exceeding the final approved rate increase, which was retroactive to August 2025.</w:t>
      </w:r>
      <w:r>
        <w:rPr>
          <w:rFonts w:ascii="Times New Roman" w:hAnsi="Times New Roman"/>
          <w:color w:val="000000"/>
          <w:sz w:val="20"/>
        </w:rPr>
        <w:t xml:space="preserve"> </w:t>
      </w:r>
      <w:r>
        <w:rPr>
          <w:rFonts w:ascii="Arial" w:hAnsi="Arial"/>
          <w:color w:val="000000"/>
          <w:sz w:val="18"/>
        </w:rPr>
        <w:t>These amounts were refunded to customers as a one-time bill credit during the second quarter of 2026.</w:t>
      </w:r>
    </w:p>
    <w:p>
      <w:pPr>
        <w:pStyle w:val="TextBody"/>
        <w:bidi w:val="0"/>
        <w:jc w:val="left"/>
        <w:rPr/>
      </w:pPr>
      <w:r>
        <w:rPr/>
        <w:t> </w:t>
      </w:r>
    </w:p>
    <w:p>
      <w:pPr>
        <w:pStyle w:val="TextBody"/>
        <w:bidi w:val="0"/>
        <w:jc w:val="left"/>
        <w:rPr>
          <w:rFonts w:ascii="Arial" w:hAnsi="Arial"/>
          <w:i/>
          <w:color w:val="000000"/>
          <w:sz w:val="18"/>
          <w:u w:val="single"/>
        </w:rPr>
      </w:pPr>
      <w:r>
        <w:rPr>
          <w:rFonts w:ascii="Arial" w:hAnsi="Arial"/>
          <w:i/>
          <w:color w:val="000000"/>
          <w:sz w:val="18"/>
          <w:u w:val="single"/>
        </w:rPr>
        <w:t>South Dakota Electric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February 19, 2026, South Dakota Electric filed a rate review with the SDPUC seeking recovery of infrastructure investments and increased operations and maintenance costs driven by inflation and operational needs to serve customers</w:t>
      </w:r>
      <w:r>
        <w:rPr>
          <w:rFonts w:ascii="Times New Roman" w:hAnsi="Times New Roman"/>
          <w:color w:val="000000"/>
          <w:sz w:val="20"/>
        </w:rPr>
        <w:t xml:space="preserve"> </w:t>
      </w:r>
      <w:r>
        <w:rPr>
          <w:rFonts w:ascii="Arial" w:hAnsi="Arial"/>
          <w:color w:val="000000"/>
          <w:sz w:val="18"/>
        </w:rPr>
        <w:t>since its last rate review in 2014. The rate review requested $50.6</w:t>
      </w:r>
      <w:r>
        <w:rPr>
          <w:rFonts w:ascii="Times New Roman" w:hAnsi="Times New Roman"/>
          <w:color w:val="000000"/>
          <w:sz w:val="20"/>
        </w:rPr>
        <w:t xml:space="preserve"> </w:t>
      </w:r>
      <w:r>
        <w:rPr>
          <w:rFonts w:ascii="Arial" w:hAnsi="Arial"/>
          <w:color w:val="000000"/>
          <w:sz w:val="18"/>
        </w:rPr>
        <w:t>million in new annual revenue with a capital structure of 53% equity and 47% debt and a return on equity of 10.5%. The request seeks interim rates to be effective 180 days after the filing, with new rates expected to be finalized in the first quarter of 2027.</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March 18, 2026, South Dakota Electric filed a rate review with the WPSC seeking recovery of infrastructure investments and increased operations and maintenance costs driven by inflation and operational needs to serve customers since its last rate review in 2014</w:t>
      </w:r>
      <w:r>
        <w:rPr>
          <w:rFonts w:ascii="Times New Roman" w:hAnsi="Times New Roman"/>
          <w:color w:val="000000"/>
          <w:sz w:val="20"/>
        </w:rPr>
        <w:t xml:space="preserve"> </w:t>
      </w:r>
      <w:r>
        <w:rPr>
          <w:rFonts w:ascii="Arial" w:hAnsi="Arial"/>
          <w:color w:val="000000"/>
          <w:sz w:val="18"/>
        </w:rPr>
        <w:t>The company is seeking an annual base rate increase to retail electric service rates of $5.1</w:t>
      </w:r>
      <w:r>
        <w:rPr>
          <w:rFonts w:ascii="Times New Roman" w:hAnsi="Times New Roman"/>
          <w:color w:val="000000"/>
          <w:sz w:val="20"/>
        </w:rPr>
        <w:t xml:space="preserve"> </w:t>
      </w:r>
      <w:r>
        <w:rPr>
          <w:rFonts w:ascii="Arial" w:hAnsi="Arial"/>
          <w:color w:val="000000"/>
          <w:sz w:val="18"/>
        </w:rPr>
        <w:t>million based on a similar capital structure and return on equity requested in South Dakota. New rates are expected to be finalized in the first quarter of 2027.</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Commitments, Contingencies, and Guarantees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i/>
          <w:color w:val="000000"/>
          <w:sz w:val="18"/>
          <w:u w:val="single"/>
        </w:rPr>
      </w:pPr>
      <w:r>
        <w:rPr>
          <w:rFonts w:ascii="Arial" w:hAnsi="Arial"/>
          <w:i/>
          <w:color w:val="000000"/>
          <w:sz w:val="18"/>
          <w:u w:val="single"/>
        </w:rPr>
        <w:t>Deborah Ferrari et al. v. Colorado Electric, Case No. 2024CV31889 (District Court for the City and County of Denver, Colorado)</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During the year ended December 31, 2025, Colorado Electric settled a legal matter involving an auto accident. As part of the settlement, Colorado Electric recognized a legal liability of $20</w:t>
      </w:r>
      <w:r>
        <w:rPr>
          <w:rFonts w:ascii="Times New Roman" w:hAnsi="Times New Roman"/>
          <w:color w:val="000000"/>
          <w:sz w:val="20"/>
        </w:rPr>
        <w:t xml:space="preserve"> </w:t>
      </w:r>
      <w:r>
        <w:rPr>
          <w:rFonts w:ascii="Arial" w:hAnsi="Arial"/>
          <w:color w:val="000000"/>
          <w:sz w:val="18"/>
        </w:rPr>
        <w:t>million, which was paid in the first quarter of 2026. In connection with this matter, Colorado Electric also recognized a loss recovery receivable of $20</w:t>
      </w:r>
      <w:r>
        <w:rPr>
          <w:rFonts w:ascii="Times New Roman" w:hAnsi="Times New Roman"/>
          <w:color w:val="000000"/>
          <w:sz w:val="20"/>
        </w:rPr>
        <w:t xml:space="preserve"> </w:t>
      </w:r>
      <w:r>
        <w:rPr>
          <w:rFonts w:ascii="Arial" w:hAnsi="Arial"/>
          <w:color w:val="000000"/>
          <w:sz w:val="18"/>
        </w:rPr>
        <w:t>million under its insurance coverage, which was received in the first quarter of 2026. We do not expect additional material losses related to this matter.</w:t>
      </w:r>
    </w:p>
    <w:p>
      <w:pPr>
        <w:pStyle w:val="TextBody"/>
        <w:bidi w:val="0"/>
        <w:jc w:val="left"/>
        <w:rPr/>
      </w:pPr>
      <w:r>
        <w:rPr/>
        <w:t> </w:t>
      </w:r>
    </w:p>
    <w:p>
      <w:pPr>
        <w:pStyle w:val="TextBody"/>
        <w:bidi w:val="0"/>
        <w:jc w:val="left"/>
        <w:rPr>
          <w:rFonts w:ascii="Arial" w:hAnsi="Arial"/>
          <w:i/>
          <w:color w:val="000000"/>
          <w:sz w:val="18"/>
          <w:u w:val="single"/>
        </w:rPr>
      </w:pPr>
      <w:r>
        <w:rPr>
          <w:rFonts w:ascii="Arial" w:hAnsi="Arial"/>
          <w:i/>
          <w:color w:val="000000"/>
          <w:sz w:val="18"/>
          <w:u w:val="single"/>
        </w:rPr>
        <w:t>Power Purchase Agreement for Clean Energy Plan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February 18, 2026, Colorado Electric executed a PPA with Honors Energy, LLC to purchase up to 200</w:t>
      </w:r>
      <w:r>
        <w:rPr>
          <w:rFonts w:ascii="Times New Roman" w:hAnsi="Times New Roman"/>
          <w:color w:val="000000"/>
          <w:sz w:val="20"/>
        </w:rPr>
        <w:t xml:space="preserve"> </w:t>
      </w:r>
      <w:r>
        <w:rPr>
          <w:rFonts w:ascii="Arial" w:hAnsi="Arial"/>
          <w:color w:val="000000"/>
          <w:sz w:val="18"/>
        </w:rPr>
        <w:t>MW of solar energy upon construction of a new renewable generation facility, which is expected to be completed by mid-2029. The agreement will expire 15</w:t>
      </w:r>
      <w:r>
        <w:rPr>
          <w:rFonts w:ascii="Times New Roman" w:hAnsi="Times New Roman"/>
          <w:color w:val="000000"/>
          <w:sz w:val="20"/>
        </w:rPr>
        <w:t xml:space="preserve"> </w:t>
      </w:r>
      <w:r>
        <w:rPr>
          <w:rFonts w:ascii="Arial" w:hAnsi="Arial"/>
          <w:color w:val="000000"/>
          <w:sz w:val="18"/>
        </w:rPr>
        <w:t>years after construction completion. The solar energy from this PPA will be used to support Colorado Electric's Clean Energy Plan.</w:t>
      </w:r>
    </w:p>
    <w:p>
      <w:pPr>
        <w:pStyle w:val="TextBody"/>
        <w:bidi w:val="0"/>
        <w:jc w:val="center"/>
        <w:rPr>
          <w:rFonts w:ascii="Arial" w:hAnsi="Arial"/>
          <w:color w:val="000000"/>
          <w:sz w:val="18"/>
        </w:rPr>
      </w:pPr>
      <w:r>
        <w:rPr>
          <w:rFonts w:ascii="Arial" w:hAnsi="Arial"/>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Revenue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tables depict the disaggregation of revenue, including intercompany revenue, from contracts with customers by customer type and timing of revenue recognition for each of the reportable segments for the three and six months ended June 30, 2026, and 2025. Sales tax and other similar taxes are excluded from revenues.</w:t>
      </w:r>
    </w:p>
    <w:p>
      <w:pPr>
        <w:pStyle w:val="TextBody"/>
        <w:bidi w:val="0"/>
        <w:jc w:val="left"/>
        <w:rPr/>
      </w:pPr>
      <w:r>
        <w:rPr/>
        <w:t> </w:t>
      </w:r>
    </w:p>
    <w:tbl>
      <w:tblPr>
        <w:tblW w:w="9942" w:type="dxa"/>
        <w:jc w:val="left"/>
        <w:tblInd w:w="0" w:type="dxa"/>
        <w:tblLayout w:type="fixed"/>
        <w:tblCellMar>
          <w:top w:w="28" w:type="dxa"/>
          <w:left w:w="28" w:type="dxa"/>
          <w:bottom w:w="28" w:type="dxa"/>
          <w:right w:w="28" w:type="dxa"/>
        </w:tblCellMar>
      </w:tblPr>
      <w:tblGrid>
        <w:gridCol w:w="3416"/>
        <w:gridCol w:w="392"/>
        <w:gridCol w:w="1063"/>
        <w:gridCol w:w="146"/>
        <w:gridCol w:w="307"/>
        <w:gridCol w:w="833"/>
        <w:gridCol w:w="146"/>
        <w:gridCol w:w="801"/>
        <w:gridCol w:w="1599"/>
        <w:gridCol w:w="166"/>
        <w:gridCol w:w="211"/>
        <w:gridCol w:w="571"/>
        <w:gridCol w:w="291"/>
      </w:tblGrid>
      <w:tr>
        <w:trPr/>
        <w:tc>
          <w:tcPr>
            <w:tcW w:w="341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Three Months Ended June 30, 2026</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Inter-segment 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Customer types:</w:t>
            </w:r>
          </w:p>
        </w:tc>
        <w:tc>
          <w:tcPr>
            <w:tcW w:w="6235" w:type="dxa"/>
            <w:gridSpan w:val="11"/>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Retail</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Transportation</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Wholesale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Market - off-system sales</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Transmission</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revenues</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 from contracts with customers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Alternative revenue and other</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Timing of revenue recognition:</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Services transferred at a point in time</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Services transferred over time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 from contracts with customers</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440.6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42" w:type="dxa"/>
        <w:jc w:val="left"/>
        <w:tblInd w:w="0" w:type="dxa"/>
        <w:tblLayout w:type="fixed"/>
        <w:tblCellMar>
          <w:top w:w="28" w:type="dxa"/>
          <w:left w:w="28" w:type="dxa"/>
          <w:bottom w:w="28" w:type="dxa"/>
          <w:right w:w="28" w:type="dxa"/>
        </w:tblCellMar>
      </w:tblPr>
      <w:tblGrid>
        <w:gridCol w:w="3416"/>
        <w:gridCol w:w="392"/>
        <w:gridCol w:w="1063"/>
        <w:gridCol w:w="146"/>
        <w:gridCol w:w="307"/>
        <w:gridCol w:w="833"/>
        <w:gridCol w:w="146"/>
        <w:gridCol w:w="801"/>
        <w:gridCol w:w="1599"/>
        <w:gridCol w:w="166"/>
        <w:gridCol w:w="211"/>
        <w:gridCol w:w="571"/>
        <w:gridCol w:w="291"/>
      </w:tblGrid>
      <w:tr>
        <w:trPr/>
        <w:tc>
          <w:tcPr>
            <w:tcW w:w="341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Three Months Ended June 30, 2025</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Inter-segment 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Customer types:</w:t>
            </w:r>
          </w:p>
        </w:tc>
        <w:tc>
          <w:tcPr>
            <w:tcW w:w="6235" w:type="dxa"/>
            <w:gridSpan w:val="11"/>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Retail</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Transportation</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Wholesale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Market - off-system sales</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Transmission</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revenues</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 from contracts with customers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Alternative revenue and other</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Timing of revenue recognition:</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Services transferred at a point in time</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Services transferred over time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 from contracts with customers</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92" w:type="dxa"/>
        <w:jc w:val="left"/>
        <w:tblInd w:w="0" w:type="dxa"/>
        <w:tblLayout w:type="fixed"/>
        <w:tblCellMar>
          <w:top w:w="28" w:type="dxa"/>
          <w:left w:w="28" w:type="dxa"/>
          <w:bottom w:w="28" w:type="dxa"/>
          <w:right w:w="28" w:type="dxa"/>
        </w:tblCellMar>
      </w:tblPr>
      <w:tblGrid>
        <w:gridCol w:w="3416"/>
        <w:gridCol w:w="392"/>
        <w:gridCol w:w="1063"/>
        <w:gridCol w:w="146"/>
        <w:gridCol w:w="307"/>
        <w:gridCol w:w="833"/>
        <w:gridCol w:w="146"/>
        <w:gridCol w:w="801"/>
        <w:gridCol w:w="1599"/>
        <w:gridCol w:w="166"/>
        <w:gridCol w:w="211"/>
        <w:gridCol w:w="721"/>
        <w:gridCol w:w="291"/>
      </w:tblGrid>
      <w:tr>
        <w:trPr/>
        <w:tc>
          <w:tcPr>
            <w:tcW w:w="341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Six Months Ended June 30, 2026</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Inter-segment 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Customer types:</w:t>
            </w:r>
          </w:p>
        </w:tc>
        <w:tc>
          <w:tcPr>
            <w:tcW w:w="6385" w:type="dxa"/>
            <w:gridSpan w:val="11"/>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Retail</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Transportation</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Wholesale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Market - off-system sales</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Transmission</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revenues</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 from contracts with customers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Alternative revenue and other</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Timing of revenue recognition:</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Services transferred at a point in time</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Services transferred over time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 from contracts with customers</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10092" w:type="dxa"/>
        <w:jc w:val="left"/>
        <w:tblInd w:w="0" w:type="dxa"/>
        <w:tblLayout w:type="fixed"/>
        <w:tblCellMar>
          <w:top w:w="28" w:type="dxa"/>
          <w:left w:w="28" w:type="dxa"/>
          <w:bottom w:w="28" w:type="dxa"/>
          <w:right w:w="28" w:type="dxa"/>
        </w:tblCellMar>
      </w:tblPr>
      <w:tblGrid>
        <w:gridCol w:w="3416"/>
        <w:gridCol w:w="392"/>
        <w:gridCol w:w="1063"/>
        <w:gridCol w:w="146"/>
        <w:gridCol w:w="307"/>
        <w:gridCol w:w="833"/>
        <w:gridCol w:w="146"/>
        <w:gridCol w:w="801"/>
        <w:gridCol w:w="1599"/>
        <w:gridCol w:w="166"/>
        <w:gridCol w:w="211"/>
        <w:gridCol w:w="721"/>
        <w:gridCol w:w="291"/>
      </w:tblGrid>
      <w:tr>
        <w:trPr/>
        <w:tc>
          <w:tcPr>
            <w:tcW w:w="341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Six Months Ended June 30, 2025</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Inter-segment 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Customer types:</w:t>
            </w:r>
          </w:p>
        </w:tc>
        <w:tc>
          <w:tcPr>
            <w:tcW w:w="6385" w:type="dxa"/>
            <w:gridSpan w:val="11"/>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Retail</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Transportation</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Wholesale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Market - off-system sales</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Transmission</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revenues</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 from contracts with customers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1,236.1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Alternative revenue and other</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revenues</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Timing of revenue recognition:</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Services transferred at a point in time</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Services transferred over time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1,218.9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 from contracts with customers</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1,236.1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Financing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Shelf Registration Statement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maintain an effective shelf registration statement with the SEC under which we may issue, from time to time, an unspecified amount of senior debt securities, subordinated debt securities, common stock, preferred stock, warrants and other securities. In anticipation of the approaching expiration of our previous shelf registration statement on Form S-3 originally filed on June 16, 2023 (Registration No. 333-272739), we filed a new shelf registration statement on Form S-3 on May 19, 2026, (Registration No. 333-296010).</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Short-term Debt</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Generation Reservation Agreement with Prospective Data Center Customer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April 22, 2026, Wyoming Electric entered into a generation reservation agreement with a prospective new customer seeking to construct a 1.8</w:t>
      </w:r>
      <w:r>
        <w:rPr>
          <w:rFonts w:ascii="Times New Roman" w:hAnsi="Times New Roman"/>
          <w:color w:val="000000"/>
          <w:sz w:val="20"/>
        </w:rPr>
        <w:t xml:space="preserve"> </w:t>
      </w:r>
      <w:r>
        <w:rPr>
          <w:rFonts w:ascii="Arial" w:hAnsi="Arial"/>
          <w:color w:val="000000"/>
          <w:sz w:val="18"/>
        </w:rPr>
        <w:t>GW data center in Wyoming subject to the LPCS Tariff. Under the agreement, the prospective customer will provide refundable advances to Wyoming Electric to support milestone payments to suppliers to secure long lead-time generation equipment for potential company</w:t>
        <w:noBreakHyphen/>
        <w:t>owned generation to serve the customer. As of and for the six months ended June 30, 2026, Wyoming Electric received $285</w:t>
      </w:r>
      <w:r>
        <w:rPr>
          <w:rFonts w:ascii="Times New Roman" w:hAnsi="Times New Roman"/>
          <w:color w:val="000000"/>
          <w:sz w:val="20"/>
        </w:rPr>
        <w:t xml:space="preserve"> </w:t>
      </w:r>
      <w:r>
        <w:rPr>
          <w:rFonts w:ascii="Arial" w:hAnsi="Arial"/>
          <w:color w:val="000000"/>
          <w:sz w:val="18"/>
        </w:rPr>
        <w:t>million in refundable advances from the prospective customer. In July 2026, the parties amended this generation reservation agreement to increase the total refundable advances to $377</w:t>
      </w:r>
      <w:r>
        <w:rPr>
          <w:rFonts w:ascii="Times New Roman" w:hAnsi="Times New Roman"/>
          <w:color w:val="000000"/>
          <w:sz w:val="20"/>
        </w:rPr>
        <w:t xml:space="preserve"> </w:t>
      </w:r>
      <w:r>
        <w:rPr>
          <w:rFonts w:ascii="Arial" w:hAnsi="Arial"/>
          <w:color w:val="000000"/>
          <w:sz w:val="18"/>
        </w:rPr>
        <w:t>million with a new maturity date of August 31, 2026. This agreement is a bridge agreement to support long lead-time items while Wyoming Electric continues to negotiate definitive agreements with the prospective customer.</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Revolving Credit Facility and CP Program</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Revolving Credit Facility and CP Program, which are classified as Notes payable on the Consolidated Balance Sheets, had the following borrowings, outstanding letters of credit, and available capacity as of:</w:t>
      </w:r>
    </w:p>
    <w:p>
      <w:pPr>
        <w:pStyle w:val="TextBody"/>
        <w:bidi w:val="0"/>
        <w:jc w:val="left"/>
        <w:rPr/>
      </w:pPr>
      <w:r>
        <w:rPr/>
        <w:t> </w:t>
      </w:r>
    </w:p>
    <w:tbl>
      <w:tblPr>
        <w:tblW w:w="6238" w:type="dxa"/>
        <w:jc w:val="left"/>
        <w:tblInd w:w="0" w:type="dxa"/>
        <w:tblLayout w:type="fixed"/>
        <w:tblCellMar>
          <w:top w:w="28" w:type="dxa"/>
          <w:left w:w="28" w:type="dxa"/>
          <w:bottom w:w="28" w:type="dxa"/>
          <w:right w:w="28" w:type="dxa"/>
        </w:tblCellMar>
      </w:tblPr>
      <w:tblGrid>
        <w:gridCol w:w="2716"/>
        <w:gridCol w:w="348"/>
        <w:gridCol w:w="942"/>
        <w:gridCol w:w="271"/>
        <w:gridCol w:w="477"/>
        <w:gridCol w:w="1293"/>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(dollars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Amount outstanding</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Letters of credit</w:t>
            </w:r>
            <w:r>
              <w:rPr>
                <w:rFonts w:ascii="Times New Roman" w:hAnsi="Times New Roman"/>
                <w:color w:val="000000"/>
                <w:sz w:val="18"/>
              </w:rPr>
              <w:t> </w:t>
            </w:r>
            <w:r>
              <w:rPr>
                <w:rFonts w:ascii="Arial" w:hAnsi="Arial"/>
                <w:color w:val="000000"/>
                <w:sz w:val="12"/>
              </w:rPr>
              <w:t>(a)</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Available capacity</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interest rates</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pPr>
      <w:r>
        <w:rPr>
          <w:rFonts w:ascii="Arial" w:hAnsi="Arial"/>
          <w:color w:val="000000"/>
          <w:sz w:val="16"/>
        </w:rPr>
        <w:t>Letters of credit are off-balance sheet commitments that reduce the borrowing capacity available on our corporate Revolving Credit Facility</w:t>
      </w:r>
      <w:r>
        <w:rPr>
          <w:rFonts w:ascii="Arial" w:hAnsi="Arial"/>
          <w:color w:val="000000"/>
          <w:sz w:val="18"/>
        </w:rPr>
        <w:t>.</w:t>
      </w:r>
    </w:p>
    <w:p>
      <w:pPr>
        <w:pStyle w:val="TextBody"/>
        <w:bidi w:val="0"/>
        <w:jc w:val="center"/>
        <w:rPr>
          <w:rFonts w:ascii="Arial" w:hAnsi="Arial"/>
          <w:color w:val="000000"/>
          <w:sz w:val="18"/>
        </w:rPr>
      </w:pPr>
      <w:r>
        <w:rPr>
          <w:rFonts w:ascii="Arial" w:hAnsi="Arial"/>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Revolving Credit Facility and CP Program borrowing activity was as follows:</w:t>
      </w:r>
    </w:p>
    <w:p>
      <w:pPr>
        <w:pStyle w:val="TextBody"/>
        <w:bidi w:val="0"/>
        <w:jc w:val="left"/>
        <w:rPr/>
      </w:pPr>
      <w:r>
        <w:rPr/>
        <w:t> </w:t>
      </w:r>
    </w:p>
    <w:tbl>
      <w:tblPr>
        <w:tblW w:w="8462" w:type="dxa"/>
        <w:jc w:val="left"/>
        <w:tblInd w:w="0" w:type="dxa"/>
        <w:tblLayout w:type="fixed"/>
        <w:tblCellMar>
          <w:top w:w="28" w:type="dxa"/>
          <w:left w:w="28" w:type="dxa"/>
          <w:bottom w:w="28" w:type="dxa"/>
          <w:right w:w="28" w:type="dxa"/>
        </w:tblCellMar>
      </w:tblPr>
      <w:tblGrid>
        <w:gridCol w:w="5746"/>
        <w:gridCol w:w="276"/>
        <w:gridCol w:w="747"/>
        <w:gridCol w:w="354"/>
        <w:gridCol w:w="276"/>
        <w:gridCol w:w="747"/>
        <w:gridCol w:w="316"/>
      </w:tblGrid>
      <w:tr>
        <w:trPr/>
        <w:tc>
          <w:tcPr>
            <w:tcW w:w="57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(dollars in millions)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Maximum amount outstanding (based on daily outstanding balances)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Average amount outstanding (based on daily outstanding balances)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interest rates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Long-term Debt</w:t>
      </w:r>
    </w:p>
    <w:p>
      <w:pPr>
        <w:pStyle w:val="TextBody"/>
        <w:bidi w:val="0"/>
        <w:jc w:val="left"/>
        <w:rPr>
          <w:rFonts w:ascii="Times New Roman" w:hAnsi="Times New Roman"/>
          <w:sz w:val="20"/>
        </w:rPr>
      </w:pPr>
      <w:r>
        <w:rPr>
          <w:rFonts w:ascii="Arial" w:hAnsi="Arial"/>
          <w:color w:val="000000"/>
          <w:sz w:val="18"/>
        </w:rPr>
        <w:br/>
        <w:t>On October 2, 2025, we completed a public debt offering of $450</w:t>
      </w:r>
      <w:r>
        <w:rPr>
          <w:rFonts w:ascii="Times New Roman" w:hAnsi="Times New Roman"/>
          <w:color w:val="000000"/>
          <w:sz w:val="20"/>
        </w:rPr>
        <w:t xml:space="preserve"> </w:t>
      </w:r>
      <w:r>
        <w:rPr>
          <w:rFonts w:ascii="Arial" w:hAnsi="Arial"/>
          <w:color w:val="000000"/>
          <w:sz w:val="18"/>
        </w:rPr>
        <w:t>million, 4.55% senior unsecured notes due January 31, 2031. Proceeds from the offering, which were reduced by $4.0</w:t>
      </w:r>
      <w:r>
        <w:rPr>
          <w:rFonts w:ascii="Times New Roman" w:hAnsi="Times New Roman"/>
          <w:color w:val="000000"/>
          <w:sz w:val="20"/>
        </w:rPr>
        <w:t xml:space="preserve"> </w:t>
      </w:r>
      <w:r>
        <w:rPr>
          <w:rFonts w:ascii="Arial" w:hAnsi="Arial"/>
          <w:color w:val="000000"/>
          <w:sz w:val="18"/>
        </w:rPr>
        <w:t>million of deferred financing costs, were used to repay all $300</w:t>
      </w:r>
      <w:r>
        <w:rPr>
          <w:rFonts w:ascii="Times New Roman" w:hAnsi="Times New Roman"/>
          <w:color w:val="000000"/>
          <w:sz w:val="20"/>
        </w:rPr>
        <w:t xml:space="preserve"> </w:t>
      </w:r>
      <w:r>
        <w:rPr>
          <w:rFonts w:ascii="Arial" w:hAnsi="Arial"/>
          <w:color w:val="000000"/>
          <w:sz w:val="18"/>
        </w:rPr>
        <w:t>million principal amount outstanding of our 3.95% senior unsecured notes at their January 15, 2026, maturity date and for other general corporate purposes.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Financial Covenants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Revolving Credit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were in compliance with all of our Revolving Credit Facility covenants as of June 30, 2026. We are required to maintain a Consolidated Indebtedness to Capitalization Ratio not to exceed 0.65</w:t>
      </w:r>
      <w:r>
        <w:rPr>
          <w:rFonts w:ascii="Times New Roman" w:hAnsi="Times New Roman"/>
          <w:color w:val="000000"/>
          <w:sz w:val="20"/>
        </w:rPr>
        <w:t xml:space="preserve"> </w:t>
      </w:r>
      <w:r>
        <w:rPr>
          <w:rFonts w:ascii="Arial" w:hAnsi="Arial"/>
          <w:color w:val="000000"/>
          <w:sz w:val="18"/>
        </w:rPr>
        <w:t>to 1.00. Subject to applicable cure periods, a violation of this covenant would constitute an event of default that entitles the lenders to terminate their remaining commitments and accelerate all principal and interest outstanding. As of June 30, 2026, our Consolidated Indebtedness to Capitalization Ratio was 0.53</w:t>
      </w:r>
      <w:r>
        <w:rPr>
          <w:rFonts w:ascii="Times New Roman" w:hAnsi="Times New Roman"/>
          <w:color w:val="000000"/>
          <w:sz w:val="20"/>
        </w:rPr>
        <w:t xml:space="preserve"> </w:t>
      </w:r>
      <w:r>
        <w:rPr>
          <w:rFonts w:ascii="Arial" w:hAnsi="Arial"/>
          <w:color w:val="000000"/>
          <w:sz w:val="18"/>
        </w:rPr>
        <w:t>to 1.00. Consolidated Indebtedness, as defined under the terms of our Revolving Credit Facility, does not include the $285</w:t>
      </w:r>
      <w:r>
        <w:rPr>
          <w:rFonts w:ascii="Times New Roman" w:hAnsi="Times New Roman"/>
          <w:color w:val="000000"/>
          <w:sz w:val="20"/>
        </w:rPr>
        <w:t xml:space="preserve"> </w:t>
      </w:r>
      <w:r>
        <w:rPr>
          <w:rFonts w:ascii="Arial" w:hAnsi="Arial"/>
          <w:color w:val="000000"/>
          <w:sz w:val="18"/>
        </w:rPr>
        <w:t>million of Refundable advances for construction as of June 30, 2026, discussed above.</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Wyoming Electric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Wyoming Electric was in compliance with all covenants within its financing agreements as of June 30, 2026. Wyoming Electric is required to maintain a debt to capitalization ratio of no more than 0.60</w:t>
      </w:r>
      <w:r>
        <w:rPr>
          <w:rFonts w:ascii="Times New Roman" w:hAnsi="Times New Roman"/>
          <w:color w:val="000000"/>
          <w:sz w:val="20"/>
        </w:rPr>
        <w:t xml:space="preserve"> </w:t>
      </w:r>
      <w:r>
        <w:rPr>
          <w:rFonts w:ascii="Arial" w:hAnsi="Arial"/>
          <w:color w:val="000000"/>
          <w:sz w:val="18"/>
        </w:rPr>
        <w:t>to 1.00. As of June 30, 2026, Wyoming Electric's debt to capitalization ratio was 0.48</w:t>
      </w:r>
      <w:r>
        <w:rPr>
          <w:rFonts w:ascii="Times New Roman" w:hAnsi="Times New Roman"/>
          <w:color w:val="000000"/>
          <w:sz w:val="20"/>
        </w:rPr>
        <w:t xml:space="preserve"> </w:t>
      </w:r>
      <w:r>
        <w:rPr>
          <w:rFonts w:ascii="Arial" w:hAnsi="Arial"/>
          <w:color w:val="000000"/>
          <w:sz w:val="18"/>
        </w:rPr>
        <w:t>to 1.00. Debt, as defined under the terms of Wyoming Electric's financing agreements, does not include the $285</w:t>
      </w:r>
      <w:r>
        <w:rPr>
          <w:rFonts w:ascii="Times New Roman" w:hAnsi="Times New Roman"/>
          <w:color w:val="000000"/>
          <w:sz w:val="20"/>
        </w:rPr>
        <w:t xml:space="preserve"> </w:t>
      </w:r>
      <w:r>
        <w:rPr>
          <w:rFonts w:ascii="Arial" w:hAnsi="Arial"/>
          <w:color w:val="000000"/>
          <w:sz w:val="18"/>
        </w:rPr>
        <w:t>million of Refundable advances for construction as of June 30, 2026, discussed above.</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Equity</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ATM</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ATM activity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56"/>
        <w:gridCol w:w="295"/>
        <w:gridCol w:w="797"/>
        <w:gridCol w:w="203"/>
        <w:gridCol w:w="295"/>
        <w:gridCol w:w="797"/>
        <w:gridCol w:w="146"/>
        <w:gridCol w:w="274"/>
        <w:gridCol w:w="742"/>
        <w:gridCol w:w="189"/>
        <w:gridCol w:w="274"/>
        <w:gridCol w:w="742"/>
        <w:gridCol w:w="195"/>
      </w:tblGrid>
      <w:tr>
        <w:trPr/>
        <w:tc>
          <w:tcPr>
            <w:tcW w:w="52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u w:val="single"/>
              </w:rPr>
            </w:pPr>
            <w:r>
              <w:rPr>
                <w:rFonts w:ascii="Arial" w:hAnsi="Arial"/>
                <w:i/>
                <w:color w:val="000000"/>
                <w:sz w:val="18"/>
                <w:u w:val="single"/>
              </w:rPr>
              <w:t>June 16, 2023 ATM Program</w:t>
            </w:r>
          </w:p>
        </w:tc>
        <w:tc>
          <w:tcPr>
            <w:tcW w:w="475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 except Average price per share amounts)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(net of issuance costs of $0.0, $0.0, $0.0, and $(0.5), respectively)</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shares issued</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u w:val="single"/>
              </w:rPr>
            </w:pPr>
            <w:r>
              <w:rPr>
                <w:rFonts w:ascii="Arial" w:hAnsi="Arial"/>
                <w:i/>
                <w:color w:val="000000"/>
                <w:sz w:val="18"/>
                <w:u w:val="single"/>
              </w:rPr>
              <w:t>May 8, 2025 ATM Program</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(net of issuance costs of $(0.1), $(0.2), $(0.5), and $(0.2), respectively)</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shares issued</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u w:val="single"/>
              </w:rPr>
            </w:pPr>
            <w:r>
              <w:rPr>
                <w:rFonts w:ascii="Arial" w:hAnsi="Arial"/>
                <w:i/>
                <w:color w:val="000000"/>
                <w:sz w:val="18"/>
                <w:u w:val="single"/>
              </w:rPr>
              <w:t>Total activity under both ATM Programs</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(net of issuance costs of $(0.1), $(0.2), $(0.5), and $(0.7), respectively)</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Number of shares issued</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Average price per share</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74.04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73.53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Earnings Per Share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reconciliation of share amounts used to compute earnings per share in the accompanying Consolidated Statements of Income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71"/>
        <w:gridCol w:w="366"/>
        <w:gridCol w:w="810"/>
        <w:gridCol w:w="253"/>
        <w:gridCol w:w="366"/>
        <w:gridCol w:w="810"/>
        <w:gridCol w:w="146"/>
        <w:gridCol w:w="294"/>
        <w:gridCol w:w="797"/>
        <w:gridCol w:w="203"/>
        <w:gridCol w:w="294"/>
        <w:gridCol w:w="797"/>
        <w:gridCol w:w="198"/>
      </w:tblGrid>
      <w:tr>
        <w:trPr/>
        <w:tc>
          <w:tcPr>
            <w:tcW w:w="48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 except per share amounts)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169.2</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basic</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Dilutive effect of equity compensation</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diluted</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72.1</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 per share - Diluted</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Anti-dilutive shares excluded from the diluted earnings per share computation were not material for the three and six months ended June 30, 2026, and 2025.</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Risk Management and Derivatives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Market and Credit Risk Disclosures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activities in the energy industry expose us to a number of risks in the normal operations of our businesses. Depending on the activity, we are exposed to varying degrees of market risk and credit risk.</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Market Risk</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Market risk is the potential loss that may occur as a result of an adverse change in market price, rate or supply. We are exposed but not limited to, the following market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imposition of new tariffs, recession, inflation, pipeline constraints, and other factors that may impact natural gas and electric supply and demand;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Interest rate risk associated with future debt, including reduced access to liquidity during periods of extreme capital markets volatility.</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Credit Risk</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Credit risk is the risk of financial loss resulting from non-performance of contractual obligations by a counterparty.</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Derivatives and Hedging Activity</w:t>
      </w:r>
    </w:p>
    <w:p>
      <w:pPr>
        <w:pStyle w:val="TextBody"/>
        <w:bidi w:val="0"/>
        <w:jc w:val="left"/>
        <w:rPr/>
      </w:pPr>
      <w:r>
        <w:rPr/>
        <w:t> </w:t>
      </w:r>
    </w:p>
    <w:p>
      <w:pPr>
        <w:pStyle w:val="TextBody"/>
        <w:bidi w:val="0"/>
        <w:jc w:val="left"/>
        <w:rPr/>
      </w:pPr>
      <w:r>
        <w:rPr>
          <w:rFonts w:ascii="Arial" w:hAnsi="Arial"/>
          <w:color w:val="000000"/>
          <w:sz w:val="18"/>
        </w:rPr>
        <w:t xml:space="preserve">Our derivative and hedging activities included in the accompanying Consolidated Balance Sheets, Consolidated Statements of Income, and Consolidated Statements of Comprehensive Income are detailed below and in </w:t>
      </w:r>
      <w:hyperlink w:anchor="fn8_fair_value_measurements">
        <w:r>
          <w:rPr>
            <w:rStyle w:val="InternetLink"/>
            <w:rFonts w:ascii="Arial" w:hAnsi="Arial"/>
            <w:color w:val="0000FF"/>
            <w:sz w:val="18"/>
            <w:u w:val="single"/>
          </w:rPr>
          <w:t>Note 8</w:t>
        </w:r>
      </w:hyperlink>
      <w:r>
        <w:rPr>
          <w:rFonts w:ascii="Arial" w:hAnsi="Arial"/>
          <w:color w:val="000000"/>
          <w:sz w:val="18"/>
        </w:rPr>
        <w:t>.</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Through Black Hills Energy Services, our non-regulated natural gas commodity supplier, we buy, sell, and deliver natural gas in Nebraska and Wyoming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through September 2028.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contract or notional amounts and terms of the electric and natural gas derivative commodity instruments held at our Utilities are composed of both long and short positions. We had the following net long and (short) positions as of:</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6"/>
        <w:gridCol w:w="250"/>
        <w:gridCol w:w="1598"/>
        <w:gridCol w:w="146"/>
        <w:gridCol w:w="1757"/>
        <w:gridCol w:w="234"/>
        <w:gridCol w:w="1663"/>
        <w:gridCol w:w="146"/>
        <w:gridCol w:w="1805"/>
      </w:tblGrid>
      <w:tr>
        <w:trPr/>
        <w:tc>
          <w:tcPr>
            <w:tcW w:w="26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384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Notional Amounts (MMBtus)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 xml:space="preserve">Maximum Term (months) </w:t>
            </w:r>
            <w:r>
              <w:rPr>
                <w:rFonts w:ascii="Arial" w:hAnsi="Arial"/>
                <w:b/>
                <w:color w:val="000000"/>
                <w:sz w:val="12"/>
              </w:rPr>
              <w:t>(a)</w:t>
            </w:r>
          </w:p>
        </w:tc>
        <w:tc>
          <w:tcPr>
            <w:tcW w:w="1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Notional Amounts (MMBtus)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 xml:space="preserve">Maximum Term (months) </w:t>
            </w:r>
            <w:r>
              <w:rPr>
                <w:rFonts w:ascii="Arial" w:hAnsi="Arial"/>
                <w:b/>
                <w:color w:val="000000"/>
                <w:sz w:val="12"/>
              </w:rPr>
              <w:t>(a)</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Natural gas futures purchased</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Natural gas options purchased, net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Natural gas basis swaps purchased</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Natural gas over-the-counter swaps, net </w:t>
            </w:r>
            <w:r>
              <w:rPr>
                <w:rFonts w:ascii="Arial" w:hAnsi="Arial"/>
                <w:color w:val="000000"/>
                <w:sz w:val="12"/>
              </w:rPr>
              <w:t>(b)</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Natural gas physical contracts, net </w:t>
            </w:r>
            <w:r>
              <w:rPr>
                <w:rFonts w:ascii="Arial" w:hAnsi="Arial"/>
                <w:color w:val="000000"/>
                <w:sz w:val="12"/>
              </w:rPr>
              <w:t>(c)</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4,043,753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14,285,200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Term reflects the maximum forward period hedged.</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spacing w:before="0" w:after="0"/>
        <w:jc w:val="left"/>
        <w:rPr>
          <w:rFonts w:ascii="Arial" w:hAnsi="Arial"/>
          <w:sz w:val="18"/>
        </w:rPr>
      </w:pPr>
      <w:r>
        <w:rPr>
          <w:rFonts w:ascii="Arial" w:hAnsi="Arial"/>
          <w:color w:val="000000"/>
          <w:sz w:val="16"/>
        </w:rPr>
        <w:t>As of June 30, 2026, 1,401,000</w:t>
      </w:r>
      <w:r>
        <w:rPr>
          <w:rFonts w:ascii="Arial" w:hAnsi="Arial"/>
          <w:color w:val="000000"/>
          <w:sz w:val="18"/>
        </w:rPr>
        <w:t xml:space="preserve"> </w:t>
      </w:r>
      <w:r>
        <w:rPr>
          <w:rFonts w:ascii="Arial" w:hAnsi="Arial"/>
          <w:color w:val="000000"/>
          <w:sz w:val="16"/>
        </w:rPr>
        <w:t>MMBtus of natural gas over-the-counter swaps purchases were designated as cash flow hedges.</w:t>
      </w:r>
    </w:p>
    <w:p>
      <w:pPr>
        <w:pStyle w:val="TextBody"/>
        <w:bidi w:val="0"/>
        <w:spacing w:before="0" w:after="0"/>
        <w:jc w:val="left"/>
        <w:rPr>
          <w:rFonts w:ascii="Arial" w:hAnsi="Arial"/>
          <w:color w:val="000000"/>
          <w:sz w:val="16"/>
        </w:rPr>
      </w:pPr>
      <w:r>
        <w:rPr>
          <w:rFonts w:ascii="Arial" w:hAnsi="Arial"/>
          <w:color w:val="000000"/>
          <w:sz w:val="16"/>
        </w:rPr>
        <w:t>(c)</w:t>
      </w:r>
    </w:p>
    <w:p>
      <w:pPr>
        <w:pStyle w:val="TextBody"/>
        <w:bidi w:val="0"/>
        <w:jc w:val="left"/>
        <w:rPr>
          <w:rFonts w:ascii="Arial" w:hAnsi="Arial"/>
          <w:color w:val="000000"/>
          <w:sz w:val="16"/>
        </w:rPr>
      </w:pPr>
      <w:r>
        <w:rPr>
          <w:rFonts w:ascii="Arial" w:hAnsi="Arial"/>
          <w:color w:val="000000"/>
          <w:sz w:val="16"/>
        </w:rPr>
        <w:t>Volumes exclude contracts that qualify for the normal purchases and normal sales exception under GAAP.</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have certain derivative contracts which contain credit provisions. These credit provisions may require the Company to post collateral when credit exposure to the Company is in excess of a negotiated line of unsecured credit. At June 30, 2026, the Company had $0.1</w:t>
      </w:r>
      <w:r>
        <w:rPr>
          <w:rFonts w:ascii="Times New Roman" w:hAnsi="Times New Roman"/>
          <w:color w:val="000000"/>
          <w:sz w:val="20"/>
        </w:rPr>
        <w:t xml:space="preserve"> </w:t>
      </w:r>
      <w:r>
        <w:rPr>
          <w:rFonts w:ascii="Arial" w:hAnsi="Arial"/>
          <w:color w:val="000000"/>
          <w:sz w:val="18"/>
        </w:rPr>
        <w:t>million related to such provisions, which would be included in Other current assets on the Consolidated Balance Sheets.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Derivatives by Balance Sheet Classification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presents the fair value and balance sheet classification of our derivative instruments as of:</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2"/>
        <w:gridCol w:w="3260"/>
        <w:gridCol w:w="413"/>
        <w:gridCol w:w="823"/>
        <w:gridCol w:w="166"/>
        <w:gridCol w:w="568"/>
        <w:gridCol w:w="1139"/>
        <w:gridCol w:w="414"/>
      </w:tblGrid>
      <w:tr>
        <w:trPr/>
        <w:tc>
          <w:tcPr>
            <w:tcW w:w="3422"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Balance Sheet Location</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Derivatives designated as hedges:</w:t>
            </w:r>
          </w:p>
        </w:tc>
        <w:tc>
          <w:tcPr>
            <w:tcW w:w="3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Liability derivative instruments:</w:t>
            </w:r>
          </w:p>
        </w:tc>
        <w:tc>
          <w:tcPr>
            <w:tcW w:w="3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Current commodity derivatives</w:t>
            </w:r>
          </w:p>
        </w:tc>
        <w:tc>
          <w:tcPr>
            <w:tcW w:w="3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Derivative liabilities, current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derivatives designated as hedges</w:t>
            </w:r>
          </w:p>
        </w:tc>
        <w:tc>
          <w:tcPr>
            <w:tcW w:w="3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Derivatives not designated as hedges:</w:t>
            </w:r>
          </w:p>
        </w:tc>
        <w:tc>
          <w:tcPr>
            <w:tcW w:w="3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Liability derivative instruments:</w:t>
            </w:r>
          </w:p>
        </w:tc>
        <w:tc>
          <w:tcPr>
            <w:tcW w:w="3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Current commodity derivatives</w:t>
            </w:r>
          </w:p>
        </w:tc>
        <w:tc>
          <w:tcPr>
            <w:tcW w:w="3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Derivative liabilities, current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Noncurrent commodity derivatives</w:t>
            </w:r>
          </w:p>
        </w:tc>
        <w:tc>
          <w:tcPr>
            <w:tcW w:w="3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deferred credits and other liabilities</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derivatives not designated as hedges</w:t>
            </w:r>
          </w:p>
        </w:tc>
        <w:tc>
          <w:tcPr>
            <w:tcW w:w="3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Derivatives Designated as Hedge Instruments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impact of cash flow hedges on our Consolidated Statements of Comprehensive Income and Consolidated Statements of Income are presented below for the three and six months ended June 30, 2026, and 2025. Note that this presentation does not reflect the gains or losses arising from the underlying physical transactions; therefore, it is not indicative of the economic profit or loss we realized when the underlying physical and financial transactions were settled.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0"/>
        <w:gridCol w:w="340"/>
        <w:gridCol w:w="583"/>
        <w:gridCol w:w="235"/>
        <w:gridCol w:w="340"/>
        <w:gridCol w:w="681"/>
        <w:gridCol w:w="166"/>
        <w:gridCol w:w="2208"/>
        <w:gridCol w:w="409"/>
        <w:gridCol w:w="817"/>
        <w:gridCol w:w="322"/>
        <w:gridCol w:w="409"/>
        <w:gridCol w:w="817"/>
        <w:gridCol w:w="518"/>
      </w:tblGrid>
      <w:tr>
        <w:trPr/>
        <w:tc>
          <w:tcPr>
            <w:tcW w:w="23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Derivatives in Cash Flow Hedging Relationships</w:t>
            </w:r>
          </w:p>
        </w:tc>
        <w:tc>
          <w:tcPr>
            <w:tcW w:w="21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of Gain/(Loss) Recognized in OCI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Income Statement Location</w:t>
            </w:r>
          </w:p>
        </w:tc>
        <w:tc>
          <w:tcPr>
            <w:tcW w:w="277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of Gain/(Loss) Reclassified from AOCI into Income</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rate swaps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Commodity derivatives</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236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3"/>
        <w:gridCol w:w="352"/>
        <w:gridCol w:w="603"/>
        <w:gridCol w:w="243"/>
        <w:gridCol w:w="352"/>
        <w:gridCol w:w="603"/>
        <w:gridCol w:w="146"/>
        <w:gridCol w:w="2224"/>
        <w:gridCol w:w="412"/>
        <w:gridCol w:w="822"/>
        <w:gridCol w:w="324"/>
        <w:gridCol w:w="412"/>
        <w:gridCol w:w="822"/>
        <w:gridCol w:w="517"/>
      </w:tblGrid>
      <w:tr>
        <w:trPr/>
        <w:tc>
          <w:tcPr>
            <w:tcW w:w="237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Derivatives in Cash Flow Hedging Relationships</w:t>
            </w:r>
          </w:p>
        </w:tc>
        <w:tc>
          <w:tcPr>
            <w:tcW w:w="21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of Gain/(Loss) Recognized in 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Income Statement Location</w:t>
            </w:r>
          </w:p>
        </w:tc>
        <w:tc>
          <w:tcPr>
            <w:tcW w:w="279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of Gain/(Loss) Reclassified from AOCI into Income</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rate swaps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Commodity derivatives</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23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of June 30, 2026, $1.1</w:t>
      </w:r>
      <w:r>
        <w:rPr>
          <w:rFonts w:ascii="Times New Roman" w:hAnsi="Times New Roman"/>
          <w:color w:val="000000"/>
          <w:sz w:val="20"/>
        </w:rPr>
        <w:t xml:space="preserve"> </w:t>
      </w:r>
      <w:r>
        <w:rPr>
          <w:rFonts w:ascii="Arial" w:hAnsi="Arial"/>
          <w:color w:val="000000"/>
          <w:sz w:val="18"/>
        </w:rPr>
        <w:t>million of</w:t>
      </w:r>
      <w:r>
        <w:rPr>
          <w:rFonts w:ascii="Times New Roman" w:hAnsi="Times New Roman"/>
          <w:color w:val="000000"/>
          <w:sz w:val="20"/>
        </w:rPr>
        <w:t xml:space="preserve"> </w:t>
      </w:r>
      <w:r>
        <w:rPr>
          <w:rFonts w:ascii="Arial" w:hAnsi="Arial"/>
          <w:color w:val="000000"/>
          <w:sz w:val="18"/>
        </w:rPr>
        <w:t>net losses related to our interest rate swaps and commodity derivatives are expected to be reclassified from AOCI into earnings within the next 12 months. As market prices fluctuate, estimated and actual realized gains or losses will change during future periods.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Derivatives Not Designated as Hedge Instruments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summarizes the impacts of derivative instruments not designated as hedge instruments on our Consolidated Statements of Income for the three and six months ended June 30, 2026, and 2025.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3"/>
        <w:gridCol w:w="3434"/>
        <w:gridCol w:w="548"/>
        <w:gridCol w:w="938"/>
        <w:gridCol w:w="378"/>
        <w:gridCol w:w="548"/>
        <w:gridCol w:w="1093"/>
        <w:gridCol w:w="213"/>
      </w:tblGrid>
      <w:tr>
        <w:trPr/>
        <w:tc>
          <w:tcPr>
            <w:tcW w:w="3053"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Derivatives Not Designated as Hedging Instruments</w:t>
            </w:r>
          </w:p>
        </w:tc>
        <w:tc>
          <w:tcPr>
            <w:tcW w:w="3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Location of Gain/(Loss) on Derivatives Recognized in Income</w:t>
            </w:r>
          </w:p>
        </w:tc>
        <w:tc>
          <w:tcPr>
            <w:tcW w:w="35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of Gain/(Loss) on Derivatives Recognized in Income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Commodity derivatives</w:t>
            </w:r>
          </w:p>
        </w:tc>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7"/>
        <w:gridCol w:w="3451"/>
        <w:gridCol w:w="571"/>
        <w:gridCol w:w="978"/>
        <w:gridCol w:w="395"/>
        <w:gridCol w:w="571"/>
        <w:gridCol w:w="978"/>
        <w:gridCol w:w="194"/>
      </w:tblGrid>
      <w:tr>
        <w:trPr/>
        <w:tc>
          <w:tcPr>
            <w:tcW w:w="3067"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Derivatives Not Designated as Hedging Instruments</w:t>
            </w:r>
          </w:p>
        </w:tc>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Location of Gain/(Loss) on Derivatives Recognized in Income</w:t>
            </w:r>
          </w:p>
        </w:tc>
        <w:tc>
          <w:tcPr>
            <w:tcW w:w="34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of Gain/(Loss) on Derivatives Recognized in Income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Commodity derivatives</w:t>
            </w:r>
          </w:p>
        </w:tc>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accounts related to these financial instruments were</w:t>
      </w:r>
      <w:r>
        <w:rPr>
          <w:rFonts w:ascii="Times New Roman" w:hAnsi="Times New Roman"/>
          <w:color w:val="000000"/>
          <w:sz w:val="20"/>
        </w:rPr>
        <w:t xml:space="preserve"> </w:t>
      </w:r>
      <w:r>
        <w:rPr>
          <w:rFonts w:ascii="Arial" w:hAnsi="Arial"/>
          <w:color w:val="000000"/>
          <w:sz w:val="18"/>
        </w:rPr>
        <w:t>$0.4</w:t>
      </w:r>
      <w:r>
        <w:rPr>
          <w:rFonts w:ascii="Times New Roman" w:hAnsi="Times New Roman"/>
          <w:color w:val="000000"/>
          <w:sz w:val="20"/>
        </w:rPr>
        <w:t xml:space="preserve"> </w:t>
      </w:r>
      <w:r>
        <w:rPr>
          <w:rFonts w:ascii="Arial" w:hAnsi="Arial"/>
          <w:color w:val="000000"/>
          <w:sz w:val="18"/>
        </w:rPr>
        <w:t>million and $4.6</w:t>
      </w:r>
      <w:r>
        <w:rPr>
          <w:rFonts w:ascii="Times New Roman" w:hAnsi="Times New Roman"/>
          <w:color w:val="000000"/>
          <w:sz w:val="20"/>
        </w:rPr>
        <w:t xml:space="preserve"> </w:t>
      </w:r>
      <w:r>
        <w:rPr>
          <w:rFonts w:ascii="Arial" w:hAnsi="Arial"/>
          <w:color w:val="000000"/>
          <w:sz w:val="18"/>
        </w:rPr>
        <w:t>million as of June 30, 2026, and December 31, 2025, respectively.</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Fair Value Measurements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use the following fair value hierarchy for determining inputs for our financial instruments. Our assets and liabilities for financial instruments are classified and disclosed in one of the following fair value categories: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u w:val="single"/>
        </w:rPr>
        <w:t>Level 1</w:t>
      </w:r>
      <w:r>
        <w:rPr>
          <w:rFonts w:ascii="Times New Roman" w:hAnsi="Times New Roman"/>
          <w:color w:val="000000"/>
          <w:sz w:val="20"/>
        </w:rPr>
        <w:t xml:space="preserve"> — </w:t>
      </w:r>
      <w:r>
        <w:rPr>
          <w:rFonts w:ascii="Arial" w:hAnsi="Arial"/>
          <w:color w:val="000000"/>
          <w:sz w:val="18"/>
        </w:rPr>
        <w:t>Unadjusted quoted prices available in active markets that are accessible at the measurement date for identical unrestricted assets or liabilities. Level 1 instruments primarily consist of highly liquid and actively traded financial instruments with quoted pricing information on an ongoing basis.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u w:val="single"/>
        </w:rPr>
        <w:t>Level 2</w:t>
      </w:r>
      <w:r>
        <w:rPr>
          <w:rFonts w:ascii="Times New Roman" w:hAnsi="Times New Roman"/>
          <w:color w:val="000000"/>
          <w:sz w:val="20"/>
        </w:rPr>
        <w:t xml:space="preserve"> — </w:t>
      </w:r>
      <w:r>
        <w:rPr>
          <w:rFonts w:ascii="Arial" w:hAnsi="Arial"/>
          <w:color w:val="000000"/>
          <w:sz w:val="18"/>
        </w:rPr>
        <w:t>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u w:val="single"/>
        </w:rPr>
        <w:t>Level 3</w:t>
      </w:r>
      <w:r>
        <w:rPr>
          <w:rFonts w:ascii="Times New Roman" w:hAnsi="Times New Roman"/>
          <w:color w:val="000000"/>
          <w:sz w:val="20"/>
        </w:rPr>
        <w:t xml:space="preserve"> — </w:t>
      </w:r>
      <w:r>
        <w:rPr>
          <w:rFonts w:ascii="Arial" w:hAnsi="Arial"/>
          <w:color w:val="000000"/>
          <w:sz w:val="18"/>
        </w:rPr>
        <w:t>Pricing inputs are generally less observable from objective sources. These inputs reflect management’s best estimate of fair value using its own assumptions about the assumptions a market participant would use in pricing the asset or liability.</w:t>
      </w:r>
    </w:p>
    <w:p>
      <w:pPr>
        <w:pStyle w:val="TextBody"/>
        <w:bidi w:val="0"/>
        <w:jc w:val="left"/>
        <w:rPr>
          <w:rFonts w:ascii="Arial" w:hAnsi="Arial"/>
          <w:color w:val="000000"/>
          <w:sz w:val="18"/>
        </w:rPr>
      </w:pPr>
      <w:r>
        <w:rPr>
          <w:rFonts w:ascii="Arial" w:hAnsi="Arial"/>
          <w:color w:val="000000"/>
          <w:sz w:val="18"/>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Recurring Fair Value Measurements</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Derivatives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2025 Annual Report on Form 10-K.</w:t>
      </w:r>
    </w:p>
    <w:p>
      <w:pPr>
        <w:pStyle w:val="TextBody"/>
        <w:bidi w:val="0"/>
        <w:jc w:val="center"/>
        <w:rPr>
          <w:rFonts w:ascii="Arial" w:hAnsi="Arial"/>
          <w:color w:val="000000"/>
          <w:sz w:val="18"/>
        </w:rPr>
      </w:pPr>
      <w:r>
        <w:rPr>
          <w:rFonts w:ascii="Arial" w:hAnsi="Arial"/>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tables set forth, by level within the fair value hierarchy, our gross assets and gross liabilities and related offsetting as permitted by GAAP that were accounted for at fair value on a recurring basis for derivative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2"/>
        <w:gridCol w:w="267"/>
        <w:gridCol w:w="439"/>
        <w:gridCol w:w="146"/>
        <w:gridCol w:w="260"/>
        <w:gridCol w:w="446"/>
        <w:gridCol w:w="146"/>
        <w:gridCol w:w="267"/>
        <w:gridCol w:w="439"/>
        <w:gridCol w:w="146"/>
        <w:gridCol w:w="1197"/>
        <w:gridCol w:w="2397"/>
        <w:gridCol w:w="166"/>
        <w:gridCol w:w="211"/>
        <w:gridCol w:w="361"/>
        <w:gridCol w:w="295"/>
      </w:tblGrid>
      <w:tr>
        <w:trPr/>
        <w:tc>
          <w:tcPr>
            <w:tcW w:w="30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June 30, 2026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 xml:space="preserve">Cash Collateral and Counterparty Netting </w:t>
            </w:r>
            <w:r>
              <w:rPr>
                <w:rFonts w:ascii="Arial" w:hAnsi="Arial"/>
                <w:b/>
                <w:color w:val="000000"/>
                <w:sz w:val="12"/>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Commodity derivatives - Gas Utilities</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Commodity derivatives - Gas Utilities</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sz w:val="18"/>
        </w:rPr>
      </w:pPr>
      <w:r>
        <w:rPr>
          <w:rFonts w:ascii="Arial" w:hAnsi="Arial"/>
          <w:color w:val="000000"/>
          <w:sz w:val="16"/>
        </w:rPr>
        <w:t>As of June 30, 2026, $0.8</w:t>
      </w:r>
      <w:r>
        <w:rPr>
          <w:rFonts w:ascii="Arial" w:hAnsi="Arial"/>
          <w:color w:val="000000"/>
          <w:sz w:val="18"/>
        </w:rPr>
        <w:t xml:space="preserve"> </w:t>
      </w:r>
      <w:r>
        <w:rPr>
          <w:rFonts w:ascii="Arial" w:hAnsi="Arial"/>
          <w:color w:val="000000"/>
          <w:sz w:val="16"/>
        </w:rPr>
        <w:t>million of our commodity derivative assets and $0.1</w:t>
      </w:r>
      <w:r>
        <w:rPr>
          <w:rFonts w:ascii="Arial" w:hAnsi="Arial"/>
          <w:color w:val="000000"/>
          <w:sz w:val="18"/>
        </w:rPr>
        <w:t xml:space="preserve"> </w:t>
      </w:r>
      <w:r>
        <w:rPr>
          <w:rFonts w:ascii="Arial" w:hAnsi="Arial"/>
          <w:color w:val="000000"/>
          <w:sz w:val="16"/>
        </w:rPr>
        <w:t>million of our commodity derivative liabilities, as well as related gross collateral amounts, were subject to master netting agreements.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2"/>
        <w:gridCol w:w="267"/>
        <w:gridCol w:w="439"/>
        <w:gridCol w:w="146"/>
        <w:gridCol w:w="260"/>
        <w:gridCol w:w="446"/>
        <w:gridCol w:w="146"/>
        <w:gridCol w:w="267"/>
        <w:gridCol w:w="439"/>
        <w:gridCol w:w="146"/>
        <w:gridCol w:w="1197"/>
        <w:gridCol w:w="2397"/>
        <w:gridCol w:w="166"/>
        <w:gridCol w:w="211"/>
        <w:gridCol w:w="361"/>
        <w:gridCol w:w="295"/>
      </w:tblGrid>
      <w:tr>
        <w:trPr/>
        <w:tc>
          <w:tcPr>
            <w:tcW w:w="30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December 31, 2025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 xml:space="preserve">Cash Collateral and Counterparty Netting </w:t>
            </w:r>
            <w:r>
              <w:rPr>
                <w:rFonts w:ascii="Arial" w:hAnsi="Arial"/>
                <w:b/>
                <w:color w:val="000000"/>
                <w:sz w:val="12"/>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Commodity derivatives - Gas Utilities</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Commodity derivatives - Gas Utilities</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sz w:val="18"/>
        </w:rPr>
      </w:pPr>
      <w:r>
        <w:rPr>
          <w:rFonts w:ascii="Arial" w:hAnsi="Arial"/>
          <w:color w:val="000000"/>
          <w:sz w:val="16"/>
        </w:rPr>
        <w:t>As of December 31, 2025, $2.0</w:t>
      </w:r>
      <w:r>
        <w:rPr>
          <w:rFonts w:ascii="Arial" w:hAnsi="Arial"/>
          <w:color w:val="000000"/>
          <w:sz w:val="18"/>
        </w:rPr>
        <w:t xml:space="preserve"> </w:t>
      </w:r>
      <w:r>
        <w:rPr>
          <w:rFonts w:ascii="Arial" w:hAnsi="Arial"/>
          <w:color w:val="000000"/>
          <w:sz w:val="16"/>
        </w:rPr>
        <w:t>million of our commodity derivative assets and $3.0</w:t>
      </w:r>
      <w:r>
        <w:rPr>
          <w:rFonts w:ascii="Arial" w:hAnsi="Arial"/>
          <w:color w:val="000000"/>
          <w:sz w:val="18"/>
        </w:rPr>
        <w:t xml:space="preserve"> </w:t>
      </w:r>
      <w:r>
        <w:rPr>
          <w:rFonts w:ascii="Arial" w:hAnsi="Arial"/>
          <w:color w:val="000000"/>
          <w:sz w:val="16"/>
        </w:rPr>
        <w:t>million of our commodity derivative liabilities, as well as related gross collateral amounts, were subject to master netting agreements.</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Pension and Postretirement Plan Assets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fair value of our pension and postretirement plan assets is presented in Note 13 to the Consolidated Financial Statements included in our 2025 Annual Report on Form 10-K.</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Captive Insurance Cell Investments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have investments in the Captive that may be used to pay insurance losses in the event of certain insured loss events. The Captive may hold investment assets in cash, cash equivalents, and equity and fixed income instruments. These investments are restricted for insured loss events. Additional information regarding the Captive is presented in Note 12 to the Consolidated Financial Statements included in our 2025 Annual Report on Form 10-K.</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Other Fair Value Measures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presents the carrying amounts and fair values of financial instruments not recorded at fair value on the Consolidated Balance Sheets as of:</w:t>
      </w:r>
    </w:p>
    <w:p>
      <w:pPr>
        <w:pStyle w:val="TextBody"/>
        <w:bidi w:val="0"/>
        <w:jc w:val="left"/>
        <w:rPr/>
      </w:pPr>
      <w:r>
        <w:rPr/>
        <w:t> </w:t>
      </w:r>
    </w:p>
    <w:tbl>
      <w:tblPr>
        <w:tblW w:w="9555" w:type="dxa"/>
        <w:jc w:val="left"/>
        <w:tblInd w:w="0" w:type="dxa"/>
        <w:tblLayout w:type="fixed"/>
        <w:tblCellMar>
          <w:top w:w="28" w:type="dxa"/>
          <w:left w:w="28" w:type="dxa"/>
          <w:bottom w:w="28" w:type="dxa"/>
          <w:right w:w="28" w:type="dxa"/>
        </w:tblCellMar>
      </w:tblPr>
      <w:tblGrid>
        <w:gridCol w:w="3856"/>
        <w:gridCol w:w="356"/>
        <w:gridCol w:w="1219"/>
        <w:gridCol w:w="146"/>
        <w:gridCol w:w="217"/>
        <w:gridCol w:w="743"/>
        <w:gridCol w:w="146"/>
        <w:gridCol w:w="356"/>
        <w:gridCol w:w="1219"/>
        <w:gridCol w:w="146"/>
        <w:gridCol w:w="217"/>
        <w:gridCol w:w="743"/>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Long-term debt, including current maturities </w:t>
            </w:r>
            <w:r>
              <w:rPr>
                <w:rFonts w:ascii="Arial" w:hAnsi="Arial"/>
                <w:color w:val="000000"/>
                <w:sz w:val="12"/>
              </w:rPr>
              <w:t>(a)</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color w:val="000000"/>
          <w:sz w:val="16"/>
        </w:rPr>
      </w:pPr>
      <w:r>
        <w:rPr>
          <w:rFonts w:ascii="Arial" w:hAnsi="Arial"/>
          <w:color w:val="000000"/>
          <w:sz w:val="16"/>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Other Comprehensive Income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details reclassifications out of AOCI and into Net income. The amounts in parentheses below indicate decreases to Net income in the Consolidated Statements of Income for the period, net of tax: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6"/>
        <w:gridCol w:w="2981"/>
        <w:gridCol w:w="211"/>
        <w:gridCol w:w="421"/>
        <w:gridCol w:w="166"/>
        <w:gridCol w:w="211"/>
        <w:gridCol w:w="421"/>
        <w:gridCol w:w="166"/>
        <w:gridCol w:w="211"/>
        <w:gridCol w:w="421"/>
        <w:gridCol w:w="166"/>
        <w:gridCol w:w="211"/>
        <w:gridCol w:w="421"/>
        <w:gridCol w:w="212"/>
      </w:tblGrid>
      <w:tr>
        <w:trPr/>
        <w:tc>
          <w:tcPr>
            <w:tcW w:w="3986"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Reclassified from AOCI</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Location on the Consolidated Statements of Income</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Gains and (losses) on cash flow hedges:</w:t>
            </w:r>
          </w:p>
        </w:tc>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rate swaps</w:t>
            </w:r>
          </w:p>
        </w:tc>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Commodity contracts</w:t>
            </w:r>
          </w:p>
        </w:tc>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w:t>
            </w:r>
          </w:p>
        </w:tc>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 benefit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reclassification adjustments related to cash flow hedges, net of tax</w:t>
            </w:r>
          </w:p>
        </w:tc>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Amortization of components of defined benefit plans:</w:t>
            </w:r>
          </w:p>
        </w:tc>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Actuarial (loss)</w:t>
            </w:r>
          </w:p>
        </w:tc>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Operations and maintenance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reclassification adjustments related to defined benefit plans, net of tax</w:t>
            </w:r>
          </w:p>
        </w:tc>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reclassifications</w:t>
            </w:r>
          </w:p>
        </w:tc>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Balances by classification included within AOCI, net of tax on the accompanying Consolidated Balance Sheets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11"/>
        <w:gridCol w:w="510"/>
        <w:gridCol w:w="917"/>
        <w:gridCol w:w="352"/>
        <w:gridCol w:w="665"/>
        <w:gridCol w:w="1074"/>
        <w:gridCol w:w="166"/>
        <w:gridCol w:w="565"/>
        <w:gridCol w:w="1132"/>
        <w:gridCol w:w="166"/>
        <w:gridCol w:w="211"/>
        <w:gridCol w:w="421"/>
        <w:gridCol w:w="315"/>
      </w:tblGrid>
      <w:tr>
        <w:trPr/>
        <w:tc>
          <w:tcPr>
            <w:tcW w:w="37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Derivatives Designated as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Interest Rate Swaps</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Commodity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Employee Benefit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of December 31, 2025</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comprehensive income (loss) before reclassifications</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Amounts reclassified from AOCI</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of June 30, 2026</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11"/>
        <w:gridCol w:w="510"/>
        <w:gridCol w:w="917"/>
        <w:gridCol w:w="352"/>
        <w:gridCol w:w="665"/>
        <w:gridCol w:w="1074"/>
        <w:gridCol w:w="166"/>
        <w:gridCol w:w="565"/>
        <w:gridCol w:w="1132"/>
        <w:gridCol w:w="166"/>
        <w:gridCol w:w="211"/>
        <w:gridCol w:w="421"/>
        <w:gridCol w:w="315"/>
      </w:tblGrid>
      <w:tr>
        <w:trPr/>
        <w:tc>
          <w:tcPr>
            <w:tcW w:w="37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Derivatives Designated as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Interest Rate Swaps</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Commodity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Employee Benefit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of December 31, 2024</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comprehensive income (loss) before reclassifications</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Amounts reclassified from AOCI</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of June 30, 2025</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Employee Benefit Plans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Components of Net Periodic Expense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components of net periodic expense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6"/>
        <w:gridCol w:w="284"/>
        <w:gridCol w:w="568"/>
        <w:gridCol w:w="224"/>
        <w:gridCol w:w="284"/>
        <w:gridCol w:w="568"/>
        <w:gridCol w:w="166"/>
        <w:gridCol w:w="428"/>
        <w:gridCol w:w="732"/>
        <w:gridCol w:w="296"/>
        <w:gridCol w:w="428"/>
        <w:gridCol w:w="732"/>
        <w:gridCol w:w="146"/>
        <w:gridCol w:w="459"/>
        <w:gridCol w:w="917"/>
        <w:gridCol w:w="361"/>
        <w:gridCol w:w="459"/>
        <w:gridCol w:w="917"/>
        <w:gridCol w:w="220"/>
      </w:tblGrid>
      <w:tr>
        <w:trPr/>
        <w:tc>
          <w:tcPr>
            <w:tcW w:w="20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Defined Benefit Pension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Supplemental Non-qualified Defined Benefit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Non-pension Defined Benefit Postretirement Healthcare Plan</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Three Months Ended June 30,</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6"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Service cost</w:t>
            </w:r>
          </w:p>
        </w:tc>
        <w:tc>
          <w:tcPr>
            <w:tcW w:w="284"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224"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9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361"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220"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cost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Expected return on plan assets</w:t>
            </w:r>
          </w:p>
        </w:tc>
        <w:tc>
          <w:tcPr>
            <w:tcW w:w="284"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224"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84"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66"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8"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C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361"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9" w:type="dxa"/>
            <w:tcBorders/>
            <w:shd w:fill="CC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C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20"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amortization of prior service costs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Recognized net actuarial loss</w:t>
            </w:r>
          </w:p>
        </w:tc>
        <w:tc>
          <w:tcPr>
            <w:tcW w:w="284"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224"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0"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periodic expense</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6"/>
        <w:gridCol w:w="284"/>
        <w:gridCol w:w="568"/>
        <w:gridCol w:w="224"/>
        <w:gridCol w:w="284"/>
        <w:gridCol w:w="568"/>
        <w:gridCol w:w="166"/>
        <w:gridCol w:w="428"/>
        <w:gridCol w:w="732"/>
        <w:gridCol w:w="296"/>
        <w:gridCol w:w="428"/>
        <w:gridCol w:w="732"/>
        <w:gridCol w:w="146"/>
        <w:gridCol w:w="459"/>
        <w:gridCol w:w="917"/>
        <w:gridCol w:w="361"/>
        <w:gridCol w:w="459"/>
        <w:gridCol w:w="917"/>
        <w:gridCol w:w="220"/>
      </w:tblGrid>
      <w:tr>
        <w:trPr/>
        <w:tc>
          <w:tcPr>
            <w:tcW w:w="20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Defined Benefit Pension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Supplemental Non-qualified Defined Benefit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Non-pension Defined Benefit Postretirement Healthcare Plan</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Six Months Ended June 30,</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Service cost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cost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Expected return on plan assets</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amortization of prior service costs</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Recognized net actuarial loss</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periodic expense</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Plan Contributions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Contributions made in the first six months of 2026 and additional contributions anticipated for the remainder of 2026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37"/>
        <w:gridCol w:w="939"/>
        <w:gridCol w:w="1608"/>
        <w:gridCol w:w="146"/>
        <w:gridCol w:w="730"/>
        <w:gridCol w:w="1251"/>
        <w:gridCol w:w="194"/>
      </w:tblGrid>
      <w:tr>
        <w:trPr/>
        <w:tc>
          <w:tcPr>
            <w:tcW w:w="53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Contributions </w:t>
              <w:br/>
              <w:t>Made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Additional Contributions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Anticipated for 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Defined Benefit Pension Plan</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Non-pension Defined Benefit Postretirement Healthcare Plan</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Supplemental Non-qualified Defined Benefit and Defined Contribution Plans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Income Taxes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Transfers of Production Tax Credits</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18"/>
        </w:rPr>
        <w:t>In January 2025 and 2026, we entered into agreements with a third party to sell 2024 and 2025 generated PTCs for $16.0</w:t>
      </w:r>
      <w:r>
        <w:rPr>
          <w:rFonts w:ascii="Times New Roman" w:hAnsi="Times New Roman"/>
          <w:color w:val="000000"/>
          <w:sz w:val="20"/>
        </w:rPr>
        <w:t xml:space="preserve"> </w:t>
      </w:r>
      <w:r>
        <w:rPr>
          <w:rFonts w:ascii="Arial" w:hAnsi="Arial"/>
          <w:color w:val="000000"/>
          <w:sz w:val="18"/>
        </w:rPr>
        <w:t>million and $15.3</w:t>
      </w:r>
      <w:r>
        <w:rPr>
          <w:rFonts w:ascii="Times New Roman" w:hAnsi="Times New Roman"/>
          <w:color w:val="000000"/>
          <w:sz w:val="20"/>
        </w:rPr>
        <w:t xml:space="preserve"> </w:t>
      </w:r>
      <w:r>
        <w:rPr>
          <w:rFonts w:ascii="Arial" w:hAnsi="Arial"/>
          <w:color w:val="000000"/>
          <w:sz w:val="18"/>
        </w:rPr>
        <w:t>million, respectively. We expect to continue to explore monetization of our tax credits through third party transferability agreements.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Income Tax (Expense) and Effective Tax Rates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Three Months Ended June 30, 2026, Compared to the Three Months Ended June 30, 2025</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Income tax (expense) for the three months ended June 30, 2026, was $(5.2)</w:t>
      </w:r>
      <w:r>
        <w:rPr>
          <w:rFonts w:ascii="Times New Roman" w:hAnsi="Times New Roman"/>
          <w:color w:val="000000"/>
          <w:sz w:val="20"/>
        </w:rPr>
        <w:t xml:space="preserve"> </w:t>
      </w:r>
      <w:r>
        <w:rPr>
          <w:rFonts w:ascii="Arial" w:hAnsi="Arial"/>
          <w:color w:val="000000"/>
          <w:sz w:val="18"/>
        </w:rPr>
        <w:t>million compared to $(4.4)</w:t>
      </w:r>
      <w:r>
        <w:rPr>
          <w:rFonts w:ascii="Times New Roman" w:hAnsi="Times New Roman"/>
          <w:color w:val="000000"/>
          <w:sz w:val="20"/>
        </w:rPr>
        <w:t xml:space="preserve"> </w:t>
      </w:r>
      <w:r>
        <w:rPr>
          <w:rFonts w:ascii="Arial" w:hAnsi="Arial"/>
          <w:color w:val="000000"/>
          <w:sz w:val="18"/>
        </w:rPr>
        <w:t>million reported for the same period in 2025. For the three months ended June 30, 2026, the effective tax rate was 11.4%, which was comparable to 13.3%</w:t>
      </w:r>
      <w:r>
        <w:rPr>
          <w:rFonts w:ascii="Times New Roman" w:hAnsi="Times New Roman"/>
          <w:color w:val="000000"/>
          <w:sz w:val="20"/>
        </w:rPr>
        <w:t xml:space="preserve"> </w:t>
      </w:r>
      <w:r>
        <w:rPr>
          <w:rFonts w:ascii="Arial" w:hAnsi="Arial"/>
          <w:color w:val="000000"/>
          <w:sz w:val="18"/>
        </w:rPr>
        <w:t>for the same period in 2025.</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Six Months Ended June 30, 2026, Compared to the Six Months Ended June 30, 2025</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Income tax (expense) for the six months ended June 30, 2026, was $(22.8)</w:t>
      </w:r>
      <w:r>
        <w:rPr>
          <w:rFonts w:ascii="Times New Roman" w:hAnsi="Times New Roman"/>
          <w:color w:val="000000"/>
          <w:sz w:val="20"/>
        </w:rPr>
        <w:t xml:space="preserve"> </w:t>
      </w:r>
      <w:r>
        <w:rPr>
          <w:rFonts w:ascii="Arial" w:hAnsi="Arial"/>
          <w:color w:val="000000"/>
          <w:sz w:val="18"/>
        </w:rPr>
        <w:t>million compared to $(22.5)</w:t>
      </w:r>
      <w:r>
        <w:rPr>
          <w:rFonts w:ascii="Times New Roman" w:hAnsi="Times New Roman"/>
          <w:color w:val="000000"/>
          <w:sz w:val="20"/>
        </w:rPr>
        <w:t xml:space="preserve"> </w:t>
      </w:r>
      <w:r>
        <w:rPr>
          <w:rFonts w:ascii="Arial" w:hAnsi="Arial"/>
          <w:color w:val="000000"/>
          <w:sz w:val="18"/>
        </w:rPr>
        <w:t>million reported for the same period in 2025. For the six months ended June 30, 2026, the effective tax rate was 11.6%, which was comparable to 12.0%</w:t>
      </w:r>
      <w:r>
        <w:rPr>
          <w:rFonts w:ascii="Times New Roman" w:hAnsi="Times New Roman"/>
          <w:color w:val="000000"/>
          <w:sz w:val="20"/>
        </w:rPr>
        <w:t xml:space="preserve"> </w:t>
      </w:r>
      <w:r>
        <w:rPr>
          <w:rFonts w:ascii="Arial" w:hAnsi="Arial"/>
          <w:color w:val="000000"/>
          <w:sz w:val="18"/>
        </w:rPr>
        <w:t>for the same period in 2025.</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Business Segment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are a holding company that, through our subsidiaries, conducts our operations through the following two</w:t>
      </w:r>
      <w:r>
        <w:rPr>
          <w:rFonts w:ascii="Times New Roman" w:hAnsi="Times New Roman"/>
          <w:color w:val="000000"/>
          <w:sz w:val="20"/>
        </w:rPr>
        <w:t xml:space="preserve"> </w:t>
      </w:r>
      <w:r>
        <w:rPr>
          <w:rFonts w:ascii="Arial" w:hAnsi="Arial"/>
          <w:color w:val="000000"/>
          <w:sz w:val="18"/>
        </w:rPr>
        <w:t>reportable segments: Electric Utilities and Gas Utilities. Certain unallocated corporate expenses that support our reportable segments are presented as Corporate and Other.</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operating segments, which are equivalent to our reportable segments, are based on our method of internal reporting, which is generally segregated by differences in products and services. All of our operations and assets are located within the United States.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Gas Utilities segment consists of the operating results of our regulated natural gas utility subsidiaries in Arkansas, Colorado, Iowa, Kansas, Nebraska, and Wyoming.</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Corporate and Other consists of certain unallocated expenses for administrative activities that support our operating segments. Corporate and Other also includes our captive insurance cell, business development activities that are not part of our operating segments, and inter-segment eliminations.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Chief Executive Officer, who is considered to be our CODM, sets financial performance objectives and budgets and establishes separate targets based on operating income for our Electric Utilities segment as well as our Gas Utilities segment. Our CODM assesses segment financial performance, including quarterly and annual budget-to-actual and year-over-year variances in revenues and expenses, to inform operating decisions, capital investments and cost recovery strategies. Our CODM reviews capital expenditures by operating segment rather than any individual or total asset amount.</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Segment information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1"/>
        <w:gridCol w:w="326"/>
        <w:gridCol w:w="884"/>
        <w:gridCol w:w="146"/>
        <w:gridCol w:w="272"/>
        <w:gridCol w:w="738"/>
        <w:gridCol w:w="146"/>
        <w:gridCol w:w="519"/>
        <w:gridCol w:w="1411"/>
        <w:gridCol w:w="146"/>
        <w:gridCol w:w="333"/>
        <w:gridCol w:w="670"/>
        <w:gridCol w:w="166"/>
        <w:gridCol w:w="211"/>
        <w:gridCol w:w="571"/>
        <w:gridCol w:w="415"/>
      </w:tblGrid>
      <w:tr>
        <w:trPr/>
        <w:tc>
          <w:tcPr>
            <w:tcW w:w="32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Consolidating Income Statement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Three Months Ended June 30, 2026</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Corporate </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External Customers</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Inter-segment</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Operations and maintenance </w:t>
            </w:r>
            <w:r>
              <w:rPr>
                <w:rFonts w:ascii="Arial" w:hAnsi="Arial"/>
                <w:color w:val="000000"/>
                <w:sz w:val="12"/>
              </w:rPr>
              <w:t>(a)</w:t>
            </w:r>
            <w:r>
              <w:rPr>
                <w:rFonts w:ascii="Times New Roman" w:hAnsi="Times New Roman"/>
                <w:color w:val="000000"/>
                <w:sz w:val="18"/>
              </w:rPr>
              <w:t> </w:t>
            </w:r>
            <w:r>
              <w:rPr>
                <w:rFonts w:ascii="Arial" w:hAnsi="Arial"/>
                <w:color w:val="000000"/>
                <w:sz w:val="18"/>
              </w:rPr>
              <w:t>-</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Direct</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Allocated</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operating expenses</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income (loss)</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available for common stock</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1"/>
        <w:gridCol w:w="326"/>
        <w:gridCol w:w="884"/>
        <w:gridCol w:w="146"/>
        <w:gridCol w:w="272"/>
        <w:gridCol w:w="738"/>
        <w:gridCol w:w="146"/>
        <w:gridCol w:w="519"/>
        <w:gridCol w:w="1411"/>
        <w:gridCol w:w="146"/>
        <w:gridCol w:w="333"/>
        <w:gridCol w:w="670"/>
        <w:gridCol w:w="166"/>
        <w:gridCol w:w="211"/>
        <w:gridCol w:w="571"/>
        <w:gridCol w:w="415"/>
      </w:tblGrid>
      <w:tr>
        <w:trPr/>
        <w:tc>
          <w:tcPr>
            <w:tcW w:w="32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Consolidating Income Statement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Three Months Ended June 30, 2025</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Corporate </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External Customers</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Inter-segment</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Operations and maintenance </w:t>
            </w:r>
            <w:r>
              <w:rPr>
                <w:rFonts w:ascii="Arial" w:hAnsi="Arial"/>
                <w:color w:val="000000"/>
                <w:sz w:val="12"/>
              </w:rPr>
              <w:t>(a)</w:t>
            </w:r>
            <w:r>
              <w:rPr>
                <w:rFonts w:ascii="Times New Roman" w:hAnsi="Times New Roman"/>
                <w:color w:val="000000"/>
                <w:sz w:val="18"/>
              </w:rPr>
              <w:t> </w:t>
            </w:r>
            <w:r>
              <w:rPr>
                <w:rFonts w:ascii="Arial" w:hAnsi="Arial"/>
                <w:color w:val="000000"/>
                <w:sz w:val="18"/>
              </w:rPr>
              <w:t>-</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Direct</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Allocated</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operating expenses</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income</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available for common stock</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71"/>
        <w:gridCol w:w="321"/>
        <w:gridCol w:w="870"/>
        <w:gridCol w:w="146"/>
        <w:gridCol w:w="269"/>
        <w:gridCol w:w="730"/>
        <w:gridCol w:w="146"/>
        <w:gridCol w:w="426"/>
        <w:gridCol w:w="1465"/>
        <w:gridCol w:w="146"/>
        <w:gridCol w:w="333"/>
        <w:gridCol w:w="669"/>
        <w:gridCol w:w="166"/>
        <w:gridCol w:w="211"/>
        <w:gridCol w:w="721"/>
        <w:gridCol w:w="415"/>
      </w:tblGrid>
      <w:tr>
        <w:trPr/>
        <w:tc>
          <w:tcPr>
            <w:tcW w:w="31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Consolidating Income Statement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Six Months Ended June 30, 2026</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Corporate </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External Customers</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Inter-segment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451.3</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Operations and maintenance </w:t>
            </w:r>
            <w:r>
              <w:rPr>
                <w:rFonts w:ascii="Arial" w:hAnsi="Arial"/>
                <w:color w:val="000000"/>
                <w:sz w:val="12"/>
              </w:rPr>
              <w:t>(a)</w:t>
            </w:r>
            <w:r>
              <w:rPr>
                <w:rFonts w:ascii="Times New Roman" w:hAnsi="Times New Roman"/>
                <w:color w:val="000000"/>
                <w:sz w:val="18"/>
              </w:rPr>
              <w:t> </w:t>
            </w:r>
            <w:r>
              <w:rPr>
                <w:rFonts w:ascii="Arial" w:hAnsi="Arial"/>
                <w:color w:val="000000"/>
                <w:sz w:val="18"/>
              </w:rPr>
              <w:t>-</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Direct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Allocated</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operating expenses</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income (loss)</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available for common stock</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169.2</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71"/>
        <w:gridCol w:w="321"/>
        <w:gridCol w:w="870"/>
        <w:gridCol w:w="146"/>
        <w:gridCol w:w="269"/>
        <w:gridCol w:w="730"/>
        <w:gridCol w:w="146"/>
        <w:gridCol w:w="426"/>
        <w:gridCol w:w="1465"/>
        <w:gridCol w:w="146"/>
        <w:gridCol w:w="333"/>
        <w:gridCol w:w="669"/>
        <w:gridCol w:w="166"/>
        <w:gridCol w:w="211"/>
        <w:gridCol w:w="721"/>
        <w:gridCol w:w="415"/>
      </w:tblGrid>
      <w:tr>
        <w:trPr/>
        <w:tc>
          <w:tcPr>
            <w:tcW w:w="31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Consolidating Income Statement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Six Months Ended June 30, 2025</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Corporate </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External Customers</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Inter-segment</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Operations and maintenance </w:t>
            </w:r>
            <w:r>
              <w:rPr>
                <w:rFonts w:ascii="Arial" w:hAnsi="Arial"/>
                <w:color w:val="000000"/>
                <w:sz w:val="12"/>
              </w:rPr>
              <w:t>(a)</w:t>
            </w:r>
            <w:r>
              <w:rPr>
                <w:rFonts w:ascii="Times New Roman" w:hAnsi="Times New Roman"/>
                <w:color w:val="000000"/>
                <w:sz w:val="18"/>
              </w:rPr>
              <w:t> </w:t>
            </w:r>
            <w:r>
              <w:rPr>
                <w:rFonts w:ascii="Arial" w:hAnsi="Arial"/>
                <w:color w:val="000000"/>
                <w:sz w:val="18"/>
              </w:rPr>
              <w:t>-</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Direct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Allocated</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151.3</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operating expenses</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956.8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income (loss)</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available for common stock</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color w:val="000000"/>
          <w:sz w:val="16"/>
        </w:rPr>
      </w:pPr>
      <w:r>
        <w:rPr>
          <w:rFonts w:ascii="Arial" w:hAnsi="Arial"/>
          <w:color w:val="000000"/>
          <w:sz w:val="16"/>
        </w:rPr>
        <w:t>Direct and Allocated Operations and maintenance expenses for our operating segments are regularly provided to the CODM. Direct Operations and maintenance expense represents the costs incurred directly by our operating segments. Allocated Operations and maintenance expense represent costs incurred by BHSC for various direct and indirect support services provided to our operating segments. Pursuant to the BHSC Cost Allocation Manual, indirect cost allocations are determined in accordance with the Public Utility Holding Company Act of 2005.</w:t>
      </w:r>
    </w:p>
    <w:p>
      <w:pPr>
        <w:pStyle w:val="TextBody"/>
        <w:bidi w:val="0"/>
        <w:spacing w:before="40" w:after="283"/>
        <w:jc w:val="left"/>
        <w:rPr/>
      </w:pPr>
      <w:r>
        <w:rPr/>
        <w:t> </w:t>
      </w:r>
    </w:p>
    <w:p>
      <w:pPr>
        <w:pStyle w:val="TextBody"/>
        <w:bidi w:val="0"/>
        <w:jc w:val="center"/>
        <w:rPr>
          <w:rFonts w:ascii="Arial" w:hAnsi="Arial"/>
          <w:color w:val="000000"/>
          <w:sz w:val="18"/>
        </w:rPr>
      </w:pPr>
      <w:r>
        <w:rPr>
          <w:rFonts w:ascii="Arial" w:hAnsi="Arial"/>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7027" w:type="dxa"/>
        <w:jc w:val="left"/>
        <w:tblInd w:w="0" w:type="dxa"/>
        <w:tblLayout w:type="fixed"/>
        <w:tblCellMar>
          <w:top w:w="28" w:type="dxa"/>
          <w:left w:w="28" w:type="dxa"/>
          <w:bottom w:w="28" w:type="dxa"/>
          <w:right w:w="28" w:type="dxa"/>
        </w:tblCellMar>
      </w:tblPr>
      <w:tblGrid>
        <w:gridCol w:w="5026"/>
        <w:gridCol w:w="211"/>
        <w:gridCol w:w="571"/>
        <w:gridCol w:w="146"/>
        <w:gridCol w:w="211"/>
        <w:gridCol w:w="571"/>
        <w:gridCol w:w="291"/>
      </w:tblGrid>
      <w:tr>
        <w:trPr/>
        <w:tc>
          <w:tcPr>
            <w:tcW w:w="5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 xml:space="preserve">Capital Expenditures </w:t>
            </w:r>
            <w:r>
              <w:rPr>
                <w:rFonts w:ascii="Arial" w:hAnsi="Arial"/>
                <w:b/>
                <w:color w:val="000000"/>
                <w:sz w:val="12"/>
              </w:rPr>
              <w:t>(a)</w:t>
            </w:r>
            <w:r>
              <w:rPr>
                <w:rFonts w:ascii="Times New Roman" w:hAnsi="Times New Roman"/>
                <w:color w:val="000000"/>
                <w:sz w:val="18"/>
              </w:rPr>
              <w:t> </w:t>
            </w:r>
            <w:r>
              <w:rPr>
                <w:rFonts w:ascii="Arial" w:hAnsi="Arial"/>
                <w:b/>
                <w:color w:val="000000"/>
                <w:sz w:val="18"/>
              </w:rPr>
              <w:t>for the six months ended June 30,</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Electric Utilities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Gas Utilities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Corporate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capital expenditures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pPr>
      <w:r>
        <w:rPr>
          <w:rFonts w:ascii="Arial" w:hAnsi="Arial"/>
          <w:color w:val="000000"/>
          <w:sz w:val="16"/>
        </w:rPr>
        <w:t xml:space="preserve">Includes accruals for property, plant, and equipment as disclosed in supplemental cash flow information in the </w:t>
      </w:r>
      <w:hyperlink w:anchor="stmt_cash_flows">
        <w:r>
          <w:rPr>
            <w:rStyle w:val="InternetLink"/>
            <w:rFonts w:ascii="Arial" w:hAnsi="Arial"/>
            <w:color w:val="0000FF"/>
            <w:sz w:val="16"/>
            <w:u w:val="single"/>
          </w:rPr>
          <w:t>Consolidated Statements of Cash Flows</w:t>
        </w:r>
      </w:hyperlink>
      <w:r>
        <w:rPr>
          <w:rFonts w:ascii="Arial" w:hAnsi="Arial"/>
          <w:color w:val="000000"/>
          <w:sz w:val="18"/>
        </w:rPr>
        <w:t xml:space="preserve"> </w:t>
      </w:r>
      <w:r>
        <w:rPr>
          <w:rFonts w:ascii="Arial" w:hAnsi="Arial"/>
          <w:color w:val="000000"/>
          <w:sz w:val="16"/>
        </w:rPr>
        <w:t>in the Consolidated Financial Statements. Capital expenditures are presented net of CIACs in the Consolidated Statements of Cash Flows.</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Selected Balance Sheet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Accounts Receivable and Allowance for Credit Losses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Following is a summary of Accounts receivable, net included in the accompanying Consolidated Balance Sheets as of:</w:t>
      </w:r>
    </w:p>
    <w:p>
      <w:pPr>
        <w:pStyle w:val="TextBody"/>
        <w:bidi w:val="0"/>
        <w:jc w:val="left"/>
        <w:rPr/>
      </w:pPr>
      <w:r>
        <w:rPr/>
        <w:t> </w:t>
      </w:r>
    </w:p>
    <w:tbl>
      <w:tblPr>
        <w:tblW w:w="6318" w:type="dxa"/>
        <w:jc w:val="left"/>
        <w:tblInd w:w="0" w:type="dxa"/>
        <w:tblLayout w:type="fixed"/>
        <w:tblCellMar>
          <w:top w:w="28" w:type="dxa"/>
          <w:left w:w="28" w:type="dxa"/>
          <w:bottom w:w="28" w:type="dxa"/>
          <w:right w:w="28" w:type="dxa"/>
        </w:tblCellMar>
      </w:tblPr>
      <w:tblGrid>
        <w:gridCol w:w="2881"/>
        <w:gridCol w:w="348"/>
        <w:gridCol w:w="942"/>
        <w:gridCol w:w="166"/>
        <w:gridCol w:w="477"/>
        <w:gridCol w:w="1293"/>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Billed Accounts Receivable</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Unbilled Revenue</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Allowance for Credit Losses</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 Receivable, net</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Changes to allowance for credit losses for the six months ended June 30, 2026, and 2025, respectively,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620"/>
        <w:gridCol w:w="1064"/>
        <w:gridCol w:w="146"/>
        <w:gridCol w:w="807"/>
        <w:gridCol w:w="1385"/>
        <w:gridCol w:w="146"/>
        <w:gridCol w:w="690"/>
        <w:gridCol w:w="1182"/>
        <w:gridCol w:w="146"/>
        <w:gridCol w:w="623"/>
        <w:gridCol w:w="1248"/>
        <w:gridCol w:w="166"/>
        <w:gridCol w:w="459"/>
        <w:gridCol w:w="786"/>
        <w:gridCol w:w="196"/>
      </w:tblGrid>
      <w:tr>
        <w:trPr/>
        <w:tc>
          <w:tcPr>
            <w:tcW w:w="5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Balance at Beginning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Additions Charged to Costs and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Recoveries and Other 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Write-offs and Other 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Balance at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2026</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2025</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Materials, Supplies and Fuel</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amounts by major classification are included in Materials, supplies, and fuel on the accompanying Consolidated Balance Sheets as of:</w:t>
      </w:r>
    </w:p>
    <w:p>
      <w:pPr>
        <w:pStyle w:val="TextBody"/>
        <w:bidi w:val="0"/>
        <w:jc w:val="left"/>
        <w:rPr/>
      </w:pPr>
      <w:r>
        <w:rPr/>
        <w:t> </w:t>
      </w:r>
    </w:p>
    <w:tbl>
      <w:tblPr>
        <w:tblW w:w="6648" w:type="dxa"/>
        <w:jc w:val="left"/>
        <w:tblInd w:w="0" w:type="dxa"/>
        <w:tblLayout w:type="fixed"/>
        <w:tblCellMar>
          <w:top w:w="28" w:type="dxa"/>
          <w:left w:w="28" w:type="dxa"/>
          <w:bottom w:w="28" w:type="dxa"/>
          <w:right w:w="28" w:type="dxa"/>
        </w:tblCellMar>
      </w:tblPr>
      <w:tblGrid>
        <w:gridCol w:w="3051"/>
        <w:gridCol w:w="348"/>
        <w:gridCol w:w="942"/>
        <w:gridCol w:w="146"/>
        <w:gridCol w:w="477"/>
        <w:gridCol w:w="1293"/>
        <w:gridCol w:w="391"/>
      </w:tblGrid>
      <w:tr>
        <w:trPr/>
        <w:tc>
          <w:tcPr>
            <w:tcW w:w="305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Materials and supplies</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 Electric Utilities</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Natural gas in storage</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materials, supplies, and fuel</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Accrued Liabilities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amounts by major classification are included in Accrued liabilities on the accompanying Consolidated Balance Sheets as of:</w:t>
      </w:r>
    </w:p>
    <w:p>
      <w:pPr>
        <w:pStyle w:val="TextBody"/>
        <w:bidi w:val="0"/>
        <w:jc w:val="left"/>
        <w:rPr/>
      </w:pPr>
      <w:r>
        <w:rPr/>
        <w:t> </w:t>
      </w:r>
    </w:p>
    <w:tbl>
      <w:tblPr>
        <w:tblW w:w="8668" w:type="dxa"/>
        <w:jc w:val="left"/>
        <w:tblInd w:w="0" w:type="dxa"/>
        <w:tblLayout w:type="fixed"/>
        <w:tblCellMar>
          <w:top w:w="28" w:type="dxa"/>
          <w:left w:w="28" w:type="dxa"/>
          <w:bottom w:w="28" w:type="dxa"/>
          <w:right w:w="28" w:type="dxa"/>
        </w:tblCellMar>
      </w:tblPr>
      <w:tblGrid>
        <w:gridCol w:w="5071"/>
        <w:gridCol w:w="348"/>
        <w:gridCol w:w="942"/>
        <w:gridCol w:w="146"/>
        <w:gridCol w:w="477"/>
        <w:gridCol w:w="1293"/>
        <w:gridCol w:w="391"/>
      </w:tblGrid>
      <w:tr>
        <w:trPr/>
        <w:tc>
          <w:tcPr>
            <w:tcW w:w="507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employee compensation, benefits, and withholdings</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property taxes</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Customer deposits and prepayments</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interest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(none of which is individually significant)</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accrued liabilities</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Pending Merger with NorthWestern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On August 18, 2025, we entered into an Agreement and Plan of Merger (the “Merger Agreement”), with NorthWestern and Merger Sub. The Merger Agreement provides for Merger Sub to merge with and into NorthWestern (the “Merger”), with NorthWestern continuing as the surviving entity and a direct wholly owned subsidiary of Black Hills Corporation, which will assume a new corporate name, Bright Horizon Energy Corporation, as the resulting parent company of the combined corporate group. At the effective time of the Merger (the “Effective Time”), each share of common stock of NorthWestern, par value $0.01</w:t>
      </w:r>
      <w:r>
        <w:rPr>
          <w:rFonts w:ascii="Times New Roman" w:hAnsi="Times New Roman"/>
          <w:color w:val="000000"/>
          <w:sz w:val="20"/>
        </w:rPr>
        <w:t xml:space="preserve"> </w:t>
      </w:r>
      <w:r>
        <w:rPr>
          <w:rFonts w:ascii="Arial" w:hAnsi="Arial"/>
          <w:color w:val="000000"/>
          <w:sz w:val="18"/>
        </w:rPr>
        <w:t>per share, issued and outstanding as of immediately prior to the Effective Time will be converted into the right to receive 0.98</w:t>
      </w:r>
      <w:r>
        <w:rPr>
          <w:rFonts w:ascii="Times New Roman" w:hAnsi="Times New Roman"/>
          <w:color w:val="000000"/>
          <w:sz w:val="20"/>
        </w:rPr>
        <w:t xml:space="preserve"> </w:t>
      </w:r>
      <w:r>
        <w:rPr>
          <w:rFonts w:ascii="Arial" w:hAnsi="Arial"/>
          <w:color w:val="000000"/>
          <w:sz w:val="18"/>
        </w:rPr>
        <w:t>validly issued, fully paid and non-assessable shares of our common stock, par value $1.00</w:t>
      </w:r>
      <w:r>
        <w:rPr>
          <w:rFonts w:ascii="Times New Roman" w:hAnsi="Times New Roman"/>
          <w:color w:val="000000"/>
          <w:sz w:val="20"/>
        </w:rPr>
        <w:t xml:space="preserve"> </w:t>
      </w:r>
      <w:r>
        <w:rPr>
          <w:rFonts w:ascii="Arial" w:hAnsi="Arial"/>
          <w:color w:val="000000"/>
          <w:sz w:val="18"/>
        </w:rPr>
        <w:t>per share (or cash-in-lieu of fractional shares thereof), in each case upon and subject to the terms and conditions of the Merger Agreement.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Merger Agreement, which was unanimously approved on August 18, 2025, by both the board of directors of Black Hills Corporation and the board of directors of NorthWestern, provides for a tax-free, all-stock business combination of Black Hills Corporation and NorthWestern upon the terms and subject to the conditions set forth therein. Such conditions include, among other things, clearance under the HSR Act, consent of the FCC, approval from each company's shareholders, and regulatory approvals, including approval from the SDPUC, NPSC and MPSC, as well as the FERC. To date, the status of these matters is as follows: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In October 2025, we filed joint applications for approval with the MPSC, NPSC, and SDPUC.</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w:t>
      </w:r>
    </w:p>
    <w:p>
      <w:pPr>
        <w:pStyle w:val="TextBody"/>
        <w:bidi w:val="0"/>
        <w:spacing w:before="0" w:after="0"/>
        <w:jc w:val="left"/>
        <w:rPr>
          <w:rFonts w:ascii="Arial" w:hAnsi="Arial"/>
          <w:color w:val="000000"/>
          <w:sz w:val="18"/>
        </w:rPr>
      </w:pPr>
      <w:r>
        <w:rPr>
          <w:rFonts w:ascii="Arial" w:hAnsi="Arial"/>
          <w:color w:val="000000"/>
          <w:sz w:val="18"/>
        </w:rPr>
        <w:t>In March 2026, we reached a settlement agreement with all intervening parties in Nebraska. On May 19, 2026, the NPSC approved the merger.</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w:t>
      </w:r>
    </w:p>
    <w:p>
      <w:pPr>
        <w:pStyle w:val="TextBody"/>
        <w:bidi w:val="0"/>
        <w:spacing w:before="0" w:after="0"/>
        <w:jc w:val="left"/>
        <w:rPr>
          <w:rFonts w:ascii="Arial" w:hAnsi="Arial"/>
          <w:color w:val="000000"/>
          <w:sz w:val="18"/>
        </w:rPr>
      </w:pPr>
      <w:r>
        <w:rPr>
          <w:rFonts w:ascii="Arial" w:hAnsi="Arial"/>
          <w:color w:val="000000"/>
          <w:sz w:val="18"/>
        </w:rPr>
        <w:t>In April 2026, we reached a settlement with the SDPUC Staff, which was filed with the SDPUC. On June 24, 2026, the SDPUC approved the merger.</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w:t>
      </w:r>
    </w:p>
    <w:p>
      <w:pPr>
        <w:pStyle w:val="TextBody"/>
        <w:bidi w:val="0"/>
        <w:spacing w:before="0" w:after="0"/>
        <w:jc w:val="left"/>
        <w:rPr>
          <w:rFonts w:ascii="Arial" w:hAnsi="Arial"/>
          <w:color w:val="000000"/>
          <w:sz w:val="18"/>
        </w:rPr>
      </w:pPr>
      <w:r>
        <w:rPr>
          <w:rFonts w:ascii="Arial" w:hAnsi="Arial"/>
          <w:color w:val="000000"/>
          <w:sz w:val="18"/>
        </w:rPr>
        <w:t>In April 2026, we reached settlements agreements with several parties in Montana, which were filed with the MPSC. Hearings before the MPSC occurred during the second quarter of 2026. The settlement agreements are subject to approval by the MPSC.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On December 22, 2025, we filed a joint application with the FERC. The initial public comment period closed on January 20, 2026. On May 29, 2026, we received approval for the Merger from the FERC.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On January 30, 2026, the Form S-4, which contains a joint proxy statement/prospectus for the Black Hills Corporation and NorthWestern, was publicly filed with the SEC. On February 6, 2026, the Form S-4 was declared effective by the SEC. On April 2, 2026, shareholders from both Black Hills Corporation and NorthWestern voted to approve the proposed all-stock merger.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On March 19, 2026, we filed an application for clearance under the HSR Act. The waiting period under the HSR Act was completed on April 20, 2026, satisfying a U.S. antitrust condition to closing.</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anticipate the transaction closing by year-end 2026, subject to the satisfaction of certain closing conditions and remaining regulatory approval from the MPSC as mentioned above.</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Arial" w:hAnsi="Arial"/>
          <w:b/>
          <w:color w:val="000000"/>
          <w:sz w:val="18"/>
        </w:rPr>
      </w:pPr>
      <w:r>
        <w:rPr>
          <w:rFonts w:ascii="Arial" w:hAnsi="Arial"/>
          <w:b/>
          <w:color w:val="000000"/>
          <w:sz w:val="18"/>
        </w:rPr>
        <w:t>Subsequent Events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Except as described below, there have been no events subsequent to June 30, 2026, which would require recognition in the Consolidated Financial Statements or disclosures.</w:t>
      </w:r>
    </w:p>
    <w:p>
      <w:pPr>
        <w:pStyle w:val="TextBody"/>
        <w:bidi w:val="0"/>
        <w:jc w:val="left"/>
        <w:rPr/>
      </w:pPr>
      <w:r>
        <w:rPr/>
        <w:t> </w:t>
      </w:r>
    </w:p>
    <w:p>
      <w:pPr>
        <w:pStyle w:val="TextBody"/>
        <w:bidi w:val="0"/>
        <w:jc w:val="left"/>
        <w:rPr/>
      </w:pPr>
      <w:r>
        <w:rPr>
          <w:rFonts w:ascii="Arial" w:hAnsi="Arial"/>
          <w:color w:val="000000"/>
          <w:sz w:val="18"/>
        </w:rPr>
        <w:t xml:space="preserve">See </w:t>
      </w:r>
      <w:hyperlink w:anchor="fn5_financing">
        <w:r>
          <w:rPr>
            <w:rStyle w:val="InternetLink"/>
            <w:rFonts w:ascii="Arial" w:hAnsi="Arial"/>
            <w:color w:val="0000FF"/>
            <w:sz w:val="18"/>
            <w:u w:val="single"/>
          </w:rPr>
          <w:t>Note 5</w:t>
        </w:r>
      </w:hyperlink>
      <w:r>
        <w:rPr>
          <w:rFonts w:ascii="Times New Roman" w:hAnsi="Times New Roman"/>
          <w:color w:val="000000"/>
          <w:sz w:val="20"/>
        </w:rPr>
        <w:t xml:space="preserve"> </w:t>
      </w:r>
      <w:r>
        <w:rPr>
          <w:rFonts w:ascii="Arial" w:hAnsi="Arial"/>
          <w:color w:val="000000"/>
          <w:sz w:val="18"/>
        </w:rPr>
        <w:t>for information regarding Wyoming Electric's amended and extended generation reservation agreement.</w:t>
      </w:r>
    </w:p>
    <w:p>
      <w:pPr>
        <w:pStyle w:val="TextBody"/>
        <w:bidi w:val="0"/>
        <w:jc w:val="center"/>
        <w:rPr>
          <w:rFonts w:ascii="Arial" w:hAnsi="Arial"/>
          <w:color w:val="000000"/>
          <w:sz w:val="18"/>
        </w:rPr>
      </w:pPr>
      <w:r>
        <w:rPr>
          <w:rFonts w:ascii="Arial" w:hAnsi="Arial"/>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13" w:name="item2_mda"/>
      <w:bookmarkEnd w:id="13"/>
      <w:r>
        <w:rPr>
          <w:rFonts w:ascii="Arial" w:hAnsi="Arial"/>
          <w:b/>
          <w:color w:val="000000"/>
          <w:sz w:val="18"/>
        </w:rPr>
        <w:t>ITEM 2. MANAGEMENT’S DISCUSSION AND ANALYSIS OF FINANCIAL CONDITION AND RESULTS OF OPERATIONS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discussions should be read in conjunction with the Notes contained herein and Management's Discussion and Analysis of Financial Condition and Results of Operations appearing in our 2025 Annual Report on Form 10-K.</w:t>
      </w:r>
    </w:p>
    <w:p>
      <w:pPr>
        <w:pStyle w:val="TextBody"/>
        <w:bidi w:val="0"/>
        <w:jc w:val="left"/>
        <w:rPr/>
      </w:pPr>
      <w:r>
        <w:rPr/>
        <w:t> </w:t>
      </w:r>
    </w:p>
    <w:p>
      <w:pPr>
        <w:pStyle w:val="TextBody"/>
        <w:bidi w:val="0"/>
        <w:jc w:val="center"/>
        <w:rPr>
          <w:rFonts w:ascii="Arial" w:hAnsi="Arial"/>
          <w:b/>
          <w:color w:val="000000"/>
          <w:sz w:val="18"/>
        </w:rPr>
      </w:pPr>
      <w:bookmarkStart w:id="14" w:name="mda_exec_summary"/>
      <w:bookmarkEnd w:id="14"/>
      <w:r>
        <w:rPr>
          <w:rFonts w:ascii="Arial" w:hAnsi="Arial"/>
          <w:b/>
          <w:color w:val="000000"/>
          <w:sz w:val="18"/>
        </w:rPr>
        <w:t>Executive Summary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We are a customer-focused energy solutions provider with a mission of </w:t>
      </w:r>
      <w:r>
        <w:rPr>
          <w:rFonts w:ascii="Arial" w:hAnsi="Arial"/>
          <w:i/>
          <w:color w:val="000000"/>
          <w:sz w:val="18"/>
        </w:rPr>
        <w:t>Improving Life with Energy</w:t>
      </w:r>
      <w:r>
        <w:rPr>
          <w:rFonts w:ascii="Times New Roman" w:hAnsi="Times New Roman"/>
          <w:color w:val="000000"/>
          <w:sz w:val="20"/>
        </w:rPr>
        <w:t xml:space="preserve"> </w:t>
      </w:r>
      <w:r>
        <w:rPr>
          <w:rFonts w:ascii="Arial" w:hAnsi="Arial"/>
          <w:color w:val="000000"/>
          <w:sz w:val="18"/>
        </w:rPr>
        <w:t xml:space="preserve">for more than 1.37 million customers and 800+ communities we serve. Our aspiration is to be the trusted energy partner across our growing eight-state footprint, including Arkansas, Colorado, Iowa, Kansas, Montana, Nebraska, South Dakota, and Wyoming. Our strategy is centered on four priorities: </w:t>
      </w:r>
      <w:r>
        <w:rPr>
          <w:rFonts w:ascii="Arial" w:hAnsi="Arial"/>
          <w:i/>
          <w:color w:val="000000"/>
          <w:sz w:val="18"/>
        </w:rPr>
        <w:t>People &amp; Culture</w:t>
      </w:r>
      <w:r>
        <w:rPr>
          <w:rFonts w:ascii="Times New Roman" w:hAnsi="Times New Roman"/>
          <w:color w:val="000000"/>
          <w:sz w:val="20"/>
        </w:rPr>
        <w:t>—</w:t>
      </w:r>
      <w:r>
        <w:rPr>
          <w:rFonts w:ascii="Arial" w:hAnsi="Arial"/>
          <w:color w:val="000000"/>
          <w:sz w:val="18"/>
        </w:rPr>
        <w:t xml:space="preserve">build a team that wins together, </w:t>
      </w:r>
      <w:r>
        <w:rPr>
          <w:rFonts w:ascii="Arial" w:hAnsi="Arial"/>
          <w:i/>
          <w:color w:val="000000"/>
          <w:sz w:val="18"/>
        </w:rPr>
        <w:t>Operational Excellence—</w:t>
      </w:r>
      <w:r>
        <w:rPr>
          <w:rFonts w:ascii="Arial" w:hAnsi="Arial"/>
          <w:color w:val="000000"/>
          <w:sz w:val="18"/>
        </w:rPr>
        <w:t xml:space="preserve">relentlessly deliver on our commitment to serve our customers, </w:t>
      </w:r>
      <w:r>
        <w:rPr>
          <w:rFonts w:ascii="Arial" w:hAnsi="Arial"/>
          <w:i/>
          <w:color w:val="000000"/>
          <w:sz w:val="18"/>
        </w:rPr>
        <w:t>Transformation</w:t>
      </w:r>
      <w:r>
        <w:rPr>
          <w:rFonts w:ascii="Times New Roman" w:hAnsi="Times New Roman"/>
          <w:color w:val="000000"/>
          <w:sz w:val="20"/>
        </w:rPr>
        <w:t>—</w:t>
      </w:r>
      <w:r>
        <w:rPr>
          <w:rFonts w:ascii="Arial" w:hAnsi="Arial"/>
          <w:color w:val="000000"/>
          <w:sz w:val="18"/>
        </w:rPr>
        <w:t xml:space="preserve">be a simple and connected company and </w:t>
      </w:r>
      <w:r>
        <w:rPr>
          <w:rFonts w:ascii="Arial" w:hAnsi="Arial"/>
          <w:i/>
          <w:color w:val="000000"/>
          <w:sz w:val="18"/>
        </w:rPr>
        <w:t>Growth—</w:t>
      </w:r>
      <w:r>
        <w:rPr>
          <w:rFonts w:ascii="Arial" w:hAnsi="Arial"/>
          <w:color w:val="000000"/>
          <w:sz w:val="18"/>
        </w:rPr>
        <w:t>grow to be a dominant long-term energy provider.</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ourselves a domestic electric and natural gas utility company.</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have provided energy and served customers for 142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pStyle w:val="TextBody"/>
        <w:bidi w:val="0"/>
        <w:jc w:val="left"/>
        <w:rPr/>
      </w:pPr>
      <w:r>
        <w:rPr/>
        <w:t> </w:t>
      </w:r>
    </w:p>
    <w:p>
      <w:pPr>
        <w:pStyle w:val="TextBody"/>
        <w:bidi w:val="0"/>
        <w:jc w:val="center"/>
        <w:rPr>
          <w:rFonts w:ascii="Arial" w:hAnsi="Arial"/>
          <w:b/>
          <w:color w:val="000000"/>
          <w:sz w:val="18"/>
        </w:rPr>
      </w:pPr>
      <w:bookmarkStart w:id="15" w:name="mda_recent_developments"/>
      <w:bookmarkEnd w:id="15"/>
      <w:r>
        <w:rPr>
          <w:rFonts w:ascii="Arial" w:hAnsi="Arial"/>
          <w:b/>
          <w:color w:val="000000"/>
          <w:sz w:val="18"/>
        </w:rPr>
        <w:t>Recent Developments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Pending Merger with NorthWestern</w:t>
      </w:r>
    </w:p>
    <w:p>
      <w:pPr>
        <w:pStyle w:val="TextBody"/>
        <w:bidi w:val="0"/>
        <w:jc w:val="left"/>
        <w:rPr/>
      </w:pPr>
      <w:r>
        <w:rPr/>
        <w:t> </w:t>
      </w:r>
    </w:p>
    <w:p>
      <w:pPr>
        <w:pStyle w:val="TextBody"/>
        <w:bidi w:val="0"/>
        <w:jc w:val="left"/>
        <w:rPr/>
      </w:pPr>
      <w:r>
        <w:rPr>
          <w:rFonts w:ascii="Arial" w:hAnsi="Arial"/>
          <w:color w:val="000000"/>
          <w:sz w:val="18"/>
        </w:rPr>
        <w:t xml:space="preserve">On August 18, 2025, we entered into the Merger Agreement with NorthWestern and Merger Sub. See </w:t>
      </w:r>
      <w:hyperlink w:anchor="fn14_proposed">
        <w:r>
          <w:rPr>
            <w:rStyle w:val="InternetLink"/>
            <w:rFonts w:ascii="Arial" w:hAnsi="Arial"/>
            <w:color w:val="0000FF"/>
            <w:sz w:val="18"/>
            <w:u w:val="single"/>
          </w:rPr>
          <w:t>Note 14</w:t>
        </w:r>
      </w:hyperlink>
      <w:r>
        <w:rPr>
          <w:rFonts w:ascii="Times New Roman" w:hAnsi="Times New Roman"/>
          <w:color w:val="000000"/>
          <w:sz w:val="20"/>
        </w:rPr>
        <w:t xml:space="preserve"> </w:t>
      </w:r>
      <w:r>
        <w:rPr>
          <w:rFonts w:ascii="Arial" w:hAnsi="Arial"/>
          <w:color w:val="000000"/>
          <w:sz w:val="18"/>
        </w:rPr>
        <w:t>of the Condensed Notes to Consolidated Financial Statements for recent developments surrounding the pending Merger.</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Business Segment Recent Developments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Electric Utilities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8"/>
        </w:rPr>
        <w:t xml:space="preserve">See </w:t>
      </w:r>
      <w:hyperlink w:anchor="fn2_regulatory_matters">
        <w:r>
          <w:rPr>
            <w:rStyle w:val="InternetLink"/>
            <w:rFonts w:ascii="Arial" w:hAnsi="Arial"/>
            <w:color w:val="0000FF"/>
            <w:sz w:val="18"/>
            <w:u w:val="single"/>
          </w:rPr>
          <w:t>Note 2</w:t>
        </w:r>
      </w:hyperlink>
      <w:r>
        <w:rPr>
          <w:color w:val="000000"/>
        </w:rPr>
        <w:t xml:space="preserve"> </w:t>
      </w:r>
      <w:r>
        <w:rPr>
          <w:rFonts w:ascii="Arial" w:hAnsi="Arial"/>
          <w:color w:val="000000"/>
          <w:sz w:val="18"/>
        </w:rPr>
        <w:t>of the Condensed Notes to Consolidated Financial Statements for recent rate review activity for South Dakota Electric and Colorado Electric.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During the second quarter of 2026, South Dakota Electric continued with construction of its Lange II project which is anticipated to be in service in the fourth quarter of 2026. The addition of these resources will replace generation facilities planned for retirement and support updated planning reserve margin requirements. On August 4, 2026, South Dakota Electric filed an application with the SDPUC for a PIRP rider which requests recovery of $320 million of Lange II project costs outside of a general rate review. If approved by the SDPUC, the rider is anticipated to be effective on December 1,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On March 12, 2026, the state of South Dakota enacted comprehensive wildfire liability mitigation legislation (Senate Bill 36), effective July 1, 2026. The legislation provides material liability protections for a utility that complies with its published wildfire mitigation plan. On July 2, 2026, South Dakota Electric filed its WMP with the SDPUC. Under Senate Bill 36, a utility's WMP is valid and current if it is on file and all annual reports are timely filed with the SDPUC. In 2025, the state of Wyoming enacted similar legislation. In November 2025, Wyoming Electric filed its WMP with the WPSC, which was approved on July 9,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8"/>
        </w:rPr>
        <w:t xml:space="preserve">On April 22, 2026, Wyoming Electric entered into a generation reservation agreement with a prospective new customer seeking to construct a 1.8 GW data center under Wyoming Electric's LPCS Tariff. In July 2026, the parties amended this generation reservation agreement to increase the total refundable advances and extended the maturity date to August 31, 2026. This agreement is a bridge agreement to support long lead-time items while Wyoming Electric continues to negotiate definitive agreements with the prospective customer. See </w:t>
      </w:r>
      <w:hyperlink w:anchor="fn3_commit_contingencies_and_guarantees">
        <w:r>
          <w:rPr>
            <w:rStyle w:val="InternetLink"/>
            <w:rFonts w:ascii="Arial" w:hAnsi="Arial"/>
            <w:color w:val="0000FF"/>
            <w:sz w:val="18"/>
            <w:u w:val="single"/>
          </w:rPr>
          <w:t>Note 5</w:t>
        </w:r>
      </w:hyperlink>
      <w:r>
        <w:rPr>
          <w:color w:val="000000"/>
        </w:rPr>
        <w:t xml:space="preserve"> </w:t>
      </w:r>
      <w:r>
        <w:rPr>
          <w:rFonts w:ascii="Arial" w:hAnsi="Arial"/>
          <w:color w:val="000000"/>
          <w:sz w:val="18"/>
        </w:rPr>
        <w:t>of the Condensed Notes to Consolidated Financial Statements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On June 30, 2026, Wyoming Electric submitted an IRP to the WPSC. The IRP, which is based on 20-year planning period including a near-term planning period through 2033, identified a near-term capacity shortfall of 95 MW beginning in 2027. Based on its forecasts and analysis, Wyoming Electric recommends the addition of natural gas-fired generation and battery storage assets to meet the identified resource need. Wyoming Electric's IRP does not address any LPCS Tariff capacity needs, which are handled separately under customer-specific agreements.</w:t>
      </w:r>
    </w:p>
    <w:p>
      <w:pPr>
        <w:pStyle w:val="TextBody"/>
        <w:bidi w:val="0"/>
        <w:jc w:val="center"/>
        <w:rPr>
          <w:rFonts w:ascii="Arial" w:hAnsi="Arial"/>
          <w:color w:val="000000"/>
          <w:sz w:val="18"/>
        </w:rPr>
      </w:pPr>
      <w:r>
        <w:rPr>
          <w:rFonts w:ascii="Arial" w:hAnsi="Arial"/>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On June 19, 2026, Wyoming Electric filed a request with the WPSC to establish an LCTCAM tariff. The LCTCAM tariff provides a framework to directly recover transmission investment costs from LPCS customers who are served by, and benefit from, the transmission facility. The proposed mechanism is designed to ensure that customers not directly served by those facilities are protected from bearing those costs. The filing requests WPSC approval of the LCTCAM tariff by September 1, 2026, with an effective date of January 1, 2027.</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 2026, Wyoming Electric has set multiple all-time records for System Peak Demand. The most recent all-time peak of 439 MW was set on July 20, 2026. Prior to 2026, the previous all-time peak was 379 MW set on June 20,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8"/>
        </w:rPr>
        <w:t xml:space="preserve">In 2025, Colorado Electric received CPUC approval for the addition of 250 MW of new renewable generation resources in support of its Clean Energy Plan, which included a 50-MW utility-owned battery storage project and a 200-MW solar PPA. During the fourth quarter of 2025, Colorado Electric commenced construction of the 50-MW battery storage project. The project is expected to be completed by year-end 2027. On February 18, 2026, Colorado Electric entered into a 200-MW solar PPA. See </w:t>
      </w:r>
      <w:hyperlink w:anchor="fn3_commit_contingencies_and_guarantees">
        <w:r>
          <w:rPr>
            <w:rStyle w:val="InternetLink"/>
            <w:rFonts w:ascii="Arial" w:hAnsi="Arial"/>
            <w:color w:val="0000FF"/>
            <w:sz w:val="18"/>
            <w:u w:val="single"/>
          </w:rPr>
          <w:t>Note 3</w:t>
        </w:r>
      </w:hyperlink>
      <w:r>
        <w:rPr>
          <w:color w:val="000000"/>
        </w:rPr>
        <w:t xml:space="preserve"> </w:t>
      </w:r>
      <w:r>
        <w:rPr>
          <w:rFonts w:ascii="Arial" w:hAnsi="Arial"/>
          <w:color w:val="000000"/>
          <w:sz w:val="18"/>
        </w:rPr>
        <w:t>of the Condensed Notes to Consolidated Financial Statements for additional information regarding the PPA.</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Gas Utilities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8"/>
        </w:rPr>
        <w:t xml:space="preserve">See </w:t>
      </w:r>
      <w:hyperlink w:anchor="fn2_regulatory_matters">
        <w:r>
          <w:rPr>
            <w:rStyle w:val="InternetLink"/>
            <w:rFonts w:ascii="Arial" w:hAnsi="Arial"/>
            <w:color w:val="0000FF"/>
            <w:sz w:val="18"/>
            <w:u w:val="single"/>
          </w:rPr>
          <w:t>Note 2</w:t>
        </w:r>
      </w:hyperlink>
      <w:r>
        <w:rPr>
          <w:color w:val="000000"/>
        </w:rPr>
        <w:t xml:space="preserve"> </w:t>
      </w:r>
      <w:r>
        <w:rPr>
          <w:rFonts w:ascii="Arial" w:hAnsi="Arial"/>
          <w:color w:val="000000"/>
          <w:sz w:val="18"/>
        </w:rPr>
        <w:t>of the Condensed Notes to Consolidated Financial Statements for recent rate review activity for Arkansas Gas, Kansas Gas and Nebraska Gas.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Corporate and Other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8"/>
        </w:rPr>
        <w:t xml:space="preserve">See </w:t>
      </w:r>
      <w:hyperlink w:anchor="fn5_financing">
        <w:r>
          <w:rPr>
            <w:rStyle w:val="InternetLink"/>
            <w:rFonts w:ascii="Arial" w:hAnsi="Arial"/>
            <w:color w:val="0000FF"/>
            <w:sz w:val="18"/>
            <w:u w:val="single"/>
          </w:rPr>
          <w:t>Note 5</w:t>
        </w:r>
      </w:hyperlink>
      <w:r>
        <w:rPr>
          <w:color w:val="000000"/>
        </w:rPr>
        <w:t xml:space="preserve"> </w:t>
      </w:r>
      <w:r>
        <w:rPr>
          <w:rFonts w:ascii="Arial" w:hAnsi="Arial"/>
          <w:color w:val="000000"/>
          <w:sz w:val="18"/>
        </w:rPr>
        <w:t>of the Condensed Notes to Consolidated Financial Statements for information regarding recent 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During the second quarter of 2026, we published our 2025 Corporate Sustainability Report, highlighting our environmental, social and governance impacts and our progress on major projects and climate goals. We reported a 43% reduction in electric utility emissions intensity compared to 2005, driven by the addition of renewable and natural gas resources and the retirement of aging power plants. We also reduced natural gas utility emissions by 25% since 2022, including a 53% reduction from transfer stations, reflecting progress toward our net-zero by 2035 goal through expanded leak detection and repair efforts.</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bookmarkStart w:id="16" w:name="mda_results_of_ops"/>
      <w:bookmarkEnd w:id="16"/>
      <w:r>
        <w:rPr>
          <w:rFonts w:ascii="Arial" w:hAnsi="Arial"/>
          <w:b/>
          <w:color w:val="000000"/>
          <w:sz w:val="18"/>
        </w:rPr>
        <w:t>Results of Operations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six months ended June 30, 2026, and 2025, and our financial condition as of June 30, 2026, and December 31, 2025, are not necessarily indicative of the results of operations and financial condition to be expected as of or for any other period or for the entire year.</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All amounts are presented on a pre-tax basis unless otherwise indicated. Minor differences in amounts may result due to rounding.</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17" w:name="mda_consol_summary"/>
      <w:bookmarkEnd w:id="17"/>
      <w:r>
        <w:rPr>
          <w:rFonts w:ascii="Arial" w:hAnsi="Arial"/>
          <w:b/>
          <w:color w:val="000000"/>
          <w:sz w:val="18"/>
        </w:rPr>
        <w:t>Consolidated Summary and Overview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1"/>
        <w:gridCol w:w="216"/>
        <w:gridCol w:w="540"/>
        <w:gridCol w:w="170"/>
        <w:gridCol w:w="216"/>
        <w:gridCol w:w="540"/>
        <w:gridCol w:w="170"/>
        <w:gridCol w:w="451"/>
        <w:gridCol w:w="1000"/>
        <w:gridCol w:w="166"/>
        <w:gridCol w:w="211"/>
        <w:gridCol w:w="631"/>
        <w:gridCol w:w="166"/>
        <w:gridCol w:w="211"/>
        <w:gridCol w:w="631"/>
        <w:gridCol w:w="166"/>
        <w:gridCol w:w="414"/>
        <w:gridCol w:w="1037"/>
        <w:gridCol w:w="298"/>
      </w:tblGrid>
      <w:tr>
        <w:trPr/>
        <w:tc>
          <w:tcPr>
            <w:tcW w:w="29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6"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 except per share amounts)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 (loss):</w:t>
            </w:r>
          </w:p>
        </w:tc>
        <w:tc>
          <w:tcPr>
            <w:tcW w:w="7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Electric Utilities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Gas Utilities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Corporate and Other </w:t>
            </w:r>
            <w:r>
              <w:rPr>
                <w:rFonts w:ascii="Arial" w:hAnsi="Arial"/>
                <w:color w:val="000000"/>
                <w:sz w:val="12"/>
              </w:rPr>
              <w:t>(a)</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 Diluted</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earnings per share of common stock, Diluted</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color w:val="000000"/>
          <w:sz w:val="16"/>
        </w:rPr>
      </w:pPr>
      <w:r>
        <w:rPr>
          <w:rFonts w:ascii="Arial" w:hAnsi="Arial"/>
          <w:color w:val="000000"/>
          <w:sz w:val="16"/>
        </w:rPr>
        <w:t>Includes inter-segment eliminations.</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Three Months Ended June 30, 2026, Compared to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Electric Utilities' operating income increased $12.1 million primarily due to new rates and rider recovery driven by the Wyoming Electric's recently completed Ready Wyoming project;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Gas Utilities' operating income increased $7.6 million primarily due to new rates and rider recovery driven by the Nebraska Gas and Kansas Gas rate reviews partially offset by higher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Corporate and Other operating loss increased $5.2 million primarily due to costs related to the pending merger with NorthWestern;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Net interest expense increased $2.7 million primarily due to higher rates on increased debt.</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Six Months Ended June 30, 2026, Compared to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Electric Utilities’ operating income increased $16.9 million primarily due to new rates and rider recovery driven by the Colorado Electric rate review and Wyoming Electric's recently completed Ready Wyoming project partially offset by lower residential and commercial customer usage and unfavorable weather;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Gas Utilities’ operating income increased $1.0 million primarily due to new rates and rider recovery driven by the Nebraska Gas, Kansas Gas, and Arkansas Gas rate reviews partially offset by unfavorable weather and higher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Corporate and Other operating loss increased $6.3 million primarily due to costs related to the pending merger with NorthWestern;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Net interest expense increased $3.2 million primarily due to higher rates on increased debt partially offset by higher AFUDC debt.</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Segment Operating Results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discussion of operating results from our business segments follows. Unless otherwise indicated, segment information does not include inter-segment eliminations.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18"/>
        </w:rPr>
      </w:pPr>
      <w:bookmarkStart w:id="18" w:name="mda_non_gaap_fin_measures"/>
      <w:bookmarkEnd w:id="18"/>
      <w:r>
        <w:rPr>
          <w:rFonts w:ascii="Arial" w:hAnsi="Arial"/>
          <w:b/>
          <w:i/>
          <w:color w:val="000000"/>
          <w:sz w:val="18"/>
        </w:rPr>
        <w:t>Non-GAAP Financial Measures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discussion includes financial information prepared in accordance with GAAP and a “non-GAAP financial measure", Electric and Gas Utility margin.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We define Electric and Gas Utility margin as operating revenue less cost of fuel, purchased power and cost of natural gas sold. Electric and Gas Utility margin is a non-GAAP financial measure due to the exclusion of operation and maintenance expenses determined to be directly attributable to revenue-producing activities, depreciation and amortization expenses, and taxes other than income taxes from the measure.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believe that Gas and Electric Utility margin provides a useful basis for evaluating our segment operating results since our Utilities have regulatory mechanisms that allow them to pass prudently incurred costs of energy through to the customer in current rates. As a result, management uses Gas and Electric Utility margin internally when assessing the financial performance of our operating segments as this measure excludes the majority of revenue fluctuations caused by changes in these costs of energy. Similarly, the presentation of Gas and Electric Utility margin is intended to supplement investors’ understanding of operating performance.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Electric and Gas Utility margin measure may not be comparable to other companies’ Electric and Gas Utility margin measures. The following table includes a reconciliation of Electric and Gas Utility margin to Gross margin, the most directly comparable GAAP measure: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9"/>
        <w:gridCol w:w="230"/>
        <w:gridCol w:w="622"/>
        <w:gridCol w:w="180"/>
        <w:gridCol w:w="230"/>
        <w:gridCol w:w="622"/>
        <w:gridCol w:w="166"/>
        <w:gridCol w:w="221"/>
        <w:gridCol w:w="663"/>
        <w:gridCol w:w="174"/>
        <w:gridCol w:w="221"/>
        <w:gridCol w:w="663"/>
        <w:gridCol w:w="166"/>
        <w:gridCol w:w="230"/>
        <w:gridCol w:w="622"/>
        <w:gridCol w:w="180"/>
        <w:gridCol w:w="230"/>
        <w:gridCol w:w="622"/>
        <w:gridCol w:w="166"/>
        <w:gridCol w:w="221"/>
        <w:gridCol w:w="663"/>
        <w:gridCol w:w="174"/>
        <w:gridCol w:w="221"/>
        <w:gridCol w:w="663"/>
        <w:gridCol w:w="326"/>
      </w:tblGrid>
      <w:tr>
        <w:trPr/>
        <w:tc>
          <w:tcPr>
            <w:tcW w:w="17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Electric Utilities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9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Gas Utilities</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0"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795.4</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Operations and maintenance </w:t>
            </w:r>
            <w:r>
              <w:rPr>
                <w:rFonts w:ascii="Arial" w:hAnsi="Arial"/>
                <w:color w:val="000000"/>
                <w:sz w:val="12"/>
              </w:rPr>
              <w:t>(a)</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Gross margin (GAAP)</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268.2</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Operations and maintenance </w:t>
            </w:r>
            <w:r>
              <w:rPr>
                <w:rFonts w:ascii="Arial" w:hAnsi="Arial"/>
                <w:color w:val="000000"/>
                <w:sz w:val="12"/>
              </w:rPr>
              <w:t>(a)</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Electric and Gas Utility margin (non-GAAP)</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434.0</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color w:val="000000"/>
          <w:sz w:val="16"/>
        </w:rPr>
      </w:pPr>
      <w:r>
        <w:rPr>
          <w:rFonts w:ascii="Arial" w:hAnsi="Arial"/>
          <w:color w:val="000000"/>
          <w:sz w:val="16"/>
        </w:rPr>
        <w:t>Operations and maintenance expenses which are deemed to be directly attributable to revenue-producing activities include plant operations and maintenance expenses at our electric generation facilities, operations and maintenance expenses at our WRDC coal mine, and electric and gas transmission and distribution expenses. These amounts are included in the table above to calculate gross margin in accordance with GAAP. These amounts excluded operations and maintenance expenses not directly attributable to revenue-producing activities of $23.9 million, $25.4 million, $50.7 million, and $52.3 million for the three and six months ended June 30, 2026, and 2025, respectively, for the Electric Utilities and $38.9 million, $39.4 million, $81.6 million, and $81.2 million for the three and six months ended June 30, 2026, and 2025, respectively, for the Gas Utilities.</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19" w:name="mda_electric"/>
      <w:bookmarkEnd w:id="19"/>
      <w:r>
        <w:rPr>
          <w:rFonts w:ascii="Arial" w:hAnsi="Arial"/>
          <w:b/>
          <w:color w:val="000000"/>
          <w:sz w:val="18"/>
        </w:rPr>
        <w:t>Electric Utilities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Operating results for the Electric Utilities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4"/>
        <w:gridCol w:w="214"/>
        <w:gridCol w:w="579"/>
        <w:gridCol w:w="148"/>
        <w:gridCol w:w="214"/>
        <w:gridCol w:w="579"/>
        <w:gridCol w:w="148"/>
        <w:gridCol w:w="432"/>
        <w:gridCol w:w="958"/>
        <w:gridCol w:w="166"/>
        <w:gridCol w:w="211"/>
        <w:gridCol w:w="571"/>
        <w:gridCol w:w="146"/>
        <w:gridCol w:w="211"/>
        <w:gridCol w:w="571"/>
        <w:gridCol w:w="146"/>
        <w:gridCol w:w="432"/>
        <w:gridCol w:w="958"/>
        <w:gridCol w:w="397"/>
      </w:tblGrid>
      <w:tr>
        <w:trPr/>
        <w:tc>
          <w:tcPr>
            <w:tcW w:w="3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4"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and purchased power</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Electric Utility margin (non-GAAP) </w:t>
            </w:r>
            <w:r>
              <w:rPr>
                <w:rFonts w:ascii="Arial" w:hAnsi="Arial"/>
                <w:color w:val="000000"/>
                <w:sz w:val="12"/>
              </w:rPr>
              <w:t>(a)</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176.6</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164.6</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Operations and maintenance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operating expenses (excluding Fuel and purchased power)</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pPr>
      <w:r>
        <w:rPr>
          <w:rFonts w:ascii="Arial" w:hAnsi="Arial"/>
          <w:color w:val="000000"/>
          <w:sz w:val="16"/>
        </w:rPr>
        <w:t xml:space="preserve">See </w:t>
      </w:r>
      <w:hyperlink w:anchor="mda_non_gaap_fin_measures">
        <w:r>
          <w:rPr>
            <w:rStyle w:val="InternetLink"/>
            <w:rFonts w:ascii="Arial" w:hAnsi="Arial"/>
            <w:color w:val="0000FF"/>
            <w:sz w:val="16"/>
            <w:u w:val="single"/>
          </w:rPr>
          <w:t>Non-GAAP Financial Measures</w:t>
        </w:r>
      </w:hyperlink>
      <w:r>
        <w:rPr>
          <w:color w:val="000000"/>
        </w:rPr>
        <w:t xml:space="preserve"> </w:t>
      </w:r>
      <w:r>
        <w:rPr>
          <w:rFonts w:ascii="Arial" w:hAnsi="Arial"/>
          <w:color w:val="000000"/>
          <w:sz w:val="16"/>
        </w:rPr>
        <w:t>section above for reconciliation to Gross margin, the most directly comparable GAAP measure.</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Three Months Ended June 30, 2026, Compared to the Three Months Ended June 30,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Electric Utility margin increased as a result of the following:</w:t>
      </w:r>
    </w:p>
    <w:p>
      <w:pPr>
        <w:pStyle w:val="TextBody"/>
        <w:bidi w:val="0"/>
        <w:jc w:val="left"/>
        <w:rPr/>
      </w:pPr>
      <w:r>
        <w:rPr/>
        <w:t> </w:t>
      </w:r>
    </w:p>
    <w:tbl>
      <w:tblPr>
        <w:tblW w:w="3717" w:type="dxa"/>
        <w:jc w:val="left"/>
        <w:tblInd w:w="0" w:type="dxa"/>
        <w:tblLayout w:type="fixed"/>
        <w:tblCellMar>
          <w:top w:w="28" w:type="dxa"/>
          <w:left w:w="28" w:type="dxa"/>
          <w:bottom w:w="28" w:type="dxa"/>
          <w:right w:w="28" w:type="dxa"/>
        </w:tblCellMar>
      </w:tblPr>
      <w:tblGrid>
        <w:gridCol w:w="2476"/>
        <w:gridCol w:w="327"/>
        <w:gridCol w:w="723"/>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New rates and rider recovery</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Weather</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Operations and maintenance expense decreased primarily due to $3.2 million of lower expenses driven by prior year unplanned generation outages and $1.2 million of lower outside services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Depreciation and amortization increased primarily due to higher asset base driven by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Taxes other than income taxes were comparable to the same period in the prior year.</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Six Months Ended June 30, 2026, Compared to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Electric Utility margin increased as a result of the following:</w:t>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3751"/>
        <w:gridCol w:w="327"/>
        <w:gridCol w:w="723"/>
        <w:gridCol w:w="211"/>
      </w:tblGrid>
      <w:tr>
        <w:trPr/>
        <w:tc>
          <w:tcPr>
            <w:tcW w:w="375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New rates and rider recovery</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Residential and commercial customer usage</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Weather</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Operations and maintenance expense decreased primarily due to $4.5 million of lower outside services expenses and $3.2 million of lower expenses driven by prior year unplanned generation outages.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Depreciation and amortization increased primarily due to higher asset base driven by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Taxes other than income taxes were comparable to the same period in the prior year.</w:t>
      </w:r>
    </w:p>
    <w:p>
      <w:pPr>
        <w:pStyle w:val="TextBody"/>
        <w:bidi w:val="0"/>
        <w:jc w:val="center"/>
        <w:rPr>
          <w:rFonts w:ascii="Arial" w:hAnsi="Arial"/>
          <w:color w:val="000000"/>
          <w:sz w:val="18"/>
        </w:rPr>
      </w:pPr>
      <w:r>
        <w:rPr>
          <w:rFonts w:ascii="Arial" w:hAnsi="Arial"/>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Operating Statistics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6"/>
        <w:gridCol w:w="211"/>
        <w:gridCol w:w="571"/>
        <w:gridCol w:w="166"/>
        <w:gridCol w:w="211"/>
        <w:gridCol w:w="571"/>
        <w:gridCol w:w="146"/>
        <w:gridCol w:w="211"/>
        <w:gridCol w:w="571"/>
        <w:gridCol w:w="146"/>
        <w:gridCol w:w="211"/>
        <w:gridCol w:w="571"/>
        <w:gridCol w:w="146"/>
        <w:gridCol w:w="211"/>
        <w:gridCol w:w="721"/>
        <w:gridCol w:w="146"/>
        <w:gridCol w:w="211"/>
        <w:gridCol w:w="721"/>
        <w:gridCol w:w="146"/>
        <w:gridCol w:w="146"/>
        <w:gridCol w:w="721"/>
        <w:gridCol w:w="146"/>
        <w:gridCol w:w="146"/>
        <w:gridCol w:w="721"/>
        <w:gridCol w:w="391"/>
      </w:tblGrid>
      <w:tr>
        <w:trPr/>
        <w:tc>
          <w:tcPr>
            <w:tcW w:w="2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3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Quantities Sold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By Customer Class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11"/>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036" w:type="dxa"/>
            <w:gridSpan w:val="11"/>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GWh)</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Revenue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Residential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Commercial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Industrial </w:t>
            </w:r>
            <w:r>
              <w:rPr>
                <w:rFonts w:ascii="Arial" w:hAnsi="Arial"/>
                <w:color w:val="000000"/>
                <w:sz w:val="12"/>
              </w:rPr>
              <w:t>(a)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Municipal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Retail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Subtotal Retail Revenue - Electric</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Wholesale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 - off-system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Transmission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Other </w:t>
            </w:r>
            <w:r>
              <w:rPr>
                <w:rFonts w:ascii="Arial" w:hAnsi="Arial"/>
                <w:color w:val="000000"/>
                <w:sz w:val="12"/>
              </w:rPr>
              <w:t>(b)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Revenue and Quantities Sold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Other Uses, Losses, or Generation, net </w:t>
            </w:r>
            <w:r>
              <w:rPr>
                <w:rFonts w:ascii="Arial" w:hAnsi="Arial"/>
                <w:color w:val="000000"/>
                <w:sz w:val="12"/>
              </w:rPr>
              <w:t>(c)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Energy</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The increase in industrial quantities sold for the three and six months ended June 30, 2026, compared to the same periods in 2025, was primarily driven by Wyoming Electric's large-load customers under the LPSC and BCIS Tariffs.</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spacing w:before="0" w:after="0"/>
        <w:jc w:val="left"/>
        <w:rPr>
          <w:rFonts w:ascii="Arial" w:hAnsi="Arial"/>
          <w:color w:val="000000"/>
          <w:sz w:val="16"/>
        </w:rPr>
      </w:pPr>
      <w:r>
        <w:rPr>
          <w:rFonts w:ascii="Arial" w:hAnsi="Arial"/>
          <w:color w:val="000000"/>
          <w:sz w:val="16"/>
        </w:rPr>
        <w:t>Includes Integrated Generation, inter-segment rent, and non-regulated services to our retail customers under the Service Guard Comfort Plan and Tech Services.</w:t>
      </w:r>
    </w:p>
    <w:p>
      <w:pPr>
        <w:pStyle w:val="TextBody"/>
        <w:bidi w:val="0"/>
        <w:spacing w:before="0" w:after="0"/>
        <w:jc w:val="left"/>
        <w:rPr>
          <w:rFonts w:ascii="Arial" w:hAnsi="Arial"/>
          <w:color w:val="000000"/>
          <w:sz w:val="16"/>
        </w:rPr>
      </w:pPr>
      <w:r>
        <w:rPr>
          <w:rFonts w:ascii="Arial" w:hAnsi="Arial"/>
          <w:color w:val="000000"/>
          <w:sz w:val="16"/>
        </w:rPr>
        <w:t>(c)</w:t>
      </w:r>
    </w:p>
    <w:p>
      <w:pPr>
        <w:pStyle w:val="TextBody"/>
        <w:bidi w:val="0"/>
        <w:jc w:val="left"/>
        <w:rPr>
          <w:rFonts w:ascii="Arial" w:hAnsi="Arial"/>
          <w:color w:val="000000"/>
          <w:sz w:val="16"/>
        </w:rPr>
      </w:pPr>
      <w:r>
        <w:rPr>
          <w:rFonts w:ascii="Arial" w:hAnsi="Arial"/>
          <w:color w:val="000000"/>
          <w:sz w:val="16"/>
        </w:rPr>
        <w:t>Includes company uses and line losses.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6"/>
        <w:gridCol w:w="211"/>
        <w:gridCol w:w="571"/>
        <w:gridCol w:w="146"/>
        <w:gridCol w:w="211"/>
        <w:gridCol w:w="571"/>
        <w:gridCol w:w="146"/>
        <w:gridCol w:w="211"/>
        <w:gridCol w:w="571"/>
        <w:gridCol w:w="146"/>
        <w:gridCol w:w="211"/>
        <w:gridCol w:w="571"/>
        <w:gridCol w:w="146"/>
        <w:gridCol w:w="146"/>
        <w:gridCol w:w="721"/>
        <w:gridCol w:w="146"/>
        <w:gridCol w:w="146"/>
        <w:gridCol w:w="721"/>
        <w:gridCol w:w="146"/>
        <w:gridCol w:w="146"/>
        <w:gridCol w:w="721"/>
        <w:gridCol w:w="146"/>
        <w:gridCol w:w="146"/>
        <w:gridCol w:w="721"/>
        <w:gridCol w:w="391"/>
      </w:tblGrid>
      <w:tr>
        <w:trPr/>
        <w:tc>
          <w:tcPr>
            <w:tcW w:w="2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0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Quantities Sold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By Business Unit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0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GWh)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Colorado Electric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South Dakota Electric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Wyoming Electric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Integrated Generation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 and Quantities Sold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03" w:type="dxa"/>
        <w:jc w:val="left"/>
        <w:tblInd w:w="0" w:type="dxa"/>
        <w:tblLayout w:type="fixed"/>
        <w:tblCellMar>
          <w:top w:w="28" w:type="dxa"/>
          <w:left w:w="28" w:type="dxa"/>
          <w:bottom w:w="28" w:type="dxa"/>
          <w:right w:w="28" w:type="dxa"/>
        </w:tblCellMar>
      </w:tblPr>
      <w:tblGrid>
        <w:gridCol w:w="4406"/>
        <w:gridCol w:w="146"/>
        <w:gridCol w:w="721"/>
        <w:gridCol w:w="146"/>
        <w:gridCol w:w="146"/>
        <w:gridCol w:w="721"/>
        <w:gridCol w:w="146"/>
        <w:gridCol w:w="146"/>
        <w:gridCol w:w="721"/>
        <w:gridCol w:w="146"/>
        <w:gridCol w:w="146"/>
        <w:gridCol w:w="721"/>
        <w:gridCol w:w="391"/>
      </w:tblGrid>
      <w:tr>
        <w:trPr/>
        <w:tc>
          <w:tcPr>
            <w:tcW w:w="4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Quantities Generated and Purchased by Fuel Type</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GWh)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Generated:</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Natural Gas and Oil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Wind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Generated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Purchased:</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Coal, Natural Gas, Oil, and Other Market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Wind and Solar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Total Purchased </w:t>
            </w:r>
            <w:r>
              <w:rPr>
                <w:rFonts w:ascii="Arial" w:hAnsi="Arial"/>
                <w:color w:val="000000"/>
                <w:sz w:val="12"/>
              </w:rPr>
              <w:t>(a)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Generated and Purchased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pPr>
      <w:r>
        <w:rPr>
          <w:rFonts w:ascii="Arial" w:hAnsi="Arial"/>
          <w:color w:val="000000"/>
          <w:sz w:val="16"/>
        </w:rPr>
        <w:t xml:space="preserve">The increase in total purchases for the six months ended June 30, 2026, compared to the same period in 2025, was primarily driven by generation outages and increased demand from Wyoming Electric's large-load customers under the LPCS and BCIS Tariffs. </w:t>
        <w:br/>
      </w:r>
      <w:r>
        <w:rPr>
          <w:color w:val="000000"/>
        </w:rPr>
        <w:t> </w:t>
      </w:r>
    </w:p>
    <w:p>
      <w:pPr>
        <w:pStyle w:val="TextBody"/>
        <w:bidi w:val="0"/>
        <w:jc w:val="center"/>
        <w:rPr>
          <w:rFonts w:ascii="Arial" w:hAnsi="Arial"/>
          <w:color w:val="000000"/>
          <w:sz w:val="18"/>
        </w:rPr>
      </w:pPr>
      <w:r>
        <w:rPr>
          <w:rFonts w:ascii="Arial" w:hAnsi="Arial"/>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9068" w:type="dxa"/>
        <w:jc w:val="left"/>
        <w:tblInd w:w="0" w:type="dxa"/>
        <w:tblLayout w:type="fixed"/>
        <w:tblCellMar>
          <w:top w:w="28" w:type="dxa"/>
          <w:left w:w="28" w:type="dxa"/>
          <w:bottom w:w="28" w:type="dxa"/>
          <w:right w:w="28" w:type="dxa"/>
        </w:tblCellMar>
      </w:tblPr>
      <w:tblGrid>
        <w:gridCol w:w="4771"/>
        <w:gridCol w:w="146"/>
        <w:gridCol w:w="721"/>
        <w:gridCol w:w="146"/>
        <w:gridCol w:w="146"/>
        <w:gridCol w:w="721"/>
        <w:gridCol w:w="146"/>
        <w:gridCol w:w="146"/>
        <w:gridCol w:w="721"/>
        <w:gridCol w:w="146"/>
        <w:gridCol w:w="146"/>
        <w:gridCol w:w="721"/>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Quantities Generated and Purchased by Business Unit</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GWh)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Generated:</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Colorado Electric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South Dakota Electric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Wyoming Electric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Integrated Generation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Generated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Purchased:</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Colorado Electric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South Dakota Electric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Wyoming Electric </w:t>
            </w:r>
            <w:r>
              <w:rPr>
                <w:rFonts w:ascii="Arial" w:hAnsi="Arial"/>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Integrated Generation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Generated and Purchased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color w:val="000000"/>
          <w:sz w:val="16"/>
        </w:rPr>
      </w:pPr>
      <w:r>
        <w:rPr>
          <w:rFonts w:ascii="Arial" w:hAnsi="Arial"/>
          <w:color w:val="000000"/>
          <w:sz w:val="16"/>
        </w:rPr>
        <w:t>As discussed in footnote (a) in the Quantities Generated and Purchased by Fuel Type table above, the increase in Wyoming Electric's purchases for the three and six months ended June 30, 2026, compared to the same periods in 2025, is primarily driven by increased demand from large-load customers under the LPCS and BCIS Tariffs.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7"/>
        <w:gridCol w:w="661"/>
        <w:gridCol w:w="1477"/>
        <w:gridCol w:w="661"/>
        <w:gridCol w:w="1477"/>
        <w:gridCol w:w="661"/>
        <w:gridCol w:w="1477"/>
        <w:gridCol w:w="661"/>
        <w:gridCol w:w="1523"/>
      </w:tblGrid>
      <w:tr>
        <w:trPr/>
        <w:tc>
          <w:tcPr>
            <w:tcW w:w="160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6"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432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1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Degree Days</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Heating Degree Days: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Colorado Electric</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539</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623</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2,540</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3,356</w:t>
            </w:r>
          </w:p>
        </w:tc>
        <w:tc>
          <w:tcPr>
            <w:tcW w:w="15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8%</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South Dakota Electric</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980</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908</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3,547</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4,346</w:t>
            </w:r>
          </w:p>
        </w:tc>
        <w:tc>
          <w:tcPr>
            <w:tcW w:w="15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1%</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Wyoming Electric</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974</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1,085</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3,299</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4,225</w:t>
            </w:r>
          </w:p>
        </w:tc>
        <w:tc>
          <w:tcPr>
            <w:tcW w:w="1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2%</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Combined </w:t>
            </w:r>
            <w:r>
              <w:rPr>
                <w:rFonts w:ascii="Arial" w:hAnsi="Arial"/>
                <w:color w:val="000000"/>
                <w:sz w:val="12"/>
              </w:rPr>
              <w:t>(a)</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781</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815</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3,044</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3,875</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Cooling Degree Days: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Colorado Electric</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347</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235</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358</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235</w:t>
            </w:r>
          </w:p>
        </w:tc>
        <w:tc>
          <w:tcPr>
            <w:tcW w:w="15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(16)%</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South Dakota Electric</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162</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162</w:t>
            </w:r>
          </w:p>
        </w:tc>
        <w:tc>
          <w:tcPr>
            <w:tcW w:w="15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41%</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Wyoming Electric</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47</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60</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47</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60</w:t>
            </w:r>
          </w:p>
        </w:tc>
        <w:tc>
          <w:tcPr>
            <w:tcW w:w="1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(24)%</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Combined </w:t>
            </w:r>
            <w:r>
              <w:rPr>
                <w:rFonts w:ascii="Arial" w:hAnsi="Arial"/>
                <w:color w:val="000000"/>
                <w:sz w:val="12"/>
              </w:rPr>
              <w:t>(a)</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174</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206</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174</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color w:val="000000"/>
          <w:sz w:val="16"/>
        </w:rPr>
      </w:pPr>
      <w:r>
        <w:rPr>
          <w:rFonts w:ascii="Arial" w:hAnsi="Arial"/>
          <w:color w:val="000000"/>
          <w:sz w:val="16"/>
        </w:rPr>
        <w:t>Degree days are calculated based on a weighted average of total customers by state.</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20" w:name="mda_gas"/>
      <w:bookmarkEnd w:id="20"/>
      <w:r>
        <w:rPr>
          <w:rFonts w:ascii="Arial" w:hAnsi="Arial"/>
          <w:b/>
          <w:color w:val="000000"/>
          <w:sz w:val="18"/>
        </w:rPr>
        <w:t>Gas Utilities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Operating results for the Gas Utilities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9"/>
        <w:gridCol w:w="214"/>
        <w:gridCol w:w="580"/>
        <w:gridCol w:w="148"/>
        <w:gridCol w:w="214"/>
        <w:gridCol w:w="580"/>
        <w:gridCol w:w="148"/>
        <w:gridCol w:w="439"/>
        <w:gridCol w:w="974"/>
        <w:gridCol w:w="166"/>
        <w:gridCol w:w="211"/>
        <w:gridCol w:w="571"/>
        <w:gridCol w:w="146"/>
        <w:gridCol w:w="211"/>
        <w:gridCol w:w="571"/>
        <w:gridCol w:w="146"/>
        <w:gridCol w:w="403"/>
        <w:gridCol w:w="1009"/>
        <w:gridCol w:w="395"/>
      </w:tblGrid>
      <w:tr>
        <w:trPr/>
        <w:tc>
          <w:tcPr>
            <w:tcW w:w="30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1"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natural gas sold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68.9</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Gas Utility margin (non-GAAP) </w:t>
            </w:r>
            <w:r>
              <w:rPr>
                <w:rFonts w:ascii="Arial" w:hAnsi="Arial"/>
                <w:color w:val="000000"/>
                <w:sz w:val="12"/>
              </w:rPr>
              <w:t>(a)</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166.6</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154.1</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Operations and maintenance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80.1</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operating expenses (excluding Cost of natural gas sold)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pPr>
      <w:r>
        <w:rPr>
          <w:rFonts w:ascii="Arial" w:hAnsi="Arial"/>
          <w:color w:val="000000"/>
          <w:sz w:val="16"/>
        </w:rPr>
        <w:t xml:space="preserve">See </w:t>
      </w:r>
      <w:hyperlink w:anchor="mda_non_gaap_fin_measures">
        <w:r>
          <w:rPr>
            <w:rStyle w:val="InternetLink"/>
            <w:rFonts w:ascii="Arial" w:hAnsi="Arial"/>
            <w:color w:val="0000FF"/>
            <w:sz w:val="16"/>
            <w:u w:val="single"/>
          </w:rPr>
          <w:t>Non-GAAP Financial Measures</w:t>
        </w:r>
      </w:hyperlink>
      <w:r>
        <w:rPr>
          <w:color w:val="000000"/>
        </w:rPr>
        <w:t xml:space="preserve"> </w:t>
      </w:r>
      <w:r>
        <w:rPr>
          <w:rFonts w:ascii="Arial" w:hAnsi="Arial"/>
          <w:color w:val="000000"/>
          <w:sz w:val="16"/>
        </w:rPr>
        <w:t>section above for reconciliation to Gross margin, the most directly comparable GAAP measure.</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Three Months Ended June 30, 2026, Compared to the Three Months Ended June 30,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Gas Utility margin increased as a result of the following:</w:t>
      </w:r>
    </w:p>
    <w:p>
      <w:pPr>
        <w:pStyle w:val="TextBody"/>
        <w:bidi w:val="0"/>
        <w:jc w:val="left"/>
        <w:rPr/>
      </w:pPr>
      <w:r>
        <w:rPr/>
        <w:t> </w:t>
      </w:r>
    </w:p>
    <w:tbl>
      <w:tblPr>
        <w:tblW w:w="6377" w:type="dxa"/>
        <w:jc w:val="left"/>
        <w:tblInd w:w="0" w:type="dxa"/>
        <w:tblLayout w:type="fixed"/>
        <w:tblCellMar>
          <w:top w:w="28" w:type="dxa"/>
          <w:left w:w="28" w:type="dxa"/>
          <w:bottom w:w="28" w:type="dxa"/>
          <w:right w:w="28" w:type="dxa"/>
        </w:tblCellMar>
      </w:tblPr>
      <w:tblGrid>
        <w:gridCol w:w="5116"/>
        <w:gridCol w:w="327"/>
        <w:gridCol w:w="723"/>
        <w:gridCol w:w="211"/>
      </w:tblGrid>
      <w:tr>
        <w:trPr/>
        <w:tc>
          <w:tcPr>
            <w:tcW w:w="511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New rates and rider recovery</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Mark-to-market on non-utility natural gas commodity contracts</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Weather</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Operations and maintenance expense increased primarily due to higher outside services expenses and office and facilities expenses partially offset by lower employee 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Depreciation and amortization increased primarily due to higher asset base driven by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Taxes other than income taxes were comparable to the same period in the prior year.</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Six Months Ended June 30, 2026, Compared to the Six Months Ended June 30,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Gas Utility margin increased as a result of the following:</w:t>
      </w:r>
    </w:p>
    <w:p>
      <w:pPr>
        <w:pStyle w:val="TextBody"/>
        <w:bidi w:val="0"/>
        <w:jc w:val="left"/>
        <w:rPr/>
      </w:pPr>
      <w:r>
        <w:rPr/>
        <w:t> </w:t>
      </w:r>
    </w:p>
    <w:tbl>
      <w:tblPr>
        <w:tblW w:w="3737" w:type="dxa"/>
        <w:jc w:val="left"/>
        <w:tblInd w:w="0" w:type="dxa"/>
        <w:tblLayout w:type="fixed"/>
        <w:tblCellMar>
          <w:top w:w="28" w:type="dxa"/>
          <w:left w:w="28" w:type="dxa"/>
          <w:bottom w:w="28" w:type="dxa"/>
          <w:right w:w="28" w:type="dxa"/>
        </w:tblCellMar>
      </w:tblPr>
      <w:tblGrid>
        <w:gridCol w:w="2476"/>
        <w:gridCol w:w="300"/>
        <w:gridCol w:w="750"/>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New rates and rider recovery</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Customer growth</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Weather</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customer usage</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Operations and maintenance expense decreased primarily due to $5.1 million of lower employee related expenses partially offset by $3.2 million of higher outside services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Depreciation and amortization increased primarily due to higher asset base driven by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Taxes other than income taxes were comparable to the same period in the prior year.</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Operating Statistics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0"/>
        <w:gridCol w:w="211"/>
        <w:gridCol w:w="571"/>
        <w:gridCol w:w="146"/>
        <w:gridCol w:w="211"/>
        <w:gridCol w:w="571"/>
        <w:gridCol w:w="146"/>
        <w:gridCol w:w="211"/>
        <w:gridCol w:w="571"/>
        <w:gridCol w:w="146"/>
        <w:gridCol w:w="211"/>
        <w:gridCol w:w="571"/>
        <w:gridCol w:w="146"/>
        <w:gridCol w:w="149"/>
        <w:gridCol w:w="478"/>
        <w:gridCol w:w="149"/>
        <w:gridCol w:w="149"/>
        <w:gridCol w:w="478"/>
        <w:gridCol w:w="146"/>
        <w:gridCol w:w="146"/>
        <w:gridCol w:w="571"/>
        <w:gridCol w:w="146"/>
        <w:gridCol w:w="146"/>
        <w:gridCol w:w="571"/>
        <w:gridCol w:w="394"/>
      </w:tblGrid>
      <w:tr>
        <w:trPr/>
        <w:tc>
          <w:tcPr>
            <w:tcW w:w="2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Quantities Sold and Transported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By Customer Class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11"/>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129" w:type="dxa"/>
            <w:gridSpan w:val="11"/>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(Dth in millions)</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Revenue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Residential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Commercial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Industrial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Other Retail </w:t>
            </w:r>
            <w:r>
              <w:rPr>
                <w:rFonts w:ascii="Arial" w:hAnsi="Arial"/>
                <w:color w:val="000000"/>
                <w:sz w:val="12"/>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Subtotal Retail Revenue - Gas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Transportation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Other </w:t>
            </w:r>
            <w:r>
              <w:rPr>
                <w:rFonts w:ascii="Arial" w:hAnsi="Arial"/>
                <w:color w:val="000000"/>
                <w:sz w:val="12"/>
              </w:rPr>
              <w:t>(b)</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Revenue and Quantities Sold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Includes Black Hills Energy Services revenue under the Choice Gas Program.</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jc w:val="left"/>
        <w:rPr>
          <w:rFonts w:ascii="Arial" w:hAnsi="Arial"/>
          <w:color w:val="000000"/>
          <w:sz w:val="16"/>
        </w:rPr>
      </w:pPr>
      <w:r>
        <w:rPr>
          <w:rFonts w:ascii="Arial" w:hAnsi="Arial"/>
          <w:color w:val="000000"/>
          <w:sz w:val="16"/>
        </w:rPr>
        <w:t>Includes inter-segment rent and non-regulated services under the Service Guard Comfort Plan, Tech Services, and HomeServe.</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68"/>
        <w:gridCol w:w="211"/>
        <w:gridCol w:w="571"/>
        <w:gridCol w:w="146"/>
        <w:gridCol w:w="211"/>
        <w:gridCol w:w="571"/>
        <w:gridCol w:w="146"/>
        <w:gridCol w:w="211"/>
        <w:gridCol w:w="571"/>
        <w:gridCol w:w="146"/>
        <w:gridCol w:w="211"/>
        <w:gridCol w:w="571"/>
        <w:gridCol w:w="146"/>
        <w:gridCol w:w="149"/>
        <w:gridCol w:w="478"/>
        <w:gridCol w:w="149"/>
        <w:gridCol w:w="149"/>
        <w:gridCol w:w="478"/>
        <w:gridCol w:w="146"/>
        <w:gridCol w:w="146"/>
        <w:gridCol w:w="571"/>
        <w:gridCol w:w="146"/>
        <w:gridCol w:w="146"/>
        <w:gridCol w:w="571"/>
        <w:gridCol w:w="296"/>
      </w:tblGrid>
      <w:tr>
        <w:trPr/>
        <w:tc>
          <w:tcPr>
            <w:tcW w:w="3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Quantities Sold and Transported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By Business Unit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(Dth in millions)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Arkansas Gas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Colorado Gas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Iowa Gas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Kansas Gas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Nebraska Gas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Wyoming Gas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Revenue and Quantities Sold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145.0</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7"/>
        <w:gridCol w:w="661"/>
        <w:gridCol w:w="1489"/>
        <w:gridCol w:w="661"/>
        <w:gridCol w:w="1489"/>
        <w:gridCol w:w="661"/>
        <w:gridCol w:w="1489"/>
        <w:gridCol w:w="661"/>
        <w:gridCol w:w="1537"/>
      </w:tblGrid>
      <w:tr>
        <w:trPr/>
        <w:tc>
          <w:tcPr>
            <w:tcW w:w="15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0"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434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Heating Degree Days</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Arkansas Gas </w:t>
            </w:r>
            <w:r>
              <w:rPr>
                <w:rFonts w:ascii="Arial" w:hAnsi="Arial"/>
                <w:color w:val="000000"/>
                <w:sz w:val="12"/>
              </w:rPr>
              <w:t>(a)</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155</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(45)%</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193</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1,727</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2,150</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Colorado Gas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716</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822</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2,775</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3,659</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Iowa Gas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597</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640</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3,591</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3.928</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Kansas Gas </w:t>
            </w:r>
            <w:r>
              <w:rPr>
                <w:rFonts w:ascii="Arial" w:hAnsi="Arial"/>
                <w:color w:val="000000"/>
                <w:sz w:val="12"/>
              </w:rPr>
              <w:t>(a)</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274</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367</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2,308</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2.983</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Nebraska Gas </w:t>
            </w:r>
            <w:r>
              <w:rPr>
                <w:rFonts w:ascii="Arial" w:hAnsi="Arial"/>
                <w:color w:val="000000"/>
                <w:sz w:val="12"/>
              </w:rPr>
              <w:t>(a)</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532</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553</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3,077</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3.592</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Wyoming Gas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1,061</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1,110</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3,525</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4.433</w:t>
            </w:r>
          </w:p>
        </w:tc>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1%</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Combined </w:t>
            </w:r>
            <w:r>
              <w:rPr>
                <w:rFonts w:ascii="Arial" w:hAnsi="Arial"/>
                <w:color w:val="000000"/>
                <w:sz w:val="12"/>
              </w:rPr>
              <w:t>(b)</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657</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658</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3,170</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3,740</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Arkansas Gas and Kansas Gas have weather normalization mechanisms that mitigate the weather impact on Gas Utility margins. Nebraska Gas received NPSC approval to implement a two-year pilot program for a weather normalization mechanism which was effective August 1, 2025.</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jc w:val="left"/>
        <w:rPr>
          <w:rFonts w:ascii="Arial" w:hAnsi="Arial"/>
          <w:color w:val="000000"/>
          <w:sz w:val="16"/>
        </w:rPr>
      </w:pPr>
      <w:r>
        <w:rPr>
          <w:rFonts w:ascii="Arial" w:hAnsi="Arial"/>
          <w:color w:val="000000"/>
          <w:sz w:val="16"/>
        </w:rPr>
        <w:t>The combined heating degree days are calculated based on a weighted average of total customers by state excluding Kansas Gas and Nebraska Gas (effective in August 2025) due to its weather normalization mechanism. Arkansas Gas is partially excluded based on the weather normalization mechanism in effect from November through April.</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21" w:name="mda_corp_other"/>
      <w:bookmarkEnd w:id="21"/>
      <w:r>
        <w:rPr>
          <w:rFonts w:ascii="Arial" w:hAnsi="Arial"/>
          <w:b/>
          <w:color w:val="000000"/>
          <w:sz w:val="18"/>
        </w:rPr>
        <w:t>Corporate and Other</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Corporate and Other operating results, including inter-segment eliminations, were as follows:</w:t>
      </w:r>
    </w:p>
    <w:p>
      <w:pPr>
        <w:pStyle w:val="TextBody"/>
        <w:bidi w:val="0"/>
        <w:jc w:val="left"/>
        <w:rPr/>
      </w:pPr>
      <w:r>
        <w:rPr/>
        <w:t> </w:t>
      </w:r>
    </w:p>
    <w:tbl>
      <w:tblPr>
        <w:tblW w:w="10152" w:type="dxa"/>
        <w:jc w:val="left"/>
        <w:tblInd w:w="0" w:type="dxa"/>
        <w:tblLayout w:type="fixed"/>
        <w:tblCellMar>
          <w:top w:w="28" w:type="dxa"/>
          <w:left w:w="28" w:type="dxa"/>
          <w:bottom w:w="28" w:type="dxa"/>
          <w:right w:w="28" w:type="dxa"/>
        </w:tblCellMar>
      </w:tblPr>
      <w:tblGrid>
        <w:gridCol w:w="2071"/>
        <w:gridCol w:w="248"/>
        <w:gridCol w:w="496"/>
        <w:gridCol w:w="195"/>
        <w:gridCol w:w="248"/>
        <w:gridCol w:w="496"/>
        <w:gridCol w:w="195"/>
        <w:gridCol w:w="684"/>
        <w:gridCol w:w="1371"/>
        <w:gridCol w:w="166"/>
        <w:gridCol w:w="227"/>
        <w:gridCol w:w="453"/>
        <w:gridCol w:w="178"/>
        <w:gridCol w:w="227"/>
        <w:gridCol w:w="453"/>
        <w:gridCol w:w="178"/>
        <w:gridCol w:w="684"/>
        <w:gridCol w:w="1371"/>
        <w:gridCol w:w="211"/>
      </w:tblGrid>
      <w:tr>
        <w:trPr/>
        <w:tc>
          <w:tcPr>
            <w:tcW w:w="20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0"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 (loss)</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Three Months Ended June 30, 2026, Compared to the Three Months Ended June 30,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Operating loss increased primarily due to $4.1 million of costs related to the pending merger with NorthWestern.</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Six Months Ended June 30, 2026, Compared to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Operating loss increased primarily due to $8.6 million of costs related to the pending merger with NorthWestern.</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22" w:name="mda_below_the_line_exp"/>
      <w:bookmarkEnd w:id="22"/>
      <w:r>
        <w:rPr>
          <w:rFonts w:ascii="Arial" w:hAnsi="Arial"/>
          <w:b/>
          <w:color w:val="000000"/>
          <w:sz w:val="18"/>
        </w:rPr>
        <w:t>Consolidated Interest Expense, Other Income and Income Tax Expense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3"/>
        <w:gridCol w:w="226"/>
        <w:gridCol w:w="564"/>
        <w:gridCol w:w="177"/>
        <w:gridCol w:w="226"/>
        <w:gridCol w:w="564"/>
        <w:gridCol w:w="177"/>
        <w:gridCol w:w="670"/>
        <w:gridCol w:w="1344"/>
        <w:gridCol w:w="166"/>
        <w:gridCol w:w="211"/>
        <w:gridCol w:w="631"/>
        <w:gridCol w:w="166"/>
        <w:gridCol w:w="211"/>
        <w:gridCol w:w="631"/>
        <w:gridCol w:w="166"/>
        <w:gridCol w:w="670"/>
        <w:gridCol w:w="1344"/>
        <w:gridCol w:w="218"/>
      </w:tblGrid>
      <w:tr>
        <w:trPr/>
        <w:tc>
          <w:tcPr>
            <w:tcW w:w="18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4"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Three Months Ended June 30, 2026, Compared to the Three Months Ended June 30,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Interest expense, net, increased compared to the same period in the prior year as higher interest expense primarily driven by higher debt balances.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Other income, net, was comparable to the same period in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Income tax (expense) was comparable to the same period in the prior year. For the three months ended June 30, 2026, the effective tax rate was 11.4%, which was comparable to 13.3% for the same period in 2025.</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Six Months Ended June 30, 2026, Compared to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Interest expense, net, increased compared to the same period in the prior year due to higher interest expense primarily driven by higher debt balances partially offset by higher AFUDC debt driven by construction work-in-progress balances.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Other income, net, was comparable to the same period in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Income tax (expense) was comparable to the same period in the prior year. For the six months ended June 30, 2026, the effective tax rate was 11.6%, which was comparable to 12.0% for the same period in 2025.</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bookmarkStart w:id="23" w:name="mda_liquidity"/>
      <w:bookmarkEnd w:id="23"/>
      <w:r>
        <w:rPr>
          <w:rFonts w:ascii="Arial" w:hAnsi="Arial"/>
          <w:b/>
          <w:color w:val="000000"/>
          <w:sz w:val="18"/>
        </w:rPr>
        <w:t>Liquidity and Capital Resources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provides an informational summary of our liquidity and capital structure as of:</w:t>
      </w:r>
    </w:p>
    <w:p>
      <w:pPr>
        <w:pStyle w:val="TextBody"/>
        <w:bidi w:val="0"/>
        <w:jc w:val="left"/>
        <w:rPr/>
      </w:pPr>
      <w:r>
        <w:rPr/>
        <w:t> </w:t>
      </w:r>
    </w:p>
    <w:tbl>
      <w:tblPr>
        <w:tblW w:w="9408" w:type="dxa"/>
        <w:jc w:val="left"/>
        <w:tblInd w:w="0" w:type="dxa"/>
        <w:tblLayout w:type="fixed"/>
        <w:tblCellMar>
          <w:top w:w="28" w:type="dxa"/>
          <w:left w:w="28" w:type="dxa"/>
          <w:bottom w:w="28" w:type="dxa"/>
          <w:right w:w="28" w:type="dxa"/>
        </w:tblCellMar>
      </w:tblPr>
      <w:tblGrid>
        <w:gridCol w:w="5761"/>
        <w:gridCol w:w="292"/>
        <w:gridCol w:w="998"/>
        <w:gridCol w:w="271"/>
        <w:gridCol w:w="399"/>
        <w:gridCol w:w="1371"/>
        <w:gridCol w:w="316"/>
      </w:tblGrid>
      <w:tr>
        <w:trPr/>
        <w:tc>
          <w:tcPr>
            <w:tcW w:w="57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(dollars in millions)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Available capacity under Revolving Credit Facility and CP Program</w:t>
            </w:r>
            <w:r>
              <w:rPr>
                <w:rFonts w:ascii="Times New Roman" w:hAnsi="Times New Roman"/>
                <w:color w:val="000000"/>
                <w:sz w:val="18"/>
              </w:rPr>
              <w:t> </w:t>
            </w:r>
            <w:r>
              <w:rPr>
                <w:rFonts w:ascii="Arial" w:hAnsi="Arial"/>
                <w:color w:val="000000"/>
                <w:sz w:val="12"/>
              </w:rPr>
              <w:t>(a)</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Available liquidity</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Capital structure</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debt</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Notes Payable</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Current maturities of long-term debt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Refundable advances for construction</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4,701.1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debt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 (excludes non-controlling interest)</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3,823.6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capitalization</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8,722.3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8,524.7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Debt to capitalization</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to total debt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pPr>
      <w:r>
        <w:rPr>
          <w:rFonts w:ascii="Arial" w:hAnsi="Arial"/>
          <w:color w:val="000000"/>
          <w:sz w:val="16"/>
        </w:rPr>
        <w:t xml:space="preserve">Available capacity under Revolving Credit Facility and CP Program represents $750 million of total borrowing capacity less outstanding borrowings and letters of credit. See </w:t>
      </w:r>
      <w:hyperlink w:anchor="fn5_financing">
        <w:r>
          <w:rPr>
            <w:rStyle w:val="InternetLink"/>
            <w:rFonts w:ascii="Arial" w:hAnsi="Arial"/>
            <w:color w:val="0000FF"/>
            <w:sz w:val="16"/>
            <w:u w:val="single"/>
          </w:rPr>
          <w:t>Note 5</w:t>
        </w:r>
      </w:hyperlink>
      <w:r>
        <w:rPr>
          <w:color w:val="000000"/>
        </w:rPr>
        <w:t xml:space="preserve"> </w:t>
      </w:r>
      <w:r>
        <w:rPr>
          <w:rFonts w:ascii="Arial" w:hAnsi="Arial"/>
          <w:color w:val="000000"/>
          <w:sz w:val="16"/>
        </w:rPr>
        <w:t>of the Notes to Consolidated Financial Statements for more information.</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Future Financing Plans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plan to fund our capital plan and strategic objectives by using cash generated from operating activities and various financing alternatives, which could include our Revolving Credit Facility, our CP Program, the issuance of common stock under our ATM or in a secondary offering and refundable advances from customers. We plan to re-finance our $400 million, 3.15%, senior unsecured notes due January 2027, at or before the maturity date.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Wyoming Electric entered into a generation reservation agreement with a prospective data center customer who will provide refundable advances totaling $377 million under the agreement maturing August 31, 2026. In the absence of an extension of this agreement, we will evaluate a range of financing alternatives to address repayment of the refundable advances, including available capacity under our Revolving Credit Facility, potential short-term loan arrangements, and issuances under our ATM.</w:t>
      </w:r>
    </w:p>
    <w:p>
      <w:pPr>
        <w:pStyle w:val="TextBody"/>
        <w:bidi w:val="0"/>
        <w:jc w:val="left"/>
        <w:rPr/>
      </w:pPr>
      <w:r>
        <w:rPr/>
        <w:t> </w:t>
      </w:r>
    </w:p>
    <w:p>
      <w:pPr>
        <w:pStyle w:val="TextBody"/>
        <w:bidi w:val="0"/>
        <w:jc w:val="left"/>
        <w:rPr>
          <w:rFonts w:ascii="Arial" w:hAnsi="Arial"/>
          <w:b/>
          <w:color w:val="000000"/>
          <w:sz w:val="18"/>
        </w:rPr>
      </w:pPr>
      <w:bookmarkStart w:id="24" w:name="mda_liq_cashflow_act"/>
      <w:bookmarkEnd w:id="24"/>
      <w:r>
        <w:rPr>
          <w:rFonts w:ascii="Arial" w:hAnsi="Arial"/>
          <w:b/>
          <w:color w:val="000000"/>
          <w:sz w:val="18"/>
        </w:rPr>
        <w:t>CASH FLOW ACTIVITIES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tables summarize our cash flows for the six months ended June 30, 2026:</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Operating Activities: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81"/>
        <w:gridCol w:w="211"/>
        <w:gridCol w:w="631"/>
        <w:gridCol w:w="166"/>
        <w:gridCol w:w="211"/>
        <w:gridCol w:w="571"/>
        <w:gridCol w:w="166"/>
        <w:gridCol w:w="558"/>
        <w:gridCol w:w="1397"/>
        <w:gridCol w:w="413"/>
      </w:tblGrid>
      <w:tr>
        <w:trPr/>
        <w:tc>
          <w:tcPr>
            <w:tcW w:w="5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Non-cash adjustments to Net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earnings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Changes in certain operating assets and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Materials, supplies and fuel, Accounts receivable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Regulatory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inflow (outflow) from changes in certain operating assets and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operating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operating activities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Six Months Ended June 30, 2026, Compared to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Total earnings (net income plus non-cash adjustments) were $11.1 million higher than the same period in the prior year primarily as a result of increased Electric and Gas Utility margins due to new rates and rider recovery partially offset by higher financing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Net inflows from changes in certain operating assets and liabilities were $42.7 million lower, primarily attributable to:</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rFonts w:ascii="Arial" w:hAnsi="Arial"/>
          <w:color w:val="000000"/>
          <w:sz w:val="18"/>
        </w:rPr>
      </w:pPr>
      <w:r>
        <w:rPr>
          <w:rFonts w:ascii="Arial" w:hAnsi="Arial"/>
          <w:color w:val="000000"/>
          <w:sz w:val="18"/>
        </w:rPr>
        <w:t>Cash inflows increased by $49.3 million as a result of changes in accounts receivable and other current assets primarily driven by fluctuations in commodity prices and weather, and receipt of an insurance loss recovery receivable related to a legal settlement in Colorado;</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rFonts w:ascii="Arial" w:hAnsi="Arial"/>
          <w:color w:val="000000"/>
          <w:sz w:val="18"/>
        </w:rPr>
      </w:pPr>
      <w:r>
        <w:rPr>
          <w:rFonts w:ascii="Arial" w:hAnsi="Arial"/>
          <w:color w:val="000000"/>
          <w:sz w:val="18"/>
        </w:rPr>
        <w:t>Cash outflows increased by $52.1 million as a result of changes in accounts payable and other current liabilities primarily driven by fluctuations in commodity prices, payment of a legal liability from settlement in Colorado and changes in other working capital requirements;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rFonts w:ascii="Arial" w:hAnsi="Arial"/>
          <w:color w:val="000000"/>
          <w:sz w:val="18"/>
        </w:rPr>
      </w:pPr>
      <w:r>
        <w:rPr>
          <w:rFonts w:ascii="Arial" w:hAnsi="Arial"/>
          <w:color w:val="000000"/>
          <w:sz w:val="18"/>
        </w:rPr>
        <w:t>Cash inflows decreased by $39.9 million as a result of changes in our regulatory assets and liabilities primarily due to lower recoveries of gas and fuel cost adjustments driven by fluctuations in commodity prices, and lower recoveries of our Winter Storm Uri regulatory asset as recovery is now complete in nearly all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Cash outflows from other operating activities increased by $13.5 million primarily driven by settlement of contractor retainage balances from Wyoming Electric's recently completed Ready Wyoming project and higher costs from cloud computing arrangements.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Investing Activities:</w:t>
      </w:r>
    </w:p>
    <w:p>
      <w:pPr>
        <w:pStyle w:val="TextBody"/>
        <w:bidi w:val="0"/>
        <w:jc w:val="left"/>
        <w:rPr/>
      </w:pPr>
      <w:r>
        <w:rPr/>
        <w:t> </w:t>
      </w:r>
    </w:p>
    <w:tbl>
      <w:tblPr>
        <w:tblW w:w="7418" w:type="dxa"/>
        <w:jc w:val="left"/>
        <w:tblInd w:w="0" w:type="dxa"/>
        <w:tblLayout w:type="fixed"/>
        <w:tblCellMar>
          <w:top w:w="28" w:type="dxa"/>
          <w:left w:w="28" w:type="dxa"/>
          <w:bottom w:w="28" w:type="dxa"/>
          <w:right w:w="28" w:type="dxa"/>
        </w:tblCellMar>
      </w:tblPr>
      <w:tblGrid>
        <w:gridCol w:w="3136"/>
        <w:gridCol w:w="211"/>
        <w:gridCol w:w="631"/>
        <w:gridCol w:w="166"/>
        <w:gridCol w:w="211"/>
        <w:gridCol w:w="631"/>
        <w:gridCol w:w="166"/>
        <w:gridCol w:w="514"/>
        <w:gridCol w:w="1541"/>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Capital expenditures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investing activities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Six Months Ended June 30, 2026, Compared to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Cash outflows from capital expenditures increased $113.7 million primarily driven by the Lange II project and Wyoming Electric’s milestone payments for long lead-time generation equipment.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Cash outflows from other investing activities were comparable to the same period in the prior year.</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Financing Activities:</w:t>
      </w:r>
    </w:p>
    <w:p>
      <w:pPr>
        <w:pStyle w:val="TextBody"/>
        <w:bidi w:val="0"/>
        <w:jc w:val="left"/>
        <w:rPr/>
      </w:pPr>
      <w:r>
        <w:rPr/>
        <w:t> </w:t>
      </w:r>
    </w:p>
    <w:tbl>
      <w:tblPr>
        <w:tblW w:w="9173" w:type="dxa"/>
        <w:jc w:val="left"/>
        <w:tblInd w:w="0" w:type="dxa"/>
        <w:tblLayout w:type="fixed"/>
        <w:tblCellMar>
          <w:top w:w="28" w:type="dxa"/>
          <w:left w:w="28" w:type="dxa"/>
          <w:bottom w:w="28" w:type="dxa"/>
          <w:right w:w="28" w:type="dxa"/>
        </w:tblCellMar>
      </w:tblPr>
      <w:tblGrid>
        <w:gridCol w:w="4996"/>
        <w:gridCol w:w="211"/>
        <w:gridCol w:w="631"/>
        <w:gridCol w:w="166"/>
        <w:gridCol w:w="211"/>
        <w:gridCol w:w="526"/>
        <w:gridCol w:w="166"/>
        <w:gridCol w:w="514"/>
        <w:gridCol w:w="1541"/>
        <w:gridCol w:w="211"/>
      </w:tblGrid>
      <w:tr>
        <w:trPr/>
        <w:tc>
          <w:tcPr>
            <w:tcW w:w="4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 vs 2025 Variance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Dividends paid on common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issued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and long-term debt borrowings (repayments),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Distributions to non-controlling interests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refundable advances for construction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financing activities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u w:val="single"/>
        </w:rPr>
      </w:pPr>
      <w:r>
        <w:rPr>
          <w:rFonts w:ascii="Arial" w:hAnsi="Arial"/>
          <w:color w:val="000000"/>
          <w:sz w:val="18"/>
          <w:u w:val="single"/>
        </w:rPr>
        <w:t>Six Months Ended June 30, 2026, Compared to the Six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Dividends paid on common stock increased $9.0 million due to the increased dividend rate per share and increased number of common shares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Cash inflows decreased $14.9 million due to decreased issuances of common stock under our ATM.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Net cash outflows increased $199.9 million primarily as a result of the repayment of $300 million, 3.95% senior unsecured notes on their January 15, 2026 maturity date partially offset by net borrowing activity under our CP Program.</w:t>
      </w:r>
    </w:p>
    <w:p>
      <w:pPr>
        <w:pStyle w:val="TextBody"/>
        <w:bidi w:val="0"/>
        <w:jc w:val="center"/>
        <w:rPr>
          <w:rFonts w:ascii="Arial" w:hAnsi="Arial"/>
          <w:color w:val="000000"/>
          <w:sz w:val="18"/>
        </w:rPr>
      </w:pPr>
      <w:r>
        <w:rPr>
          <w:rFonts w:ascii="Arial" w:hAnsi="Arial"/>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Distributions to non-controlling interests increased due to higher net income from Black Hills Colorado IPP primarily driven by prior year unplanned generation outages.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18"/>
        </w:rPr>
        <w:t xml:space="preserve">Cash inflows increased due to $285.0 million of refundable advances from a prospective customer for long lead-time generation equipment. See </w:t>
      </w:r>
      <w:hyperlink w:anchor="fn5_financing">
        <w:r>
          <w:rPr>
            <w:rStyle w:val="InternetLink"/>
            <w:rFonts w:ascii="Arial" w:hAnsi="Arial"/>
            <w:color w:val="0000FF"/>
            <w:sz w:val="18"/>
            <w:u w:val="single"/>
          </w:rPr>
          <w:t>Note 5</w:t>
        </w:r>
      </w:hyperlink>
      <w:r>
        <w:rPr>
          <w:color w:val="000000"/>
        </w:rPr>
        <w:t xml:space="preserve"> </w:t>
      </w:r>
      <w:r>
        <w:rPr>
          <w:rFonts w:ascii="Arial" w:hAnsi="Arial"/>
          <w:color w:val="000000"/>
          <w:sz w:val="18"/>
        </w:rPr>
        <w:t>of the Condensed Notes to Consolidated Financial Statements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Cash outflows from other financing activities were comparable to the same period in the prior year.</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25" w:name="mda_liq_cap_resources"/>
      <w:bookmarkEnd w:id="25"/>
      <w:r>
        <w:rPr>
          <w:rFonts w:ascii="Arial" w:hAnsi="Arial"/>
          <w:b/>
          <w:color w:val="000000"/>
          <w:sz w:val="18"/>
        </w:rPr>
        <w:t>CAPITAL RESOURCES</w:t>
      </w:r>
    </w:p>
    <w:p>
      <w:pPr>
        <w:pStyle w:val="TextBody"/>
        <w:bidi w:val="0"/>
        <w:jc w:val="left"/>
        <w:rPr/>
      </w:pPr>
      <w:r>
        <w:rPr/>
        <w:t> </w:t>
      </w:r>
    </w:p>
    <w:p>
      <w:pPr>
        <w:pStyle w:val="TextBody"/>
        <w:bidi w:val="0"/>
        <w:jc w:val="left"/>
        <w:rPr/>
      </w:pPr>
      <w:r>
        <w:rPr>
          <w:rFonts w:ascii="Arial" w:hAnsi="Arial"/>
          <w:color w:val="000000"/>
          <w:sz w:val="18"/>
        </w:rPr>
        <w:t xml:space="preserve">See </w:t>
      </w:r>
      <w:hyperlink w:anchor="fn5_financing">
        <w:r>
          <w:rPr>
            <w:rStyle w:val="InternetLink"/>
            <w:rFonts w:ascii="Arial" w:hAnsi="Arial"/>
            <w:color w:val="0000FF"/>
            <w:sz w:val="18"/>
            <w:u w:val="single"/>
          </w:rPr>
          <w:t>Note 5</w:t>
        </w:r>
      </w:hyperlink>
      <w:r>
        <w:rPr>
          <w:rFonts w:ascii="Times New Roman" w:hAnsi="Times New Roman"/>
          <w:color w:val="000000"/>
          <w:sz w:val="20"/>
        </w:rPr>
        <w:t xml:space="preserve"> </w:t>
      </w:r>
      <w:r>
        <w:rPr>
          <w:rFonts w:ascii="Arial" w:hAnsi="Arial"/>
          <w:color w:val="000000"/>
          <w:sz w:val="18"/>
        </w:rPr>
        <w:t>of the Condensed Notes to Consolidated Financial Statements for recent financing updates and financial covenants information.</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26" w:name="mda_liq_credit_ratings"/>
      <w:bookmarkEnd w:id="26"/>
      <w:r>
        <w:rPr>
          <w:rFonts w:ascii="Arial" w:hAnsi="Arial"/>
          <w:b/>
          <w:color w:val="000000"/>
          <w:sz w:val="18"/>
        </w:rPr>
        <w:t>CREDIT RATINGS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represents the credit ratings and outlook and risk profile of BHC as of the date of this report:</w:t>
      </w:r>
    </w:p>
    <w:p>
      <w:pPr>
        <w:pStyle w:val="TextBody"/>
        <w:bidi w:val="0"/>
        <w:jc w:val="left"/>
        <w:rPr/>
      </w:pPr>
      <w:r>
        <w:rPr/>
        <w:t> </w:t>
      </w:r>
    </w:p>
    <w:tbl>
      <w:tblPr>
        <w:tblW w:w="4443" w:type="dxa"/>
        <w:jc w:val="left"/>
        <w:tblInd w:w="0" w:type="dxa"/>
        <w:tblLayout w:type="fixed"/>
        <w:tblCellMar>
          <w:top w:w="28" w:type="dxa"/>
          <w:left w:w="28" w:type="dxa"/>
          <w:bottom w:w="28" w:type="dxa"/>
          <w:right w:w="28" w:type="dxa"/>
        </w:tblCellMar>
      </w:tblPr>
      <w:tblGrid>
        <w:gridCol w:w="1381"/>
        <w:gridCol w:w="2251"/>
        <w:gridCol w:w="811"/>
      </w:tblGrid>
      <w:tr>
        <w:trPr/>
        <w:tc>
          <w:tcPr>
            <w:tcW w:w="138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Rating Agency</w:t>
            </w:r>
          </w:p>
        </w:tc>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Unsecured Rating</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Outlook</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S&amp;P </w:t>
            </w:r>
            <w:r>
              <w:rPr>
                <w:rFonts w:ascii="Arial" w:hAnsi="Arial"/>
                <w:color w:val="000000"/>
                <w:sz w:val="12"/>
              </w:rPr>
              <w:t>(a)</w:t>
            </w:r>
          </w:p>
        </w:tc>
        <w:tc>
          <w:tcPr>
            <w:tcW w:w="225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BBB+</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Stable</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Moody's </w:t>
            </w:r>
            <w:r>
              <w:rPr>
                <w:rFonts w:ascii="Arial" w:hAnsi="Arial"/>
                <w:color w:val="000000"/>
                <w:sz w:val="12"/>
              </w:rPr>
              <w:t>(b)</w:t>
            </w:r>
          </w:p>
        </w:tc>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Baa2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Stable</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On August 19, 2025, S&amp;P affirmed our BBB+ rating and maintained a Stable outlook.</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jc w:val="left"/>
        <w:rPr>
          <w:rFonts w:ascii="Arial" w:hAnsi="Arial"/>
          <w:color w:val="000000"/>
          <w:sz w:val="16"/>
        </w:rPr>
      </w:pPr>
      <w:r>
        <w:rPr>
          <w:rFonts w:ascii="Arial" w:hAnsi="Arial"/>
          <w:color w:val="000000"/>
          <w:sz w:val="16"/>
        </w:rPr>
        <w:t>On August 19, 2025, Moody's affirmed our Baa2 rating and maintained a Stable outlook.</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represents the credit rating of South Dakota Electric as of the date of this report:</w:t>
      </w:r>
    </w:p>
    <w:p>
      <w:pPr>
        <w:pStyle w:val="TextBody"/>
        <w:bidi w:val="0"/>
        <w:jc w:val="left"/>
        <w:rPr/>
      </w:pPr>
      <w:r>
        <w:rPr/>
        <w:t> </w:t>
      </w:r>
    </w:p>
    <w:tbl>
      <w:tblPr>
        <w:tblW w:w="3452" w:type="dxa"/>
        <w:jc w:val="left"/>
        <w:tblInd w:w="0" w:type="dxa"/>
        <w:tblLayout w:type="fixed"/>
        <w:tblCellMar>
          <w:top w:w="28" w:type="dxa"/>
          <w:left w:w="28" w:type="dxa"/>
          <w:bottom w:w="28" w:type="dxa"/>
          <w:right w:w="28" w:type="dxa"/>
        </w:tblCellMar>
      </w:tblPr>
      <w:tblGrid>
        <w:gridCol w:w="1381"/>
        <w:gridCol w:w="2071"/>
      </w:tblGrid>
      <w:tr>
        <w:trPr/>
        <w:tc>
          <w:tcPr>
            <w:tcW w:w="138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Rating Agency</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Secured Rating</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S&amp;P</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27" w:name="mda_liq_cap_require"/>
      <w:bookmarkEnd w:id="27"/>
      <w:r>
        <w:rPr>
          <w:rFonts w:ascii="Arial" w:hAnsi="Arial"/>
          <w:b/>
          <w:color w:val="000000"/>
          <w:sz w:val="18"/>
        </w:rPr>
        <w:t>CAPITAL REQUIREMENTS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Capital Expenditures</w:t>
      </w:r>
    </w:p>
    <w:p>
      <w:pPr>
        <w:pStyle w:val="TextBody"/>
        <w:bidi w:val="0"/>
        <w:jc w:val="left"/>
        <w:rPr/>
      </w:pPr>
      <w:r>
        <w:rPr/>
        <w:t> </w:t>
      </w:r>
    </w:p>
    <w:tbl>
      <w:tblPr>
        <w:tblW w:w="9096" w:type="dxa"/>
        <w:jc w:val="left"/>
        <w:tblInd w:w="0" w:type="dxa"/>
        <w:tblLayout w:type="fixed"/>
        <w:tblCellMar>
          <w:top w:w="28" w:type="dxa"/>
          <w:left w:w="28" w:type="dxa"/>
          <w:bottom w:w="28" w:type="dxa"/>
          <w:right w:w="28" w:type="dxa"/>
        </w:tblCellMar>
      </w:tblPr>
      <w:tblGrid>
        <w:gridCol w:w="3481"/>
        <w:gridCol w:w="558"/>
        <w:gridCol w:w="1122"/>
        <w:gridCol w:w="211"/>
        <w:gridCol w:w="421"/>
        <w:gridCol w:w="146"/>
        <w:gridCol w:w="211"/>
        <w:gridCol w:w="421"/>
        <w:gridCol w:w="146"/>
        <w:gridCol w:w="211"/>
        <w:gridCol w:w="421"/>
        <w:gridCol w:w="146"/>
        <w:gridCol w:w="211"/>
        <w:gridCol w:w="421"/>
        <w:gridCol w:w="146"/>
        <w:gridCol w:w="211"/>
        <w:gridCol w:w="42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 xml:space="preserve">Actual </w:t>
            </w:r>
            <w:r>
              <w:rPr>
                <w:rFonts w:ascii="Arial" w:hAnsi="Arial"/>
                <w:b/>
                <w:color w:val="000000"/>
                <w:sz w:val="12"/>
              </w:rPr>
              <w:t>(a)</w:t>
            </w:r>
          </w:p>
        </w:tc>
        <w:tc>
          <w:tcPr>
            <w:tcW w:w="3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 xml:space="preserve">Forecasted </w:t>
            </w:r>
            <w:r>
              <w:rPr>
                <w:rFonts w:ascii="Arial" w:hAnsi="Arial"/>
                <w:b/>
                <w:color w:val="000000"/>
                <w:sz w:val="12"/>
              </w:rPr>
              <w:t>(b)</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Capital Expenditures by Segment</w:t>
              <w:br/>
            </w:r>
            <w:r>
              <w:rPr>
                <w:rFonts w:ascii="Arial" w:hAnsi="Arial"/>
                <w:color w:val="000000"/>
                <w:sz w:val="16"/>
              </w:rPr>
              <w:t>(minor differences may result due to rounding)</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Ended </w:t>
              <w:br/>
              <w:t>June 30, 2026</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Electric Utilities</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Gas Utilities</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Corporate and Other</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583</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968</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pPr>
      <w:r>
        <w:rPr>
          <w:rFonts w:ascii="Arial" w:hAnsi="Arial"/>
          <w:color w:val="000000"/>
          <w:sz w:val="16"/>
        </w:rPr>
        <w:t xml:space="preserve">Includes accruals for property, plant and equipment as disclosed in supplemental cash flow information in the </w:t>
      </w:r>
      <w:hyperlink w:anchor="stmt_cash_flows">
        <w:r>
          <w:rPr>
            <w:rStyle w:val="InternetLink"/>
            <w:rFonts w:ascii="Arial" w:hAnsi="Arial"/>
            <w:color w:val="0000FF"/>
            <w:sz w:val="16"/>
            <w:u w:val="single"/>
          </w:rPr>
          <w:t>Consolidated Statements of Cash Flows</w:t>
        </w:r>
      </w:hyperlink>
      <w:r>
        <w:rPr>
          <w:color w:val="000000"/>
        </w:rPr>
        <w:t xml:space="preserve"> </w:t>
      </w:r>
      <w:r>
        <w:rPr>
          <w:rFonts w:ascii="Arial" w:hAnsi="Arial"/>
          <w:color w:val="000000"/>
          <w:sz w:val="16"/>
        </w:rPr>
        <w:t>in the Consolidated Financial Statements. Capital expenditures are presented net of CIACs in the Consolidated Statements of Cash Flows.</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jc w:val="left"/>
        <w:rPr>
          <w:rFonts w:ascii="Arial" w:hAnsi="Arial"/>
          <w:color w:val="000000"/>
          <w:sz w:val="16"/>
        </w:rPr>
      </w:pPr>
      <w:r>
        <w:rPr>
          <w:rFonts w:ascii="Arial" w:hAnsi="Arial"/>
          <w:color w:val="000000"/>
          <w:sz w:val="16"/>
        </w:rPr>
        <w:t>Projects are being evaluated by our segments for timing, cost, and other factors.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Common Stock Dividends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Dividends paid on our common stock totaled $106.6 million for the six months ended June 30, 2026, or $0.703 per share. On July 28, 2026, our board of directors declared a quarterly dividend of $0.703 per share payable September 1, 2026, equivalent to an annual dividend of $2.812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bookmarkStart w:id="28" w:name="mda_critical_acct_est"/>
      <w:bookmarkEnd w:id="28"/>
      <w:r>
        <w:rPr>
          <w:rFonts w:ascii="Arial" w:hAnsi="Arial"/>
          <w:b/>
          <w:color w:val="000000"/>
          <w:sz w:val="18"/>
        </w:rPr>
        <w:t>Critical Accounting Estimates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summary of our critical accounting estimates is included in our 2025 Annual Report on Form 10-K. There were no material changes made as of June 30, 2026.</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bookmarkStart w:id="29" w:name="mda_new_acctg_pronounce"/>
      <w:bookmarkEnd w:id="29"/>
      <w:r>
        <w:rPr>
          <w:rFonts w:ascii="Arial" w:hAnsi="Arial"/>
          <w:b/>
          <w:color w:val="000000"/>
          <w:sz w:val="18"/>
        </w:rPr>
        <w:t>New Accounting Pronouncements</w:t>
      </w:r>
    </w:p>
    <w:p>
      <w:pPr>
        <w:pStyle w:val="TextBody"/>
        <w:bidi w:val="0"/>
        <w:jc w:val="left"/>
        <w:rPr/>
      </w:pPr>
      <w:r>
        <w:rPr/>
        <w:t> </w:t>
      </w:r>
    </w:p>
    <w:p>
      <w:pPr>
        <w:pStyle w:val="TextBody"/>
        <w:bidi w:val="0"/>
        <w:jc w:val="left"/>
        <w:rPr/>
      </w:pPr>
      <w:r>
        <w:rPr>
          <w:rFonts w:ascii="Arial" w:hAnsi="Arial"/>
          <w:color w:val="000000"/>
          <w:sz w:val="18"/>
        </w:rPr>
        <w:t xml:space="preserve">See </w:t>
      </w:r>
      <w:hyperlink w:anchor="fn1_managements_statement">
        <w:r>
          <w:rPr>
            <w:rStyle w:val="InternetLink"/>
            <w:rFonts w:ascii="Arial" w:hAnsi="Arial"/>
            <w:color w:val="0000FF"/>
            <w:sz w:val="18"/>
            <w:u w:val="single"/>
          </w:rPr>
          <w:t>Note 1</w:t>
        </w:r>
      </w:hyperlink>
      <w:r>
        <w:rPr>
          <w:rFonts w:ascii="Times New Roman" w:hAnsi="Times New Roman"/>
          <w:color w:val="000000"/>
          <w:sz w:val="20"/>
        </w:rPr>
        <w:t xml:space="preserve"> </w:t>
      </w:r>
      <w:r>
        <w:rPr>
          <w:rFonts w:ascii="Arial" w:hAnsi="Arial"/>
          <w:color w:val="000000"/>
          <w:sz w:val="18"/>
        </w:rPr>
        <w:t>of the Condensed Notes to Consolidated Financial Statements for a description of recent accounting pronouncements, if any, and our expectation of their impact on our results of operations and financial condition.</w:t>
      </w:r>
    </w:p>
    <w:p>
      <w:pPr>
        <w:pStyle w:val="TextBody"/>
        <w:bidi w:val="0"/>
        <w:jc w:val="left"/>
        <w:rPr/>
      </w:pPr>
      <w:r>
        <w:rPr/>
        <w:t> </w:t>
      </w:r>
    </w:p>
    <w:p>
      <w:pPr>
        <w:pStyle w:val="TextBody"/>
        <w:bidi w:val="0"/>
        <w:jc w:val="left"/>
        <w:rPr>
          <w:rFonts w:ascii="Arial" w:hAnsi="Arial"/>
          <w:b/>
          <w:color w:val="000000"/>
          <w:sz w:val="18"/>
        </w:rPr>
      </w:pPr>
      <w:bookmarkStart w:id="30" w:name="item3_quan_qual_discl"/>
      <w:bookmarkEnd w:id="30"/>
      <w:r>
        <w:rPr>
          <w:rFonts w:ascii="Arial" w:hAnsi="Arial"/>
          <w:b/>
          <w:color w:val="000000"/>
          <w:sz w:val="18"/>
        </w:rPr>
        <w:t>ITEM 3. QUANTITATIVE AND QUALITATIVE DISCLOSURES ABOUT MARKET RISK</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There have been no material changes to our quantitative and qualitative disclosures about market risk previously disclosed in Item 7A of our 2025 Annual Report on Form 10-K.</w:t>
      </w:r>
    </w:p>
    <w:p>
      <w:pPr>
        <w:pStyle w:val="TextBody"/>
        <w:bidi w:val="0"/>
        <w:jc w:val="left"/>
        <w:rPr/>
      </w:pPr>
      <w:r>
        <w:rPr/>
        <w:t> </w:t>
      </w:r>
    </w:p>
    <w:p>
      <w:pPr>
        <w:pStyle w:val="TextBody"/>
        <w:bidi w:val="0"/>
        <w:jc w:val="left"/>
        <w:rPr>
          <w:rFonts w:ascii="Arial" w:hAnsi="Arial"/>
          <w:b/>
          <w:color w:val="000000"/>
          <w:sz w:val="18"/>
        </w:rPr>
      </w:pPr>
      <w:bookmarkStart w:id="31" w:name="item4_controls_procedures"/>
      <w:bookmarkEnd w:id="31"/>
      <w:r>
        <w:rPr>
          <w:rFonts w:ascii="Arial" w:hAnsi="Arial"/>
          <w:b/>
          <w:color w:val="000000"/>
          <w:sz w:val="18"/>
        </w:rPr>
        <w:t>ITEM 4. CONTROLS AND PROCEDURES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Chief Executive Officer and Chief Financial Officer evaluated the effectiveness of our disclosure controls and procedures (as defined in Rules 13a-15(e) and 15d-15(e) of the Securities Exchange Act of 1934, as amended (the “Exchange Act”)) as of June 30, 2026. Based on their evaluation, they have concluded that our disclosure controls and procedures were effective at June 30, 2026.</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Changes in Internal Control over Financial Reporting</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During the quarter ended June 30, 2026, there have been no changes in our internal controls over financial reporting that have materially affected, or are reasonably likely, to materially affect our internal control over financial reporting.</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32" w:name="partii_other_info"/>
      <w:bookmarkEnd w:id="32"/>
      <w:r>
        <w:rPr>
          <w:rFonts w:ascii="Arial" w:hAnsi="Arial"/>
          <w:b/>
          <w:color w:val="000000"/>
          <w:sz w:val="18"/>
        </w:rPr>
        <w:t>PART II. OTHER INFORMATION</w:t>
      </w:r>
    </w:p>
    <w:p>
      <w:pPr>
        <w:pStyle w:val="TextBody"/>
        <w:bidi w:val="0"/>
        <w:jc w:val="left"/>
        <w:rPr/>
      </w:pPr>
      <w:r>
        <w:rPr/>
        <w:t> </w:t>
      </w:r>
    </w:p>
    <w:p>
      <w:pPr>
        <w:pStyle w:val="TextBody"/>
        <w:bidi w:val="0"/>
        <w:jc w:val="left"/>
        <w:rPr>
          <w:rFonts w:ascii="Arial" w:hAnsi="Arial"/>
          <w:b/>
          <w:color w:val="000000"/>
          <w:sz w:val="18"/>
        </w:rPr>
      </w:pPr>
      <w:bookmarkStart w:id="33" w:name="partii_item1_legal_proceed"/>
      <w:bookmarkEnd w:id="33"/>
      <w:r>
        <w:rPr>
          <w:rFonts w:ascii="Arial" w:hAnsi="Arial"/>
          <w:b/>
          <w:color w:val="000000"/>
          <w:sz w:val="18"/>
        </w:rPr>
        <w:t>ITEM 1. LEGAL PROCEEDINGS</w:t>
      </w:r>
    </w:p>
    <w:p>
      <w:pPr>
        <w:pStyle w:val="TextBody"/>
        <w:bidi w:val="0"/>
        <w:jc w:val="left"/>
        <w:rPr/>
      </w:pPr>
      <w:r>
        <w:rPr/>
        <w:t> </w:t>
      </w:r>
    </w:p>
    <w:p>
      <w:pPr>
        <w:pStyle w:val="TextBody"/>
        <w:bidi w:val="0"/>
        <w:jc w:val="left"/>
        <w:rPr/>
      </w:pPr>
      <w:r>
        <w:rPr>
          <w:rFonts w:ascii="Arial" w:hAnsi="Arial"/>
          <w:color w:val="000000"/>
          <w:sz w:val="18"/>
        </w:rPr>
        <w:t xml:space="preserve">For information regarding legal proceedings, see </w:t>
      </w:r>
      <w:hyperlink w:anchor="fn3_commit_contingencies_and_guarantees">
        <w:r>
          <w:rPr>
            <w:rStyle w:val="InternetLink"/>
            <w:rFonts w:ascii="Arial" w:hAnsi="Arial"/>
            <w:color w:val="0000FF"/>
            <w:sz w:val="18"/>
            <w:u w:val="single"/>
          </w:rPr>
          <w:t>Note 3</w:t>
        </w:r>
      </w:hyperlink>
      <w:r>
        <w:rPr>
          <w:rFonts w:ascii="Times New Roman" w:hAnsi="Times New Roman"/>
          <w:color w:val="000000"/>
          <w:sz w:val="20"/>
        </w:rPr>
        <w:t xml:space="preserve"> </w:t>
      </w:r>
      <w:r>
        <w:rPr>
          <w:rFonts w:ascii="Arial" w:hAnsi="Arial"/>
          <w:color w:val="000000"/>
          <w:sz w:val="18"/>
        </w:rPr>
        <w:t>of the Condensed Notes to Consolidated Financial Statements and Note 3 in Item 8 of our 2025 Annual Report on Form 10-K.</w:t>
      </w:r>
    </w:p>
    <w:p>
      <w:pPr>
        <w:pStyle w:val="TextBody"/>
        <w:bidi w:val="0"/>
        <w:jc w:val="left"/>
        <w:rPr/>
      </w:pPr>
      <w:r>
        <w:rPr/>
        <w:t> </w:t>
      </w:r>
    </w:p>
    <w:p>
      <w:pPr>
        <w:pStyle w:val="TextBody"/>
        <w:bidi w:val="0"/>
        <w:jc w:val="left"/>
        <w:rPr>
          <w:rFonts w:ascii="Arial" w:hAnsi="Arial"/>
          <w:b/>
          <w:color w:val="000000"/>
          <w:sz w:val="18"/>
        </w:rPr>
      </w:pPr>
      <w:bookmarkStart w:id="34" w:name="partii_item1a_risk_factors"/>
      <w:bookmarkEnd w:id="34"/>
      <w:r>
        <w:rPr>
          <w:rFonts w:ascii="Arial" w:hAnsi="Arial"/>
          <w:b/>
          <w:color w:val="000000"/>
          <w:sz w:val="18"/>
        </w:rPr>
        <w:t>ITEM 1A. RISK FACTORS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There have been no material changes to the risk factors previously disclosed in Item 1A of Part I in our 2025 Annual Report on Form 10-K.</w:t>
      </w:r>
    </w:p>
    <w:p>
      <w:pPr>
        <w:pStyle w:val="TextBody"/>
        <w:bidi w:val="0"/>
        <w:jc w:val="left"/>
        <w:rPr/>
      </w:pPr>
      <w:r>
        <w:rPr/>
        <w:t> </w:t>
      </w:r>
    </w:p>
    <w:p>
      <w:pPr>
        <w:pStyle w:val="TextBody"/>
        <w:bidi w:val="0"/>
        <w:jc w:val="left"/>
        <w:rPr>
          <w:rFonts w:ascii="Arial" w:hAnsi="Arial"/>
          <w:b/>
          <w:color w:val="000000"/>
          <w:sz w:val="18"/>
        </w:rPr>
      </w:pPr>
      <w:bookmarkStart w:id="35" w:name="partii_item2_unreg_sales"/>
      <w:bookmarkEnd w:id="35"/>
      <w:r>
        <w:rPr>
          <w:rFonts w:ascii="Arial" w:hAnsi="Arial"/>
          <w:b/>
          <w:color w:val="000000"/>
          <w:sz w:val="18"/>
        </w:rPr>
        <w:t>ITEM 2. UNREGISTERED SALES OF EQUITY SECURITIES AND USE OF PROCEEDS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following table contains monthly information about our acquisitions of equity securities for the 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384"/>
        <w:gridCol w:w="1114"/>
        <w:gridCol w:w="146"/>
        <w:gridCol w:w="324"/>
        <w:gridCol w:w="884"/>
        <w:gridCol w:w="146"/>
        <w:gridCol w:w="700"/>
        <w:gridCol w:w="1666"/>
        <w:gridCol w:w="146"/>
        <w:gridCol w:w="897"/>
        <w:gridCol w:w="2133"/>
        <w:gridCol w:w="496"/>
      </w:tblGrid>
      <w:tr>
        <w:trPr/>
        <w:tc>
          <w:tcPr>
            <w:tcW w:w="116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 xml:space="preserve">Total Number of Shares Purchased </w:t>
            </w:r>
            <w:r>
              <w:rPr>
                <w:rFonts w:ascii="Arial" w:hAnsi="Arial"/>
                <w:b/>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Maximum Number (or Approximate Dollar Value) of Shares That May Yet Be Purchased Under the Plans or Programs</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April 1, 2026 - April 30, 2026</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May 1, 2026 - May 31, 2026</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June 1, 2026 - June 30, 2026</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16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color w:val="000000"/>
          <w:sz w:val="16"/>
        </w:rPr>
      </w:pPr>
      <w:r>
        <w:rPr>
          <w:rFonts w:ascii="Arial" w:hAnsi="Arial"/>
          <w:color w:val="000000"/>
          <w:sz w:val="16"/>
        </w:rPr>
        <w:t>Shares were acquired under the share withholding provisions of the Amended and Restated 2015 Omnibus Incentive Plan for payment of taxes associated with the vesting of various equity compensation plans.</w:t>
      </w:r>
    </w:p>
    <w:p>
      <w:pPr>
        <w:pStyle w:val="TextBody"/>
        <w:bidi w:val="0"/>
        <w:jc w:val="left"/>
        <w:rPr/>
      </w:pPr>
      <w:r>
        <w:rPr/>
        <w:t> </w:t>
      </w:r>
    </w:p>
    <w:p>
      <w:pPr>
        <w:pStyle w:val="TextBody"/>
        <w:bidi w:val="0"/>
        <w:jc w:val="left"/>
        <w:rPr>
          <w:rFonts w:ascii="Arial" w:hAnsi="Arial"/>
          <w:b/>
          <w:color w:val="000000"/>
          <w:sz w:val="18"/>
        </w:rPr>
      </w:pPr>
      <w:bookmarkStart w:id="36" w:name="partii_item4_mine_safety"/>
      <w:bookmarkEnd w:id="36"/>
      <w:r>
        <w:rPr>
          <w:rFonts w:ascii="Arial" w:hAnsi="Arial"/>
          <w:b/>
          <w:color w:val="000000"/>
          <w:sz w:val="18"/>
        </w:rPr>
        <w:t>ITEM 4. MINE SAFETY DISCLOSURES</w:t>
      </w:r>
    </w:p>
    <w:p>
      <w:pPr>
        <w:pStyle w:val="TextBody"/>
        <w:bidi w:val="0"/>
        <w:jc w:val="left"/>
        <w:rPr/>
      </w:pPr>
      <w:r>
        <w:rPr/>
        <w:t> </w:t>
      </w:r>
    </w:p>
    <w:p>
      <w:pPr>
        <w:pStyle w:val="TextBody"/>
        <w:bidi w:val="0"/>
        <w:jc w:val="left"/>
        <w:rPr/>
      </w:pPr>
      <w:r>
        <w:rPr>
          <w:rFonts w:ascii="Arial" w:hAnsi="Arial"/>
          <w:color w:val="000000"/>
          <w:sz w:val="18"/>
        </w:rPr>
        <w:t xml:space="preserve">Information concerning mine safety violations or other regulatory matters required by Sections 1503(a) of the Dodd-Frank Wall Street Reform and Consumer Protection Act is included in </w:t>
      </w:r>
      <w:hyperlink w:anchor="bkh-ex95.htm">
        <w:r>
          <w:rPr>
            <w:rStyle w:val="InternetLink"/>
            <w:rFonts w:ascii="Arial" w:hAnsi="Arial"/>
            <w:color w:val="0000FF"/>
            <w:sz w:val="18"/>
            <w:u w:val="single"/>
          </w:rPr>
          <w:t>Exhibit 95</w:t>
        </w:r>
      </w:hyperlink>
      <w:r>
        <w:rPr>
          <w:rFonts w:ascii="Arial" w:hAnsi="Arial"/>
          <w:color w:val="000000"/>
          <w:sz w:val="18"/>
        </w:rPr>
        <w:t>.</w:t>
      </w:r>
    </w:p>
    <w:p>
      <w:pPr>
        <w:pStyle w:val="TextBody"/>
        <w:bidi w:val="0"/>
        <w:jc w:val="center"/>
        <w:rPr>
          <w:rFonts w:ascii="Arial" w:hAnsi="Arial"/>
          <w:color w:val="000000"/>
          <w:sz w:val="18"/>
        </w:rPr>
      </w:pPr>
      <w:r>
        <w:rPr>
          <w:rFonts w:ascii="Arial" w:hAnsi="Arial"/>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bookmarkStart w:id="37" w:name="partii_item5_otherinfo"/>
      <w:bookmarkEnd w:id="37"/>
      <w:r>
        <w:rPr>
          <w:rFonts w:ascii="Arial" w:hAnsi="Arial"/>
          <w:b/>
          <w:color w:val="000000"/>
          <w:sz w:val="18"/>
        </w:rPr>
        <w:t>ITEM 5. OTHER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None of our directors or officers adopted, modified, or terminated</w:t>
      </w:r>
      <w:r>
        <w:rPr>
          <w:rFonts w:ascii="Times New Roman" w:hAnsi="Times New Roman"/>
          <w:color w:val="000000"/>
          <w:sz w:val="20"/>
        </w:rPr>
        <w:t xml:space="preserve"> </w:t>
      </w:r>
      <w:r>
        <w:rPr>
          <w:rFonts w:ascii="Arial" w:hAnsi="Arial"/>
          <w:color w:val="000000"/>
          <w:sz w:val="18"/>
        </w:rPr>
        <w:t>a Rule 10b5-1 trading arrangement or a non-Rule 10b5-1 trading arrangement during the three months ended June 30, 2026.</w:t>
      </w:r>
    </w:p>
    <w:p>
      <w:pPr>
        <w:pStyle w:val="TextBody"/>
        <w:bidi w:val="0"/>
        <w:jc w:val="left"/>
        <w:rPr/>
      </w:pPr>
      <w:r>
        <w:rPr/>
        <w:t> </w:t>
      </w:r>
    </w:p>
    <w:p>
      <w:pPr>
        <w:pStyle w:val="TextBody"/>
        <w:bidi w:val="0"/>
        <w:jc w:val="left"/>
        <w:rPr>
          <w:rFonts w:ascii="Arial" w:hAnsi="Arial"/>
          <w:b/>
          <w:color w:val="000000"/>
          <w:sz w:val="18"/>
        </w:rPr>
      </w:pPr>
      <w:bookmarkStart w:id="38" w:name="partii_item6_exhibits"/>
      <w:bookmarkEnd w:id="38"/>
      <w:r>
        <w:rPr>
          <w:rFonts w:ascii="Arial" w:hAnsi="Arial"/>
          <w:b/>
          <w:color w:val="000000"/>
          <w:sz w:val="18"/>
        </w:rPr>
        <w:t>ITEM 6. EXHIBITS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Exhibits filed herewithin are designated by an asterisk (*). All exhibits not so designated are incorporated by reference to a prior filing, as indicated. Items constituting a board of director or management compensatory plan are designated by a cross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sz w:val="4"/>
                <w:szCs w:val="4"/>
              </w:rPr>
            </w:pPr>
            <w:r>
              <w:rPr>
                <w:sz w:val="4"/>
                <w:szCs w:val="4"/>
              </w:rPr>
            </w:r>
          </w:p>
        </w:tc>
        <w:tc>
          <w:tcPr>
            <w:tcW w:w="9031" w:type="dxa"/>
            <w:tcBorders/>
            <w:vAlign w:val="center"/>
          </w:tcPr>
          <w:p>
            <w:pPr>
              <w:pStyle w:val="TableContents"/>
              <w:bidi w:val="0"/>
              <w:spacing w:before="0" w:after="283"/>
              <w:jc w:val="left"/>
              <w:rPr>
                <w:sz w:val="4"/>
                <w:szCs w:val="4"/>
              </w:rPr>
            </w:pPr>
            <w:r>
              <w:rPr>
                <w:sz w:val="4"/>
                <w:szCs w:val="4"/>
              </w:rPr>
            </w:r>
          </w:p>
        </w:tc>
      </w:tr>
      <w:tr>
        <w:trPr/>
        <w:tc>
          <w:tcPr>
            <w:tcW w:w="117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Exhibit Number</w:t>
            </w:r>
          </w:p>
        </w:tc>
        <w:tc>
          <w:tcPr>
            <w:tcW w:w="90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Description</w:t>
            </w:r>
          </w:p>
        </w:tc>
      </w:tr>
      <w:tr>
        <w:trPr/>
        <w:tc>
          <w:tcPr>
            <w:tcW w:w="1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31.1*</w:t>
            </w:r>
          </w:p>
        </w:tc>
        <w:tc>
          <w:tcPr>
            <w:tcW w:w="9031" w:type="dxa"/>
            <w:tcBorders/>
            <w:tcMar>
              <w:top w:w="0" w:type="dxa"/>
              <w:left w:w="0" w:type="dxa"/>
              <w:bottom w:w="0" w:type="dxa"/>
              <w:right w:w="0" w:type="dxa"/>
            </w:tcMar>
            <w:vAlign w:val="center"/>
          </w:tcPr>
          <w:p>
            <w:pPr>
              <w:pStyle w:val="TableContents"/>
              <w:bidi w:val="0"/>
              <w:spacing w:before="0" w:after="283"/>
              <w:jc w:val="left"/>
              <w:rPr/>
            </w:pPr>
            <w:hyperlink w:anchor="bkh-ex31_1.htm">
              <w:r>
                <w:rPr>
                  <w:rStyle w:val="InternetLink"/>
                  <w:rFonts w:ascii="Arial" w:hAnsi="Arial"/>
                  <w:color w:val="0000FF"/>
                  <w:sz w:val="18"/>
                  <w:u w:val="single"/>
                </w:rPr>
                <w:t>Certification of Chief Executive Officer pursuant to Rule 13a - 14(a) of the Securities Exchange Act of 1934, as adopted pursuant to Section 302 of the Sarbanes - Oxley Act of 2002.</w:t>
              </w:r>
            </w:hyperlink>
          </w:p>
        </w:tc>
      </w:tr>
      <w:tr>
        <w:trPr/>
        <w:tc>
          <w:tcPr>
            <w:tcW w:w="1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31.2*</w:t>
            </w:r>
          </w:p>
        </w:tc>
        <w:tc>
          <w:tcPr>
            <w:tcW w:w="9031" w:type="dxa"/>
            <w:tcBorders/>
            <w:tcMar>
              <w:top w:w="0" w:type="dxa"/>
              <w:left w:w="0" w:type="dxa"/>
              <w:bottom w:w="0" w:type="dxa"/>
              <w:right w:w="0" w:type="dxa"/>
            </w:tcMar>
            <w:vAlign w:val="center"/>
          </w:tcPr>
          <w:p>
            <w:pPr>
              <w:pStyle w:val="TableContents"/>
              <w:bidi w:val="0"/>
              <w:spacing w:before="0" w:after="283"/>
              <w:jc w:val="left"/>
              <w:rPr/>
            </w:pPr>
            <w:hyperlink w:anchor="bkh-ex31_2.htm">
              <w:r>
                <w:rPr>
                  <w:rStyle w:val="InternetLink"/>
                  <w:rFonts w:ascii="Arial" w:hAnsi="Arial"/>
                  <w:color w:val="0000FF"/>
                  <w:sz w:val="18"/>
                  <w:u w:val="single"/>
                </w:rPr>
                <w:t>Certification of Chief Financial Officer pursuant to Rule 13a - 14(a) of the Securities Exchange Act of 1934, as adopted pursuant to Section 302 of the Sarbanes - Oxley Act of 2002.</w:t>
              </w:r>
            </w:hyperlink>
          </w:p>
        </w:tc>
      </w:tr>
      <w:tr>
        <w:trPr/>
        <w:tc>
          <w:tcPr>
            <w:tcW w:w="1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32.1*</w:t>
            </w:r>
          </w:p>
        </w:tc>
        <w:tc>
          <w:tcPr>
            <w:tcW w:w="9031" w:type="dxa"/>
            <w:tcBorders/>
            <w:tcMar>
              <w:top w:w="0" w:type="dxa"/>
              <w:left w:w="0" w:type="dxa"/>
              <w:bottom w:w="0" w:type="dxa"/>
              <w:right w:w="0" w:type="dxa"/>
            </w:tcMar>
            <w:vAlign w:val="center"/>
          </w:tcPr>
          <w:p>
            <w:pPr>
              <w:pStyle w:val="TableContents"/>
              <w:bidi w:val="0"/>
              <w:spacing w:before="0" w:after="283"/>
              <w:jc w:val="left"/>
              <w:rPr/>
            </w:pPr>
            <w:hyperlink w:anchor="bkh-ex32_1.htm">
              <w:r>
                <w:rPr>
                  <w:rStyle w:val="InternetLink"/>
                  <w:rFonts w:ascii="Arial" w:hAnsi="Arial"/>
                  <w:color w:val="0000FF"/>
                  <w:sz w:val="18"/>
                  <w:u w:val="single"/>
                </w:rPr>
                <w:t>Certification of Chief Executive Officer pursuant to 18 U.S.C. Section 1350, as adopted pursuant to Section 906 of the Sarbanes - Oxley Act of 2002.</w:t>
              </w:r>
            </w:hyperlink>
          </w:p>
        </w:tc>
      </w:tr>
      <w:tr>
        <w:trPr/>
        <w:tc>
          <w:tcPr>
            <w:tcW w:w="1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32.2*</w:t>
            </w:r>
          </w:p>
        </w:tc>
        <w:tc>
          <w:tcPr>
            <w:tcW w:w="9031" w:type="dxa"/>
            <w:tcBorders/>
            <w:tcMar>
              <w:top w:w="0" w:type="dxa"/>
              <w:left w:w="0" w:type="dxa"/>
              <w:bottom w:w="0" w:type="dxa"/>
              <w:right w:w="0" w:type="dxa"/>
            </w:tcMar>
            <w:vAlign w:val="center"/>
          </w:tcPr>
          <w:p>
            <w:pPr>
              <w:pStyle w:val="TableContents"/>
              <w:bidi w:val="0"/>
              <w:spacing w:before="0" w:after="283"/>
              <w:jc w:val="left"/>
              <w:rPr/>
            </w:pPr>
            <w:hyperlink w:anchor="bkh-ex32_2.htm">
              <w:r>
                <w:rPr>
                  <w:rStyle w:val="InternetLink"/>
                  <w:rFonts w:ascii="Arial" w:hAnsi="Arial"/>
                  <w:color w:val="0000FF"/>
                  <w:sz w:val="18"/>
                  <w:u w:val="single"/>
                </w:rPr>
                <w:t>Certification of Chief Financial Officer pursuant to 18 U.S.C. Section 1350, as adopted pursuant to Section 906 of the Sarbanes - Oxley Act of 2002.</w:t>
              </w:r>
            </w:hyperlink>
          </w:p>
        </w:tc>
      </w:tr>
      <w:tr>
        <w:trPr/>
        <w:tc>
          <w:tcPr>
            <w:tcW w:w="1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95*</w:t>
            </w:r>
          </w:p>
        </w:tc>
        <w:tc>
          <w:tcPr>
            <w:tcW w:w="9031" w:type="dxa"/>
            <w:tcBorders/>
            <w:tcMar>
              <w:top w:w="0" w:type="dxa"/>
              <w:left w:w="0" w:type="dxa"/>
              <w:bottom w:w="0" w:type="dxa"/>
              <w:right w:w="0" w:type="dxa"/>
            </w:tcMar>
            <w:vAlign w:val="center"/>
          </w:tcPr>
          <w:p>
            <w:pPr>
              <w:pStyle w:val="TableContents"/>
              <w:bidi w:val="0"/>
              <w:spacing w:before="0" w:after="283"/>
              <w:jc w:val="left"/>
              <w:rPr/>
            </w:pPr>
            <w:hyperlink w:anchor="bkh-ex95.htm">
              <w:r>
                <w:rPr>
                  <w:rStyle w:val="InternetLink"/>
                  <w:rFonts w:ascii="Arial" w:hAnsi="Arial"/>
                  <w:color w:val="0000FF"/>
                  <w:sz w:val="18"/>
                  <w:u w:val="single"/>
                </w:rPr>
                <w:t>Mine Safety and Health Administration Safety Data.</w:t>
              </w:r>
            </w:hyperlink>
          </w:p>
        </w:tc>
      </w:tr>
      <w:tr>
        <w:trPr/>
        <w:tc>
          <w:tcPr>
            <w:tcW w:w="1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101.INS*</w:t>
            </w:r>
          </w:p>
        </w:tc>
        <w:tc>
          <w:tcPr>
            <w:tcW w:w="90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Instance Document - the instance document does not appear in the Interactive Data File because its XBRL tags are embedded within the Inline XBRL document</w:t>
            </w:r>
          </w:p>
        </w:tc>
      </w:tr>
      <w:tr>
        <w:trPr/>
        <w:tc>
          <w:tcPr>
            <w:tcW w:w="1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101.SCH*</w:t>
            </w:r>
          </w:p>
        </w:tc>
        <w:tc>
          <w:tcPr>
            <w:tcW w:w="90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Schema with Embedded Linkbase Documents</w:t>
            </w:r>
          </w:p>
        </w:tc>
      </w:tr>
      <w:tr>
        <w:trPr/>
        <w:tc>
          <w:tcPr>
            <w:tcW w:w="117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90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Cover Page Interactive Data File (formatted as inline XBRL and contained in Exhibit 101)</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b/>
            <w:color w:val="0000FF"/>
            <w:sz w:val="18"/>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18"/>
        </w:rPr>
      </w:pPr>
      <w:bookmarkStart w:id="39" w:name="signatures"/>
      <w:bookmarkEnd w:id="39"/>
      <w:r>
        <w:rPr>
          <w:rFonts w:ascii="Arial" w:hAnsi="Arial"/>
          <w:b/>
          <w:color w:val="000000"/>
          <w:sz w:val="18"/>
        </w:rPr>
        <w:t>SIGNATURES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BLACK HILLS CORPORATION</w:t>
      </w:r>
    </w:p>
    <w:p>
      <w:pPr>
        <w:pStyle w:val="TextBody"/>
        <w:bidi w:val="0"/>
        <w:jc w:val="left"/>
        <w:rPr/>
      </w:pPr>
      <w:r>
        <w:rPr/>
        <w:t> </w:t>
      </w:r>
    </w:p>
    <w:tbl>
      <w:tblPr>
        <w:tblW w:w="5973" w:type="dxa"/>
        <w:jc w:val="left"/>
        <w:tblInd w:w="0" w:type="dxa"/>
        <w:tblLayout w:type="fixed"/>
        <w:tblCellMar>
          <w:top w:w="28" w:type="dxa"/>
          <w:left w:w="28" w:type="dxa"/>
          <w:bottom w:w="28" w:type="dxa"/>
          <w:right w:w="28" w:type="dxa"/>
        </w:tblCellMar>
      </w:tblPr>
      <w:tblGrid>
        <w:gridCol w:w="661"/>
        <w:gridCol w:w="1336"/>
        <w:gridCol w:w="3976"/>
      </w:tblGrid>
      <w:tr>
        <w:trPr/>
        <w:tc>
          <w:tcPr>
            <w:tcW w:w="66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/s/ Linden R. Evans</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33" w:after="30"/>
              <w:jc w:val="left"/>
              <w:rPr>
                <w:rFonts w:ascii="Arial" w:hAnsi="Arial"/>
                <w:color w:val="000000"/>
                <w:sz w:val="18"/>
              </w:rPr>
            </w:pPr>
            <w:r>
              <w:rPr>
                <w:rFonts w:ascii="Arial" w:hAnsi="Arial"/>
                <w:color w:val="000000"/>
                <w:sz w:val="18"/>
              </w:rPr>
              <w:t>Linden R. Evans, President and</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  </w:t>
            </w:r>
            <w:r>
              <w:rPr>
                <w:rFonts w:ascii="Arial" w:hAnsi="Arial"/>
                <w:color w:val="000000"/>
                <w:sz w:val="18"/>
              </w:rPr>
              <w:t>Chief Executive Officer</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/s/ Kimberly F. Nooney</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33" w:after="30"/>
              <w:jc w:val="left"/>
              <w:rPr>
                <w:rFonts w:ascii="Arial" w:hAnsi="Arial"/>
                <w:color w:val="000000"/>
                <w:sz w:val="18"/>
              </w:rPr>
            </w:pPr>
            <w:r>
              <w:rPr>
                <w:rFonts w:ascii="Arial" w:hAnsi="Arial"/>
                <w:color w:val="000000"/>
                <w:sz w:val="18"/>
              </w:rPr>
              <w:t>Kimberly F. Nooney, Senior Vice President and</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  </w:t>
            </w:r>
            <w:r>
              <w:rPr>
                <w:rFonts w:ascii="Arial" w:hAnsi="Arial"/>
                <w:color w:val="000000"/>
                <w:sz w:val="18"/>
              </w:rPr>
              <w:t>Chief Financial Officer</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Dated:</w:t>
            </w:r>
          </w:p>
        </w:tc>
        <w:tc>
          <w:tcPr>
            <w:tcW w:w="1336"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August 6, 2026</w:t>
            </w:r>
          </w:p>
        </w:tc>
        <w:tc>
          <w:tcPr>
            <w:tcW w:w="39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46</w:t>
      </w:r>
    </w:p>
    <w:p>
      <w:pPr>
        <w:pStyle w:val="HorizontalLine"/>
        <w:pBdr>
          <w:bottom w:val="double" w:sz="2" w:space="0" w:color="808080"/>
        </w:pBdr>
        <w:bidi w:val="0"/>
        <w:spacing w:before="0" w:after="283"/>
        <w:jc w:val="left"/>
        <w:rPr/>
      </w:pPr>
      <w:r>
        <w:rPr/>
      </w:r>
    </w:p>
    <w:p>
      <w:pPr>
        <w:pStyle w:val="TextBody"/>
        <w:bidi w:val="0"/>
        <w:jc w:val="right"/>
        <w:rPr/>
      </w:pPr>
      <w:bookmarkStart w:id="40" w:name="bkh-ex31_1.htm"/>
      <w:bookmarkStart w:id="41" w:name="ksbkhex31_1"/>
      <w:bookmarkEnd w:id="40"/>
      <w:bookmarkEnd w:id="41"/>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jc w:val="center"/>
        <w:rPr/>
      </w:pPr>
      <w:r>
        <w:rPr/>
        <w:t> </w:t>
      </w:r>
    </w:p>
    <w:p>
      <w:pPr>
        <w:pStyle w:val="TextBody"/>
        <w:bidi w:val="0"/>
        <w:jc w:val="left"/>
        <w:rPr>
          <w:rFonts w:ascii="Arial" w:hAnsi="Arial"/>
          <w:color w:val="000000"/>
          <w:sz w:val="18"/>
        </w:rPr>
      </w:pPr>
      <w:r>
        <w:rPr>
          <w:rFonts w:ascii="Arial" w:hAnsi="Arial"/>
          <w:color w:val="000000"/>
          <w:sz w:val="18"/>
        </w:rPr>
        <w:t>I, Linden R. Evans, certify that:</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jc w:val="left"/>
        <w:rPr>
          <w:rFonts w:ascii="Arial" w:hAnsi="Arial"/>
          <w:color w:val="000000"/>
          <w:sz w:val="18"/>
        </w:rPr>
      </w:pPr>
      <w:r>
        <w:rPr>
          <w:rFonts w:ascii="Arial" w:hAnsi="Arial"/>
          <w:color w:val="000000"/>
          <w:sz w:val="18"/>
        </w:rPr>
        <w:t>I have reviewed this Quarterly Report on Form 10-Q of Black Hills Corporation;</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jc w:val="left"/>
        <w:rPr>
          <w:rFonts w:ascii="Arial" w:hAnsi="Arial"/>
          <w:color w:val="000000"/>
          <w:sz w:val="18"/>
        </w:rPr>
      </w:pPr>
      <w:r>
        <w:rPr>
          <w:rFonts w:ascii="Arial" w:hAnsi="Arial"/>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a)</w:t>
      </w:r>
    </w:p>
    <w:p>
      <w:pPr>
        <w:pStyle w:val="TextBody"/>
        <w:bidi w:val="0"/>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b)</w:t>
      </w:r>
    </w:p>
    <w:p>
      <w:pPr>
        <w:pStyle w:val="TextBody"/>
        <w:bidi w:val="0"/>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c)</w:t>
      </w:r>
    </w:p>
    <w:p>
      <w:pPr>
        <w:pStyle w:val="TextBody"/>
        <w:bidi w:val="0"/>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d)</w:t>
      </w:r>
    </w:p>
    <w:p>
      <w:pPr>
        <w:pStyle w:val="TextBody"/>
        <w:bidi w:val="0"/>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5.</w:t>
      </w:r>
    </w:p>
    <w:p>
      <w:pPr>
        <w:pStyle w:val="TextBody"/>
        <w:bidi w:val="0"/>
        <w:jc w:val="left"/>
        <w:rPr>
          <w:rFonts w:ascii="Arial" w:hAnsi="Arial"/>
          <w:color w:val="000000"/>
          <w:sz w:val="18"/>
        </w:rPr>
      </w:pPr>
      <w:r>
        <w:rPr>
          <w:rFonts w:ascii="Arial" w:hAnsi="Arial"/>
          <w:color w:val="000000"/>
          <w:sz w:val="18"/>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a)</w:t>
      </w:r>
    </w:p>
    <w:p>
      <w:pPr>
        <w:pStyle w:val="TextBody"/>
        <w:bidi w:val="0"/>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b)</w:t>
      </w:r>
    </w:p>
    <w:p>
      <w:pPr>
        <w:pStyle w:val="TextBody"/>
        <w:bidi w:val="0"/>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1831"/>
        <w:gridCol w:w="3181"/>
      </w:tblGrid>
      <w:tr>
        <w:trPr/>
        <w:tc>
          <w:tcPr>
            <w:tcW w:w="183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6, 2026</w:t>
            </w:r>
          </w:p>
        </w:tc>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Linden R. Evans</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Linden R. Evans</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2" w:name="bkh-ex31_2.htm"/>
      <w:bookmarkStart w:id="43" w:name="ksbkhex31_2"/>
      <w:bookmarkEnd w:id="42"/>
      <w:bookmarkEnd w:id="43"/>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jc w:val="center"/>
        <w:rPr/>
      </w:pPr>
      <w:r>
        <w:rPr/>
        <w:t> </w:t>
      </w:r>
    </w:p>
    <w:p>
      <w:pPr>
        <w:pStyle w:val="TextBody"/>
        <w:bidi w:val="0"/>
        <w:jc w:val="left"/>
        <w:rPr>
          <w:rFonts w:ascii="Arial" w:hAnsi="Arial"/>
          <w:color w:val="000000"/>
          <w:sz w:val="18"/>
        </w:rPr>
      </w:pPr>
      <w:r>
        <w:rPr>
          <w:rFonts w:ascii="Arial" w:hAnsi="Arial"/>
          <w:color w:val="000000"/>
          <w:sz w:val="18"/>
        </w:rPr>
        <w:t>I, Kimberly F. Nooney, certify that:</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jc w:val="left"/>
        <w:rPr>
          <w:rFonts w:ascii="Arial" w:hAnsi="Arial"/>
          <w:color w:val="000000"/>
          <w:sz w:val="18"/>
        </w:rPr>
      </w:pPr>
      <w:r>
        <w:rPr>
          <w:rFonts w:ascii="Arial" w:hAnsi="Arial"/>
          <w:color w:val="000000"/>
          <w:sz w:val="18"/>
        </w:rPr>
        <w:t>I have reviewed this Quarterly Report on Form 10-Q of Black Hills Corporation;</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4.</w:t>
      </w:r>
    </w:p>
    <w:p>
      <w:pPr>
        <w:pStyle w:val="TextBody"/>
        <w:bidi w:val="0"/>
        <w:jc w:val="left"/>
        <w:rPr>
          <w:rFonts w:ascii="Arial" w:hAnsi="Arial"/>
          <w:color w:val="000000"/>
          <w:sz w:val="18"/>
        </w:rPr>
      </w:pPr>
      <w:r>
        <w:rPr>
          <w:rFonts w:ascii="Arial" w:hAnsi="Arial"/>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a)</w:t>
      </w:r>
    </w:p>
    <w:p>
      <w:pPr>
        <w:pStyle w:val="TextBody"/>
        <w:bidi w:val="0"/>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b)</w:t>
      </w:r>
    </w:p>
    <w:p>
      <w:pPr>
        <w:pStyle w:val="TextBody"/>
        <w:bidi w:val="0"/>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c)</w:t>
      </w:r>
    </w:p>
    <w:p>
      <w:pPr>
        <w:pStyle w:val="TextBody"/>
        <w:bidi w:val="0"/>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d)</w:t>
      </w:r>
    </w:p>
    <w:p>
      <w:pPr>
        <w:pStyle w:val="TextBody"/>
        <w:bidi w:val="0"/>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5.</w:t>
      </w:r>
    </w:p>
    <w:p>
      <w:pPr>
        <w:pStyle w:val="TextBody"/>
        <w:bidi w:val="0"/>
        <w:jc w:val="left"/>
        <w:rPr>
          <w:rFonts w:ascii="Arial" w:hAnsi="Arial"/>
          <w:color w:val="000000"/>
          <w:sz w:val="18"/>
        </w:rPr>
      </w:pPr>
      <w:r>
        <w:rPr>
          <w:rFonts w:ascii="Arial" w:hAnsi="Arial"/>
          <w:color w:val="000000"/>
          <w:sz w:val="18"/>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a)</w:t>
      </w:r>
    </w:p>
    <w:p>
      <w:pPr>
        <w:pStyle w:val="TextBody"/>
        <w:bidi w:val="0"/>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b)</w:t>
      </w:r>
    </w:p>
    <w:p>
      <w:pPr>
        <w:pStyle w:val="TextBody"/>
        <w:bidi w:val="0"/>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57" w:type="dxa"/>
        <w:jc w:val="left"/>
        <w:tblInd w:w="0" w:type="dxa"/>
        <w:tblLayout w:type="fixed"/>
        <w:tblCellMar>
          <w:top w:w="28" w:type="dxa"/>
          <w:left w:w="28" w:type="dxa"/>
          <w:bottom w:w="28" w:type="dxa"/>
          <w:right w:w="28" w:type="dxa"/>
        </w:tblCellMar>
      </w:tblPr>
      <w:tblGrid>
        <w:gridCol w:w="1831"/>
        <w:gridCol w:w="4126"/>
      </w:tblGrid>
      <w:tr>
        <w:trPr/>
        <w:tc>
          <w:tcPr>
            <w:tcW w:w="1831"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6, 2026</w:t>
            </w:r>
          </w:p>
        </w:tc>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Kimberly F. Nooney</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Kimberly F. Nooney</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4" w:name="bkh-ex32_1.htm"/>
      <w:bookmarkStart w:id="45" w:name="ksbkhex32_1"/>
      <w:bookmarkEnd w:id="44"/>
      <w:bookmarkEnd w:id="45"/>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jc w:val="righ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CERTIFICATION PURSUANT TO</w:t>
      </w:r>
    </w:p>
    <w:p>
      <w:pPr>
        <w:pStyle w:val="TextBody"/>
        <w:bidi w:val="0"/>
        <w:jc w:val="center"/>
        <w:rPr>
          <w:rFonts w:ascii="Arial" w:hAnsi="Arial"/>
          <w:color w:val="000000"/>
          <w:sz w:val="18"/>
        </w:rPr>
      </w:pPr>
      <w:r>
        <w:rPr>
          <w:rFonts w:ascii="Arial" w:hAnsi="Arial"/>
          <w:color w:val="000000"/>
          <w:sz w:val="18"/>
        </w:rPr>
        <w:t>18 U.S.C. SECTION 1350,</w:t>
      </w:r>
    </w:p>
    <w:p>
      <w:pPr>
        <w:pStyle w:val="TextBody"/>
        <w:bidi w:val="0"/>
        <w:jc w:val="center"/>
        <w:rPr>
          <w:rFonts w:ascii="Arial" w:hAnsi="Arial"/>
          <w:color w:val="000000"/>
          <w:sz w:val="18"/>
        </w:rPr>
      </w:pPr>
      <w:r>
        <w:rPr>
          <w:rFonts w:ascii="Arial" w:hAnsi="Arial"/>
          <w:color w:val="000000"/>
          <w:sz w:val="18"/>
        </w:rPr>
        <w:t>AS ADOPTED PURSUANT TO</w:t>
      </w:r>
    </w:p>
    <w:p>
      <w:pPr>
        <w:pStyle w:val="TextBody"/>
        <w:bidi w:val="0"/>
        <w:jc w:val="center"/>
        <w:rPr>
          <w:rFonts w:ascii="Arial" w:hAnsi="Arial"/>
          <w:color w:val="000000"/>
          <w:sz w:val="18"/>
        </w:rPr>
      </w:pPr>
      <w:r>
        <w:rPr>
          <w:rFonts w:ascii="Arial" w:hAnsi="Arial"/>
          <w:color w:val="000000"/>
          <w:sz w:val="18"/>
        </w:rPr>
        <w:t>SECTION 906 OF THE SARBANES-OXLEY ACT OF 2002</w:t>
      </w:r>
    </w:p>
    <w:p>
      <w:pPr>
        <w:pStyle w:val="TextBody"/>
        <w:bidi w:val="0"/>
        <w:jc w:val="center"/>
        <w:rPr/>
      </w:pPr>
      <w:r>
        <w:rPr/>
        <w:t> </w:t>
      </w:r>
    </w:p>
    <w:p>
      <w:pPr>
        <w:pStyle w:val="TextBody"/>
        <w:bidi w:val="0"/>
        <w:jc w:val="left"/>
        <w:rPr>
          <w:rFonts w:ascii="Arial" w:hAnsi="Arial"/>
          <w:color w:val="000000"/>
          <w:sz w:val="18"/>
        </w:rPr>
      </w:pPr>
      <w:r>
        <w:rPr>
          <w:rFonts w:ascii="Arial" w:hAnsi="Arial"/>
          <w:color w:val="000000"/>
          <w:sz w:val="18"/>
        </w:rPr>
        <w:t>In connection with the Quarterly Report of Black Hills Corporation (the “Company”) on Form 10-Q for the period ended June 30, 2026, as filed with the Securities and Exchange Commission on the date hereof (the “Report”), I, Linden R. Evans, President and Chief Executive Officer of the Company, certify, pursuant to 18 U.S.C. ss. 1350, as adopted pursuant to ss. 906 of the Sarbanes-Oxley Act of 2002, that:</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jc w:val="left"/>
        <w:rPr>
          <w:rFonts w:ascii="Arial" w:hAnsi="Arial"/>
          <w:color w:val="000000"/>
          <w:sz w:val="18"/>
        </w:rPr>
      </w:pPr>
      <w:r>
        <w:rPr>
          <w:rFonts w:ascii="Arial" w:hAnsi="Arial"/>
          <w:color w:val="000000"/>
          <w:sz w:val="18"/>
        </w:rPr>
        <w:t xml:space="preserve">The Report fully complies with the requirements of Section 13 (a) or </w:t>
      </w:r>
    </w:p>
    <w:p>
      <w:pPr>
        <w:pStyle w:val="TextBody"/>
        <w:bidi w:val="0"/>
        <w:jc w:val="left"/>
        <w:rPr>
          <w:rFonts w:ascii="Arial" w:hAnsi="Arial"/>
          <w:color w:val="000000"/>
          <w:sz w:val="18"/>
        </w:rPr>
      </w:pPr>
      <w:r>
        <w:rPr>
          <w:rFonts w:ascii="Arial" w:hAnsi="Arial"/>
          <w:color w:val="000000"/>
          <w:sz w:val="18"/>
        </w:rPr>
        <w:t>15 (d) of the Securities Exchange Act of 1934; and</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jc w:val="left"/>
        <w:rPr>
          <w:rFonts w:ascii="Arial" w:hAnsi="Arial"/>
          <w:color w:val="000000"/>
          <w:sz w:val="18"/>
        </w:rPr>
      </w:pPr>
      <w:r>
        <w:rPr>
          <w:rFonts w:ascii="Arial" w:hAnsi="Arial"/>
          <w:color w:val="000000"/>
          <w:sz w:val="18"/>
        </w:rPr>
        <w:t>The information contained in the Report fairly presents, in all material</w:t>
      </w:r>
    </w:p>
    <w:p>
      <w:pPr>
        <w:pStyle w:val="TextBody"/>
        <w:bidi w:val="0"/>
        <w:jc w:val="left"/>
        <w:rPr>
          <w:rFonts w:ascii="Arial" w:hAnsi="Arial"/>
          <w:color w:val="000000"/>
          <w:sz w:val="18"/>
        </w:rPr>
      </w:pPr>
      <w:r>
        <w:rPr>
          <w:rFonts w:ascii="Arial" w:hAnsi="Arial"/>
          <w:color w:val="000000"/>
          <w:sz w:val="18"/>
        </w:rPr>
        <w:t>respects, the financial condition and results of operations of the Company.</w:t>
      </w:r>
    </w:p>
    <w:p>
      <w:pPr>
        <w:pStyle w:val="TextBody"/>
        <w:bidi w:val="0"/>
        <w:jc w:val="left"/>
        <w:rPr/>
      </w:pPr>
      <w:r>
        <w:rPr/>
        <w:t> </w:t>
      </w:r>
    </w:p>
    <w:p>
      <w:pPr>
        <w:pStyle w:val="TextBody"/>
        <w:bidi w:val="0"/>
        <w:jc w:val="left"/>
        <w:rPr/>
      </w:pPr>
      <w:r>
        <w:rPr/>
        <w:t> </w:t>
      </w:r>
    </w:p>
    <w:tbl>
      <w:tblPr>
        <w:tblW w:w="5158" w:type="dxa"/>
        <w:jc w:val="left"/>
        <w:tblInd w:w="0" w:type="dxa"/>
        <w:tblLayout w:type="fixed"/>
        <w:tblCellMar>
          <w:top w:w="28" w:type="dxa"/>
          <w:left w:w="28" w:type="dxa"/>
          <w:bottom w:w="28" w:type="dxa"/>
          <w:right w:w="28" w:type="dxa"/>
        </w:tblCellMar>
      </w:tblPr>
      <w:tblGrid>
        <w:gridCol w:w="1831"/>
        <w:gridCol w:w="146"/>
        <w:gridCol w:w="318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Linden R. Evans</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Linden R. Evans</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6" w:name="bkh-ex32_2.htm"/>
      <w:bookmarkStart w:id="47" w:name="ksbkhex32_2"/>
      <w:bookmarkEnd w:id="46"/>
      <w:bookmarkEnd w:id="47"/>
      <w:r>
        <w:rPr/>
        <w:t> </w:t>
      </w:r>
      <w:r>
        <w:br w:type="page"/>
      </w:r>
    </w:p>
    <w:p>
      <w:pPr>
        <w:pStyle w:val="TextBody"/>
        <w:bidi w:val="0"/>
        <w:jc w:val="right"/>
        <w:rPr>
          <w:rFonts w:ascii="Arial" w:hAnsi="Arial"/>
          <w:b/>
          <w:color w:val="000000"/>
          <w:sz w:val="18"/>
        </w:rPr>
      </w:pPr>
      <w:r>
        <w:rPr>
          <w:rFonts w:ascii="Arial" w:hAnsi="Arial"/>
          <w:b/>
          <w:color w:val="000000"/>
          <w:sz w:val="18"/>
        </w:rPr>
        <w:t>Exhibit 32.2</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CERTIFICATION PURSUANT TO</w:t>
      </w:r>
    </w:p>
    <w:p>
      <w:pPr>
        <w:pStyle w:val="TextBody"/>
        <w:bidi w:val="0"/>
        <w:jc w:val="center"/>
        <w:rPr>
          <w:rFonts w:ascii="Arial" w:hAnsi="Arial"/>
          <w:color w:val="000000"/>
          <w:sz w:val="18"/>
        </w:rPr>
      </w:pPr>
      <w:r>
        <w:rPr>
          <w:rFonts w:ascii="Arial" w:hAnsi="Arial"/>
          <w:color w:val="000000"/>
          <w:sz w:val="18"/>
        </w:rPr>
        <w:t>18 U.S.C. SECTION 1350,</w:t>
      </w:r>
    </w:p>
    <w:p>
      <w:pPr>
        <w:pStyle w:val="TextBody"/>
        <w:bidi w:val="0"/>
        <w:jc w:val="center"/>
        <w:rPr>
          <w:rFonts w:ascii="Arial" w:hAnsi="Arial"/>
          <w:color w:val="000000"/>
          <w:sz w:val="18"/>
        </w:rPr>
      </w:pPr>
      <w:r>
        <w:rPr>
          <w:rFonts w:ascii="Arial" w:hAnsi="Arial"/>
          <w:color w:val="000000"/>
          <w:sz w:val="18"/>
        </w:rPr>
        <w:t>AS ADOPTED PURSUANT TO</w:t>
      </w:r>
    </w:p>
    <w:p>
      <w:pPr>
        <w:pStyle w:val="TextBody"/>
        <w:bidi w:val="0"/>
        <w:jc w:val="center"/>
        <w:rPr>
          <w:rFonts w:ascii="Arial" w:hAnsi="Arial"/>
          <w:color w:val="000000"/>
          <w:sz w:val="18"/>
        </w:rPr>
      </w:pPr>
      <w:r>
        <w:rPr>
          <w:rFonts w:ascii="Arial" w:hAnsi="Arial"/>
          <w:color w:val="000000"/>
          <w:sz w:val="18"/>
        </w:rPr>
        <w:t>SECTION 906 OF THE SARBANES-OXLEY ACT OF 2002</w:t>
      </w:r>
    </w:p>
    <w:p>
      <w:pPr>
        <w:pStyle w:val="TextBody"/>
        <w:bidi w:val="0"/>
        <w:jc w:val="center"/>
        <w:rPr/>
      </w:pPr>
      <w:r>
        <w:rPr/>
        <w:t> </w:t>
      </w:r>
    </w:p>
    <w:p>
      <w:pPr>
        <w:pStyle w:val="TextBody"/>
        <w:bidi w:val="0"/>
        <w:jc w:val="left"/>
        <w:rPr>
          <w:rFonts w:ascii="Arial" w:hAnsi="Arial"/>
          <w:color w:val="000000"/>
          <w:sz w:val="18"/>
        </w:rPr>
      </w:pPr>
      <w:r>
        <w:rPr>
          <w:rFonts w:ascii="Arial" w:hAnsi="Arial"/>
          <w:color w:val="000000"/>
          <w:sz w:val="18"/>
        </w:rPr>
        <w:t>In connection with the Quarterly Report of Black Hills Corporation (the “Company”) on Form 10-Q for the period ended June 30, 2026,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jc w:val="left"/>
        <w:rPr>
          <w:rFonts w:ascii="Arial" w:hAnsi="Arial"/>
          <w:color w:val="000000"/>
          <w:sz w:val="18"/>
        </w:rPr>
      </w:pPr>
      <w:r>
        <w:rPr>
          <w:rFonts w:ascii="Arial" w:hAnsi="Arial"/>
          <w:color w:val="000000"/>
          <w:sz w:val="18"/>
        </w:rPr>
        <w:t xml:space="preserve">The Report fully complies with the requirements of Section 13 (a) or </w:t>
      </w:r>
    </w:p>
    <w:p>
      <w:pPr>
        <w:pStyle w:val="TextBody"/>
        <w:bidi w:val="0"/>
        <w:jc w:val="left"/>
        <w:rPr>
          <w:rFonts w:ascii="Arial" w:hAnsi="Arial"/>
          <w:color w:val="000000"/>
          <w:sz w:val="18"/>
        </w:rPr>
      </w:pPr>
      <w:r>
        <w:rPr>
          <w:rFonts w:ascii="Arial" w:hAnsi="Arial"/>
          <w:color w:val="000000"/>
          <w:sz w:val="18"/>
        </w:rPr>
        <w:t>15 (d) of the Securities Exchange Act of 1934; and</w:t>
      </w:r>
    </w:p>
    <w:p>
      <w:pPr>
        <w:pStyle w:val="TextBody"/>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jc w:val="left"/>
        <w:rPr>
          <w:rFonts w:ascii="Arial" w:hAnsi="Arial"/>
          <w:color w:val="000000"/>
          <w:sz w:val="18"/>
        </w:rPr>
      </w:pPr>
      <w:r>
        <w:rPr>
          <w:rFonts w:ascii="Arial" w:hAnsi="Arial"/>
          <w:color w:val="000000"/>
          <w:sz w:val="18"/>
        </w:rPr>
        <w:t>The information contained in the Report fairly presents, in all material</w:t>
      </w:r>
    </w:p>
    <w:p>
      <w:pPr>
        <w:pStyle w:val="TextBody"/>
        <w:bidi w:val="0"/>
        <w:jc w:val="left"/>
        <w:rPr>
          <w:rFonts w:ascii="Arial" w:hAnsi="Arial"/>
          <w:color w:val="000000"/>
          <w:sz w:val="18"/>
        </w:rPr>
      </w:pPr>
      <w:r>
        <w:rPr>
          <w:rFonts w:ascii="Arial" w:hAnsi="Arial"/>
          <w:color w:val="000000"/>
          <w:sz w:val="18"/>
        </w:rPr>
        <w:t>respects, the financial condition and results of operations of the Company.</w:t>
      </w:r>
    </w:p>
    <w:p>
      <w:pPr>
        <w:pStyle w:val="TextBody"/>
        <w:bidi w:val="0"/>
        <w:jc w:val="left"/>
        <w:rPr/>
      </w:pPr>
      <w:r>
        <w:rPr/>
        <w:t> </w:t>
      </w:r>
    </w:p>
    <w:p>
      <w:pPr>
        <w:pStyle w:val="TextBody"/>
        <w:bidi w:val="0"/>
        <w:jc w:val="left"/>
        <w:rPr/>
      </w:pPr>
      <w:r>
        <w:rPr/>
        <w:t> </w:t>
      </w:r>
    </w:p>
    <w:tbl>
      <w:tblPr>
        <w:tblW w:w="6103" w:type="dxa"/>
        <w:jc w:val="left"/>
        <w:tblInd w:w="0" w:type="dxa"/>
        <w:tblLayout w:type="fixed"/>
        <w:tblCellMar>
          <w:top w:w="28" w:type="dxa"/>
          <w:left w:w="28" w:type="dxa"/>
          <w:bottom w:w="28" w:type="dxa"/>
          <w:right w:w="28" w:type="dxa"/>
        </w:tblCellMar>
      </w:tblPr>
      <w:tblGrid>
        <w:gridCol w:w="1831"/>
        <w:gridCol w:w="146"/>
        <w:gridCol w:w="412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Kimberly F. Nooney</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Kimberly F. Nooney</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jc w:val="left"/>
        <w:rPr/>
      </w:pPr>
      <w:bookmarkStart w:id="48" w:name="bkh-ex95.htm"/>
      <w:bookmarkStart w:id="49" w:name="ksbkhex95"/>
      <w:bookmarkEnd w:id="48"/>
      <w:bookmarkEnd w:id="49"/>
      <w:r>
        <w:rPr/>
        <w:t> </w:t>
      </w:r>
      <w:r>
        <w:br w:type="page"/>
      </w:r>
    </w:p>
    <w:p>
      <w:pPr>
        <w:pStyle w:val="TextBody"/>
        <w:bidi w:val="0"/>
        <w:jc w:val="right"/>
        <w:rPr>
          <w:rFonts w:ascii="Arial" w:hAnsi="Arial"/>
          <w:b/>
          <w:color w:val="000000"/>
          <w:sz w:val="18"/>
        </w:rPr>
      </w:pPr>
      <w:bookmarkStart w:id="50" w:name="ex_95"/>
      <w:bookmarkEnd w:id="50"/>
      <w:r>
        <w:rPr>
          <w:rFonts w:ascii="Arial" w:hAnsi="Arial"/>
          <w:b/>
          <w:color w:val="000000"/>
          <w:sz w:val="18"/>
        </w:rPr>
        <w:t>Exhibit 95</w:t>
      </w:r>
    </w:p>
    <w:p>
      <w:pPr>
        <w:pStyle w:val="TextBody"/>
        <w:bidi w:val="0"/>
        <w:jc w:val="right"/>
        <w:rPr/>
      </w:pPr>
      <w:r>
        <w:rPr/>
        <w:t> </w:t>
      </w:r>
    </w:p>
    <w:p>
      <w:pPr>
        <w:pStyle w:val="TextBody"/>
        <w:bidi w:val="0"/>
        <w:jc w:val="left"/>
        <w:rPr>
          <w:rFonts w:ascii="Arial" w:hAnsi="Arial"/>
          <w:color w:val="000000"/>
          <w:sz w:val="18"/>
        </w:rPr>
      </w:pPr>
      <w:r>
        <w:rPr>
          <w:rFonts w:ascii="Arial" w:hAnsi="Arial"/>
          <w:color w:val="000000"/>
          <w:sz w:val="18"/>
        </w:rPr>
        <w:t>Information concerning mine safety violations or other regulatory matters required by Sections 1503(a) of Dodd-Frank is included below.</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Mine Safety and Health Administration Safety Data</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Under the recently enacted Dodd-Frank Act, each operator of a coal or other mine is required to include certain mine safety results in its periodic reports filed with the SEC. Our mining operation, consisting of Wyodak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2026.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Total number of orders issued under section 104(b) of the Mine Act;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Total number of citations and orders for unwarrantable failure of the mine operator to comply with mandatory health and safety standards under section 104(d) of the Mine Act;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Total number of imminent danger orders issued under section 107(a) of the Mine Act;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Total dollar value of proposed assessments from MSHA under the Mine Act.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table below sets forth the total number of citations and/or orders issued by MSHA to Wyodak Mine under the indicated provisions of the Mine Act, together with the total dollar value of proposed MSHA assessments received during the three months ended June 30, 2026, and legal actions pending before the Federal Mine Safety and Health Review Commission (FMSHRC), together with the Administrative Law Judges thereof, for Wyodak Mine, our only mining complex. All citations were abated within 24 hours of issue.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7"/>
        <w:gridCol w:w="554"/>
        <w:gridCol w:w="414"/>
        <w:gridCol w:w="690"/>
        <w:gridCol w:w="744"/>
        <w:gridCol w:w="712"/>
        <w:gridCol w:w="759"/>
        <w:gridCol w:w="305"/>
        <w:gridCol w:w="586"/>
        <w:gridCol w:w="228"/>
        <w:gridCol w:w="842"/>
        <w:gridCol w:w="943"/>
        <w:gridCol w:w="453"/>
        <w:gridCol w:w="338"/>
        <w:gridCol w:w="431"/>
        <w:gridCol w:w="322"/>
        <w:gridCol w:w="434"/>
        <w:gridCol w:w="433"/>
      </w:tblGrid>
      <w:tr>
        <w:trPr/>
        <w:tc>
          <w:tcPr>
            <w:tcW w:w="101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017"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Mine/ MSHA</w:t>
            </w:r>
          </w:p>
          <w:p>
            <w:pPr>
              <w:pStyle w:val="TableContents"/>
              <w:bidi w:val="0"/>
              <w:spacing w:before="0" w:after="283"/>
              <w:jc w:val="center"/>
              <w:rPr>
                <w:rFonts w:ascii="Arial" w:hAnsi="Arial"/>
                <w:b/>
                <w:color w:val="000000"/>
                <w:sz w:val="14"/>
              </w:rPr>
            </w:pPr>
            <w:r>
              <w:rPr>
                <w:rFonts w:ascii="Arial" w:hAnsi="Arial"/>
                <w:b/>
                <w:color w:val="000000"/>
                <w:sz w:val="14"/>
              </w:rPr>
              <w:t>Identification Number</w:t>
            </w:r>
          </w:p>
        </w:tc>
        <w:tc>
          <w:tcPr>
            <w:tcW w:w="968"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Mine Act Section 104 S&amp;S Citations issued during three months ended June 30, 2026</w:t>
            </w:r>
          </w:p>
        </w:tc>
        <w:tc>
          <w:tcPr>
            <w:tcW w:w="690" w:type="dxa"/>
            <w:tcBorders/>
            <w:tcMar>
              <w:top w:w="0" w:type="dxa"/>
              <w:left w:w="0" w:type="dxa"/>
              <w:bottom w:w="0" w:type="dxa"/>
              <w:right w:w="0" w:type="dxa"/>
            </w:tcMar>
            <w:vAlign w:val="center"/>
          </w:tcPr>
          <w:p>
            <w:pPr>
              <w:pStyle w:val="TableContents"/>
              <w:bidi w:val="0"/>
              <w:spacing w:before="0" w:after="20"/>
              <w:jc w:val="center"/>
              <w:rPr>
                <w:rFonts w:ascii="Arial" w:hAnsi="Arial"/>
                <w:b/>
                <w:color w:val="000000"/>
                <w:sz w:val="14"/>
              </w:rPr>
            </w:pPr>
            <w:r>
              <w:rPr>
                <w:rFonts w:ascii="Arial" w:hAnsi="Arial"/>
                <w:b/>
                <w:color w:val="000000"/>
                <w:sz w:val="14"/>
              </w:rPr>
              <w:t>Mine Act Section 104(b) Orders (#)</w:t>
            </w:r>
          </w:p>
        </w:tc>
        <w:tc>
          <w:tcPr>
            <w:tcW w:w="744"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Mine Act Section 104(d) Citations and Orders (#)</w:t>
            </w:r>
          </w:p>
        </w:tc>
        <w:tc>
          <w:tcPr>
            <w:tcW w:w="712"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Mine Act Section 110(b)(2) Violations (#)</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Mine Act Section 107(a) Imminent Danger Orders (#)</w:t>
            </w:r>
          </w:p>
        </w:tc>
        <w:tc>
          <w:tcPr>
            <w:tcW w:w="1119"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 Dollar Value of Proposed MSHA Assessments (a)</w:t>
            </w:r>
          </w:p>
        </w:tc>
        <w:tc>
          <w:tcPr>
            <w:tcW w:w="842"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 Number of Mining Related Fatalities (#)</w:t>
            </w:r>
          </w:p>
        </w:tc>
        <w:tc>
          <w:tcPr>
            <w:tcW w:w="94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Received Notice of Potential to Have Pattern Under Section 104(e) (yes/no)</w:t>
            </w:r>
          </w:p>
        </w:tc>
        <w:tc>
          <w:tcPr>
            <w:tcW w:w="791"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Legal Actions Pending as of Last Day of Period (#) (b)</w:t>
            </w:r>
          </w:p>
        </w:tc>
        <w:tc>
          <w:tcPr>
            <w:tcW w:w="753"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Legal Actions Initiated During Period (#)</w:t>
            </w:r>
          </w:p>
        </w:tc>
        <w:tc>
          <w:tcPr>
            <w:tcW w:w="867"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Legal Actions Resolved During Period (#)</w:t>
            </w:r>
          </w:p>
        </w:tc>
      </w:tr>
      <w:tr>
        <w:trPr/>
        <w:tc>
          <w:tcPr>
            <w:tcW w:w="1017" w:type="dxa"/>
            <w:tcBorders/>
            <w:tcMar>
              <w:top w:w="0" w:type="dxa"/>
              <w:left w:w="0" w:type="dxa"/>
              <w:bottom w:w="0" w:type="dxa"/>
              <w:right w:w="0" w:type="dxa"/>
            </w:tcMar>
            <w:vAlign w:val="center"/>
          </w:tcPr>
          <w:p>
            <w:pPr>
              <w:pStyle w:val="TableContents"/>
              <w:bidi w:val="0"/>
              <w:spacing w:before="0" w:after="20"/>
              <w:jc w:val="left"/>
              <w:rPr>
                <w:rFonts w:ascii="Arial" w:hAnsi="Arial"/>
                <w:color w:val="000000"/>
                <w:sz w:val="16"/>
              </w:rPr>
            </w:pPr>
            <w:r>
              <w:rPr>
                <w:rFonts w:ascii="Arial" w:hAnsi="Arial"/>
                <w:color w:val="000000"/>
                <w:sz w:val="16"/>
              </w:rPr>
              <w:t>Wyodak Mine - 4800083</w:t>
            </w:r>
          </w:p>
        </w:tc>
        <w:tc>
          <w:tcPr>
            <w:tcW w:w="554"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0</w:t>
            </w:r>
          </w:p>
        </w:tc>
        <w:tc>
          <w:tcPr>
            <w:tcW w:w="414"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0</w:t>
            </w:r>
          </w:p>
        </w:tc>
        <w:tc>
          <w:tcPr>
            <w:tcW w:w="744"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0</w:t>
            </w:r>
          </w:p>
        </w:tc>
        <w:tc>
          <w:tcPr>
            <w:tcW w:w="712"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0</w:t>
            </w:r>
          </w:p>
        </w:tc>
        <w:tc>
          <w:tcPr>
            <w:tcW w:w="759"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0</w:t>
            </w:r>
          </w:p>
        </w:tc>
        <w:tc>
          <w:tcPr>
            <w:tcW w:w="305" w:type="dxa"/>
            <w:tcBorders/>
            <w:tcMar>
              <w:top w:w="0" w:type="dxa"/>
              <w:left w:w="0" w:type="dxa"/>
              <w:bottom w:w="0" w:type="dxa"/>
              <w:right w:w="0" w:type="dxa"/>
            </w:tcMar>
            <w:vAlign w:val="center"/>
          </w:tcPr>
          <w:p>
            <w:pPr>
              <w:pStyle w:val="TableContents"/>
              <w:bidi w:val="0"/>
              <w:spacing w:before="0" w:after="20"/>
              <w:jc w:val="left"/>
              <w:rPr>
                <w:rFonts w:ascii="Arial" w:hAnsi="Arial"/>
                <w:color w:val="000000"/>
                <w:sz w:val="16"/>
              </w:rPr>
            </w:pPr>
            <w:r>
              <w:rPr>
                <w:rFonts w:ascii="Arial" w:hAnsi="Arial"/>
                <w:color w:val="000000"/>
                <w:sz w:val="16"/>
              </w:rPr>
              <w:t>$</w:t>
            </w:r>
          </w:p>
        </w:tc>
        <w:tc>
          <w:tcPr>
            <w:tcW w:w="586"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604</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0</w:t>
            </w:r>
          </w:p>
        </w:tc>
        <w:tc>
          <w:tcPr>
            <w:tcW w:w="943"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No</w:t>
            </w:r>
          </w:p>
        </w:tc>
        <w:tc>
          <w:tcPr>
            <w:tcW w:w="453"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0</w:t>
            </w:r>
          </w:p>
        </w:tc>
        <w:tc>
          <w:tcPr>
            <w:tcW w:w="3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0</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0"/>
              <w:jc w:val="center"/>
              <w:rPr>
                <w:rFonts w:ascii="Arial" w:hAnsi="Arial"/>
                <w:color w:val="000000"/>
                <w:sz w:val="16"/>
              </w:rPr>
            </w:pPr>
            <w:r>
              <w:rPr>
                <w:rFonts w:ascii="Arial" w:hAnsi="Arial"/>
                <w:color w:val="000000"/>
                <w:sz w:val="16"/>
              </w:rPr>
              <w:t>0</w:t>
            </w:r>
          </w:p>
        </w:tc>
        <w:tc>
          <w:tcPr>
            <w:tcW w:w="43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jc w:val="left"/>
        <w:rPr>
          <w:rFonts w:ascii="Arial" w:hAnsi="Arial"/>
          <w:color w:val="000000"/>
          <w:sz w:val="16"/>
        </w:rPr>
      </w:pPr>
      <w:r>
        <w:rPr>
          <w:rFonts w:ascii="Arial" w:hAnsi="Arial"/>
          <w:color w:val="000000"/>
          <w:sz w:val="16"/>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pStyle w:val="TextBody"/>
        <w:bidi w:val="0"/>
        <w:spacing w:before="200" w:after="20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21620</Words>
  <Characters>115708</Characters>
  <CharactersWithSpaces>138010</CharactersWithSpaces>
  <Paragraphs>10972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