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151"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 10-Q</w:t>
      </w:r>
    </w:p>
    <w:p>
      <w:pPr>
        <w:spacing w:after="0" w:line="167" w:lineRule="exact"/>
        <w:rPr>
          <w:sz w:val="24"/>
          <w:szCs w:val="24"/>
          <w:color w:val="auto"/>
        </w:rPr>
      </w:pPr>
    </w:p>
    <w:p>
      <w:pPr>
        <w:jc w:val="center"/>
        <w:ind w:left="4000" w:right="1380" w:hanging="2609"/>
        <w:spacing w:after="0" w:line="286" w:lineRule="auto"/>
        <w:tabs>
          <w:tab w:leader="none" w:pos="1586"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QUARTERLY REPORT PURSUANT TO SECTION 13 OR 15(d) OF THE SECURITIES EXCHANGE ACT OF 1934 For the quarterly period ended June 30, 2025</w:t>
      </w:r>
    </w:p>
    <w:p>
      <w:pPr>
        <w:spacing w:after="0" w:line="129" w:lineRule="exact"/>
        <w:rPr>
          <w:sz w:val="24"/>
          <w:szCs w:val="24"/>
          <w:color w:val="auto"/>
        </w:rPr>
      </w:pPr>
    </w:p>
    <w:p>
      <w:pPr>
        <w:ind w:left="3540" w:right="1360" w:hanging="2167"/>
        <w:spacing w:after="0" w:line="286" w:lineRule="auto"/>
        <w:tabs>
          <w:tab w:leader="none" w:pos="1604"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TRANSITION REPORT PURSUANT TO SECTION 13 OR 15(d) OF THE SECURITIES EXCHANGE ACT OF 1934 For the transition period from __________ to __________</w:t>
      </w:r>
    </w:p>
    <w:p>
      <w:pPr>
        <w:spacing w:after="0" w:line="102"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Commission File Number 001-31303</w:t>
      </w:r>
    </w:p>
    <w:p>
      <w:pPr>
        <w:spacing w:after="0" w:line="16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Black Hills Corporation</w:t>
      </w:r>
    </w:p>
    <w:p>
      <w:pPr>
        <w:spacing w:after="0" w:line="167" w:lineRule="exact"/>
        <w:rPr>
          <w:sz w:val="24"/>
          <w:szCs w:val="24"/>
          <w:color w:val="auto"/>
        </w:rPr>
      </w:pPr>
    </w:p>
    <w:p>
      <w:pPr>
        <w:ind w:left="2960"/>
        <w:spacing w:after="0"/>
        <w:tabs>
          <w:tab w:leader="none" w:pos="5500" w:val="left"/>
        </w:tabs>
        <w:rPr>
          <w:sz w:val="20"/>
          <w:szCs w:val="20"/>
          <w:color w:val="auto"/>
        </w:rPr>
      </w:pPr>
      <w:r>
        <w:rPr>
          <w:rFonts w:ascii="Arial" w:cs="Arial" w:eastAsia="Arial" w:hAnsi="Arial"/>
          <w:sz w:val="16"/>
          <w:szCs w:val="16"/>
          <w:color w:val="auto"/>
        </w:rPr>
        <w:t>Incorporated in South Dakota</w:t>
      </w:r>
      <w:r>
        <w:rPr>
          <w:sz w:val="20"/>
          <w:szCs w:val="20"/>
          <w:color w:val="auto"/>
        </w:rPr>
        <w:tab/>
      </w:r>
      <w:r>
        <w:rPr>
          <w:rFonts w:ascii="Arial" w:cs="Arial" w:eastAsia="Arial" w:hAnsi="Arial"/>
          <w:sz w:val="16"/>
          <w:szCs w:val="16"/>
          <w:color w:val="auto"/>
        </w:rPr>
        <w:t>IRS Identification Number 46-0458824</w:t>
      </w:r>
    </w:p>
    <w:p>
      <w:pPr>
        <w:spacing w:after="0" w:line="16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7001 Mount Rushmore Road</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Rapid City, South Dakota 57702</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(605) 721-1700</w:t>
      </w:r>
    </w:p>
    <w:p>
      <w:pPr>
        <w:spacing w:after="0" w:line="151"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NONE</w:t>
      </w:r>
    </w:p>
    <w:p>
      <w:pPr>
        <w:spacing w:after="0" w:line="151" w:lineRule="exact"/>
        <w:rPr>
          <w:sz w:val="24"/>
          <w:szCs w:val="24"/>
          <w:color w:val="auto"/>
        </w:rPr>
      </w:pPr>
    </w:p>
    <w:p>
      <w:pPr>
        <w:jc w:val="both"/>
        <w:ind w:right="400"/>
        <w:spacing w:after="0" w:line="205"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15" w:lineRule="exact"/>
        <w:rPr>
          <w:sz w:val="24"/>
          <w:szCs w:val="24"/>
          <w:color w:val="auto"/>
        </w:rPr>
      </w:pPr>
    </w:p>
    <w:p>
      <w:pPr>
        <w:ind w:right="420"/>
        <w:spacing w:after="0" w:line="213"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15" w:lineRule="exact"/>
        <w:rPr>
          <w:sz w:val="24"/>
          <w:szCs w:val="24"/>
          <w:color w:val="auto"/>
        </w:rPr>
      </w:pPr>
    </w:p>
    <w:p>
      <w:pPr>
        <w:ind w:right="100"/>
        <w:spacing w:after="0" w:line="26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5" w:lineRule="exact"/>
        <w:rPr>
          <w:sz w:val="24"/>
          <w:szCs w:val="24"/>
          <w:color w:val="auto"/>
        </w:rPr>
      </w:pPr>
    </w:p>
    <w:tbl>
      <w:tblPr>
        <w:tblLayout w:type="fixed"/>
        <w:tblInd w:w="2480" w:type="dxa"/>
        <w:tblCellMar>
          <w:top w:w="0" w:type="dxa"/>
          <w:left w:w="0" w:type="dxa"/>
          <w:bottom w:w="0" w:type="dxa"/>
          <w:right w:w="0" w:type="dxa"/>
        </w:tblCellMar>
      </w:tblPr>
      <w:tr>
        <w:trPr>
          <w:trHeight w:val="272"/>
        </w:trPr>
        <w:tc>
          <w:tcPr>
            <w:tcW w:w="22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920" w:type="dxa"/>
            <w:vAlign w:val="bottom"/>
          </w:tcPr>
          <w:p>
            <w:pPr>
              <w:ind w:left="520"/>
              <w:spacing w:after="0"/>
              <w:rPr>
                <w:sz w:val="20"/>
                <w:szCs w:val="20"/>
                <w:color w:val="auto"/>
              </w:rPr>
            </w:pPr>
            <w:r>
              <w:rPr>
                <w:rFonts w:ascii="Wingdings" w:cs="Wingdings" w:eastAsia="Wingdings" w:hAnsi="Wingdings"/>
                <w:sz w:val="16"/>
                <w:szCs w:val="16"/>
                <w:b w:val="1"/>
                <w:bCs w:val="1"/>
                <w:color w:val="auto"/>
              </w:rPr>
              <w:t>x</w:t>
            </w:r>
          </w:p>
        </w:tc>
        <w:tc>
          <w:tcPr>
            <w:tcW w:w="2620" w:type="dxa"/>
            <w:vAlign w:val="bottom"/>
          </w:tcPr>
          <w:p>
            <w:pPr>
              <w:ind w:left="240"/>
              <w:spacing w:after="0"/>
              <w:rPr>
                <w:sz w:val="20"/>
                <w:szCs w:val="20"/>
                <w:color w:val="auto"/>
              </w:rPr>
            </w:pPr>
            <w:r>
              <w:rPr>
                <w:rFonts w:ascii="Arial" w:cs="Arial" w:eastAsia="Arial" w:hAnsi="Arial"/>
                <w:sz w:val="16"/>
                <w:szCs w:val="16"/>
                <w:color w:val="auto"/>
              </w:rPr>
              <w:t>Accelerated Filer</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32"/>
        </w:trPr>
        <w:tc>
          <w:tcPr>
            <w:tcW w:w="2200" w:type="dxa"/>
            <w:vAlign w:val="bottom"/>
          </w:tcPr>
          <w:p>
            <w:pPr>
              <w:spacing w:after="0"/>
              <w:rPr>
                <w:sz w:val="20"/>
                <w:szCs w:val="20"/>
                <w:color w:val="auto"/>
              </w:rPr>
            </w:pPr>
            <w:r>
              <w:rPr>
                <w:rFonts w:ascii="Arial" w:cs="Arial" w:eastAsia="Arial" w:hAnsi="Arial"/>
                <w:sz w:val="16"/>
                <w:szCs w:val="16"/>
                <w:color w:val="auto"/>
              </w:rPr>
              <w:t>Non-accelerated Filer</w:t>
            </w:r>
          </w:p>
        </w:tc>
        <w:tc>
          <w:tcPr>
            <w:tcW w:w="92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2620" w:type="dxa"/>
            <w:vAlign w:val="bottom"/>
          </w:tcPr>
          <w:p>
            <w:pPr>
              <w:ind w:left="240"/>
              <w:spacing w:after="0"/>
              <w:rPr>
                <w:sz w:val="20"/>
                <w:szCs w:val="20"/>
                <w:color w:val="auto"/>
              </w:rPr>
            </w:pPr>
            <w:r>
              <w:rPr>
                <w:rFonts w:ascii="Arial" w:cs="Arial" w:eastAsia="Arial" w:hAnsi="Arial"/>
                <w:sz w:val="16"/>
                <w:szCs w:val="16"/>
                <w:color w:val="auto"/>
              </w:rPr>
              <w:t>Smaller Reporting Company</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32"/>
        </w:trPr>
        <w:tc>
          <w:tcPr>
            <w:tcW w:w="2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20" w:type="dxa"/>
            <w:vAlign w:val="bottom"/>
          </w:tcPr>
          <w:p>
            <w:pPr>
              <w:ind w:left="240"/>
              <w:spacing w:after="0"/>
              <w:rPr>
                <w:sz w:val="20"/>
                <w:szCs w:val="20"/>
                <w:color w:val="auto"/>
              </w:rPr>
            </w:pPr>
            <w:r>
              <w:rPr>
                <w:rFonts w:ascii="Arial" w:cs="Arial" w:eastAsia="Arial" w:hAnsi="Arial"/>
                <w:sz w:val="16"/>
                <w:szCs w:val="16"/>
                <w:color w:val="auto"/>
              </w:rPr>
              <w:t>Emerging Growth Company</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55" w:lineRule="exact"/>
        <w:rPr>
          <w:sz w:val="24"/>
          <w:szCs w:val="24"/>
          <w:color w:val="auto"/>
        </w:rPr>
      </w:pPr>
    </w:p>
    <w:p>
      <w:pPr>
        <w:spacing w:after="0" w:line="286" w:lineRule="auto"/>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66" w:lineRule="exact"/>
        <w:rPr>
          <w:sz w:val="24"/>
          <w:szCs w:val="24"/>
          <w:color w:val="auto"/>
        </w:rPr>
      </w:pPr>
    </w:p>
    <w:p>
      <w:pPr>
        <w:spacing w:after="0" w:line="184" w:lineRule="exact"/>
        <w:tabs>
          <w:tab w:leader="none" w:pos="8760"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24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Securities registered pursuant to Section 12(b) of the Act:</w:t>
      </w:r>
    </w:p>
    <w:p>
      <w:pPr>
        <w:sectPr>
          <w:pgSz w:w="11900" w:h="16838" w:orient="portrait"/>
          <w:cols w:equalWidth="0" w:num="1">
            <w:col w:w="11240"/>
          </w:cols>
          <w:pgMar w:left="320" w:top="233" w:right="339" w:bottom="1440" w:gutter="0" w:footer="0" w:header="0"/>
        </w:sectPr>
      </w:pPr>
    </w:p>
    <w:p>
      <w:pPr>
        <w:spacing w:after="0" w:line="86" w:lineRule="exact"/>
        <w:rPr>
          <w:sz w:val="24"/>
          <w:szCs w:val="24"/>
          <w:color w:val="auto"/>
        </w:rPr>
      </w:pPr>
    </w:p>
    <w:p>
      <w:pPr>
        <w:ind w:left="2400"/>
        <w:spacing w:after="0"/>
        <w:rPr>
          <w:sz w:val="20"/>
          <w:szCs w:val="20"/>
          <w:color w:val="auto"/>
        </w:rPr>
      </w:pPr>
      <w:r>
        <w:rPr>
          <w:rFonts w:ascii="Arial" w:cs="Arial" w:eastAsia="Arial" w:hAnsi="Arial"/>
          <w:sz w:val="15"/>
          <w:szCs w:val="15"/>
          <w:color w:val="auto"/>
        </w:rPr>
        <w:t>Title of each class</w:t>
      </w:r>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spacing w:after="0"/>
        <w:rPr>
          <w:sz w:val="20"/>
          <w:szCs w:val="20"/>
          <w:color w:val="auto"/>
        </w:rPr>
      </w:pPr>
      <w:r>
        <w:rPr>
          <w:rFonts w:ascii="Arial" w:cs="Arial" w:eastAsia="Arial" w:hAnsi="Arial"/>
          <w:sz w:val="16"/>
          <w:szCs w:val="16"/>
          <w:color w:val="auto"/>
        </w:rPr>
        <w:t>Trading Symbol(s)</w:t>
      </w:r>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jc w:val="center"/>
        <w:ind w:right="840"/>
        <w:spacing w:after="0"/>
        <w:rPr>
          <w:sz w:val="20"/>
          <w:szCs w:val="20"/>
          <w:color w:val="auto"/>
        </w:rPr>
      </w:pPr>
      <w:r>
        <w:rPr>
          <w:rFonts w:ascii="Arial" w:cs="Arial" w:eastAsia="Arial" w:hAnsi="Arial"/>
          <w:sz w:val="16"/>
          <w:szCs w:val="16"/>
          <w:color w:val="auto"/>
        </w:rPr>
        <w:t>Name of each exchange on which registered</w:t>
      </w:r>
    </w:p>
    <w:p>
      <w:pPr>
        <w:spacing w:after="0" w:line="86" w:lineRule="exact"/>
        <w:rPr>
          <w:sz w:val="24"/>
          <w:szCs w:val="24"/>
          <w:color w:val="auto"/>
        </w:rPr>
      </w:pPr>
    </w:p>
    <w:p>
      <w:pPr>
        <w:sectPr>
          <w:pgSz w:w="11900" w:h="16838" w:orient="portrait"/>
          <w:cols w:equalWidth="0" w:num="3">
            <w:col w:w="4320" w:space="720"/>
            <w:col w:w="1440" w:space="720"/>
            <w:col w:w="4040"/>
          </w:cols>
          <w:pgMar w:left="320" w:top="233" w:right="339" w:bottom="1440" w:gutter="0" w:footer="0" w:header="0"/>
          <w:type w:val="continuous"/>
        </w:sectPr>
      </w:pPr>
    </w:p>
    <w:p>
      <w:pPr>
        <w:ind w:left="1820"/>
        <w:spacing w:after="0"/>
        <w:rPr>
          <w:sz w:val="20"/>
          <w:szCs w:val="20"/>
          <w:color w:val="auto"/>
        </w:rPr>
      </w:pPr>
      <w:r>
        <w:rPr>
          <w:rFonts w:ascii="Arial" w:cs="Arial" w:eastAsia="Arial" w:hAnsi="Arial"/>
          <w:sz w:val="16"/>
          <w:szCs w:val="16"/>
          <w:color w:val="auto"/>
        </w:rPr>
        <w:t>Common stock of $1.00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BKH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New York Stock Exchange</w:t>
      </w:r>
    </w:p>
    <w:p>
      <w:pPr>
        <w:spacing w:after="0" w:line="200" w:lineRule="exact"/>
        <w:rPr>
          <w:sz w:val="24"/>
          <w:szCs w:val="24"/>
          <w:color w:val="auto"/>
        </w:rPr>
      </w:pPr>
    </w:p>
    <w:p>
      <w:pPr>
        <w:sectPr>
          <w:pgSz w:w="11900" w:h="16838" w:orient="portrait"/>
          <w:cols w:equalWidth="0" w:num="3">
            <w:col w:w="4820" w:space="720"/>
            <w:col w:w="1580" w:space="720"/>
            <w:col w:w="3400"/>
          </w:cols>
          <w:pgMar w:left="320" w:top="233" w:right="339" w:bottom="1440" w:gutter="0" w:footer="0" w:header="0"/>
          <w:type w:val="continuous"/>
        </w:sectPr>
      </w:pPr>
    </w:p>
    <w:p>
      <w:pPr>
        <w:spacing w:after="0" w:line="8" w:lineRule="exact"/>
        <w:rPr>
          <w:sz w:val="24"/>
          <w:szCs w:val="24"/>
          <w:color w:val="auto"/>
        </w:rPr>
      </w:pPr>
    </w:p>
    <w:p>
      <w:pPr>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5760" w:type="dxa"/>
            <w:vAlign w:val="bottom"/>
          </w:tcPr>
          <w:p>
            <w:pPr>
              <w:ind w:left="3920"/>
              <w:spacing w:after="0"/>
              <w:rPr>
                <w:sz w:val="20"/>
                <w:szCs w:val="20"/>
                <w:color w:val="auto"/>
              </w:rPr>
            </w:pPr>
            <w:r>
              <w:rPr>
                <w:rFonts w:ascii="Arial" w:cs="Arial" w:eastAsia="Arial" w:hAnsi="Arial"/>
                <w:sz w:val="16"/>
                <w:szCs w:val="16"/>
                <w:color w:val="auto"/>
              </w:rPr>
              <w:t>Class</w:t>
            </w:r>
          </w:p>
        </w:tc>
        <w:tc>
          <w:tcPr>
            <w:tcW w:w="5480" w:type="dxa"/>
            <w:vAlign w:val="bottom"/>
          </w:tcPr>
          <w:p>
            <w:pPr>
              <w:ind w:left="520"/>
              <w:spacing w:after="0"/>
              <w:rPr>
                <w:sz w:val="20"/>
                <w:szCs w:val="20"/>
                <w:color w:val="auto"/>
              </w:rPr>
            </w:pPr>
            <w:r>
              <w:rPr>
                <w:rFonts w:ascii="Arial" w:cs="Arial" w:eastAsia="Arial" w:hAnsi="Arial"/>
                <w:sz w:val="16"/>
                <w:szCs w:val="16"/>
                <w:color w:val="auto"/>
              </w:rPr>
              <w:t>Outstanding at July 29, 2025</w:t>
            </w:r>
          </w:p>
        </w:tc>
      </w:tr>
      <w:tr>
        <w:trPr>
          <w:trHeight w:val="270"/>
        </w:trPr>
        <w:tc>
          <w:tcPr>
            <w:tcW w:w="5760" w:type="dxa"/>
            <w:vAlign w:val="bottom"/>
          </w:tcPr>
          <w:p>
            <w:pPr>
              <w:ind w:left="2960"/>
              <w:spacing w:after="0"/>
              <w:rPr>
                <w:sz w:val="20"/>
                <w:szCs w:val="20"/>
                <w:color w:val="auto"/>
              </w:rPr>
            </w:pPr>
            <w:r>
              <w:rPr>
                <w:rFonts w:ascii="Arial" w:cs="Arial" w:eastAsia="Arial" w:hAnsi="Arial"/>
                <w:sz w:val="16"/>
                <w:szCs w:val="16"/>
                <w:color w:val="auto"/>
              </w:rPr>
              <w:t>Common stock, $1.00 par value</w:t>
            </w:r>
          </w:p>
        </w:tc>
        <w:tc>
          <w:tcPr>
            <w:tcW w:w="5480" w:type="dxa"/>
            <w:vAlign w:val="bottom"/>
          </w:tcPr>
          <w:p>
            <w:pPr>
              <w:ind w:left="720"/>
              <w:spacing w:after="0"/>
              <w:rPr>
                <w:sz w:val="20"/>
                <w:szCs w:val="20"/>
                <w:color w:val="auto"/>
              </w:rPr>
            </w:pPr>
            <w:r>
              <w:rPr>
                <w:rFonts w:ascii="Arial" w:cs="Arial" w:eastAsia="Arial" w:hAnsi="Arial"/>
                <w:sz w:val="16"/>
                <w:szCs w:val="16"/>
                <w:color w:val="auto"/>
              </w:rPr>
              <w:t>72,851,741 shares</w:t>
            </w:r>
          </w:p>
        </w:tc>
      </w:tr>
      <w:tr>
        <w:trPr>
          <w:trHeight w:val="1210"/>
        </w:trPr>
        <w:tc>
          <w:tcPr>
            <w:tcW w:w="5760" w:type="dxa"/>
            <w:vAlign w:val="bottom"/>
            <w:tcBorders>
              <w:bottom w:val="single" w:sz="8" w:color="9A9A9A"/>
            </w:tcBorders>
          </w:tcPr>
          <w:p>
            <w:pPr>
              <w:spacing w:after="0"/>
              <w:rPr>
                <w:sz w:val="24"/>
                <w:szCs w:val="24"/>
                <w:color w:val="auto"/>
              </w:rPr>
            </w:pPr>
          </w:p>
        </w:tc>
        <w:tc>
          <w:tcPr>
            <w:tcW w:w="548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40" w:type="dxa"/>
            <w:vAlign w:val="bottom"/>
            <w:gridSpan w:val="10"/>
          </w:tcPr>
          <w:p>
            <w:pPr>
              <w:ind w:left="120"/>
              <w:spacing w:after="0"/>
              <w:rPr>
                <w:sz w:val="20"/>
                <w:szCs w:val="20"/>
                <w:color w:val="auto"/>
              </w:rPr>
            </w:pPr>
            <w:r>
              <w:rPr>
                <w:rFonts w:ascii="Arial" w:cs="Arial" w:eastAsia="Arial" w:hAnsi="Arial"/>
                <w:sz w:val="16"/>
                <w:szCs w:val="16"/>
                <w:b w:val="1"/>
                <w:bCs w:val="1"/>
                <w:color w:val="auto"/>
              </w:rPr>
              <w:t>TABLE OF CONTENTS</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33"/>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60" w:type="dxa"/>
            <w:vAlign w:val="bottom"/>
            <w:gridSpan w:val="4"/>
          </w:tcPr>
          <w:p>
            <w:pPr>
              <w:ind w:left="580"/>
              <w:spacing w:after="0"/>
              <w:rPr>
                <w:sz w:val="20"/>
                <w:szCs w:val="20"/>
                <w:color w:val="auto"/>
              </w:rPr>
            </w:pPr>
            <w:r>
              <w:rPr>
                <w:rFonts w:ascii="Arial" w:cs="Arial" w:eastAsia="Arial" w:hAnsi="Arial"/>
                <w:sz w:val="16"/>
                <w:szCs w:val="16"/>
                <w:color w:val="auto"/>
              </w:rPr>
              <w:t>Page</w:t>
            </w:r>
          </w:p>
        </w:tc>
      </w:tr>
      <w:tr>
        <w:trPr>
          <w:trHeight w:val="156"/>
        </w:trPr>
        <w:tc>
          <w:tcPr>
            <w:tcW w:w="2680" w:type="dxa"/>
            <w:vAlign w:val="bottom"/>
            <w:tcBorders>
              <w:top w:val="single" w:sz="8" w:color="CFF0FC"/>
              <w:bottom w:val="single" w:sz="8" w:color="0000FF"/>
              <w:right w:val="single" w:sz="8" w:color="CFF0FC"/>
            </w:tcBorders>
            <w:gridSpan w:val="10"/>
            <w:shd w:val="clear" w:color="auto" w:fill="CFF0FC"/>
          </w:tcPr>
          <w:p>
            <w:pPr>
              <w:spacing w:after="0" w:line="148" w:lineRule="exact"/>
              <w:rPr>
                <w:sz w:val="20"/>
                <w:szCs w:val="20"/>
                <w:color w:val="auto"/>
              </w:rPr>
            </w:pPr>
            <w:r>
              <w:rPr>
                <w:rFonts w:ascii="Arial" w:cs="Arial" w:eastAsia="Arial" w:hAnsi="Arial"/>
                <w:sz w:val="16"/>
                <w:szCs w:val="16"/>
                <w:color w:val="0000FF"/>
              </w:rPr>
              <w:t>Glossary of Terms and Abbreviations</w:t>
            </w:r>
          </w:p>
        </w:tc>
        <w:tc>
          <w:tcPr>
            <w:tcW w:w="7000" w:type="dxa"/>
            <w:vAlign w:val="bottom"/>
            <w:tcBorders>
              <w:top w:val="single" w:sz="8" w:color="CFF0FC"/>
              <w:bottom w:val="single" w:sz="8" w:color="CFF0FC"/>
            </w:tcBorders>
            <w:gridSpan w:val="22"/>
            <w:shd w:val="clear" w:color="auto" w:fill="CFF0FC"/>
          </w:tcPr>
          <w:p>
            <w:pPr>
              <w:spacing w:after="0"/>
              <w:rPr>
                <w:sz w:val="13"/>
                <w:szCs w:val="13"/>
                <w:color w:val="auto"/>
              </w:rPr>
            </w:pPr>
          </w:p>
        </w:tc>
        <w:tc>
          <w:tcPr>
            <w:tcW w:w="720" w:type="dxa"/>
            <w:vAlign w:val="bottom"/>
            <w:tcBorders>
              <w:top w:val="single" w:sz="8" w:color="auto"/>
              <w:bottom w:val="single" w:sz="8" w:color="CFF0FC"/>
              <w:right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0000FF"/>
            </w:tcBorders>
            <w:shd w:val="clear" w:color="auto" w:fill="CFF0FC"/>
          </w:tcPr>
          <w:p>
            <w:pPr>
              <w:jc w:val="center"/>
              <w:spacing w:after="0" w:line="148" w:lineRule="exact"/>
              <w:rPr>
                <w:sz w:val="20"/>
                <w:szCs w:val="20"/>
                <w:color w:val="auto"/>
              </w:rPr>
            </w:pPr>
            <w:r>
              <w:rPr>
                <w:rFonts w:ascii="Arial" w:cs="Arial" w:eastAsia="Arial" w:hAnsi="Arial"/>
                <w:sz w:val="16"/>
                <w:szCs w:val="16"/>
                <w:color w:val="0000FF"/>
              </w:rPr>
              <w:t>3</w:t>
            </w:r>
          </w:p>
        </w:tc>
        <w:tc>
          <w:tcPr>
            <w:tcW w:w="720" w:type="dxa"/>
            <w:vAlign w:val="bottom"/>
            <w:tcBorders>
              <w:top w:val="single" w:sz="8" w:color="auto"/>
              <w:left w:val="single" w:sz="8" w:color="CFF0FC"/>
              <w:bottom w:val="single" w:sz="8" w:color="CFF0FC"/>
            </w:tcBorders>
            <w:shd w:val="clear" w:color="auto" w:fill="CFF0FC"/>
          </w:tcPr>
          <w:p>
            <w:pPr>
              <w:spacing w:after="0"/>
              <w:rPr>
                <w:sz w:val="13"/>
                <w:szCs w:val="13"/>
                <w:color w:val="auto"/>
              </w:rPr>
            </w:pPr>
          </w:p>
        </w:tc>
        <w:tc>
          <w:tcPr>
            <w:tcW w:w="20" w:type="dxa"/>
            <w:vAlign w:val="bottom"/>
            <w:tcBorders>
              <w:top w:val="single" w:sz="8" w:color="CFF0FC"/>
              <w:bottom w:val="single" w:sz="8" w:color="CFF0FC"/>
            </w:tcBorders>
            <w:shd w:val="clear" w:color="auto" w:fill="CFF0FC"/>
          </w:tcPr>
          <w:p>
            <w:pPr>
              <w:spacing w:after="0"/>
              <w:rPr>
                <w:sz w:val="13"/>
                <w:szCs w:val="13"/>
                <w:color w:val="auto"/>
              </w:rPr>
            </w:pPr>
          </w:p>
        </w:tc>
      </w:tr>
      <w:tr>
        <w:trPr>
          <w:trHeight w:val="162"/>
        </w:trPr>
        <w:tc>
          <w:tcPr>
            <w:tcW w:w="2480" w:type="dxa"/>
            <w:vAlign w:val="bottom"/>
            <w:gridSpan w:val="9"/>
          </w:tcPr>
          <w:p>
            <w:pPr>
              <w:ind w:left="20"/>
              <w:spacing w:after="0" w:line="162" w:lineRule="exact"/>
              <w:rPr>
                <w:sz w:val="20"/>
                <w:szCs w:val="20"/>
                <w:color w:val="auto"/>
              </w:rPr>
            </w:pPr>
            <w:r>
              <w:rPr>
                <w:rFonts w:ascii="Arial" w:cs="Arial" w:eastAsia="Arial" w:hAnsi="Arial"/>
                <w:sz w:val="16"/>
                <w:szCs w:val="16"/>
                <w:color w:val="0000FF"/>
              </w:rPr>
              <w:t>Forward-Looking Information</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20" w:type="dxa"/>
            <w:vAlign w:val="bottom"/>
            <w:gridSpan w:val="2"/>
          </w:tcPr>
          <w:p>
            <w:pPr>
              <w:jc w:val="center"/>
              <w:ind w:left="639"/>
              <w:spacing w:after="0" w:line="162" w:lineRule="exact"/>
              <w:rPr>
                <w:sz w:val="20"/>
                <w:szCs w:val="20"/>
                <w:color w:val="auto"/>
              </w:rPr>
            </w:pPr>
            <w:r>
              <w:rPr>
                <w:rFonts w:ascii="Arial" w:cs="Arial" w:eastAsia="Arial" w:hAnsi="Arial"/>
                <w:sz w:val="16"/>
                <w:szCs w:val="16"/>
                <w:color w:val="0000FF"/>
              </w:rPr>
              <w:t>7</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76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69"/>
        </w:trPr>
        <w:tc>
          <w:tcPr>
            <w:tcW w:w="9680" w:type="dxa"/>
            <w:vAlign w:val="bottom"/>
            <w:gridSpan w:val="32"/>
            <w:shd w:val="clear" w:color="auto" w:fill="CFF0FC"/>
          </w:tcPr>
          <w:p>
            <w:pPr>
              <w:spacing w:after="0" w:line="162" w:lineRule="exact"/>
              <w:rPr>
                <w:sz w:val="20"/>
                <w:szCs w:val="20"/>
                <w:color w:val="auto"/>
              </w:rPr>
            </w:pPr>
            <w:r>
              <w:rPr>
                <w:rFonts w:ascii="Arial" w:cs="Arial" w:eastAsia="Arial" w:hAnsi="Arial"/>
                <w:sz w:val="16"/>
                <w:szCs w:val="16"/>
                <w:color w:val="0000FF"/>
              </w:rPr>
              <w:t>PART I. FINANCIAL INFORMATION</w:t>
            </w:r>
          </w:p>
        </w:tc>
        <w:tc>
          <w:tcPr>
            <w:tcW w:w="820" w:type="dxa"/>
            <w:vAlign w:val="bottom"/>
            <w:gridSpan w:val="2"/>
            <w:shd w:val="clear" w:color="auto" w:fill="CFF0FC"/>
          </w:tcPr>
          <w:p>
            <w:pPr>
              <w:jc w:val="center"/>
              <w:ind w:left="639"/>
              <w:spacing w:after="0" w:line="162" w:lineRule="exact"/>
              <w:rPr>
                <w:sz w:val="20"/>
                <w:szCs w:val="20"/>
                <w:color w:val="auto"/>
              </w:rPr>
            </w:pPr>
            <w:r>
              <w:rPr>
                <w:rFonts w:ascii="Arial" w:cs="Arial" w:eastAsia="Arial" w:hAnsi="Arial"/>
                <w:sz w:val="16"/>
                <w:szCs w:val="16"/>
                <w:color w:val="0000FF"/>
              </w:rPr>
              <w:t>8</w:t>
            </w:r>
          </w:p>
        </w:tc>
        <w:tc>
          <w:tcPr>
            <w:tcW w:w="720" w:type="dxa"/>
            <w:vAlign w:val="bottom"/>
            <w:tcBorders>
              <w:left w:val="single" w:sz="8" w:color="CFF0FC"/>
            </w:tcBorders>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r>
      <w:tr>
        <w:trPr>
          <w:trHeight w:val="189"/>
        </w:trPr>
        <w:tc>
          <w:tcPr>
            <w:tcW w:w="20" w:type="dxa"/>
            <w:vAlign w:val="bottom"/>
            <w:tcBorders>
              <w:top w:val="single" w:sz="8" w:color="0000FF"/>
            </w:tcBorders>
          </w:tcPr>
          <w:p>
            <w:pPr>
              <w:spacing w:after="0"/>
              <w:rPr>
                <w:sz w:val="16"/>
                <w:szCs w:val="16"/>
                <w:color w:val="auto"/>
              </w:rPr>
            </w:pPr>
          </w:p>
        </w:tc>
        <w:tc>
          <w:tcPr>
            <w:tcW w:w="760" w:type="dxa"/>
            <w:vAlign w:val="bottom"/>
            <w:tcBorders>
              <w:top w:val="single" w:sz="8" w:color="0000FF"/>
            </w:tcBorders>
          </w:tcPr>
          <w:p>
            <w:pPr>
              <w:spacing w:after="0"/>
              <w:rPr>
                <w:sz w:val="16"/>
                <w:szCs w:val="16"/>
                <w:color w:val="auto"/>
              </w:rPr>
            </w:pPr>
          </w:p>
        </w:tc>
        <w:tc>
          <w:tcPr>
            <w:tcW w:w="460" w:type="dxa"/>
            <w:vAlign w:val="bottom"/>
            <w:tcBorders>
              <w:top w:val="single" w:sz="8" w:color="0000FF"/>
            </w:tcBorders>
          </w:tcPr>
          <w:p>
            <w:pPr>
              <w:spacing w:after="0"/>
              <w:rPr>
                <w:sz w:val="16"/>
                <w:szCs w:val="16"/>
                <w:color w:val="auto"/>
              </w:rPr>
            </w:pPr>
          </w:p>
        </w:tc>
        <w:tc>
          <w:tcPr>
            <w:tcW w:w="460" w:type="dxa"/>
            <w:vAlign w:val="bottom"/>
            <w:tcBorders>
              <w:top w:val="single" w:sz="8" w:color="0000FF"/>
            </w:tcBorders>
          </w:tcPr>
          <w:p>
            <w:pPr>
              <w:spacing w:after="0"/>
              <w:rPr>
                <w:sz w:val="16"/>
                <w:szCs w:val="16"/>
                <w:color w:val="auto"/>
              </w:rPr>
            </w:pPr>
          </w:p>
        </w:tc>
        <w:tc>
          <w:tcPr>
            <w:tcW w:w="16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160" w:type="dxa"/>
            <w:vAlign w:val="bottom"/>
            <w:tcBorders>
              <w:top w:val="single" w:sz="8" w:color="0000FF"/>
            </w:tcBorders>
          </w:tcPr>
          <w:p>
            <w:pPr>
              <w:spacing w:after="0"/>
              <w:rPr>
                <w:sz w:val="16"/>
                <w:szCs w:val="16"/>
                <w:color w:val="auto"/>
              </w:rPr>
            </w:pPr>
          </w:p>
        </w:tc>
        <w:tc>
          <w:tcPr>
            <w:tcW w:w="420" w:type="dxa"/>
            <w:vAlign w:val="bottom"/>
            <w:tcBorders>
              <w:top w:val="single" w:sz="8" w:color="0000FF"/>
            </w:tcBorders>
            <w:gridSpan w:val="2"/>
          </w:tcPr>
          <w:p>
            <w:pPr>
              <w:spacing w:after="0"/>
              <w:rPr>
                <w:sz w:val="16"/>
                <w:szCs w:val="16"/>
                <w:color w:val="auto"/>
              </w:rPr>
            </w:pPr>
          </w:p>
        </w:tc>
        <w:tc>
          <w:tcPr>
            <w:tcW w:w="140" w:type="dxa"/>
            <w:vAlign w:val="bottom"/>
            <w:tcBorders>
              <w:top w:val="single" w:sz="8" w:color="CFF0FC"/>
            </w:tcBorders>
          </w:tcPr>
          <w:p>
            <w:pPr>
              <w:spacing w:after="0"/>
              <w:rPr>
                <w:sz w:val="16"/>
                <w:szCs w:val="16"/>
                <w:color w:val="auto"/>
              </w:rPr>
            </w:pPr>
          </w:p>
        </w:tc>
        <w:tc>
          <w:tcPr>
            <w:tcW w:w="140" w:type="dxa"/>
            <w:vAlign w:val="bottom"/>
            <w:tcBorders>
              <w:top w:val="single" w:sz="8" w:color="CFF0FC"/>
            </w:tcBorders>
          </w:tcPr>
          <w:p>
            <w:pPr>
              <w:spacing w:after="0"/>
              <w:rPr>
                <w:sz w:val="16"/>
                <w:szCs w:val="16"/>
                <w:color w:val="auto"/>
              </w:rPr>
            </w:pPr>
          </w:p>
        </w:tc>
        <w:tc>
          <w:tcPr>
            <w:tcW w:w="80" w:type="dxa"/>
            <w:vAlign w:val="bottom"/>
            <w:tcBorders>
              <w:top w:val="single" w:sz="8" w:color="CFF0FC"/>
            </w:tcBorders>
          </w:tcPr>
          <w:p>
            <w:pPr>
              <w:spacing w:after="0"/>
              <w:rPr>
                <w:sz w:val="16"/>
                <w:szCs w:val="16"/>
                <w:color w:val="auto"/>
              </w:rPr>
            </w:pPr>
          </w:p>
        </w:tc>
        <w:tc>
          <w:tcPr>
            <w:tcW w:w="140" w:type="dxa"/>
            <w:vAlign w:val="bottom"/>
            <w:tcBorders>
              <w:top w:val="single" w:sz="8" w:color="CFF0FC"/>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80" w:type="dxa"/>
            <w:vAlign w:val="bottom"/>
            <w:tcBorders>
              <w:top w:val="single" w:sz="8" w:color="CFF0FC"/>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320" w:type="dxa"/>
            <w:vAlign w:val="bottom"/>
            <w:tcBorders>
              <w:top w:val="single" w:sz="8" w:color="CFF0FC"/>
            </w:tcBorders>
          </w:tcPr>
          <w:p>
            <w:pPr>
              <w:spacing w:after="0"/>
              <w:rPr>
                <w:sz w:val="16"/>
                <w:szCs w:val="16"/>
                <w:color w:val="auto"/>
              </w:rPr>
            </w:pPr>
          </w:p>
        </w:tc>
        <w:tc>
          <w:tcPr>
            <w:tcW w:w="240" w:type="dxa"/>
            <w:vAlign w:val="bottom"/>
            <w:tcBorders>
              <w:top w:val="single" w:sz="8" w:color="CFF0FC"/>
            </w:tcBorders>
          </w:tcPr>
          <w:p>
            <w:pPr>
              <w:spacing w:after="0"/>
              <w:rPr>
                <w:sz w:val="16"/>
                <w:szCs w:val="16"/>
                <w:color w:val="auto"/>
              </w:rPr>
            </w:pPr>
          </w:p>
        </w:tc>
        <w:tc>
          <w:tcPr>
            <w:tcW w:w="140" w:type="dxa"/>
            <w:vAlign w:val="bottom"/>
            <w:tcBorders>
              <w:top w:val="single" w:sz="8" w:color="CFF0FC"/>
            </w:tcBorders>
          </w:tcPr>
          <w:p>
            <w:pPr>
              <w:spacing w:after="0"/>
              <w:rPr>
                <w:sz w:val="16"/>
                <w:szCs w:val="16"/>
                <w:color w:val="auto"/>
              </w:rPr>
            </w:pPr>
          </w:p>
        </w:tc>
        <w:tc>
          <w:tcPr>
            <w:tcW w:w="80" w:type="dxa"/>
            <w:vAlign w:val="bottom"/>
            <w:tcBorders>
              <w:top w:val="single" w:sz="8" w:color="CFF0FC"/>
            </w:tcBorders>
          </w:tcPr>
          <w:p>
            <w:pPr>
              <w:spacing w:after="0"/>
              <w:rPr>
                <w:sz w:val="16"/>
                <w:szCs w:val="16"/>
                <w:color w:val="auto"/>
              </w:rPr>
            </w:pPr>
          </w:p>
        </w:tc>
        <w:tc>
          <w:tcPr>
            <w:tcW w:w="280" w:type="dxa"/>
            <w:vAlign w:val="bottom"/>
            <w:tcBorders>
              <w:top w:val="single" w:sz="8" w:color="CFF0FC"/>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180" w:type="dxa"/>
            <w:vAlign w:val="bottom"/>
            <w:tcBorders>
              <w:top w:val="single" w:sz="8" w:color="CFF0FC"/>
            </w:tcBorders>
          </w:tcPr>
          <w:p>
            <w:pPr>
              <w:spacing w:after="0"/>
              <w:rPr>
                <w:sz w:val="16"/>
                <w:szCs w:val="16"/>
                <w:color w:val="auto"/>
              </w:rPr>
            </w:pPr>
          </w:p>
        </w:tc>
        <w:tc>
          <w:tcPr>
            <w:tcW w:w="200" w:type="dxa"/>
            <w:vAlign w:val="bottom"/>
            <w:tcBorders>
              <w:top w:val="single" w:sz="8" w:color="CFF0FC"/>
            </w:tcBorders>
          </w:tcPr>
          <w:p>
            <w:pPr>
              <w:spacing w:after="0"/>
              <w:rPr>
                <w:sz w:val="16"/>
                <w:szCs w:val="16"/>
                <w:color w:val="auto"/>
              </w:rPr>
            </w:pPr>
          </w:p>
        </w:tc>
        <w:tc>
          <w:tcPr>
            <w:tcW w:w="400" w:type="dxa"/>
            <w:vAlign w:val="bottom"/>
            <w:tcBorders>
              <w:top w:val="single" w:sz="8" w:color="CFF0FC"/>
            </w:tcBorders>
          </w:tcPr>
          <w:p>
            <w:pPr>
              <w:spacing w:after="0"/>
              <w:rPr>
                <w:sz w:val="16"/>
                <w:szCs w:val="16"/>
                <w:color w:val="auto"/>
              </w:rPr>
            </w:pPr>
          </w:p>
        </w:tc>
        <w:tc>
          <w:tcPr>
            <w:tcW w:w="260" w:type="dxa"/>
            <w:vAlign w:val="bottom"/>
            <w:tcBorders>
              <w:top w:val="single" w:sz="8" w:color="CFF0FC"/>
            </w:tcBorders>
          </w:tcPr>
          <w:p>
            <w:pPr>
              <w:spacing w:after="0"/>
              <w:rPr>
                <w:sz w:val="16"/>
                <w:szCs w:val="16"/>
                <w:color w:val="auto"/>
              </w:rPr>
            </w:pPr>
          </w:p>
        </w:tc>
        <w:tc>
          <w:tcPr>
            <w:tcW w:w="140" w:type="dxa"/>
            <w:vAlign w:val="bottom"/>
            <w:tcBorders>
              <w:top w:val="single" w:sz="8" w:color="CFF0FC"/>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1060" w:type="dxa"/>
            <w:vAlign w:val="bottom"/>
            <w:tcBorders>
              <w:top w:val="single" w:sz="8" w:color="CFF0FC"/>
            </w:tcBorders>
          </w:tcPr>
          <w:p>
            <w:pPr>
              <w:spacing w:after="0"/>
              <w:rPr>
                <w:sz w:val="16"/>
                <w:szCs w:val="16"/>
                <w:color w:val="auto"/>
              </w:rPr>
            </w:pPr>
          </w:p>
        </w:tc>
        <w:tc>
          <w:tcPr>
            <w:tcW w:w="960" w:type="dxa"/>
            <w:vAlign w:val="bottom"/>
            <w:tcBorders>
              <w:top w:val="single" w:sz="8" w:color="CFF0FC"/>
            </w:tcBorders>
          </w:tcPr>
          <w:p>
            <w:pPr>
              <w:spacing w:after="0"/>
              <w:rPr>
                <w:sz w:val="16"/>
                <w:szCs w:val="16"/>
                <w:color w:val="auto"/>
              </w:rPr>
            </w:pPr>
          </w:p>
        </w:tc>
        <w:tc>
          <w:tcPr>
            <w:tcW w:w="1600" w:type="dxa"/>
            <w:vAlign w:val="bottom"/>
            <w:tcBorders>
              <w:top w:val="single" w:sz="8" w:color="CFF0FC"/>
            </w:tcBorders>
          </w:tcPr>
          <w:p>
            <w:pPr>
              <w:spacing w:after="0"/>
              <w:rPr>
                <w:sz w:val="16"/>
                <w:szCs w:val="16"/>
                <w:color w:val="auto"/>
              </w:rPr>
            </w:pPr>
          </w:p>
        </w:tc>
        <w:tc>
          <w:tcPr>
            <w:tcW w:w="720" w:type="dxa"/>
            <w:vAlign w:val="bottom"/>
            <w:tcBorders>
              <w:top w:val="single" w:sz="8" w:color="CFF0FC"/>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720" w:type="dxa"/>
            <w:vAlign w:val="bottom"/>
            <w:tcBorders>
              <w:top w:val="single" w:sz="8" w:color="CFF0FC"/>
            </w:tcBorders>
          </w:tcPr>
          <w:p>
            <w:pPr>
              <w:spacing w:after="0"/>
              <w:rPr>
                <w:sz w:val="16"/>
                <w:szCs w:val="16"/>
                <w:color w:val="auto"/>
              </w:rPr>
            </w:pPr>
          </w:p>
        </w:tc>
        <w:tc>
          <w:tcPr>
            <w:tcW w:w="20" w:type="dxa"/>
            <w:vAlign w:val="bottom"/>
            <w:tcBorders>
              <w:top w:val="single" w:sz="8" w:color="CFF0FC"/>
            </w:tcBorders>
          </w:tcPr>
          <w:p>
            <w:pPr>
              <w:spacing w:after="0"/>
              <w:rPr>
                <w:sz w:val="16"/>
                <w:szCs w:val="16"/>
                <w:color w:val="auto"/>
              </w:rPr>
            </w:pPr>
          </w:p>
        </w:tc>
      </w:tr>
      <w:tr>
        <w:trPr>
          <w:trHeight w:val="162"/>
        </w:trPr>
        <w:tc>
          <w:tcPr>
            <w:tcW w:w="1240" w:type="dxa"/>
            <w:vAlign w:val="bottom"/>
            <w:gridSpan w:val="3"/>
            <w:shd w:val="clear" w:color="auto" w:fill="CFF0FC"/>
          </w:tcPr>
          <w:p>
            <w:pPr>
              <w:spacing w:after="0" w:line="162" w:lineRule="exact"/>
              <w:rPr>
                <w:sz w:val="20"/>
                <w:szCs w:val="20"/>
                <w:color w:val="auto"/>
              </w:rPr>
            </w:pPr>
            <w:r>
              <w:rPr>
                <w:rFonts w:ascii="Arial" w:cs="Arial" w:eastAsia="Arial" w:hAnsi="Arial"/>
                <w:sz w:val="16"/>
                <w:szCs w:val="16"/>
                <w:color w:val="auto"/>
              </w:rPr>
              <w:t>Item 1.</w:t>
            </w:r>
          </w:p>
        </w:tc>
        <w:tc>
          <w:tcPr>
            <w:tcW w:w="8440" w:type="dxa"/>
            <w:vAlign w:val="bottom"/>
            <w:gridSpan w:val="29"/>
            <w:shd w:val="clear" w:color="auto" w:fill="CFF0FC"/>
          </w:tcPr>
          <w:p>
            <w:pPr>
              <w:ind w:left="460"/>
              <w:spacing w:after="0" w:line="162" w:lineRule="exact"/>
              <w:rPr>
                <w:sz w:val="20"/>
                <w:szCs w:val="20"/>
                <w:color w:val="auto"/>
              </w:rPr>
            </w:pPr>
            <w:r>
              <w:rPr>
                <w:rFonts w:ascii="Arial" w:cs="Arial" w:eastAsia="Arial" w:hAnsi="Arial"/>
                <w:sz w:val="16"/>
                <w:szCs w:val="16"/>
                <w:color w:val="0000FF"/>
              </w:rPr>
              <w:t>Financial Statements - unaudited</w:t>
            </w:r>
          </w:p>
        </w:tc>
        <w:tc>
          <w:tcPr>
            <w:tcW w:w="820" w:type="dxa"/>
            <w:vAlign w:val="bottom"/>
            <w:gridSpan w:val="2"/>
            <w:shd w:val="clear" w:color="auto" w:fill="CFF0FC"/>
          </w:tcPr>
          <w:p>
            <w:pPr>
              <w:jc w:val="center"/>
              <w:ind w:left="639"/>
              <w:spacing w:after="0" w:line="162" w:lineRule="exact"/>
              <w:rPr>
                <w:sz w:val="20"/>
                <w:szCs w:val="20"/>
                <w:color w:val="auto"/>
              </w:rPr>
            </w:pPr>
            <w:r>
              <w:rPr>
                <w:rFonts w:ascii="Arial" w:cs="Arial" w:eastAsia="Arial" w:hAnsi="Arial"/>
                <w:sz w:val="16"/>
                <w:szCs w:val="16"/>
                <w:color w:val="0000FF"/>
              </w:rPr>
              <w:t>8</w:t>
            </w:r>
          </w:p>
        </w:tc>
        <w:tc>
          <w:tcPr>
            <w:tcW w:w="720" w:type="dxa"/>
            <w:vAlign w:val="bottom"/>
            <w:tcBorders>
              <w:left w:val="single" w:sz="8" w:color="CFF0FC"/>
            </w:tcBorders>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r>
      <w:tr>
        <w:trPr>
          <w:trHeight w:val="27"/>
        </w:trPr>
        <w:tc>
          <w:tcPr>
            <w:tcW w:w="20" w:type="dxa"/>
            <w:vAlign w:val="bottom"/>
            <w:shd w:val="clear" w:color="auto" w:fill="CFF0FC"/>
          </w:tcPr>
          <w:p>
            <w:pPr>
              <w:spacing w:after="0"/>
              <w:rPr>
                <w:sz w:val="2"/>
                <w:szCs w:val="2"/>
                <w:color w:val="auto"/>
              </w:rPr>
            </w:pPr>
          </w:p>
        </w:tc>
        <w:tc>
          <w:tcPr>
            <w:tcW w:w="7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20" w:type="dxa"/>
            <w:vAlign w:val="bottom"/>
            <w:tcBorders>
              <w:left w:val="single" w:sz="8" w:color="0000FF"/>
              <w:right w:val="single" w:sz="8" w:color="0000FF"/>
            </w:tcBorders>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240" w:type="dxa"/>
            <w:vAlign w:val="bottom"/>
            <w:tcBorders>
              <w:left w:val="single" w:sz="8" w:color="0000FF"/>
              <w:right w:val="single" w:sz="8" w:color="CFF0FC"/>
            </w:tcBorders>
            <w:shd w:val="clear" w:color="auto" w:fill="0000FF"/>
          </w:tcPr>
          <w:p>
            <w:pPr>
              <w:spacing w:after="0"/>
              <w:rPr>
                <w:sz w:val="2"/>
                <w:szCs w:val="2"/>
                <w:color w:val="auto"/>
              </w:rPr>
            </w:pPr>
          </w:p>
        </w:tc>
        <w:tc>
          <w:tcPr>
            <w:tcW w:w="140" w:type="dxa"/>
            <w:vAlign w:val="bottom"/>
            <w:tcBorders>
              <w:right w:val="single" w:sz="8" w:color="CFF0FC"/>
            </w:tcBorders>
            <w:shd w:val="clear" w:color="auto" w:fill="CFF0FC"/>
          </w:tcPr>
          <w:p>
            <w:pPr>
              <w:spacing w:after="0"/>
              <w:rPr>
                <w:sz w:val="2"/>
                <w:szCs w:val="2"/>
                <w:color w:val="auto"/>
              </w:rPr>
            </w:pPr>
          </w:p>
        </w:tc>
        <w:tc>
          <w:tcPr>
            <w:tcW w:w="80" w:type="dxa"/>
            <w:vAlign w:val="bottom"/>
            <w:tcBorders>
              <w:left w:val="single" w:sz="8" w:color="CFF0FC"/>
            </w:tcBorders>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20" w:type="dxa"/>
            <w:vAlign w:val="bottom"/>
            <w:tcBorders>
              <w:left w:val="single" w:sz="8" w:color="CFF0FC"/>
            </w:tcBorders>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40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40" w:type="dxa"/>
            <w:vAlign w:val="bottom"/>
            <w:tcBorders>
              <w:left w:val="single" w:sz="8" w:color="CFF0FC"/>
            </w:tcBorders>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960" w:type="dxa"/>
            <w:vAlign w:val="bottom"/>
            <w:shd w:val="clear" w:color="auto" w:fill="CFF0FC"/>
          </w:tcPr>
          <w:p>
            <w:pPr>
              <w:spacing w:after="0"/>
              <w:rPr>
                <w:sz w:val="2"/>
                <w:szCs w:val="2"/>
                <w:color w:val="auto"/>
              </w:rPr>
            </w:pPr>
          </w:p>
        </w:tc>
        <w:tc>
          <w:tcPr>
            <w:tcW w:w="1600" w:type="dxa"/>
            <w:vAlign w:val="bottom"/>
            <w:shd w:val="clear" w:color="auto" w:fill="CFF0FC"/>
          </w:tcPr>
          <w:p>
            <w:pPr>
              <w:spacing w:after="0"/>
              <w:rPr>
                <w:sz w:val="2"/>
                <w:szCs w:val="2"/>
                <w:color w:val="auto"/>
              </w:rPr>
            </w:pPr>
          </w:p>
        </w:tc>
        <w:tc>
          <w:tcPr>
            <w:tcW w:w="720" w:type="dxa"/>
            <w:vAlign w:val="bottom"/>
            <w:tcBorders>
              <w:right w:val="single" w:sz="8" w:color="CFF0FC"/>
            </w:tcBorders>
            <w:shd w:val="clear" w:color="auto" w:fill="CFF0FC"/>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CFF0FC"/>
            </w:tcBorders>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980" w:type="dxa"/>
            <w:vAlign w:val="bottom"/>
            <w:gridSpan w:val="28"/>
          </w:tcPr>
          <w:p>
            <w:pPr>
              <w:ind w:left="100"/>
              <w:spacing w:after="0" w:line="162" w:lineRule="exact"/>
              <w:rPr>
                <w:sz w:val="20"/>
                <w:szCs w:val="20"/>
                <w:color w:val="auto"/>
              </w:rPr>
            </w:pPr>
            <w:r>
              <w:rPr>
                <w:rFonts w:ascii="Arial" w:cs="Arial" w:eastAsia="Arial" w:hAnsi="Arial"/>
                <w:sz w:val="16"/>
                <w:szCs w:val="16"/>
                <w:color w:val="0000FF"/>
              </w:rPr>
              <w:t>Consolidated Statements of Income</w:t>
            </w:r>
          </w:p>
        </w:tc>
        <w:tc>
          <w:tcPr>
            <w:tcW w:w="820" w:type="dxa"/>
            <w:vAlign w:val="bottom"/>
            <w:gridSpan w:val="2"/>
          </w:tcPr>
          <w:p>
            <w:pPr>
              <w:jc w:val="center"/>
              <w:ind w:left="639"/>
              <w:spacing w:after="0" w:line="162" w:lineRule="exact"/>
              <w:rPr>
                <w:sz w:val="20"/>
                <w:szCs w:val="20"/>
                <w:color w:val="auto"/>
              </w:rPr>
            </w:pPr>
            <w:r>
              <w:rPr>
                <w:rFonts w:ascii="Arial" w:cs="Arial" w:eastAsia="Arial" w:hAnsi="Arial"/>
                <w:sz w:val="16"/>
                <w:szCs w:val="16"/>
                <w:color w:val="0000FF"/>
              </w:rPr>
              <w:t>8</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Borders>
              <w:right w:val="single" w:sz="8" w:color="0000FF"/>
            </w:tcBorders>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20" w:type="dxa"/>
            <w:vAlign w:val="bottom"/>
            <w:tcBorders>
              <w:left w:val="single" w:sz="8" w:color="0000FF"/>
              <w:right w:val="single" w:sz="8" w:color="0000FF"/>
            </w:tcBorders>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240" w:type="dxa"/>
            <w:vAlign w:val="bottom"/>
            <w:tcBorders>
              <w:left w:val="single" w:sz="8" w:color="0000FF"/>
              <w:right w:val="single" w:sz="8" w:color="0000FF"/>
            </w:tcBorders>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7980" w:type="dxa"/>
            <w:vAlign w:val="bottom"/>
            <w:gridSpan w:val="28"/>
            <w:shd w:val="clear" w:color="auto" w:fill="CFF0FC"/>
          </w:tcPr>
          <w:p>
            <w:pPr>
              <w:ind w:left="100"/>
              <w:spacing w:after="0" w:line="162" w:lineRule="exact"/>
              <w:rPr>
                <w:sz w:val="20"/>
                <w:szCs w:val="20"/>
                <w:color w:val="auto"/>
              </w:rPr>
            </w:pPr>
            <w:r>
              <w:rPr>
                <w:rFonts w:ascii="Arial" w:cs="Arial" w:eastAsia="Arial" w:hAnsi="Arial"/>
                <w:sz w:val="16"/>
                <w:szCs w:val="16"/>
                <w:color w:val="0000FF"/>
              </w:rPr>
              <w:t>Consolidated Statements of Comprehensive Income</w:t>
            </w:r>
          </w:p>
        </w:tc>
        <w:tc>
          <w:tcPr>
            <w:tcW w:w="820" w:type="dxa"/>
            <w:vAlign w:val="bottom"/>
            <w:gridSpan w:val="2"/>
            <w:shd w:val="clear" w:color="auto" w:fill="CFF0FC"/>
          </w:tcPr>
          <w:p>
            <w:pPr>
              <w:jc w:val="center"/>
              <w:ind w:left="639"/>
              <w:spacing w:after="0" w:line="162" w:lineRule="exact"/>
              <w:rPr>
                <w:sz w:val="20"/>
                <w:szCs w:val="20"/>
                <w:color w:val="auto"/>
              </w:rPr>
            </w:pPr>
            <w:r>
              <w:rPr>
                <w:rFonts w:ascii="Arial" w:cs="Arial" w:eastAsia="Arial" w:hAnsi="Arial"/>
                <w:sz w:val="16"/>
                <w:szCs w:val="16"/>
                <w:color w:val="0000FF"/>
              </w:rPr>
              <w:t>9</w:t>
            </w:r>
          </w:p>
        </w:tc>
        <w:tc>
          <w:tcPr>
            <w:tcW w:w="720" w:type="dxa"/>
            <w:vAlign w:val="bottom"/>
            <w:tcBorders>
              <w:left w:val="single" w:sz="8" w:color="CFF0FC"/>
            </w:tcBorders>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r>
      <w:tr>
        <w:trPr>
          <w:trHeight w:val="27"/>
        </w:trPr>
        <w:tc>
          <w:tcPr>
            <w:tcW w:w="20" w:type="dxa"/>
            <w:vAlign w:val="bottom"/>
            <w:shd w:val="clear" w:color="auto" w:fill="CFF0FC"/>
          </w:tcPr>
          <w:p>
            <w:pPr>
              <w:spacing w:after="0"/>
              <w:rPr>
                <w:sz w:val="2"/>
                <w:szCs w:val="2"/>
                <w:color w:val="auto"/>
              </w:rPr>
            </w:pPr>
          </w:p>
        </w:tc>
        <w:tc>
          <w:tcPr>
            <w:tcW w:w="7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160" w:type="dxa"/>
            <w:vAlign w:val="bottom"/>
            <w:tcBorders>
              <w:right w:val="single" w:sz="8" w:color="0000FF"/>
            </w:tcBorders>
            <w:shd w:val="clear" w:color="auto" w:fill="CFF0FC"/>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20" w:type="dxa"/>
            <w:vAlign w:val="bottom"/>
            <w:tcBorders>
              <w:left w:val="single" w:sz="8" w:color="0000FF"/>
              <w:right w:val="single" w:sz="8" w:color="0000FF"/>
            </w:tcBorders>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240" w:type="dxa"/>
            <w:vAlign w:val="bottom"/>
            <w:tcBorders>
              <w:left w:val="single" w:sz="8" w:color="0000FF"/>
              <w:right w:val="single" w:sz="8" w:color="0000FF"/>
            </w:tcBorders>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20" w:type="dxa"/>
            <w:vAlign w:val="bottom"/>
            <w:tcBorders>
              <w:lef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40" w:type="dxa"/>
            <w:vAlign w:val="bottom"/>
            <w:tcBorders>
              <w:left w:val="single" w:sz="8" w:color="CFF0FC"/>
            </w:tcBorders>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960" w:type="dxa"/>
            <w:vAlign w:val="bottom"/>
            <w:shd w:val="clear" w:color="auto" w:fill="CFF0FC"/>
          </w:tcPr>
          <w:p>
            <w:pPr>
              <w:spacing w:after="0"/>
              <w:rPr>
                <w:sz w:val="2"/>
                <w:szCs w:val="2"/>
                <w:color w:val="auto"/>
              </w:rPr>
            </w:pPr>
          </w:p>
        </w:tc>
        <w:tc>
          <w:tcPr>
            <w:tcW w:w="1600" w:type="dxa"/>
            <w:vAlign w:val="bottom"/>
            <w:shd w:val="clear" w:color="auto" w:fill="CFF0FC"/>
          </w:tcPr>
          <w:p>
            <w:pPr>
              <w:spacing w:after="0"/>
              <w:rPr>
                <w:sz w:val="2"/>
                <w:szCs w:val="2"/>
                <w:color w:val="auto"/>
              </w:rPr>
            </w:pPr>
          </w:p>
        </w:tc>
        <w:tc>
          <w:tcPr>
            <w:tcW w:w="720" w:type="dxa"/>
            <w:vAlign w:val="bottom"/>
            <w:tcBorders>
              <w:right w:val="single" w:sz="8" w:color="CFF0FC"/>
            </w:tcBorders>
            <w:shd w:val="clear" w:color="auto" w:fill="CFF0FC"/>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CFF0FC"/>
            </w:tcBorders>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980" w:type="dxa"/>
            <w:vAlign w:val="bottom"/>
            <w:gridSpan w:val="28"/>
          </w:tcPr>
          <w:p>
            <w:pPr>
              <w:ind w:left="100"/>
              <w:spacing w:after="0" w:line="162" w:lineRule="exact"/>
              <w:rPr>
                <w:sz w:val="20"/>
                <w:szCs w:val="20"/>
                <w:color w:val="auto"/>
              </w:rPr>
            </w:pPr>
            <w:r>
              <w:rPr>
                <w:rFonts w:ascii="Arial" w:cs="Arial" w:eastAsia="Arial" w:hAnsi="Arial"/>
                <w:sz w:val="16"/>
                <w:szCs w:val="16"/>
                <w:color w:val="0000FF"/>
              </w:rPr>
              <w:t>Consolidated Balance Sheets</w:t>
            </w:r>
          </w:p>
        </w:tc>
        <w:tc>
          <w:tcPr>
            <w:tcW w:w="1540" w:type="dxa"/>
            <w:vAlign w:val="bottom"/>
            <w:gridSpan w:val="3"/>
          </w:tcPr>
          <w:p>
            <w:pPr>
              <w:jc w:val="center"/>
              <w:spacing w:after="0" w:line="162" w:lineRule="exact"/>
              <w:rPr>
                <w:sz w:val="20"/>
                <w:szCs w:val="20"/>
                <w:color w:val="auto"/>
              </w:rPr>
            </w:pPr>
            <w:r>
              <w:rPr>
                <w:rFonts w:ascii="Arial" w:cs="Arial" w:eastAsia="Arial" w:hAnsi="Arial"/>
                <w:sz w:val="16"/>
                <w:szCs w:val="16"/>
                <w:color w:val="0000FF"/>
              </w:rPr>
              <w:t>10</w:t>
            </w:r>
          </w:p>
        </w:tc>
        <w:tc>
          <w:tcPr>
            <w:tcW w:w="20" w:type="dxa"/>
            <w:vAlign w:val="bottom"/>
          </w:tcPr>
          <w:p>
            <w:pPr>
              <w:spacing w:after="0"/>
              <w:rPr>
                <w:sz w:val="14"/>
                <w:szCs w:val="14"/>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Borders>
              <w:right w:val="single" w:sz="8" w:color="0000FF"/>
            </w:tcBorders>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20" w:type="dxa"/>
            <w:vAlign w:val="bottom"/>
            <w:tcBorders>
              <w:left w:val="single" w:sz="8" w:color="0000FF"/>
              <w:right w:val="single" w:sz="8" w:color="0000FF"/>
            </w:tcBorders>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240" w:type="dxa"/>
            <w:vAlign w:val="bottom"/>
            <w:tcBorders>
              <w:left w:val="single" w:sz="8" w:color="0000FF"/>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2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7980" w:type="dxa"/>
            <w:vAlign w:val="bottom"/>
            <w:gridSpan w:val="28"/>
            <w:shd w:val="clear" w:color="auto" w:fill="CFF0FC"/>
          </w:tcPr>
          <w:p>
            <w:pPr>
              <w:ind w:left="100"/>
              <w:spacing w:after="0" w:line="162" w:lineRule="exact"/>
              <w:rPr>
                <w:sz w:val="20"/>
                <w:szCs w:val="20"/>
                <w:color w:val="auto"/>
              </w:rPr>
            </w:pPr>
            <w:r>
              <w:rPr>
                <w:rFonts w:ascii="Arial" w:cs="Arial" w:eastAsia="Arial" w:hAnsi="Arial"/>
                <w:sz w:val="16"/>
                <w:szCs w:val="16"/>
                <w:color w:val="0000FF"/>
              </w:rPr>
              <w:t>Consolidated Statements of Cash Flows</w:t>
            </w:r>
          </w:p>
        </w:tc>
        <w:tc>
          <w:tcPr>
            <w:tcW w:w="1540" w:type="dxa"/>
            <w:vAlign w:val="bottom"/>
            <w:gridSpan w:val="3"/>
            <w:shd w:val="clear" w:color="auto" w:fill="CFF0FC"/>
          </w:tcPr>
          <w:p>
            <w:pPr>
              <w:jc w:val="center"/>
              <w:spacing w:after="0" w:line="162" w:lineRule="exact"/>
              <w:rPr>
                <w:sz w:val="20"/>
                <w:szCs w:val="20"/>
                <w:color w:val="auto"/>
              </w:rPr>
            </w:pPr>
            <w:r>
              <w:rPr>
                <w:rFonts w:ascii="Arial" w:cs="Arial" w:eastAsia="Arial" w:hAnsi="Arial"/>
                <w:sz w:val="16"/>
                <w:szCs w:val="16"/>
                <w:color w:val="0000FF"/>
              </w:rPr>
              <w:t>12</w:t>
            </w:r>
          </w:p>
        </w:tc>
        <w:tc>
          <w:tcPr>
            <w:tcW w:w="20" w:type="dxa"/>
            <w:vAlign w:val="bottom"/>
            <w:shd w:val="clear" w:color="auto" w:fill="CFF0FC"/>
          </w:tcPr>
          <w:p>
            <w:pPr>
              <w:spacing w:after="0"/>
              <w:rPr>
                <w:sz w:val="14"/>
                <w:szCs w:val="14"/>
                <w:color w:val="auto"/>
              </w:rPr>
            </w:pPr>
          </w:p>
        </w:tc>
      </w:tr>
      <w:tr>
        <w:trPr>
          <w:trHeight w:val="27"/>
        </w:trPr>
        <w:tc>
          <w:tcPr>
            <w:tcW w:w="20" w:type="dxa"/>
            <w:vAlign w:val="bottom"/>
            <w:shd w:val="clear" w:color="auto" w:fill="CFF0FC"/>
          </w:tcPr>
          <w:p>
            <w:pPr>
              <w:spacing w:after="0"/>
              <w:rPr>
                <w:sz w:val="2"/>
                <w:szCs w:val="2"/>
                <w:color w:val="auto"/>
              </w:rPr>
            </w:pPr>
          </w:p>
        </w:tc>
        <w:tc>
          <w:tcPr>
            <w:tcW w:w="7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160" w:type="dxa"/>
            <w:vAlign w:val="bottom"/>
            <w:tcBorders>
              <w:right w:val="single" w:sz="8" w:color="0000FF"/>
            </w:tcBorders>
            <w:shd w:val="clear" w:color="auto" w:fill="CFF0FC"/>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20" w:type="dxa"/>
            <w:vAlign w:val="bottom"/>
            <w:tcBorders>
              <w:left w:val="single" w:sz="8" w:color="0000FF"/>
              <w:right w:val="single" w:sz="8" w:color="0000FF"/>
            </w:tcBorders>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240" w:type="dxa"/>
            <w:vAlign w:val="bottom"/>
            <w:tcBorders>
              <w:left w:val="single" w:sz="8" w:color="0000FF"/>
              <w:right w:val="single" w:sz="8" w:color="0000FF"/>
            </w:tcBorders>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20" w:type="dxa"/>
            <w:vAlign w:val="bottom"/>
            <w:tcBorders>
              <w:left w:val="single" w:sz="8" w:color="CFF0FC"/>
            </w:tcBorders>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40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40" w:type="dxa"/>
            <w:vAlign w:val="bottom"/>
            <w:tcBorders>
              <w:left w:val="single" w:sz="8" w:color="CFF0FC"/>
            </w:tcBorders>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960" w:type="dxa"/>
            <w:vAlign w:val="bottom"/>
            <w:shd w:val="clear" w:color="auto" w:fill="CFF0FC"/>
          </w:tcPr>
          <w:p>
            <w:pPr>
              <w:spacing w:after="0"/>
              <w:rPr>
                <w:sz w:val="2"/>
                <w:szCs w:val="2"/>
                <w:color w:val="auto"/>
              </w:rPr>
            </w:pPr>
          </w:p>
        </w:tc>
        <w:tc>
          <w:tcPr>
            <w:tcW w:w="1600" w:type="dxa"/>
            <w:vAlign w:val="bottom"/>
            <w:shd w:val="clear" w:color="auto" w:fill="CFF0FC"/>
          </w:tcPr>
          <w:p>
            <w:pPr>
              <w:spacing w:after="0"/>
              <w:rPr>
                <w:sz w:val="2"/>
                <w:szCs w:val="2"/>
                <w:color w:val="auto"/>
              </w:rPr>
            </w:pPr>
          </w:p>
        </w:tc>
        <w:tc>
          <w:tcPr>
            <w:tcW w:w="720" w:type="dxa"/>
            <w:vAlign w:val="bottom"/>
            <w:tcBorders>
              <w:right w:val="single" w:sz="8" w:color="0000FF"/>
            </w:tcBorders>
            <w:shd w:val="clear" w:color="auto" w:fill="CFF0FC"/>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980" w:type="dxa"/>
            <w:vAlign w:val="bottom"/>
            <w:gridSpan w:val="28"/>
          </w:tcPr>
          <w:p>
            <w:pPr>
              <w:ind w:left="100"/>
              <w:spacing w:after="0" w:line="162" w:lineRule="exact"/>
              <w:rPr>
                <w:sz w:val="20"/>
                <w:szCs w:val="20"/>
                <w:color w:val="auto"/>
              </w:rPr>
            </w:pPr>
            <w:r>
              <w:rPr>
                <w:rFonts w:ascii="Arial" w:cs="Arial" w:eastAsia="Arial" w:hAnsi="Arial"/>
                <w:sz w:val="16"/>
                <w:szCs w:val="16"/>
                <w:color w:val="0000FF"/>
              </w:rPr>
              <w:t>Consolidated Statements of Equity</w:t>
            </w:r>
          </w:p>
        </w:tc>
        <w:tc>
          <w:tcPr>
            <w:tcW w:w="1540" w:type="dxa"/>
            <w:vAlign w:val="bottom"/>
            <w:gridSpan w:val="3"/>
          </w:tcPr>
          <w:p>
            <w:pPr>
              <w:jc w:val="center"/>
              <w:spacing w:after="0" w:line="162" w:lineRule="exact"/>
              <w:rPr>
                <w:sz w:val="20"/>
                <w:szCs w:val="20"/>
                <w:color w:val="auto"/>
              </w:rPr>
            </w:pPr>
            <w:r>
              <w:rPr>
                <w:rFonts w:ascii="Arial" w:cs="Arial" w:eastAsia="Arial" w:hAnsi="Arial"/>
                <w:sz w:val="16"/>
                <w:szCs w:val="16"/>
                <w:color w:val="0000FF"/>
              </w:rPr>
              <w:t>13</w:t>
            </w:r>
          </w:p>
        </w:tc>
        <w:tc>
          <w:tcPr>
            <w:tcW w:w="20" w:type="dxa"/>
            <w:vAlign w:val="bottom"/>
          </w:tcPr>
          <w:p>
            <w:pPr>
              <w:spacing w:after="0"/>
              <w:rPr>
                <w:sz w:val="14"/>
                <w:szCs w:val="14"/>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Borders>
              <w:right w:val="single" w:sz="8" w:color="0000FF"/>
            </w:tcBorders>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20" w:type="dxa"/>
            <w:vAlign w:val="bottom"/>
            <w:tcBorders>
              <w:left w:val="single" w:sz="8" w:color="0000FF"/>
              <w:right w:val="single" w:sz="8" w:color="0000FF"/>
            </w:tcBorders>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240" w:type="dxa"/>
            <w:vAlign w:val="bottom"/>
            <w:tcBorders>
              <w:left w:val="single" w:sz="8" w:color="0000FF"/>
              <w:right w:val="single" w:sz="8" w:color="0000FF"/>
            </w:tcBorders>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2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7980" w:type="dxa"/>
            <w:vAlign w:val="bottom"/>
            <w:gridSpan w:val="28"/>
            <w:shd w:val="clear" w:color="auto" w:fill="CFF0FC"/>
          </w:tcPr>
          <w:p>
            <w:pPr>
              <w:ind w:left="100"/>
              <w:spacing w:after="0" w:line="162" w:lineRule="exact"/>
              <w:rPr>
                <w:sz w:val="20"/>
                <w:szCs w:val="20"/>
                <w:color w:val="auto"/>
              </w:rPr>
            </w:pPr>
            <w:r>
              <w:rPr>
                <w:rFonts w:ascii="Arial" w:cs="Arial" w:eastAsia="Arial" w:hAnsi="Arial"/>
                <w:sz w:val="16"/>
                <w:szCs w:val="16"/>
                <w:color w:val="0000FF"/>
              </w:rPr>
              <w:t>Condensed Notes to Consolidated Financial Statements</w:t>
            </w:r>
          </w:p>
        </w:tc>
        <w:tc>
          <w:tcPr>
            <w:tcW w:w="1540" w:type="dxa"/>
            <w:vAlign w:val="bottom"/>
            <w:gridSpan w:val="3"/>
            <w:shd w:val="clear" w:color="auto" w:fill="CFF0FC"/>
          </w:tcPr>
          <w:p>
            <w:pPr>
              <w:jc w:val="center"/>
              <w:spacing w:after="0" w:line="162" w:lineRule="exact"/>
              <w:rPr>
                <w:sz w:val="20"/>
                <w:szCs w:val="20"/>
                <w:color w:val="auto"/>
              </w:rPr>
            </w:pPr>
            <w:r>
              <w:rPr>
                <w:rFonts w:ascii="Arial" w:cs="Arial" w:eastAsia="Arial" w:hAnsi="Arial"/>
                <w:sz w:val="16"/>
                <w:szCs w:val="16"/>
                <w:color w:val="0000FF"/>
              </w:rPr>
              <w:t>14</w:t>
            </w:r>
          </w:p>
        </w:tc>
        <w:tc>
          <w:tcPr>
            <w:tcW w:w="20" w:type="dxa"/>
            <w:vAlign w:val="bottom"/>
            <w:shd w:val="clear" w:color="auto" w:fill="CFF0FC"/>
          </w:tcPr>
          <w:p>
            <w:pPr>
              <w:spacing w:after="0"/>
              <w:rPr>
                <w:sz w:val="14"/>
                <w:szCs w:val="14"/>
                <w:color w:val="auto"/>
              </w:rPr>
            </w:pPr>
          </w:p>
        </w:tc>
      </w:tr>
      <w:tr>
        <w:trPr>
          <w:trHeight w:val="27"/>
        </w:trPr>
        <w:tc>
          <w:tcPr>
            <w:tcW w:w="20" w:type="dxa"/>
            <w:vAlign w:val="bottom"/>
            <w:shd w:val="clear" w:color="auto" w:fill="CFF0FC"/>
          </w:tcPr>
          <w:p>
            <w:pPr>
              <w:spacing w:after="0"/>
              <w:rPr>
                <w:sz w:val="2"/>
                <w:szCs w:val="2"/>
                <w:color w:val="auto"/>
              </w:rPr>
            </w:pPr>
          </w:p>
        </w:tc>
        <w:tc>
          <w:tcPr>
            <w:tcW w:w="7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160" w:type="dxa"/>
            <w:vAlign w:val="bottom"/>
            <w:tcBorders>
              <w:right w:val="single" w:sz="8" w:color="0000FF"/>
            </w:tcBorders>
            <w:shd w:val="clear" w:color="auto" w:fill="CFF0FC"/>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20" w:type="dxa"/>
            <w:vAlign w:val="bottom"/>
            <w:tcBorders>
              <w:left w:val="single" w:sz="8" w:color="0000FF"/>
              <w:right w:val="single" w:sz="8" w:color="0000FF"/>
            </w:tcBorders>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240" w:type="dxa"/>
            <w:vAlign w:val="bottom"/>
            <w:tcBorders>
              <w:left w:val="single" w:sz="8" w:color="0000FF"/>
              <w:right w:val="single" w:sz="8" w:color="0000FF"/>
            </w:tcBorders>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20" w:type="dxa"/>
            <w:vAlign w:val="bottom"/>
            <w:tcBorders>
              <w:lef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40" w:type="dxa"/>
            <w:vAlign w:val="bottom"/>
            <w:tcBorders>
              <w:left w:val="single" w:sz="8" w:color="0000FF"/>
            </w:tcBorders>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960" w:type="dxa"/>
            <w:vAlign w:val="bottom"/>
            <w:shd w:val="clear" w:color="auto" w:fill="CFF0FC"/>
          </w:tcPr>
          <w:p>
            <w:pPr>
              <w:spacing w:after="0"/>
              <w:rPr>
                <w:sz w:val="2"/>
                <w:szCs w:val="2"/>
                <w:color w:val="auto"/>
              </w:rPr>
            </w:pPr>
          </w:p>
        </w:tc>
        <w:tc>
          <w:tcPr>
            <w:tcW w:w="1600" w:type="dxa"/>
            <w:vAlign w:val="bottom"/>
            <w:shd w:val="clear" w:color="auto" w:fill="CFF0FC"/>
          </w:tcPr>
          <w:p>
            <w:pPr>
              <w:spacing w:after="0"/>
              <w:rPr>
                <w:sz w:val="2"/>
                <w:szCs w:val="2"/>
                <w:color w:val="auto"/>
              </w:rPr>
            </w:pPr>
          </w:p>
        </w:tc>
        <w:tc>
          <w:tcPr>
            <w:tcW w:w="720" w:type="dxa"/>
            <w:vAlign w:val="bottom"/>
            <w:tcBorders>
              <w:right w:val="single" w:sz="8" w:color="0000FF"/>
            </w:tcBorders>
            <w:shd w:val="clear" w:color="auto" w:fill="CFF0FC"/>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20" w:type="dxa"/>
            <w:vAlign w:val="bottom"/>
            <w:gridSpan w:val="15"/>
          </w:tcPr>
          <w:p>
            <w:pPr>
              <w:spacing w:after="0" w:line="162" w:lineRule="exact"/>
              <w:rPr>
                <w:sz w:val="20"/>
                <w:szCs w:val="20"/>
                <w:color w:val="auto"/>
              </w:rPr>
            </w:pPr>
            <w:r>
              <w:rPr>
                <w:rFonts w:ascii="Arial" w:cs="Arial" w:eastAsia="Arial" w:hAnsi="Arial"/>
                <w:sz w:val="16"/>
                <w:szCs w:val="16"/>
                <w:color w:val="0000FF"/>
                <w:w w:val="99"/>
              </w:rPr>
              <w:t>Note 1. Management’s Statement</w:t>
            </w:r>
          </w:p>
        </w:tc>
        <w:tc>
          <w:tcPr>
            <w:tcW w:w="1520" w:type="dxa"/>
            <w:vAlign w:val="bottom"/>
            <w:gridSpan w:val="7"/>
          </w:tcPr>
          <w:p>
            <w:pPr>
              <w:spacing w:after="0"/>
              <w:rPr>
                <w:sz w:val="14"/>
                <w:szCs w:val="14"/>
                <w:color w:val="auto"/>
              </w:rPr>
            </w:pPr>
          </w:p>
        </w:tc>
        <w:tc>
          <w:tcPr>
            <w:tcW w:w="3880" w:type="dxa"/>
            <w:vAlign w:val="bottom"/>
            <w:gridSpan w:val="5"/>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gridSpan w:val="2"/>
          </w:tcPr>
          <w:p>
            <w:pPr>
              <w:jc w:val="center"/>
              <w:ind w:right="680"/>
              <w:spacing w:after="0" w:line="162" w:lineRule="exact"/>
              <w:rPr>
                <w:sz w:val="20"/>
                <w:szCs w:val="20"/>
                <w:color w:val="auto"/>
              </w:rPr>
            </w:pPr>
            <w:r>
              <w:rPr>
                <w:rFonts w:ascii="Arial" w:cs="Arial" w:eastAsia="Arial" w:hAnsi="Arial"/>
                <w:sz w:val="16"/>
                <w:szCs w:val="16"/>
                <w:color w:val="0000FF"/>
                <w:w w:val="78"/>
              </w:rPr>
              <w:t>14</w:t>
            </w:r>
          </w:p>
        </w:tc>
        <w:tc>
          <w:tcPr>
            <w:tcW w:w="20" w:type="dxa"/>
            <w:vAlign w:val="bottom"/>
          </w:tcPr>
          <w:p>
            <w:pPr>
              <w:spacing w:after="0"/>
              <w:rPr>
                <w:sz w:val="14"/>
                <w:szCs w:val="14"/>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20" w:type="dxa"/>
            <w:vAlign w:val="bottom"/>
            <w:tcBorders>
              <w:left w:val="single" w:sz="8" w:color="0000FF"/>
              <w:right w:val="single" w:sz="8" w:color="0000FF"/>
            </w:tcBorders>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240" w:type="dxa"/>
            <w:vAlign w:val="bottom"/>
            <w:tcBorders>
              <w:left w:val="single" w:sz="8" w:color="0000FF"/>
              <w:right w:val="single" w:sz="8" w:color="0000FF"/>
            </w:tcBorders>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80" w:type="dxa"/>
            <w:vAlign w:val="bottom"/>
            <w:tcBorders>
              <w:left w:val="single" w:sz="8" w:color="0000FF"/>
            </w:tcBorders>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2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620" w:type="dxa"/>
            <w:vAlign w:val="bottom"/>
            <w:gridSpan w:val="4"/>
            <w:shd w:val="clear" w:color="auto" w:fill="CFF0FC"/>
          </w:tcPr>
          <w:p>
            <w:pPr>
              <w:spacing w:after="0" w:line="162" w:lineRule="exact"/>
              <w:rPr>
                <w:sz w:val="20"/>
                <w:szCs w:val="20"/>
                <w:color w:val="auto"/>
              </w:rPr>
            </w:pPr>
            <w:r>
              <w:rPr>
                <w:rFonts w:ascii="Arial" w:cs="Arial" w:eastAsia="Arial" w:hAnsi="Arial"/>
                <w:sz w:val="16"/>
                <w:szCs w:val="16"/>
                <w:color w:val="0000FF"/>
              </w:rPr>
              <w:t>Note 2.</w:t>
            </w:r>
          </w:p>
        </w:tc>
        <w:tc>
          <w:tcPr>
            <w:tcW w:w="1800" w:type="dxa"/>
            <w:vAlign w:val="bottom"/>
            <w:tcBorders>
              <w:right w:val="single" w:sz="8" w:color="CFF0FC"/>
            </w:tcBorders>
            <w:gridSpan w:val="11"/>
            <w:shd w:val="clear" w:color="auto" w:fill="CFF0FC"/>
          </w:tcPr>
          <w:p>
            <w:pPr>
              <w:spacing w:after="0" w:line="162" w:lineRule="exact"/>
              <w:rPr>
                <w:sz w:val="20"/>
                <w:szCs w:val="20"/>
                <w:color w:val="auto"/>
              </w:rPr>
            </w:pPr>
            <w:r>
              <w:rPr>
                <w:rFonts w:ascii="Arial" w:cs="Arial" w:eastAsia="Arial" w:hAnsi="Arial"/>
                <w:sz w:val="16"/>
                <w:szCs w:val="16"/>
                <w:color w:val="0000FF"/>
              </w:rPr>
              <w:t>Regulatory Matters</w:t>
            </w:r>
          </w:p>
        </w:tc>
        <w:tc>
          <w:tcPr>
            <w:tcW w:w="5400" w:type="dxa"/>
            <w:vAlign w:val="bottom"/>
            <w:tcBorders>
              <w:left w:val="single" w:sz="8" w:color="CFF0FC"/>
            </w:tcBorders>
            <w:gridSpan w:val="12"/>
            <w:shd w:val="clear" w:color="auto" w:fill="CFF0FC"/>
          </w:tcPr>
          <w:p>
            <w:pPr>
              <w:spacing w:after="0"/>
              <w:rPr>
                <w:sz w:val="14"/>
                <w:szCs w:val="14"/>
                <w:color w:val="auto"/>
              </w:rPr>
            </w:pPr>
          </w:p>
        </w:tc>
        <w:tc>
          <w:tcPr>
            <w:tcW w:w="720" w:type="dxa"/>
            <w:vAlign w:val="bottom"/>
            <w:tcBorders>
              <w:right w:val="single" w:sz="8" w:color="CFF0FC"/>
            </w:tcBorders>
            <w:shd w:val="clear" w:color="auto" w:fill="CFF0FC"/>
          </w:tcPr>
          <w:p>
            <w:pPr>
              <w:spacing w:after="0"/>
              <w:rPr>
                <w:sz w:val="14"/>
                <w:szCs w:val="14"/>
                <w:color w:val="auto"/>
              </w:rPr>
            </w:pPr>
          </w:p>
        </w:tc>
        <w:tc>
          <w:tcPr>
            <w:tcW w:w="820" w:type="dxa"/>
            <w:vAlign w:val="bottom"/>
            <w:gridSpan w:val="2"/>
            <w:shd w:val="clear" w:color="auto" w:fill="CFF0FC"/>
          </w:tcPr>
          <w:p>
            <w:pPr>
              <w:jc w:val="center"/>
              <w:ind w:right="680"/>
              <w:spacing w:after="0" w:line="162" w:lineRule="exact"/>
              <w:rPr>
                <w:sz w:val="20"/>
                <w:szCs w:val="20"/>
                <w:color w:val="auto"/>
              </w:rPr>
            </w:pPr>
            <w:r>
              <w:rPr>
                <w:rFonts w:ascii="Arial" w:cs="Arial" w:eastAsia="Arial" w:hAnsi="Arial"/>
                <w:sz w:val="16"/>
                <w:szCs w:val="16"/>
                <w:color w:val="0000FF"/>
                <w:w w:val="78"/>
              </w:rPr>
              <w:t>15</w:t>
            </w:r>
          </w:p>
        </w:tc>
        <w:tc>
          <w:tcPr>
            <w:tcW w:w="20" w:type="dxa"/>
            <w:vAlign w:val="bottom"/>
            <w:shd w:val="clear" w:color="auto" w:fill="CFF0FC"/>
          </w:tcPr>
          <w:p>
            <w:pPr>
              <w:spacing w:after="0"/>
              <w:rPr>
                <w:sz w:val="14"/>
                <w:szCs w:val="14"/>
                <w:color w:val="auto"/>
              </w:rPr>
            </w:pPr>
          </w:p>
        </w:tc>
      </w:tr>
      <w:tr>
        <w:trPr>
          <w:trHeight w:val="27"/>
        </w:trPr>
        <w:tc>
          <w:tcPr>
            <w:tcW w:w="20" w:type="dxa"/>
            <w:vAlign w:val="bottom"/>
            <w:shd w:val="clear" w:color="auto" w:fill="CFF0FC"/>
          </w:tcPr>
          <w:p>
            <w:pPr>
              <w:spacing w:after="0"/>
              <w:rPr>
                <w:sz w:val="2"/>
                <w:szCs w:val="2"/>
                <w:color w:val="auto"/>
              </w:rPr>
            </w:pPr>
          </w:p>
        </w:tc>
        <w:tc>
          <w:tcPr>
            <w:tcW w:w="7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160" w:type="dxa"/>
            <w:vAlign w:val="bottom"/>
            <w:tcBorders>
              <w:right w:val="single" w:sz="8" w:color="CFF0FC"/>
            </w:tcBorders>
            <w:shd w:val="clear" w:color="auto" w:fill="CFF0FC"/>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20" w:type="dxa"/>
            <w:vAlign w:val="bottom"/>
            <w:tcBorders>
              <w:left w:val="single" w:sz="8" w:color="0000FF"/>
              <w:right w:val="single" w:sz="8" w:color="0000FF"/>
            </w:tcBorders>
            <w:shd w:val="clear" w:color="auto" w:fill="0000FF"/>
          </w:tcPr>
          <w:p>
            <w:pPr>
              <w:spacing w:after="0"/>
              <w:rPr>
                <w:sz w:val="2"/>
                <w:szCs w:val="2"/>
                <w:color w:val="auto"/>
              </w:rPr>
            </w:pPr>
          </w:p>
        </w:tc>
        <w:tc>
          <w:tcPr>
            <w:tcW w:w="320" w:type="dxa"/>
            <w:vAlign w:val="bottom"/>
            <w:tcBorders>
              <w:right w:val="single" w:sz="8" w:color="CFF0FC"/>
            </w:tcBorders>
            <w:shd w:val="clear" w:color="auto" w:fill="0000FF"/>
          </w:tcPr>
          <w:p>
            <w:pPr>
              <w:spacing w:after="0"/>
              <w:rPr>
                <w:sz w:val="2"/>
                <w:szCs w:val="2"/>
                <w:color w:val="auto"/>
              </w:rPr>
            </w:pPr>
          </w:p>
        </w:tc>
        <w:tc>
          <w:tcPr>
            <w:tcW w:w="240" w:type="dxa"/>
            <w:vAlign w:val="bottom"/>
            <w:tcBorders>
              <w:left w:val="single" w:sz="8" w:color="CFF0FC"/>
              <w:right w:val="single" w:sz="8" w:color="CFF0FC"/>
            </w:tcBorders>
            <w:shd w:val="clear" w:color="auto" w:fill="CFF0FC"/>
          </w:tcPr>
          <w:p>
            <w:pPr>
              <w:spacing w:after="0"/>
              <w:rPr>
                <w:sz w:val="2"/>
                <w:szCs w:val="2"/>
                <w:color w:val="auto"/>
              </w:rPr>
            </w:pPr>
          </w:p>
        </w:tc>
        <w:tc>
          <w:tcPr>
            <w:tcW w:w="140" w:type="dxa"/>
            <w:vAlign w:val="bottom"/>
            <w:tcBorders>
              <w:right w:val="single" w:sz="8" w:color="CFF0FC"/>
            </w:tcBorders>
            <w:shd w:val="clear" w:color="auto" w:fill="CFF0FC"/>
          </w:tcPr>
          <w:p>
            <w:pPr>
              <w:spacing w:after="0"/>
              <w:rPr>
                <w:sz w:val="2"/>
                <w:szCs w:val="2"/>
                <w:color w:val="auto"/>
              </w:rPr>
            </w:pPr>
          </w:p>
        </w:tc>
        <w:tc>
          <w:tcPr>
            <w:tcW w:w="80" w:type="dxa"/>
            <w:vAlign w:val="bottom"/>
            <w:tcBorders>
              <w:left w:val="single" w:sz="8" w:color="CFF0FC"/>
            </w:tcBorders>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20" w:type="dxa"/>
            <w:vAlign w:val="bottom"/>
            <w:tcBorders>
              <w:left w:val="single" w:sz="8" w:color="CFF0FC"/>
            </w:tcBorders>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40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40" w:type="dxa"/>
            <w:vAlign w:val="bottom"/>
            <w:tcBorders>
              <w:left w:val="single" w:sz="8" w:color="CFF0FC"/>
            </w:tcBorders>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960" w:type="dxa"/>
            <w:vAlign w:val="bottom"/>
            <w:shd w:val="clear" w:color="auto" w:fill="CFF0FC"/>
          </w:tcPr>
          <w:p>
            <w:pPr>
              <w:spacing w:after="0"/>
              <w:rPr>
                <w:sz w:val="2"/>
                <w:szCs w:val="2"/>
                <w:color w:val="auto"/>
              </w:rPr>
            </w:pPr>
          </w:p>
        </w:tc>
        <w:tc>
          <w:tcPr>
            <w:tcW w:w="1600" w:type="dxa"/>
            <w:vAlign w:val="bottom"/>
            <w:shd w:val="clear" w:color="auto" w:fill="CFF0FC"/>
          </w:tcPr>
          <w:p>
            <w:pPr>
              <w:spacing w:after="0"/>
              <w:rPr>
                <w:sz w:val="2"/>
                <w:szCs w:val="2"/>
                <w:color w:val="auto"/>
              </w:rPr>
            </w:pPr>
          </w:p>
        </w:tc>
        <w:tc>
          <w:tcPr>
            <w:tcW w:w="720" w:type="dxa"/>
            <w:vAlign w:val="bottom"/>
            <w:tcBorders>
              <w:right w:val="single" w:sz="8" w:color="0000FF"/>
            </w:tcBorders>
            <w:shd w:val="clear" w:color="auto" w:fill="CFF0FC"/>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940" w:type="dxa"/>
            <w:vAlign w:val="bottom"/>
            <w:gridSpan w:val="22"/>
          </w:tcPr>
          <w:p>
            <w:pPr>
              <w:spacing w:after="0" w:line="162" w:lineRule="exact"/>
              <w:rPr>
                <w:sz w:val="20"/>
                <w:szCs w:val="20"/>
                <w:color w:val="auto"/>
              </w:rPr>
            </w:pPr>
            <w:r>
              <w:rPr>
                <w:rFonts w:ascii="Arial" w:cs="Arial" w:eastAsia="Arial" w:hAnsi="Arial"/>
                <w:sz w:val="16"/>
                <w:szCs w:val="16"/>
                <w:color w:val="0000FF"/>
              </w:rPr>
              <w:t>Note 3. Commitments, Contingencies and Guarantees</w:t>
            </w:r>
          </w:p>
        </w:tc>
        <w:tc>
          <w:tcPr>
            <w:tcW w:w="3880" w:type="dxa"/>
            <w:vAlign w:val="bottom"/>
            <w:gridSpan w:val="5"/>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gridSpan w:val="2"/>
          </w:tcPr>
          <w:p>
            <w:pPr>
              <w:jc w:val="center"/>
              <w:ind w:right="680"/>
              <w:spacing w:after="0" w:line="162" w:lineRule="exact"/>
              <w:rPr>
                <w:sz w:val="20"/>
                <w:szCs w:val="20"/>
                <w:color w:val="auto"/>
              </w:rPr>
            </w:pPr>
            <w:r>
              <w:rPr>
                <w:rFonts w:ascii="Arial" w:cs="Arial" w:eastAsia="Arial" w:hAnsi="Arial"/>
                <w:sz w:val="16"/>
                <w:szCs w:val="16"/>
                <w:color w:val="0000FF"/>
                <w:w w:val="78"/>
              </w:rPr>
              <w:t>16</w:t>
            </w:r>
          </w:p>
        </w:tc>
        <w:tc>
          <w:tcPr>
            <w:tcW w:w="20" w:type="dxa"/>
            <w:vAlign w:val="bottom"/>
          </w:tcPr>
          <w:p>
            <w:pPr>
              <w:spacing w:after="0"/>
              <w:rPr>
                <w:sz w:val="14"/>
                <w:szCs w:val="14"/>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20" w:type="dxa"/>
            <w:vAlign w:val="bottom"/>
            <w:tcBorders>
              <w:left w:val="single" w:sz="8" w:color="0000FF"/>
              <w:right w:val="single" w:sz="8" w:color="0000FF"/>
            </w:tcBorders>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240" w:type="dxa"/>
            <w:vAlign w:val="bottom"/>
            <w:tcBorders>
              <w:left w:val="single" w:sz="8" w:color="0000FF"/>
              <w:right w:val="single" w:sz="8" w:color="0000FF"/>
            </w:tcBorders>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20" w:type="dxa"/>
            <w:vAlign w:val="bottom"/>
            <w:tcBorders>
              <w:lef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2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3940" w:type="dxa"/>
            <w:vAlign w:val="bottom"/>
            <w:gridSpan w:val="22"/>
            <w:shd w:val="clear" w:color="auto" w:fill="CFF0FC"/>
          </w:tcPr>
          <w:p>
            <w:pPr>
              <w:spacing w:after="0" w:line="162" w:lineRule="exact"/>
              <w:rPr>
                <w:sz w:val="20"/>
                <w:szCs w:val="20"/>
                <w:color w:val="auto"/>
              </w:rPr>
            </w:pPr>
            <w:r>
              <w:rPr>
                <w:rFonts w:ascii="Arial" w:cs="Arial" w:eastAsia="Arial" w:hAnsi="Arial"/>
                <w:sz w:val="16"/>
                <w:szCs w:val="16"/>
                <w:color w:val="0000FF"/>
              </w:rPr>
              <w:t>Note 4. Revenue</w:t>
            </w:r>
          </w:p>
        </w:tc>
        <w:tc>
          <w:tcPr>
            <w:tcW w:w="3880" w:type="dxa"/>
            <w:vAlign w:val="bottom"/>
            <w:tcBorders>
              <w:left w:val="single" w:sz="8" w:color="CFF0FC"/>
            </w:tcBorders>
            <w:gridSpan w:val="5"/>
            <w:shd w:val="clear" w:color="auto" w:fill="CFF0FC"/>
          </w:tcPr>
          <w:p>
            <w:pPr>
              <w:spacing w:after="0"/>
              <w:rPr>
                <w:sz w:val="14"/>
                <w:szCs w:val="14"/>
                <w:color w:val="auto"/>
              </w:rPr>
            </w:pPr>
          </w:p>
        </w:tc>
        <w:tc>
          <w:tcPr>
            <w:tcW w:w="720" w:type="dxa"/>
            <w:vAlign w:val="bottom"/>
            <w:tcBorders>
              <w:right w:val="single" w:sz="8" w:color="CFF0FC"/>
            </w:tcBorders>
            <w:shd w:val="clear" w:color="auto" w:fill="CFF0FC"/>
          </w:tcPr>
          <w:p>
            <w:pPr>
              <w:spacing w:after="0"/>
              <w:rPr>
                <w:sz w:val="14"/>
                <w:szCs w:val="14"/>
                <w:color w:val="auto"/>
              </w:rPr>
            </w:pPr>
          </w:p>
        </w:tc>
        <w:tc>
          <w:tcPr>
            <w:tcW w:w="820" w:type="dxa"/>
            <w:vAlign w:val="bottom"/>
            <w:gridSpan w:val="2"/>
            <w:shd w:val="clear" w:color="auto" w:fill="CFF0FC"/>
          </w:tcPr>
          <w:p>
            <w:pPr>
              <w:jc w:val="center"/>
              <w:ind w:right="680"/>
              <w:spacing w:after="0" w:line="162" w:lineRule="exact"/>
              <w:rPr>
                <w:sz w:val="20"/>
                <w:szCs w:val="20"/>
                <w:color w:val="auto"/>
              </w:rPr>
            </w:pPr>
            <w:r>
              <w:rPr>
                <w:rFonts w:ascii="Arial" w:cs="Arial" w:eastAsia="Arial" w:hAnsi="Arial"/>
                <w:sz w:val="16"/>
                <w:szCs w:val="16"/>
                <w:color w:val="0000FF"/>
                <w:w w:val="78"/>
              </w:rPr>
              <w:t>17</w:t>
            </w:r>
          </w:p>
        </w:tc>
        <w:tc>
          <w:tcPr>
            <w:tcW w:w="20" w:type="dxa"/>
            <w:vAlign w:val="bottom"/>
            <w:shd w:val="clear" w:color="auto" w:fill="CFF0FC"/>
          </w:tcPr>
          <w:p>
            <w:pPr>
              <w:spacing w:after="0"/>
              <w:rPr>
                <w:sz w:val="14"/>
                <w:szCs w:val="14"/>
                <w:color w:val="auto"/>
              </w:rPr>
            </w:pPr>
          </w:p>
        </w:tc>
      </w:tr>
      <w:tr>
        <w:trPr>
          <w:trHeight w:val="27"/>
        </w:trPr>
        <w:tc>
          <w:tcPr>
            <w:tcW w:w="20" w:type="dxa"/>
            <w:vAlign w:val="bottom"/>
            <w:shd w:val="clear" w:color="auto" w:fill="CFF0FC"/>
          </w:tcPr>
          <w:p>
            <w:pPr>
              <w:spacing w:after="0"/>
              <w:rPr>
                <w:sz w:val="2"/>
                <w:szCs w:val="2"/>
                <w:color w:val="auto"/>
              </w:rPr>
            </w:pPr>
          </w:p>
        </w:tc>
        <w:tc>
          <w:tcPr>
            <w:tcW w:w="7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160" w:type="dxa"/>
            <w:vAlign w:val="bottom"/>
            <w:tcBorders>
              <w:right w:val="single" w:sz="8" w:color="CFF0FC"/>
            </w:tcBorders>
            <w:shd w:val="clear" w:color="auto" w:fill="CFF0FC"/>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CFF0FC"/>
            </w:tcBorders>
            <w:shd w:val="clear" w:color="auto" w:fill="0000FF"/>
          </w:tcPr>
          <w:p>
            <w:pPr>
              <w:spacing w:after="0"/>
              <w:rPr>
                <w:sz w:val="2"/>
                <w:szCs w:val="2"/>
                <w:color w:val="auto"/>
              </w:rPr>
            </w:pPr>
          </w:p>
        </w:tc>
        <w:tc>
          <w:tcPr>
            <w:tcW w:w="100" w:type="dxa"/>
            <w:vAlign w:val="bottom"/>
            <w:tcBorders>
              <w:left w:val="single" w:sz="8" w:color="CFF0FC"/>
            </w:tcBorders>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220" w:type="dxa"/>
            <w:vAlign w:val="bottom"/>
            <w:tcBorders>
              <w:left w:val="single" w:sz="8" w:color="CFF0FC"/>
              <w:right w:val="single" w:sz="8" w:color="CFF0FC"/>
            </w:tcBorders>
            <w:shd w:val="clear" w:color="auto" w:fill="CFF0FC"/>
          </w:tcPr>
          <w:p>
            <w:pPr>
              <w:spacing w:after="0"/>
              <w:rPr>
                <w:sz w:val="2"/>
                <w:szCs w:val="2"/>
                <w:color w:val="auto"/>
              </w:rPr>
            </w:pPr>
          </w:p>
        </w:tc>
        <w:tc>
          <w:tcPr>
            <w:tcW w:w="320" w:type="dxa"/>
            <w:vAlign w:val="bottom"/>
            <w:tcBorders>
              <w:right w:val="single" w:sz="8" w:color="CFF0FC"/>
            </w:tcBorders>
            <w:shd w:val="clear" w:color="auto" w:fill="CFF0FC"/>
          </w:tcPr>
          <w:p>
            <w:pPr>
              <w:spacing w:after="0"/>
              <w:rPr>
                <w:sz w:val="2"/>
                <w:szCs w:val="2"/>
                <w:color w:val="auto"/>
              </w:rPr>
            </w:pPr>
          </w:p>
        </w:tc>
        <w:tc>
          <w:tcPr>
            <w:tcW w:w="240" w:type="dxa"/>
            <w:vAlign w:val="bottom"/>
            <w:tcBorders>
              <w:left w:val="single" w:sz="8" w:color="CFF0FC"/>
              <w:right w:val="single" w:sz="8" w:color="CFF0FC"/>
            </w:tcBorders>
            <w:shd w:val="clear" w:color="auto" w:fill="CFF0FC"/>
          </w:tcPr>
          <w:p>
            <w:pPr>
              <w:spacing w:after="0"/>
              <w:rPr>
                <w:sz w:val="2"/>
                <w:szCs w:val="2"/>
                <w:color w:val="auto"/>
              </w:rPr>
            </w:pPr>
          </w:p>
        </w:tc>
        <w:tc>
          <w:tcPr>
            <w:tcW w:w="140" w:type="dxa"/>
            <w:vAlign w:val="bottom"/>
            <w:tcBorders>
              <w:right w:val="single" w:sz="8" w:color="CFF0FC"/>
            </w:tcBorders>
            <w:shd w:val="clear" w:color="auto" w:fill="CFF0FC"/>
          </w:tcPr>
          <w:p>
            <w:pPr>
              <w:spacing w:after="0"/>
              <w:rPr>
                <w:sz w:val="2"/>
                <w:szCs w:val="2"/>
                <w:color w:val="auto"/>
              </w:rPr>
            </w:pPr>
          </w:p>
        </w:tc>
        <w:tc>
          <w:tcPr>
            <w:tcW w:w="80" w:type="dxa"/>
            <w:vAlign w:val="bottom"/>
            <w:tcBorders>
              <w:left w:val="single" w:sz="8" w:color="CFF0FC"/>
            </w:tcBorders>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20" w:type="dxa"/>
            <w:vAlign w:val="bottom"/>
            <w:tcBorders>
              <w:left w:val="single" w:sz="8" w:color="CFF0FC"/>
            </w:tcBorders>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40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40" w:type="dxa"/>
            <w:vAlign w:val="bottom"/>
            <w:tcBorders>
              <w:left w:val="single" w:sz="8" w:color="CFF0FC"/>
            </w:tcBorders>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960" w:type="dxa"/>
            <w:vAlign w:val="bottom"/>
            <w:shd w:val="clear" w:color="auto" w:fill="CFF0FC"/>
          </w:tcPr>
          <w:p>
            <w:pPr>
              <w:spacing w:after="0"/>
              <w:rPr>
                <w:sz w:val="2"/>
                <w:szCs w:val="2"/>
                <w:color w:val="auto"/>
              </w:rPr>
            </w:pPr>
          </w:p>
        </w:tc>
        <w:tc>
          <w:tcPr>
            <w:tcW w:w="1600" w:type="dxa"/>
            <w:vAlign w:val="bottom"/>
            <w:shd w:val="clear" w:color="auto" w:fill="CFF0FC"/>
          </w:tcPr>
          <w:p>
            <w:pPr>
              <w:spacing w:after="0"/>
              <w:rPr>
                <w:sz w:val="2"/>
                <w:szCs w:val="2"/>
                <w:color w:val="auto"/>
              </w:rPr>
            </w:pPr>
          </w:p>
        </w:tc>
        <w:tc>
          <w:tcPr>
            <w:tcW w:w="720" w:type="dxa"/>
            <w:vAlign w:val="bottom"/>
            <w:tcBorders>
              <w:right w:val="single" w:sz="8" w:color="0000FF"/>
            </w:tcBorders>
            <w:shd w:val="clear" w:color="auto" w:fill="CFF0FC"/>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4"/>
          </w:tcPr>
          <w:p>
            <w:pPr>
              <w:spacing w:after="0" w:line="162" w:lineRule="exact"/>
              <w:rPr>
                <w:sz w:val="20"/>
                <w:szCs w:val="20"/>
                <w:color w:val="auto"/>
              </w:rPr>
            </w:pPr>
            <w:r>
              <w:rPr>
                <w:rFonts w:ascii="Arial" w:cs="Arial" w:eastAsia="Arial" w:hAnsi="Arial"/>
                <w:sz w:val="16"/>
                <w:szCs w:val="16"/>
                <w:color w:val="0000FF"/>
              </w:rPr>
              <w:t>Note 5.</w:t>
            </w:r>
          </w:p>
        </w:tc>
        <w:tc>
          <w:tcPr>
            <w:tcW w:w="700" w:type="dxa"/>
            <w:vAlign w:val="bottom"/>
            <w:gridSpan w:val="5"/>
          </w:tcPr>
          <w:p>
            <w:pPr>
              <w:spacing w:after="0" w:line="162" w:lineRule="exact"/>
              <w:rPr>
                <w:sz w:val="20"/>
                <w:szCs w:val="20"/>
                <w:color w:val="auto"/>
              </w:rPr>
            </w:pPr>
            <w:r>
              <w:rPr>
                <w:rFonts w:ascii="Arial" w:cs="Arial" w:eastAsia="Arial" w:hAnsi="Arial"/>
                <w:sz w:val="16"/>
                <w:szCs w:val="16"/>
                <w:color w:val="0000FF"/>
                <w:w w:val="95"/>
              </w:rPr>
              <w:t>Financing</w:t>
            </w:r>
          </w:p>
        </w:tc>
        <w:tc>
          <w:tcPr>
            <w:tcW w:w="6500" w:type="dxa"/>
            <w:vAlign w:val="bottom"/>
            <w:gridSpan w:val="18"/>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gridSpan w:val="2"/>
          </w:tcPr>
          <w:p>
            <w:pPr>
              <w:jc w:val="center"/>
              <w:ind w:right="680"/>
              <w:spacing w:after="0" w:line="162" w:lineRule="exact"/>
              <w:rPr>
                <w:sz w:val="20"/>
                <w:szCs w:val="20"/>
                <w:color w:val="auto"/>
              </w:rPr>
            </w:pPr>
            <w:r>
              <w:rPr>
                <w:rFonts w:ascii="Arial" w:cs="Arial" w:eastAsia="Arial" w:hAnsi="Arial"/>
                <w:sz w:val="16"/>
                <w:szCs w:val="16"/>
                <w:color w:val="0000FF"/>
                <w:w w:val="78"/>
              </w:rPr>
              <w:t>18</w:t>
            </w:r>
          </w:p>
        </w:tc>
        <w:tc>
          <w:tcPr>
            <w:tcW w:w="20" w:type="dxa"/>
            <w:vAlign w:val="bottom"/>
          </w:tcPr>
          <w:p>
            <w:pPr>
              <w:spacing w:after="0"/>
              <w:rPr>
                <w:sz w:val="14"/>
                <w:szCs w:val="14"/>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2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7820" w:type="dxa"/>
            <w:vAlign w:val="bottom"/>
            <w:gridSpan w:val="27"/>
            <w:shd w:val="clear" w:color="auto" w:fill="CFF0FC"/>
          </w:tcPr>
          <w:p>
            <w:pPr>
              <w:spacing w:after="0" w:line="162" w:lineRule="exact"/>
              <w:rPr>
                <w:sz w:val="20"/>
                <w:szCs w:val="20"/>
                <w:color w:val="auto"/>
              </w:rPr>
            </w:pPr>
            <w:r>
              <w:rPr>
                <w:rFonts w:ascii="Arial" w:cs="Arial" w:eastAsia="Arial" w:hAnsi="Arial"/>
                <w:sz w:val="16"/>
                <w:szCs w:val="16"/>
                <w:color w:val="0000FF"/>
              </w:rPr>
              <w:t>Note 6. Earnings Per Share</w:t>
            </w:r>
          </w:p>
        </w:tc>
        <w:tc>
          <w:tcPr>
            <w:tcW w:w="1540" w:type="dxa"/>
            <w:vAlign w:val="bottom"/>
            <w:gridSpan w:val="3"/>
            <w:shd w:val="clear" w:color="auto" w:fill="CFF0FC"/>
          </w:tcPr>
          <w:p>
            <w:pPr>
              <w:jc w:val="center"/>
              <w:spacing w:after="0" w:line="162" w:lineRule="exact"/>
              <w:rPr>
                <w:sz w:val="20"/>
                <w:szCs w:val="20"/>
                <w:color w:val="auto"/>
              </w:rPr>
            </w:pPr>
            <w:r>
              <w:rPr>
                <w:rFonts w:ascii="Arial" w:cs="Arial" w:eastAsia="Arial" w:hAnsi="Arial"/>
                <w:sz w:val="16"/>
                <w:szCs w:val="16"/>
                <w:color w:val="0000FF"/>
              </w:rPr>
              <w:t>19</w:t>
            </w:r>
          </w:p>
        </w:tc>
        <w:tc>
          <w:tcPr>
            <w:tcW w:w="20" w:type="dxa"/>
            <w:vAlign w:val="bottom"/>
            <w:shd w:val="clear" w:color="auto" w:fill="CFF0FC"/>
          </w:tcPr>
          <w:p>
            <w:pPr>
              <w:spacing w:after="0"/>
              <w:rPr>
                <w:sz w:val="14"/>
                <w:szCs w:val="14"/>
                <w:color w:val="auto"/>
              </w:rPr>
            </w:pPr>
          </w:p>
        </w:tc>
      </w:tr>
      <w:tr>
        <w:trPr>
          <w:trHeight w:val="27"/>
        </w:trPr>
        <w:tc>
          <w:tcPr>
            <w:tcW w:w="20" w:type="dxa"/>
            <w:vAlign w:val="bottom"/>
            <w:shd w:val="clear" w:color="auto" w:fill="CFF0FC"/>
          </w:tcPr>
          <w:p>
            <w:pPr>
              <w:spacing w:after="0"/>
              <w:rPr>
                <w:sz w:val="2"/>
                <w:szCs w:val="2"/>
                <w:color w:val="auto"/>
              </w:rPr>
            </w:pPr>
          </w:p>
        </w:tc>
        <w:tc>
          <w:tcPr>
            <w:tcW w:w="7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160" w:type="dxa"/>
            <w:vAlign w:val="bottom"/>
            <w:tcBorders>
              <w:right w:val="single" w:sz="8" w:color="CFF0FC"/>
            </w:tcBorders>
            <w:shd w:val="clear" w:color="auto" w:fill="CFF0FC"/>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20" w:type="dxa"/>
            <w:vAlign w:val="bottom"/>
            <w:tcBorders>
              <w:left w:val="single" w:sz="8" w:color="0000FF"/>
              <w:right w:val="single" w:sz="8" w:color="0000FF"/>
            </w:tcBorders>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240" w:type="dxa"/>
            <w:vAlign w:val="bottom"/>
            <w:tcBorders>
              <w:left w:val="single" w:sz="8" w:color="CFF0FC"/>
              <w:right w:val="single" w:sz="8" w:color="CFF0FC"/>
            </w:tcBorders>
            <w:shd w:val="clear" w:color="auto" w:fill="CFF0FC"/>
          </w:tcPr>
          <w:p>
            <w:pPr>
              <w:spacing w:after="0"/>
              <w:rPr>
                <w:sz w:val="2"/>
                <w:szCs w:val="2"/>
                <w:color w:val="auto"/>
              </w:rPr>
            </w:pPr>
          </w:p>
        </w:tc>
        <w:tc>
          <w:tcPr>
            <w:tcW w:w="140" w:type="dxa"/>
            <w:vAlign w:val="bottom"/>
            <w:tcBorders>
              <w:right w:val="single" w:sz="8" w:color="CFF0FC"/>
            </w:tcBorders>
            <w:shd w:val="clear" w:color="auto" w:fill="CFF0FC"/>
          </w:tcPr>
          <w:p>
            <w:pPr>
              <w:spacing w:after="0"/>
              <w:rPr>
                <w:sz w:val="2"/>
                <w:szCs w:val="2"/>
                <w:color w:val="auto"/>
              </w:rPr>
            </w:pPr>
          </w:p>
        </w:tc>
        <w:tc>
          <w:tcPr>
            <w:tcW w:w="80" w:type="dxa"/>
            <w:vAlign w:val="bottom"/>
            <w:tcBorders>
              <w:left w:val="single" w:sz="8" w:color="CFF0FC"/>
            </w:tcBorders>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20" w:type="dxa"/>
            <w:vAlign w:val="bottom"/>
            <w:tcBorders>
              <w:left w:val="single" w:sz="8" w:color="CFF0FC"/>
            </w:tcBorders>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40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40" w:type="dxa"/>
            <w:vAlign w:val="bottom"/>
            <w:tcBorders>
              <w:left w:val="single" w:sz="8" w:color="CFF0FC"/>
            </w:tcBorders>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960" w:type="dxa"/>
            <w:vAlign w:val="bottom"/>
            <w:shd w:val="clear" w:color="auto" w:fill="CFF0FC"/>
          </w:tcPr>
          <w:p>
            <w:pPr>
              <w:spacing w:after="0"/>
              <w:rPr>
                <w:sz w:val="2"/>
                <w:szCs w:val="2"/>
                <w:color w:val="auto"/>
              </w:rPr>
            </w:pPr>
          </w:p>
        </w:tc>
        <w:tc>
          <w:tcPr>
            <w:tcW w:w="1600" w:type="dxa"/>
            <w:vAlign w:val="bottom"/>
            <w:shd w:val="clear" w:color="auto" w:fill="CFF0FC"/>
          </w:tcPr>
          <w:p>
            <w:pPr>
              <w:spacing w:after="0"/>
              <w:rPr>
                <w:sz w:val="2"/>
                <w:szCs w:val="2"/>
                <w:color w:val="auto"/>
              </w:rPr>
            </w:pPr>
          </w:p>
        </w:tc>
        <w:tc>
          <w:tcPr>
            <w:tcW w:w="720" w:type="dxa"/>
            <w:vAlign w:val="bottom"/>
            <w:tcBorders>
              <w:right w:val="single" w:sz="8" w:color="0000FF"/>
            </w:tcBorders>
            <w:shd w:val="clear" w:color="auto" w:fill="CFF0FC"/>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20" w:type="dxa"/>
            <w:vAlign w:val="bottom"/>
            <w:gridSpan w:val="27"/>
          </w:tcPr>
          <w:p>
            <w:pPr>
              <w:spacing w:after="0" w:line="162" w:lineRule="exact"/>
              <w:rPr>
                <w:sz w:val="20"/>
                <w:szCs w:val="20"/>
                <w:color w:val="auto"/>
              </w:rPr>
            </w:pPr>
            <w:r>
              <w:rPr>
                <w:rFonts w:ascii="Arial" w:cs="Arial" w:eastAsia="Arial" w:hAnsi="Arial"/>
                <w:sz w:val="16"/>
                <w:szCs w:val="16"/>
                <w:color w:val="0000FF"/>
              </w:rPr>
              <w:t>Note 7. Risk Management and Derivatives</w:t>
            </w:r>
          </w:p>
        </w:tc>
        <w:tc>
          <w:tcPr>
            <w:tcW w:w="1540" w:type="dxa"/>
            <w:vAlign w:val="bottom"/>
            <w:gridSpan w:val="3"/>
          </w:tcPr>
          <w:p>
            <w:pPr>
              <w:jc w:val="center"/>
              <w:spacing w:after="0" w:line="162" w:lineRule="exact"/>
              <w:rPr>
                <w:sz w:val="20"/>
                <w:szCs w:val="20"/>
                <w:color w:val="auto"/>
              </w:rPr>
            </w:pPr>
            <w:r>
              <w:rPr>
                <w:rFonts w:ascii="Arial" w:cs="Arial" w:eastAsia="Arial" w:hAnsi="Arial"/>
                <w:sz w:val="16"/>
                <w:szCs w:val="16"/>
                <w:color w:val="0000FF"/>
              </w:rPr>
              <w:t>20</w:t>
            </w:r>
          </w:p>
        </w:tc>
        <w:tc>
          <w:tcPr>
            <w:tcW w:w="20" w:type="dxa"/>
            <w:vAlign w:val="bottom"/>
          </w:tcPr>
          <w:p>
            <w:pPr>
              <w:spacing w:after="0"/>
              <w:rPr>
                <w:sz w:val="14"/>
                <w:szCs w:val="14"/>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20" w:type="dxa"/>
            <w:vAlign w:val="bottom"/>
            <w:tcBorders>
              <w:left w:val="single" w:sz="8" w:color="0000FF"/>
              <w:right w:val="single" w:sz="8" w:color="0000FF"/>
            </w:tcBorders>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240" w:type="dxa"/>
            <w:vAlign w:val="bottom"/>
            <w:tcBorders>
              <w:left w:val="single" w:sz="8" w:color="0000FF"/>
              <w:right w:val="single" w:sz="8" w:color="0000FF"/>
            </w:tcBorders>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20" w:type="dxa"/>
            <w:vAlign w:val="bottom"/>
            <w:tcBorders>
              <w:lef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2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3080" w:type="dxa"/>
            <w:vAlign w:val="bottom"/>
            <w:gridSpan w:val="19"/>
            <w:shd w:val="clear" w:color="auto" w:fill="CFF0FC"/>
          </w:tcPr>
          <w:p>
            <w:pPr>
              <w:spacing w:after="0" w:line="162" w:lineRule="exact"/>
              <w:rPr>
                <w:sz w:val="20"/>
                <w:szCs w:val="20"/>
                <w:color w:val="auto"/>
              </w:rPr>
            </w:pPr>
            <w:r>
              <w:rPr>
                <w:rFonts w:ascii="Arial" w:cs="Arial" w:eastAsia="Arial" w:hAnsi="Arial"/>
                <w:sz w:val="16"/>
                <w:szCs w:val="16"/>
                <w:color w:val="0000FF"/>
              </w:rPr>
              <w:t>Note 8. Fair Value Measurements</w:t>
            </w:r>
          </w:p>
        </w:tc>
        <w:tc>
          <w:tcPr>
            <w:tcW w:w="4740" w:type="dxa"/>
            <w:vAlign w:val="bottom"/>
            <w:gridSpan w:val="8"/>
            <w:shd w:val="clear" w:color="auto" w:fill="CFF0FC"/>
          </w:tcPr>
          <w:p>
            <w:pPr>
              <w:spacing w:after="0"/>
              <w:rPr>
                <w:sz w:val="14"/>
                <w:szCs w:val="14"/>
                <w:color w:val="auto"/>
              </w:rPr>
            </w:pPr>
          </w:p>
        </w:tc>
        <w:tc>
          <w:tcPr>
            <w:tcW w:w="720" w:type="dxa"/>
            <w:vAlign w:val="bottom"/>
            <w:tcBorders>
              <w:right w:val="single" w:sz="8" w:color="CFF0FC"/>
            </w:tcBorders>
            <w:shd w:val="clear" w:color="auto" w:fill="CFF0FC"/>
          </w:tcPr>
          <w:p>
            <w:pPr>
              <w:spacing w:after="0"/>
              <w:rPr>
                <w:sz w:val="14"/>
                <w:szCs w:val="14"/>
                <w:color w:val="auto"/>
              </w:rPr>
            </w:pPr>
          </w:p>
        </w:tc>
        <w:tc>
          <w:tcPr>
            <w:tcW w:w="820" w:type="dxa"/>
            <w:vAlign w:val="bottom"/>
            <w:gridSpan w:val="2"/>
            <w:shd w:val="clear" w:color="auto" w:fill="CFF0FC"/>
          </w:tcPr>
          <w:p>
            <w:pPr>
              <w:jc w:val="center"/>
              <w:ind w:right="680"/>
              <w:spacing w:after="0" w:line="162" w:lineRule="exact"/>
              <w:rPr>
                <w:sz w:val="20"/>
                <w:szCs w:val="20"/>
                <w:color w:val="auto"/>
              </w:rPr>
            </w:pPr>
            <w:r>
              <w:rPr>
                <w:rFonts w:ascii="Arial" w:cs="Arial" w:eastAsia="Arial" w:hAnsi="Arial"/>
                <w:sz w:val="16"/>
                <w:szCs w:val="16"/>
                <w:color w:val="0000FF"/>
                <w:w w:val="78"/>
              </w:rPr>
              <w:t>23</w:t>
            </w:r>
          </w:p>
        </w:tc>
        <w:tc>
          <w:tcPr>
            <w:tcW w:w="20" w:type="dxa"/>
            <w:vAlign w:val="bottom"/>
            <w:shd w:val="clear" w:color="auto" w:fill="CFF0FC"/>
          </w:tcPr>
          <w:p>
            <w:pPr>
              <w:spacing w:after="0"/>
              <w:rPr>
                <w:sz w:val="14"/>
                <w:szCs w:val="14"/>
                <w:color w:val="auto"/>
              </w:rPr>
            </w:pPr>
          </w:p>
        </w:tc>
      </w:tr>
      <w:tr>
        <w:trPr>
          <w:trHeight w:val="27"/>
        </w:trPr>
        <w:tc>
          <w:tcPr>
            <w:tcW w:w="20" w:type="dxa"/>
            <w:vAlign w:val="bottom"/>
            <w:shd w:val="clear" w:color="auto" w:fill="CFF0FC"/>
          </w:tcPr>
          <w:p>
            <w:pPr>
              <w:spacing w:after="0"/>
              <w:rPr>
                <w:sz w:val="2"/>
                <w:szCs w:val="2"/>
                <w:color w:val="auto"/>
              </w:rPr>
            </w:pPr>
          </w:p>
        </w:tc>
        <w:tc>
          <w:tcPr>
            <w:tcW w:w="7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160" w:type="dxa"/>
            <w:vAlign w:val="bottom"/>
            <w:tcBorders>
              <w:right w:val="single" w:sz="8" w:color="CFF0FC"/>
            </w:tcBorders>
            <w:shd w:val="clear" w:color="auto" w:fill="CFF0FC"/>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20" w:type="dxa"/>
            <w:vAlign w:val="bottom"/>
            <w:tcBorders>
              <w:left w:val="single" w:sz="8" w:color="0000FF"/>
              <w:right w:val="single" w:sz="8" w:color="0000FF"/>
            </w:tcBorders>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240" w:type="dxa"/>
            <w:vAlign w:val="bottom"/>
            <w:tcBorders>
              <w:left w:val="single" w:sz="8" w:color="0000FF"/>
              <w:right w:val="single" w:sz="8" w:color="0000FF"/>
            </w:tcBorders>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80" w:type="dxa"/>
            <w:vAlign w:val="bottom"/>
            <w:tcBorders>
              <w:left w:val="single" w:sz="8" w:color="0000FF"/>
            </w:tcBorders>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20" w:type="dxa"/>
            <w:vAlign w:val="bottom"/>
            <w:tcBorders>
              <w:left w:val="single" w:sz="8" w:color="CFF0FC"/>
            </w:tcBorders>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40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40" w:type="dxa"/>
            <w:vAlign w:val="bottom"/>
            <w:tcBorders>
              <w:left w:val="single" w:sz="8" w:color="CFF0FC"/>
            </w:tcBorders>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960" w:type="dxa"/>
            <w:vAlign w:val="bottom"/>
            <w:shd w:val="clear" w:color="auto" w:fill="CFF0FC"/>
          </w:tcPr>
          <w:p>
            <w:pPr>
              <w:spacing w:after="0"/>
              <w:rPr>
                <w:sz w:val="2"/>
                <w:szCs w:val="2"/>
                <w:color w:val="auto"/>
              </w:rPr>
            </w:pPr>
          </w:p>
        </w:tc>
        <w:tc>
          <w:tcPr>
            <w:tcW w:w="1600" w:type="dxa"/>
            <w:vAlign w:val="bottom"/>
            <w:shd w:val="clear" w:color="auto" w:fill="CFF0FC"/>
          </w:tcPr>
          <w:p>
            <w:pPr>
              <w:spacing w:after="0"/>
              <w:rPr>
                <w:sz w:val="2"/>
                <w:szCs w:val="2"/>
                <w:color w:val="auto"/>
              </w:rPr>
            </w:pPr>
          </w:p>
        </w:tc>
        <w:tc>
          <w:tcPr>
            <w:tcW w:w="720" w:type="dxa"/>
            <w:vAlign w:val="bottom"/>
            <w:tcBorders>
              <w:right w:val="single" w:sz="8" w:color="0000FF"/>
            </w:tcBorders>
            <w:shd w:val="clear" w:color="auto" w:fill="CFF0FC"/>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80" w:type="dxa"/>
            <w:vAlign w:val="bottom"/>
            <w:gridSpan w:val="17"/>
          </w:tcPr>
          <w:p>
            <w:pPr>
              <w:spacing w:after="0" w:line="162" w:lineRule="exact"/>
              <w:rPr>
                <w:sz w:val="20"/>
                <w:szCs w:val="20"/>
                <w:color w:val="auto"/>
              </w:rPr>
            </w:pPr>
            <w:r>
              <w:rPr>
                <w:rFonts w:ascii="Arial" w:cs="Arial" w:eastAsia="Arial" w:hAnsi="Arial"/>
                <w:sz w:val="16"/>
                <w:szCs w:val="16"/>
                <w:color w:val="0000FF"/>
              </w:rPr>
              <w:t>Note 9. Other Comprehensive Income</w:t>
            </w:r>
          </w:p>
        </w:tc>
        <w:tc>
          <w:tcPr>
            <w:tcW w:w="5040" w:type="dxa"/>
            <w:vAlign w:val="bottom"/>
            <w:gridSpan w:val="10"/>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gridSpan w:val="2"/>
          </w:tcPr>
          <w:p>
            <w:pPr>
              <w:jc w:val="center"/>
              <w:ind w:right="680"/>
              <w:spacing w:after="0" w:line="162" w:lineRule="exact"/>
              <w:rPr>
                <w:sz w:val="20"/>
                <w:szCs w:val="20"/>
                <w:color w:val="auto"/>
              </w:rPr>
            </w:pPr>
            <w:r>
              <w:rPr>
                <w:rFonts w:ascii="Arial" w:cs="Arial" w:eastAsia="Arial" w:hAnsi="Arial"/>
                <w:sz w:val="16"/>
                <w:szCs w:val="16"/>
                <w:color w:val="0000FF"/>
                <w:w w:val="78"/>
              </w:rPr>
              <w:t>25</w:t>
            </w:r>
          </w:p>
        </w:tc>
        <w:tc>
          <w:tcPr>
            <w:tcW w:w="20" w:type="dxa"/>
            <w:vAlign w:val="bottom"/>
          </w:tcPr>
          <w:p>
            <w:pPr>
              <w:spacing w:after="0"/>
              <w:rPr>
                <w:sz w:val="14"/>
                <w:szCs w:val="14"/>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20" w:type="dxa"/>
            <w:vAlign w:val="bottom"/>
            <w:tcBorders>
              <w:left w:val="single" w:sz="8" w:color="0000FF"/>
              <w:right w:val="single" w:sz="8" w:color="0000FF"/>
            </w:tcBorders>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240" w:type="dxa"/>
            <w:vAlign w:val="bottom"/>
            <w:tcBorders>
              <w:left w:val="single" w:sz="8" w:color="0000FF"/>
              <w:right w:val="single" w:sz="8" w:color="0000FF"/>
            </w:tcBorders>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2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620" w:type="dxa"/>
            <w:vAlign w:val="bottom"/>
            <w:gridSpan w:val="4"/>
            <w:shd w:val="clear" w:color="auto" w:fill="CFF0FC"/>
          </w:tcPr>
          <w:p>
            <w:pPr>
              <w:spacing w:after="0" w:line="162" w:lineRule="exact"/>
              <w:rPr>
                <w:sz w:val="20"/>
                <w:szCs w:val="20"/>
                <w:color w:val="auto"/>
              </w:rPr>
            </w:pPr>
            <w:r>
              <w:rPr>
                <w:rFonts w:ascii="Arial" w:cs="Arial" w:eastAsia="Arial" w:hAnsi="Arial"/>
                <w:sz w:val="16"/>
                <w:szCs w:val="16"/>
                <w:color w:val="0000FF"/>
                <w:w w:val="99"/>
              </w:rPr>
              <w:t>Note 10.</w:t>
            </w:r>
          </w:p>
        </w:tc>
        <w:tc>
          <w:tcPr>
            <w:tcW w:w="2160" w:type="dxa"/>
            <w:vAlign w:val="bottom"/>
            <w:gridSpan w:val="13"/>
            <w:shd w:val="clear" w:color="auto" w:fill="CFF0FC"/>
          </w:tcPr>
          <w:p>
            <w:pPr>
              <w:ind w:left="80"/>
              <w:spacing w:after="0" w:line="162" w:lineRule="exact"/>
              <w:rPr>
                <w:sz w:val="20"/>
                <w:szCs w:val="20"/>
                <w:color w:val="auto"/>
              </w:rPr>
            </w:pPr>
            <w:r>
              <w:rPr>
                <w:rFonts w:ascii="Arial" w:cs="Arial" w:eastAsia="Arial" w:hAnsi="Arial"/>
                <w:sz w:val="16"/>
                <w:szCs w:val="16"/>
                <w:color w:val="0000FF"/>
              </w:rPr>
              <w:t>Employee Benefit Plans</w:t>
            </w:r>
          </w:p>
        </w:tc>
        <w:tc>
          <w:tcPr>
            <w:tcW w:w="5040" w:type="dxa"/>
            <w:vAlign w:val="bottom"/>
            <w:tcBorders>
              <w:left w:val="single" w:sz="8" w:color="CFF0FC"/>
            </w:tcBorders>
            <w:gridSpan w:val="10"/>
            <w:shd w:val="clear" w:color="auto" w:fill="CFF0FC"/>
          </w:tcPr>
          <w:p>
            <w:pPr>
              <w:spacing w:after="0"/>
              <w:rPr>
                <w:sz w:val="14"/>
                <w:szCs w:val="14"/>
                <w:color w:val="auto"/>
              </w:rPr>
            </w:pPr>
          </w:p>
        </w:tc>
        <w:tc>
          <w:tcPr>
            <w:tcW w:w="720" w:type="dxa"/>
            <w:vAlign w:val="bottom"/>
            <w:tcBorders>
              <w:right w:val="single" w:sz="8" w:color="CFF0FC"/>
            </w:tcBorders>
            <w:shd w:val="clear" w:color="auto" w:fill="CFF0FC"/>
          </w:tcPr>
          <w:p>
            <w:pPr>
              <w:spacing w:after="0"/>
              <w:rPr>
                <w:sz w:val="14"/>
                <w:szCs w:val="14"/>
                <w:color w:val="auto"/>
              </w:rPr>
            </w:pPr>
          </w:p>
        </w:tc>
        <w:tc>
          <w:tcPr>
            <w:tcW w:w="820" w:type="dxa"/>
            <w:vAlign w:val="bottom"/>
            <w:gridSpan w:val="2"/>
            <w:shd w:val="clear" w:color="auto" w:fill="CFF0FC"/>
          </w:tcPr>
          <w:p>
            <w:pPr>
              <w:jc w:val="center"/>
              <w:ind w:right="680"/>
              <w:spacing w:after="0" w:line="162" w:lineRule="exact"/>
              <w:rPr>
                <w:sz w:val="20"/>
                <w:szCs w:val="20"/>
                <w:color w:val="auto"/>
              </w:rPr>
            </w:pPr>
            <w:r>
              <w:rPr>
                <w:rFonts w:ascii="Arial" w:cs="Arial" w:eastAsia="Arial" w:hAnsi="Arial"/>
                <w:sz w:val="16"/>
                <w:szCs w:val="16"/>
                <w:color w:val="0000FF"/>
                <w:w w:val="78"/>
              </w:rPr>
              <w:t>26</w:t>
            </w:r>
          </w:p>
        </w:tc>
        <w:tc>
          <w:tcPr>
            <w:tcW w:w="20" w:type="dxa"/>
            <w:vAlign w:val="bottom"/>
            <w:shd w:val="clear" w:color="auto" w:fill="CFF0FC"/>
          </w:tcPr>
          <w:p>
            <w:pPr>
              <w:spacing w:after="0"/>
              <w:rPr>
                <w:sz w:val="14"/>
                <w:szCs w:val="14"/>
                <w:color w:val="auto"/>
              </w:rPr>
            </w:pPr>
          </w:p>
        </w:tc>
      </w:tr>
      <w:tr>
        <w:trPr>
          <w:trHeight w:val="27"/>
        </w:trPr>
        <w:tc>
          <w:tcPr>
            <w:tcW w:w="20" w:type="dxa"/>
            <w:vAlign w:val="bottom"/>
            <w:shd w:val="clear" w:color="auto" w:fill="CFF0FC"/>
          </w:tcPr>
          <w:p>
            <w:pPr>
              <w:spacing w:after="0"/>
              <w:rPr>
                <w:sz w:val="2"/>
                <w:szCs w:val="2"/>
                <w:color w:val="auto"/>
              </w:rPr>
            </w:pPr>
          </w:p>
        </w:tc>
        <w:tc>
          <w:tcPr>
            <w:tcW w:w="7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160" w:type="dxa"/>
            <w:vAlign w:val="bottom"/>
            <w:tcBorders>
              <w:right w:val="single" w:sz="8" w:color="CFF0FC"/>
            </w:tcBorders>
            <w:shd w:val="clear" w:color="auto" w:fill="CFF0FC"/>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20" w:type="dxa"/>
            <w:vAlign w:val="bottom"/>
            <w:tcBorders>
              <w:left w:val="single" w:sz="8" w:color="0000FF"/>
              <w:right w:val="single" w:sz="8" w:color="0000FF"/>
            </w:tcBorders>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240" w:type="dxa"/>
            <w:vAlign w:val="bottom"/>
            <w:tcBorders>
              <w:left w:val="single" w:sz="8" w:color="0000FF"/>
              <w:right w:val="single" w:sz="8" w:color="0000FF"/>
            </w:tcBorders>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80" w:type="dxa"/>
            <w:vAlign w:val="bottom"/>
            <w:tcBorders>
              <w:left w:val="single" w:sz="8" w:color="CFF0FC"/>
            </w:tcBorders>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20" w:type="dxa"/>
            <w:vAlign w:val="bottom"/>
            <w:tcBorders>
              <w:left w:val="single" w:sz="8" w:color="CFF0FC"/>
            </w:tcBorders>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40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40" w:type="dxa"/>
            <w:vAlign w:val="bottom"/>
            <w:tcBorders>
              <w:left w:val="single" w:sz="8" w:color="CFF0FC"/>
            </w:tcBorders>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960" w:type="dxa"/>
            <w:vAlign w:val="bottom"/>
            <w:shd w:val="clear" w:color="auto" w:fill="CFF0FC"/>
          </w:tcPr>
          <w:p>
            <w:pPr>
              <w:spacing w:after="0"/>
              <w:rPr>
                <w:sz w:val="2"/>
                <w:szCs w:val="2"/>
                <w:color w:val="auto"/>
              </w:rPr>
            </w:pPr>
          </w:p>
        </w:tc>
        <w:tc>
          <w:tcPr>
            <w:tcW w:w="1600" w:type="dxa"/>
            <w:vAlign w:val="bottom"/>
            <w:shd w:val="clear" w:color="auto" w:fill="CFF0FC"/>
          </w:tcPr>
          <w:p>
            <w:pPr>
              <w:spacing w:after="0"/>
              <w:rPr>
                <w:sz w:val="2"/>
                <w:szCs w:val="2"/>
                <w:color w:val="auto"/>
              </w:rPr>
            </w:pPr>
          </w:p>
        </w:tc>
        <w:tc>
          <w:tcPr>
            <w:tcW w:w="720" w:type="dxa"/>
            <w:vAlign w:val="bottom"/>
            <w:tcBorders>
              <w:right w:val="single" w:sz="8" w:color="0000FF"/>
            </w:tcBorders>
            <w:shd w:val="clear" w:color="auto" w:fill="CFF0FC"/>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20" w:type="dxa"/>
            <w:vAlign w:val="bottom"/>
            <w:gridSpan w:val="15"/>
          </w:tcPr>
          <w:p>
            <w:pPr>
              <w:spacing w:after="0" w:line="162" w:lineRule="exact"/>
              <w:rPr>
                <w:sz w:val="20"/>
                <w:szCs w:val="20"/>
                <w:color w:val="auto"/>
              </w:rPr>
            </w:pPr>
            <w:r>
              <w:rPr>
                <w:rFonts w:ascii="Arial" w:cs="Arial" w:eastAsia="Arial" w:hAnsi="Arial"/>
                <w:sz w:val="16"/>
                <w:szCs w:val="16"/>
                <w:color w:val="0000FF"/>
              </w:rPr>
              <w:t>Note 11. Income Taxes</w:t>
            </w:r>
          </w:p>
        </w:tc>
        <w:tc>
          <w:tcPr>
            <w:tcW w:w="5400" w:type="dxa"/>
            <w:vAlign w:val="bottom"/>
            <w:gridSpan w:val="12"/>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gridSpan w:val="2"/>
          </w:tcPr>
          <w:p>
            <w:pPr>
              <w:jc w:val="center"/>
              <w:ind w:right="680"/>
              <w:spacing w:after="0" w:line="162" w:lineRule="exact"/>
              <w:rPr>
                <w:sz w:val="20"/>
                <w:szCs w:val="20"/>
                <w:color w:val="auto"/>
              </w:rPr>
            </w:pPr>
            <w:r>
              <w:rPr>
                <w:rFonts w:ascii="Arial" w:cs="Arial" w:eastAsia="Arial" w:hAnsi="Arial"/>
                <w:sz w:val="16"/>
                <w:szCs w:val="16"/>
                <w:color w:val="0000FF"/>
                <w:w w:val="78"/>
              </w:rPr>
              <w:t>27</w:t>
            </w:r>
          </w:p>
        </w:tc>
        <w:tc>
          <w:tcPr>
            <w:tcW w:w="20" w:type="dxa"/>
            <w:vAlign w:val="bottom"/>
          </w:tcPr>
          <w:p>
            <w:pPr>
              <w:spacing w:after="0"/>
              <w:rPr>
                <w:sz w:val="14"/>
                <w:szCs w:val="14"/>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20" w:type="dxa"/>
            <w:vAlign w:val="bottom"/>
            <w:tcBorders>
              <w:left w:val="single" w:sz="8" w:color="0000FF"/>
              <w:right w:val="single" w:sz="8" w:color="0000FF"/>
            </w:tcBorders>
            <w:shd w:val="clear" w:color="auto" w:fill="0000FF"/>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2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620" w:type="dxa"/>
            <w:vAlign w:val="bottom"/>
            <w:gridSpan w:val="4"/>
            <w:shd w:val="clear" w:color="auto" w:fill="CFF0FC"/>
          </w:tcPr>
          <w:p>
            <w:pPr>
              <w:spacing w:after="0" w:line="162" w:lineRule="exact"/>
              <w:rPr>
                <w:sz w:val="20"/>
                <w:szCs w:val="20"/>
                <w:color w:val="auto"/>
              </w:rPr>
            </w:pPr>
            <w:r>
              <w:rPr>
                <w:rFonts w:ascii="Arial" w:cs="Arial" w:eastAsia="Arial" w:hAnsi="Arial"/>
                <w:sz w:val="16"/>
                <w:szCs w:val="16"/>
                <w:color w:val="0000FF"/>
                <w:w w:val="99"/>
              </w:rPr>
              <w:t>Note 12.</w:t>
            </w:r>
          </w:p>
        </w:tc>
        <w:tc>
          <w:tcPr>
            <w:tcW w:w="7200" w:type="dxa"/>
            <w:vAlign w:val="bottom"/>
            <w:gridSpan w:val="23"/>
            <w:shd w:val="clear" w:color="auto" w:fill="CFF0FC"/>
          </w:tcPr>
          <w:p>
            <w:pPr>
              <w:ind w:left="80"/>
              <w:spacing w:after="0" w:line="162" w:lineRule="exact"/>
              <w:rPr>
                <w:sz w:val="20"/>
                <w:szCs w:val="20"/>
                <w:color w:val="auto"/>
              </w:rPr>
            </w:pPr>
            <w:r>
              <w:rPr>
                <w:rFonts w:ascii="Arial" w:cs="Arial" w:eastAsia="Arial" w:hAnsi="Arial"/>
                <w:sz w:val="16"/>
                <w:szCs w:val="16"/>
                <w:color w:val="0000FF"/>
              </w:rPr>
              <w:t>Business Segment Information</w:t>
            </w:r>
          </w:p>
        </w:tc>
        <w:tc>
          <w:tcPr>
            <w:tcW w:w="1540" w:type="dxa"/>
            <w:vAlign w:val="bottom"/>
            <w:gridSpan w:val="3"/>
            <w:shd w:val="clear" w:color="auto" w:fill="CFF0FC"/>
          </w:tcPr>
          <w:p>
            <w:pPr>
              <w:jc w:val="center"/>
              <w:spacing w:after="0" w:line="162" w:lineRule="exact"/>
              <w:rPr>
                <w:sz w:val="20"/>
                <w:szCs w:val="20"/>
                <w:color w:val="auto"/>
              </w:rPr>
            </w:pPr>
            <w:r>
              <w:rPr>
                <w:rFonts w:ascii="Arial" w:cs="Arial" w:eastAsia="Arial" w:hAnsi="Arial"/>
                <w:sz w:val="16"/>
                <w:szCs w:val="16"/>
                <w:color w:val="0000FF"/>
              </w:rPr>
              <w:t>27</w:t>
            </w:r>
          </w:p>
        </w:tc>
        <w:tc>
          <w:tcPr>
            <w:tcW w:w="20" w:type="dxa"/>
            <w:vAlign w:val="bottom"/>
            <w:shd w:val="clear" w:color="auto" w:fill="CFF0FC"/>
          </w:tcPr>
          <w:p>
            <w:pPr>
              <w:spacing w:after="0"/>
              <w:rPr>
                <w:sz w:val="14"/>
                <w:szCs w:val="14"/>
                <w:color w:val="auto"/>
              </w:rPr>
            </w:pPr>
          </w:p>
        </w:tc>
      </w:tr>
      <w:tr>
        <w:trPr>
          <w:trHeight w:val="27"/>
        </w:trPr>
        <w:tc>
          <w:tcPr>
            <w:tcW w:w="20" w:type="dxa"/>
            <w:vAlign w:val="bottom"/>
            <w:shd w:val="clear" w:color="auto" w:fill="CFF0FC"/>
          </w:tcPr>
          <w:p>
            <w:pPr>
              <w:spacing w:after="0"/>
              <w:rPr>
                <w:sz w:val="2"/>
                <w:szCs w:val="2"/>
                <w:color w:val="auto"/>
              </w:rPr>
            </w:pPr>
          </w:p>
        </w:tc>
        <w:tc>
          <w:tcPr>
            <w:tcW w:w="7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160" w:type="dxa"/>
            <w:vAlign w:val="bottom"/>
            <w:tcBorders>
              <w:right w:val="single" w:sz="8" w:color="CFF0FC"/>
            </w:tcBorders>
            <w:shd w:val="clear" w:color="auto" w:fill="CFF0FC"/>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20" w:type="dxa"/>
            <w:vAlign w:val="bottom"/>
            <w:tcBorders>
              <w:left w:val="single" w:sz="8" w:color="0000FF"/>
              <w:right w:val="single" w:sz="8" w:color="0000FF"/>
            </w:tcBorders>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240" w:type="dxa"/>
            <w:vAlign w:val="bottom"/>
            <w:tcBorders>
              <w:left w:val="single" w:sz="8" w:color="0000FF"/>
              <w:right w:val="single" w:sz="8" w:color="0000FF"/>
            </w:tcBorders>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20" w:type="dxa"/>
            <w:vAlign w:val="bottom"/>
            <w:tcBorders>
              <w:left w:val="single" w:sz="8" w:color="0000FF"/>
            </w:tcBorders>
            <w:shd w:val="clear" w:color="auto" w:fill="0000FF"/>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40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40" w:type="dxa"/>
            <w:vAlign w:val="bottom"/>
            <w:tcBorders>
              <w:left w:val="single" w:sz="8" w:color="CFF0FC"/>
            </w:tcBorders>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960" w:type="dxa"/>
            <w:vAlign w:val="bottom"/>
            <w:shd w:val="clear" w:color="auto" w:fill="CFF0FC"/>
          </w:tcPr>
          <w:p>
            <w:pPr>
              <w:spacing w:after="0"/>
              <w:rPr>
                <w:sz w:val="2"/>
                <w:szCs w:val="2"/>
                <w:color w:val="auto"/>
              </w:rPr>
            </w:pPr>
          </w:p>
        </w:tc>
        <w:tc>
          <w:tcPr>
            <w:tcW w:w="1600" w:type="dxa"/>
            <w:vAlign w:val="bottom"/>
            <w:shd w:val="clear" w:color="auto" w:fill="CFF0FC"/>
          </w:tcPr>
          <w:p>
            <w:pPr>
              <w:spacing w:after="0"/>
              <w:rPr>
                <w:sz w:val="2"/>
                <w:szCs w:val="2"/>
                <w:color w:val="auto"/>
              </w:rPr>
            </w:pPr>
          </w:p>
        </w:tc>
        <w:tc>
          <w:tcPr>
            <w:tcW w:w="720" w:type="dxa"/>
            <w:vAlign w:val="bottom"/>
            <w:tcBorders>
              <w:right w:val="single" w:sz="8" w:color="0000FF"/>
            </w:tcBorders>
            <w:shd w:val="clear" w:color="auto" w:fill="CFF0FC"/>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4"/>
          </w:tcPr>
          <w:p>
            <w:pPr>
              <w:spacing w:after="0" w:line="162" w:lineRule="exact"/>
              <w:rPr>
                <w:sz w:val="20"/>
                <w:szCs w:val="20"/>
                <w:color w:val="auto"/>
              </w:rPr>
            </w:pPr>
            <w:r>
              <w:rPr>
                <w:rFonts w:ascii="Arial" w:cs="Arial" w:eastAsia="Arial" w:hAnsi="Arial"/>
                <w:sz w:val="16"/>
                <w:szCs w:val="16"/>
                <w:color w:val="0000FF"/>
                <w:w w:val="99"/>
              </w:rPr>
              <w:t>Note 13.</w:t>
            </w:r>
          </w:p>
        </w:tc>
        <w:tc>
          <w:tcPr>
            <w:tcW w:w="7200" w:type="dxa"/>
            <w:vAlign w:val="bottom"/>
            <w:gridSpan w:val="23"/>
          </w:tcPr>
          <w:p>
            <w:pPr>
              <w:ind w:left="80"/>
              <w:spacing w:after="0" w:line="162" w:lineRule="exact"/>
              <w:rPr>
                <w:sz w:val="20"/>
                <w:szCs w:val="20"/>
                <w:color w:val="auto"/>
              </w:rPr>
            </w:pPr>
            <w:r>
              <w:rPr>
                <w:rFonts w:ascii="Arial" w:cs="Arial" w:eastAsia="Arial" w:hAnsi="Arial"/>
                <w:sz w:val="16"/>
                <w:szCs w:val="16"/>
                <w:color w:val="0000FF"/>
              </w:rPr>
              <w:t>Selected Balance Sheet Information</w:t>
            </w:r>
          </w:p>
        </w:tc>
        <w:tc>
          <w:tcPr>
            <w:tcW w:w="1540" w:type="dxa"/>
            <w:vAlign w:val="bottom"/>
            <w:gridSpan w:val="3"/>
          </w:tcPr>
          <w:p>
            <w:pPr>
              <w:jc w:val="center"/>
              <w:spacing w:after="0" w:line="162" w:lineRule="exact"/>
              <w:rPr>
                <w:sz w:val="20"/>
                <w:szCs w:val="20"/>
                <w:color w:val="auto"/>
              </w:rPr>
            </w:pPr>
            <w:r>
              <w:rPr>
                <w:rFonts w:ascii="Arial" w:cs="Arial" w:eastAsia="Arial" w:hAnsi="Arial"/>
                <w:sz w:val="16"/>
                <w:szCs w:val="16"/>
                <w:color w:val="0000FF"/>
              </w:rPr>
              <w:t>30</w:t>
            </w:r>
          </w:p>
        </w:tc>
        <w:tc>
          <w:tcPr>
            <w:tcW w:w="20" w:type="dxa"/>
            <w:vAlign w:val="bottom"/>
          </w:tcPr>
          <w:p>
            <w:pPr>
              <w:spacing w:after="0"/>
              <w:rPr>
                <w:sz w:val="14"/>
                <w:szCs w:val="14"/>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20" w:type="dxa"/>
            <w:vAlign w:val="bottom"/>
            <w:tcBorders>
              <w:left w:val="single" w:sz="8" w:color="0000FF"/>
              <w:right w:val="single" w:sz="8" w:color="0000FF"/>
            </w:tcBorders>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240" w:type="dxa"/>
            <w:vAlign w:val="bottom"/>
            <w:tcBorders>
              <w:left w:val="single" w:sz="8" w:color="0000FF"/>
              <w:right w:val="single" w:sz="8" w:color="0000FF"/>
            </w:tcBorders>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20" w:type="dxa"/>
            <w:vAlign w:val="bottom"/>
            <w:tcBorders>
              <w:lef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2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69"/>
        </w:trPr>
        <w:tc>
          <w:tcPr>
            <w:tcW w:w="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3280" w:type="dxa"/>
            <w:vAlign w:val="bottom"/>
            <w:gridSpan w:val="20"/>
            <w:shd w:val="clear" w:color="auto" w:fill="CFF0FC"/>
          </w:tcPr>
          <w:p>
            <w:pPr>
              <w:spacing w:after="0" w:line="162" w:lineRule="exact"/>
              <w:rPr>
                <w:sz w:val="20"/>
                <w:szCs w:val="20"/>
                <w:color w:val="auto"/>
              </w:rPr>
            </w:pPr>
            <w:r>
              <w:rPr>
                <w:rFonts w:ascii="Arial" w:cs="Arial" w:eastAsia="Arial" w:hAnsi="Arial"/>
                <w:sz w:val="16"/>
                <w:szCs w:val="16"/>
                <w:color w:val="0000FF"/>
              </w:rPr>
              <w:t>Note 14. Subsequent Events</w:t>
            </w:r>
          </w:p>
        </w:tc>
        <w:tc>
          <w:tcPr>
            <w:tcW w:w="4540" w:type="dxa"/>
            <w:vAlign w:val="bottom"/>
            <w:gridSpan w:val="7"/>
            <w:shd w:val="clear" w:color="auto" w:fill="CFF0FC"/>
          </w:tcPr>
          <w:p>
            <w:pPr>
              <w:spacing w:after="0"/>
              <w:rPr>
                <w:sz w:val="14"/>
                <w:szCs w:val="14"/>
                <w:color w:val="auto"/>
              </w:rPr>
            </w:pPr>
          </w:p>
        </w:tc>
        <w:tc>
          <w:tcPr>
            <w:tcW w:w="720" w:type="dxa"/>
            <w:vAlign w:val="bottom"/>
            <w:tcBorders>
              <w:right w:val="single" w:sz="8" w:color="CFF0FC"/>
            </w:tcBorders>
            <w:shd w:val="clear" w:color="auto" w:fill="CFF0FC"/>
          </w:tcPr>
          <w:p>
            <w:pPr>
              <w:spacing w:after="0"/>
              <w:rPr>
                <w:sz w:val="14"/>
                <w:szCs w:val="14"/>
                <w:color w:val="auto"/>
              </w:rPr>
            </w:pPr>
          </w:p>
        </w:tc>
        <w:tc>
          <w:tcPr>
            <w:tcW w:w="820" w:type="dxa"/>
            <w:vAlign w:val="bottom"/>
            <w:gridSpan w:val="2"/>
            <w:shd w:val="clear" w:color="auto" w:fill="CFF0FC"/>
          </w:tcPr>
          <w:p>
            <w:pPr>
              <w:jc w:val="center"/>
              <w:ind w:right="680"/>
              <w:spacing w:after="0" w:line="162" w:lineRule="exact"/>
              <w:rPr>
                <w:sz w:val="20"/>
                <w:szCs w:val="20"/>
                <w:color w:val="auto"/>
              </w:rPr>
            </w:pPr>
            <w:r>
              <w:rPr>
                <w:rFonts w:ascii="Arial" w:cs="Arial" w:eastAsia="Arial" w:hAnsi="Arial"/>
                <w:sz w:val="16"/>
                <w:szCs w:val="16"/>
                <w:color w:val="0000FF"/>
                <w:w w:val="78"/>
              </w:rPr>
              <w:t>31</w:t>
            </w:r>
          </w:p>
        </w:tc>
        <w:tc>
          <w:tcPr>
            <w:tcW w:w="20" w:type="dxa"/>
            <w:vAlign w:val="bottom"/>
            <w:shd w:val="clear" w:color="auto" w:fill="CFF0FC"/>
          </w:tcPr>
          <w:p>
            <w:pPr>
              <w:spacing w:after="0"/>
              <w:rPr>
                <w:sz w:val="14"/>
                <w:szCs w:val="14"/>
                <w:color w:val="auto"/>
              </w:rPr>
            </w:pPr>
          </w:p>
        </w:tc>
      </w:tr>
      <w:tr>
        <w:trPr>
          <w:trHeight w:val="189"/>
        </w:trPr>
        <w:tc>
          <w:tcPr>
            <w:tcW w:w="20" w:type="dxa"/>
            <w:vAlign w:val="bottom"/>
            <w:tcBorders>
              <w:top w:val="single" w:sz="8" w:color="CFF0FC"/>
            </w:tcBorders>
          </w:tcPr>
          <w:p>
            <w:pPr>
              <w:spacing w:after="0"/>
              <w:rPr>
                <w:sz w:val="16"/>
                <w:szCs w:val="16"/>
                <w:color w:val="auto"/>
              </w:rPr>
            </w:pPr>
          </w:p>
        </w:tc>
        <w:tc>
          <w:tcPr>
            <w:tcW w:w="760" w:type="dxa"/>
            <w:vAlign w:val="bottom"/>
            <w:tcBorders>
              <w:top w:val="single" w:sz="8" w:color="CFF0FC"/>
            </w:tcBorders>
          </w:tcPr>
          <w:p>
            <w:pPr>
              <w:spacing w:after="0"/>
              <w:rPr>
                <w:sz w:val="16"/>
                <w:szCs w:val="16"/>
                <w:color w:val="auto"/>
              </w:rPr>
            </w:pPr>
          </w:p>
        </w:tc>
        <w:tc>
          <w:tcPr>
            <w:tcW w:w="460" w:type="dxa"/>
            <w:vAlign w:val="bottom"/>
            <w:tcBorders>
              <w:top w:val="single" w:sz="8" w:color="CFF0FC"/>
            </w:tcBorders>
          </w:tcPr>
          <w:p>
            <w:pPr>
              <w:spacing w:after="0"/>
              <w:rPr>
                <w:sz w:val="16"/>
                <w:szCs w:val="16"/>
                <w:color w:val="auto"/>
              </w:rPr>
            </w:pPr>
          </w:p>
        </w:tc>
        <w:tc>
          <w:tcPr>
            <w:tcW w:w="460" w:type="dxa"/>
            <w:vAlign w:val="bottom"/>
            <w:tcBorders>
              <w:top w:val="single" w:sz="8" w:color="CFF0FC"/>
            </w:tcBorders>
          </w:tcPr>
          <w:p>
            <w:pPr>
              <w:spacing w:after="0"/>
              <w:rPr>
                <w:sz w:val="16"/>
                <w:szCs w:val="16"/>
                <w:color w:val="auto"/>
              </w:rPr>
            </w:pPr>
          </w:p>
        </w:tc>
        <w:tc>
          <w:tcPr>
            <w:tcW w:w="160" w:type="dxa"/>
            <w:vAlign w:val="bottom"/>
            <w:tcBorders>
              <w:top w:val="single" w:sz="8" w:color="CFF0FC"/>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160" w:type="dxa"/>
            <w:vAlign w:val="bottom"/>
            <w:tcBorders>
              <w:top w:val="single" w:sz="8" w:color="0000FF"/>
            </w:tcBorders>
          </w:tcPr>
          <w:p>
            <w:pPr>
              <w:spacing w:after="0"/>
              <w:rPr>
                <w:sz w:val="16"/>
                <w:szCs w:val="16"/>
                <w:color w:val="auto"/>
              </w:rPr>
            </w:pPr>
          </w:p>
        </w:tc>
        <w:tc>
          <w:tcPr>
            <w:tcW w:w="420" w:type="dxa"/>
            <w:vAlign w:val="bottom"/>
            <w:tcBorders>
              <w:top w:val="single" w:sz="8" w:color="0000FF"/>
            </w:tcBorders>
            <w:gridSpan w:val="2"/>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320" w:type="dxa"/>
            <w:vAlign w:val="bottom"/>
            <w:tcBorders>
              <w:top w:val="single" w:sz="8" w:color="0000FF"/>
            </w:tcBorders>
          </w:tcPr>
          <w:p>
            <w:pPr>
              <w:spacing w:after="0"/>
              <w:rPr>
                <w:sz w:val="16"/>
                <w:szCs w:val="16"/>
                <w:color w:val="auto"/>
              </w:rPr>
            </w:pPr>
          </w:p>
        </w:tc>
        <w:tc>
          <w:tcPr>
            <w:tcW w:w="240" w:type="dxa"/>
            <w:vAlign w:val="bottom"/>
            <w:tcBorders>
              <w:top w:val="single" w:sz="8" w:color="CFF0FC"/>
            </w:tcBorders>
          </w:tcPr>
          <w:p>
            <w:pPr>
              <w:spacing w:after="0"/>
              <w:rPr>
                <w:sz w:val="16"/>
                <w:szCs w:val="16"/>
                <w:color w:val="auto"/>
              </w:rPr>
            </w:pPr>
          </w:p>
        </w:tc>
        <w:tc>
          <w:tcPr>
            <w:tcW w:w="140" w:type="dxa"/>
            <w:vAlign w:val="bottom"/>
            <w:tcBorders>
              <w:top w:val="single" w:sz="8" w:color="CFF0FC"/>
            </w:tcBorders>
          </w:tcPr>
          <w:p>
            <w:pPr>
              <w:spacing w:after="0"/>
              <w:rPr>
                <w:sz w:val="16"/>
                <w:szCs w:val="16"/>
                <w:color w:val="auto"/>
              </w:rPr>
            </w:pPr>
          </w:p>
        </w:tc>
        <w:tc>
          <w:tcPr>
            <w:tcW w:w="80" w:type="dxa"/>
            <w:vAlign w:val="bottom"/>
            <w:tcBorders>
              <w:top w:val="single" w:sz="8" w:color="CFF0FC"/>
            </w:tcBorders>
          </w:tcPr>
          <w:p>
            <w:pPr>
              <w:spacing w:after="0"/>
              <w:rPr>
                <w:sz w:val="16"/>
                <w:szCs w:val="16"/>
                <w:color w:val="auto"/>
              </w:rPr>
            </w:pPr>
          </w:p>
        </w:tc>
        <w:tc>
          <w:tcPr>
            <w:tcW w:w="280" w:type="dxa"/>
            <w:vAlign w:val="bottom"/>
            <w:tcBorders>
              <w:top w:val="single" w:sz="8" w:color="CFF0FC"/>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180" w:type="dxa"/>
            <w:vAlign w:val="bottom"/>
            <w:tcBorders>
              <w:top w:val="single" w:sz="8" w:color="CFF0FC"/>
            </w:tcBorders>
          </w:tcPr>
          <w:p>
            <w:pPr>
              <w:spacing w:after="0"/>
              <w:rPr>
                <w:sz w:val="16"/>
                <w:szCs w:val="16"/>
                <w:color w:val="auto"/>
              </w:rPr>
            </w:pPr>
          </w:p>
        </w:tc>
        <w:tc>
          <w:tcPr>
            <w:tcW w:w="200" w:type="dxa"/>
            <w:vAlign w:val="bottom"/>
            <w:tcBorders>
              <w:top w:val="single" w:sz="8" w:color="CFF0FC"/>
            </w:tcBorders>
          </w:tcPr>
          <w:p>
            <w:pPr>
              <w:spacing w:after="0"/>
              <w:rPr>
                <w:sz w:val="16"/>
                <w:szCs w:val="16"/>
                <w:color w:val="auto"/>
              </w:rPr>
            </w:pPr>
          </w:p>
        </w:tc>
        <w:tc>
          <w:tcPr>
            <w:tcW w:w="400" w:type="dxa"/>
            <w:vAlign w:val="bottom"/>
            <w:tcBorders>
              <w:top w:val="single" w:sz="8" w:color="CFF0FC"/>
            </w:tcBorders>
          </w:tcPr>
          <w:p>
            <w:pPr>
              <w:spacing w:after="0"/>
              <w:rPr>
                <w:sz w:val="16"/>
                <w:szCs w:val="16"/>
                <w:color w:val="auto"/>
              </w:rPr>
            </w:pPr>
          </w:p>
        </w:tc>
        <w:tc>
          <w:tcPr>
            <w:tcW w:w="260" w:type="dxa"/>
            <w:vAlign w:val="bottom"/>
            <w:tcBorders>
              <w:top w:val="single" w:sz="8" w:color="CFF0FC"/>
            </w:tcBorders>
          </w:tcPr>
          <w:p>
            <w:pPr>
              <w:spacing w:after="0"/>
              <w:rPr>
                <w:sz w:val="16"/>
                <w:szCs w:val="16"/>
                <w:color w:val="auto"/>
              </w:rPr>
            </w:pPr>
          </w:p>
        </w:tc>
        <w:tc>
          <w:tcPr>
            <w:tcW w:w="140" w:type="dxa"/>
            <w:vAlign w:val="bottom"/>
            <w:tcBorders>
              <w:top w:val="single" w:sz="8" w:color="CFF0FC"/>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1060" w:type="dxa"/>
            <w:vAlign w:val="bottom"/>
            <w:tcBorders>
              <w:top w:val="single" w:sz="8" w:color="CFF0FC"/>
            </w:tcBorders>
          </w:tcPr>
          <w:p>
            <w:pPr>
              <w:spacing w:after="0"/>
              <w:rPr>
                <w:sz w:val="16"/>
                <w:szCs w:val="16"/>
                <w:color w:val="auto"/>
              </w:rPr>
            </w:pPr>
          </w:p>
        </w:tc>
        <w:tc>
          <w:tcPr>
            <w:tcW w:w="960" w:type="dxa"/>
            <w:vAlign w:val="bottom"/>
            <w:tcBorders>
              <w:top w:val="single" w:sz="8" w:color="CFF0FC"/>
            </w:tcBorders>
          </w:tcPr>
          <w:p>
            <w:pPr>
              <w:spacing w:after="0"/>
              <w:rPr>
                <w:sz w:val="16"/>
                <w:szCs w:val="16"/>
                <w:color w:val="auto"/>
              </w:rPr>
            </w:pPr>
          </w:p>
        </w:tc>
        <w:tc>
          <w:tcPr>
            <w:tcW w:w="1600" w:type="dxa"/>
            <w:vAlign w:val="bottom"/>
            <w:tcBorders>
              <w:top w:val="single" w:sz="8" w:color="CFF0FC"/>
            </w:tcBorders>
          </w:tcPr>
          <w:p>
            <w:pPr>
              <w:spacing w:after="0"/>
              <w:rPr>
                <w:sz w:val="16"/>
                <w:szCs w:val="16"/>
                <w:color w:val="auto"/>
              </w:rPr>
            </w:pPr>
          </w:p>
        </w:tc>
        <w:tc>
          <w:tcPr>
            <w:tcW w:w="720" w:type="dxa"/>
            <w:vAlign w:val="bottom"/>
            <w:tcBorders>
              <w:top w:val="single" w:sz="8" w:color="CFF0FC"/>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720" w:type="dxa"/>
            <w:vAlign w:val="bottom"/>
            <w:tcBorders>
              <w:top w:val="single" w:sz="8" w:color="CFF0FC"/>
            </w:tcBorders>
          </w:tcPr>
          <w:p>
            <w:pPr>
              <w:spacing w:after="0"/>
              <w:rPr>
                <w:sz w:val="16"/>
                <w:szCs w:val="16"/>
                <w:color w:val="auto"/>
              </w:rPr>
            </w:pPr>
          </w:p>
        </w:tc>
        <w:tc>
          <w:tcPr>
            <w:tcW w:w="20" w:type="dxa"/>
            <w:vAlign w:val="bottom"/>
            <w:tcBorders>
              <w:top w:val="single" w:sz="8" w:color="CFF0FC"/>
            </w:tcBorders>
          </w:tcPr>
          <w:p>
            <w:pPr>
              <w:spacing w:after="0"/>
              <w:rPr>
                <w:sz w:val="16"/>
                <w:szCs w:val="16"/>
                <w:color w:val="auto"/>
              </w:rPr>
            </w:pPr>
          </w:p>
        </w:tc>
      </w:tr>
      <w:tr>
        <w:trPr>
          <w:trHeight w:val="162"/>
        </w:trPr>
        <w:tc>
          <w:tcPr>
            <w:tcW w:w="1240" w:type="dxa"/>
            <w:vAlign w:val="bottom"/>
            <w:gridSpan w:val="3"/>
            <w:shd w:val="clear" w:color="auto" w:fill="CFF0FC"/>
          </w:tcPr>
          <w:p>
            <w:pPr>
              <w:spacing w:after="0" w:line="162" w:lineRule="exact"/>
              <w:rPr>
                <w:sz w:val="20"/>
                <w:szCs w:val="20"/>
                <w:color w:val="auto"/>
              </w:rPr>
            </w:pPr>
            <w:r>
              <w:rPr>
                <w:rFonts w:ascii="Arial" w:cs="Arial" w:eastAsia="Arial" w:hAnsi="Arial"/>
                <w:sz w:val="16"/>
                <w:szCs w:val="16"/>
                <w:color w:val="auto"/>
              </w:rPr>
              <w:t>Item 2.</w:t>
            </w:r>
          </w:p>
        </w:tc>
        <w:tc>
          <w:tcPr>
            <w:tcW w:w="8440" w:type="dxa"/>
            <w:vAlign w:val="bottom"/>
            <w:gridSpan w:val="29"/>
            <w:shd w:val="clear" w:color="auto" w:fill="CFF0FC"/>
          </w:tcPr>
          <w:p>
            <w:pPr>
              <w:ind w:left="460"/>
              <w:spacing w:after="0" w:line="162" w:lineRule="exact"/>
              <w:rPr>
                <w:sz w:val="20"/>
                <w:szCs w:val="20"/>
                <w:color w:val="auto"/>
              </w:rPr>
            </w:pPr>
            <w:r>
              <w:rPr>
                <w:rFonts w:ascii="Arial" w:cs="Arial" w:eastAsia="Arial" w:hAnsi="Arial"/>
                <w:sz w:val="16"/>
                <w:szCs w:val="16"/>
                <w:color w:val="0000FF"/>
              </w:rPr>
              <w:t>Management’s Discussion and Analysis of Financial Condition and Results of Operations</w:t>
            </w:r>
          </w:p>
        </w:tc>
        <w:tc>
          <w:tcPr>
            <w:tcW w:w="1540" w:type="dxa"/>
            <w:vAlign w:val="bottom"/>
            <w:gridSpan w:val="3"/>
            <w:shd w:val="clear" w:color="auto" w:fill="CFF0FC"/>
          </w:tcPr>
          <w:p>
            <w:pPr>
              <w:jc w:val="center"/>
              <w:spacing w:after="0" w:line="162" w:lineRule="exact"/>
              <w:rPr>
                <w:sz w:val="20"/>
                <w:szCs w:val="20"/>
                <w:color w:val="auto"/>
              </w:rPr>
            </w:pPr>
            <w:r>
              <w:rPr>
                <w:rFonts w:ascii="Arial" w:cs="Arial" w:eastAsia="Arial" w:hAnsi="Arial"/>
                <w:sz w:val="16"/>
                <w:szCs w:val="16"/>
                <w:color w:val="0000FF"/>
              </w:rPr>
              <w:t>32</w:t>
            </w:r>
          </w:p>
        </w:tc>
        <w:tc>
          <w:tcPr>
            <w:tcW w:w="20" w:type="dxa"/>
            <w:vAlign w:val="bottom"/>
            <w:shd w:val="clear" w:color="auto" w:fill="CFF0FC"/>
          </w:tcPr>
          <w:p>
            <w:pPr>
              <w:spacing w:after="0"/>
              <w:rPr>
                <w:sz w:val="14"/>
                <w:szCs w:val="14"/>
                <w:color w:val="auto"/>
              </w:rPr>
            </w:pPr>
          </w:p>
        </w:tc>
      </w:tr>
      <w:tr>
        <w:trPr>
          <w:trHeight w:val="27"/>
        </w:trPr>
        <w:tc>
          <w:tcPr>
            <w:tcW w:w="20" w:type="dxa"/>
            <w:vAlign w:val="bottom"/>
            <w:shd w:val="clear" w:color="auto" w:fill="CFF0FC"/>
          </w:tcPr>
          <w:p>
            <w:pPr>
              <w:spacing w:after="0"/>
              <w:rPr>
                <w:sz w:val="2"/>
                <w:szCs w:val="2"/>
                <w:color w:val="auto"/>
              </w:rPr>
            </w:pPr>
          </w:p>
        </w:tc>
        <w:tc>
          <w:tcPr>
            <w:tcW w:w="7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20" w:type="dxa"/>
            <w:vAlign w:val="bottom"/>
            <w:tcBorders>
              <w:left w:val="single" w:sz="8" w:color="0000FF"/>
              <w:right w:val="single" w:sz="8" w:color="0000FF"/>
            </w:tcBorders>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240" w:type="dxa"/>
            <w:vAlign w:val="bottom"/>
            <w:tcBorders>
              <w:left w:val="single" w:sz="8" w:color="0000FF"/>
              <w:right w:val="single" w:sz="8" w:color="0000FF"/>
            </w:tcBorders>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20" w:type="dxa"/>
            <w:vAlign w:val="bottom"/>
            <w:tcBorders>
              <w:lef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060" w:type="dxa"/>
            <w:vAlign w:val="bottom"/>
            <w:shd w:val="clear" w:color="auto" w:fill="0000FF"/>
          </w:tcPr>
          <w:p>
            <w:pPr>
              <w:spacing w:after="0"/>
              <w:rPr>
                <w:sz w:val="2"/>
                <w:szCs w:val="2"/>
                <w:color w:val="auto"/>
              </w:rPr>
            </w:pPr>
          </w:p>
        </w:tc>
        <w:tc>
          <w:tcPr>
            <w:tcW w:w="960" w:type="dxa"/>
            <w:vAlign w:val="bottom"/>
            <w:shd w:val="clear" w:color="auto" w:fill="0000FF"/>
          </w:tcPr>
          <w:p>
            <w:pPr>
              <w:spacing w:after="0"/>
              <w:rPr>
                <w:sz w:val="2"/>
                <w:szCs w:val="2"/>
                <w:color w:val="auto"/>
              </w:rPr>
            </w:pPr>
          </w:p>
        </w:tc>
        <w:tc>
          <w:tcPr>
            <w:tcW w:w="1600" w:type="dxa"/>
            <w:vAlign w:val="bottom"/>
            <w:shd w:val="clear" w:color="auto" w:fill="CFF0FC"/>
          </w:tcPr>
          <w:p>
            <w:pPr>
              <w:spacing w:after="0"/>
              <w:rPr>
                <w:sz w:val="2"/>
                <w:szCs w:val="2"/>
                <w:color w:val="auto"/>
              </w:rPr>
            </w:pPr>
          </w:p>
        </w:tc>
        <w:tc>
          <w:tcPr>
            <w:tcW w:w="720" w:type="dxa"/>
            <w:vAlign w:val="bottom"/>
            <w:tcBorders>
              <w:right w:val="single" w:sz="8" w:color="0000FF"/>
            </w:tcBorders>
            <w:shd w:val="clear" w:color="auto" w:fill="CFF0FC"/>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380" w:type="dxa"/>
            <w:vAlign w:val="bottom"/>
            <w:gridSpan w:val="27"/>
          </w:tcPr>
          <w:p>
            <w:pPr>
              <w:ind w:left="100"/>
              <w:spacing w:after="0" w:line="162" w:lineRule="exact"/>
              <w:rPr>
                <w:sz w:val="20"/>
                <w:szCs w:val="20"/>
                <w:color w:val="auto"/>
              </w:rPr>
            </w:pPr>
            <w:r>
              <w:rPr>
                <w:rFonts w:ascii="Arial" w:cs="Arial" w:eastAsia="Arial" w:hAnsi="Arial"/>
                <w:sz w:val="16"/>
                <w:szCs w:val="16"/>
                <w:color w:val="0000FF"/>
              </w:rPr>
              <w:t>Executive Summary</w:t>
            </w:r>
          </w:p>
        </w:tc>
        <w:tc>
          <w:tcPr>
            <w:tcW w:w="1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gridSpan w:val="2"/>
          </w:tcPr>
          <w:p>
            <w:pPr>
              <w:jc w:val="center"/>
              <w:ind w:right="680"/>
              <w:spacing w:after="0" w:line="162" w:lineRule="exact"/>
              <w:rPr>
                <w:sz w:val="20"/>
                <w:szCs w:val="20"/>
                <w:color w:val="auto"/>
              </w:rPr>
            </w:pPr>
            <w:r>
              <w:rPr>
                <w:rFonts w:ascii="Arial" w:cs="Arial" w:eastAsia="Arial" w:hAnsi="Arial"/>
                <w:sz w:val="16"/>
                <w:szCs w:val="16"/>
                <w:color w:val="0000FF"/>
                <w:w w:val="78"/>
              </w:rPr>
              <w:t>32</w:t>
            </w:r>
          </w:p>
        </w:tc>
        <w:tc>
          <w:tcPr>
            <w:tcW w:w="20" w:type="dxa"/>
            <w:vAlign w:val="bottom"/>
          </w:tcPr>
          <w:p>
            <w:pPr>
              <w:spacing w:after="0"/>
              <w:rPr>
                <w:sz w:val="14"/>
                <w:szCs w:val="14"/>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Borders>
              <w:right w:val="single" w:sz="8" w:color="0000FF"/>
            </w:tcBorders>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2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7980" w:type="dxa"/>
            <w:vAlign w:val="bottom"/>
            <w:gridSpan w:val="28"/>
            <w:shd w:val="clear" w:color="auto" w:fill="CFF0FC"/>
          </w:tcPr>
          <w:p>
            <w:pPr>
              <w:ind w:left="100"/>
              <w:spacing w:after="0" w:line="162" w:lineRule="exact"/>
              <w:rPr>
                <w:sz w:val="20"/>
                <w:szCs w:val="20"/>
                <w:color w:val="auto"/>
              </w:rPr>
            </w:pPr>
            <w:r>
              <w:rPr>
                <w:rFonts w:ascii="Arial" w:cs="Arial" w:eastAsia="Arial" w:hAnsi="Arial"/>
                <w:sz w:val="16"/>
                <w:szCs w:val="16"/>
                <w:color w:val="0000FF"/>
              </w:rPr>
              <w:t>Recent Developments</w:t>
            </w:r>
          </w:p>
        </w:tc>
        <w:tc>
          <w:tcPr>
            <w:tcW w:w="1540" w:type="dxa"/>
            <w:vAlign w:val="bottom"/>
            <w:gridSpan w:val="3"/>
            <w:shd w:val="clear" w:color="auto" w:fill="CFF0FC"/>
          </w:tcPr>
          <w:p>
            <w:pPr>
              <w:jc w:val="center"/>
              <w:spacing w:after="0" w:line="162" w:lineRule="exact"/>
              <w:rPr>
                <w:sz w:val="20"/>
                <w:szCs w:val="20"/>
                <w:color w:val="auto"/>
              </w:rPr>
            </w:pPr>
            <w:r>
              <w:rPr>
                <w:rFonts w:ascii="Arial" w:cs="Arial" w:eastAsia="Arial" w:hAnsi="Arial"/>
                <w:sz w:val="16"/>
                <w:szCs w:val="16"/>
                <w:color w:val="0000FF"/>
              </w:rPr>
              <w:t>32</w:t>
            </w:r>
          </w:p>
        </w:tc>
        <w:tc>
          <w:tcPr>
            <w:tcW w:w="20" w:type="dxa"/>
            <w:vAlign w:val="bottom"/>
            <w:shd w:val="clear" w:color="auto" w:fill="CFF0FC"/>
          </w:tcPr>
          <w:p>
            <w:pPr>
              <w:spacing w:after="0"/>
              <w:rPr>
                <w:sz w:val="14"/>
                <w:szCs w:val="14"/>
                <w:color w:val="auto"/>
              </w:rPr>
            </w:pPr>
          </w:p>
        </w:tc>
      </w:tr>
      <w:tr>
        <w:trPr>
          <w:trHeight w:val="27"/>
        </w:trPr>
        <w:tc>
          <w:tcPr>
            <w:tcW w:w="20" w:type="dxa"/>
            <w:vAlign w:val="bottom"/>
            <w:shd w:val="clear" w:color="auto" w:fill="CFF0FC"/>
          </w:tcPr>
          <w:p>
            <w:pPr>
              <w:spacing w:after="0"/>
              <w:rPr>
                <w:sz w:val="2"/>
                <w:szCs w:val="2"/>
                <w:color w:val="auto"/>
              </w:rPr>
            </w:pPr>
          </w:p>
        </w:tc>
        <w:tc>
          <w:tcPr>
            <w:tcW w:w="7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160" w:type="dxa"/>
            <w:vAlign w:val="bottom"/>
            <w:tcBorders>
              <w:right w:val="single" w:sz="8" w:color="0000FF"/>
            </w:tcBorders>
            <w:shd w:val="clear" w:color="auto" w:fill="CFF0FC"/>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20" w:type="dxa"/>
            <w:vAlign w:val="bottom"/>
            <w:tcBorders>
              <w:left w:val="single" w:sz="8" w:color="CFF0FC"/>
              <w:right w:val="single" w:sz="8" w:color="CFF0FC"/>
            </w:tcBorders>
            <w:shd w:val="clear" w:color="auto" w:fill="CFF0FC"/>
          </w:tcPr>
          <w:p>
            <w:pPr>
              <w:spacing w:after="0"/>
              <w:rPr>
                <w:sz w:val="2"/>
                <w:szCs w:val="2"/>
                <w:color w:val="auto"/>
              </w:rPr>
            </w:pPr>
          </w:p>
        </w:tc>
        <w:tc>
          <w:tcPr>
            <w:tcW w:w="320" w:type="dxa"/>
            <w:vAlign w:val="bottom"/>
            <w:tcBorders>
              <w:right w:val="single" w:sz="8" w:color="CFF0FC"/>
            </w:tcBorders>
            <w:shd w:val="clear" w:color="auto" w:fill="CFF0FC"/>
          </w:tcPr>
          <w:p>
            <w:pPr>
              <w:spacing w:after="0"/>
              <w:rPr>
                <w:sz w:val="2"/>
                <w:szCs w:val="2"/>
                <w:color w:val="auto"/>
              </w:rPr>
            </w:pPr>
          </w:p>
        </w:tc>
        <w:tc>
          <w:tcPr>
            <w:tcW w:w="240" w:type="dxa"/>
            <w:vAlign w:val="bottom"/>
            <w:tcBorders>
              <w:left w:val="single" w:sz="8" w:color="CFF0FC"/>
              <w:right w:val="single" w:sz="8" w:color="CFF0FC"/>
            </w:tcBorders>
            <w:shd w:val="clear" w:color="auto" w:fill="CFF0FC"/>
          </w:tcPr>
          <w:p>
            <w:pPr>
              <w:spacing w:after="0"/>
              <w:rPr>
                <w:sz w:val="2"/>
                <w:szCs w:val="2"/>
                <w:color w:val="auto"/>
              </w:rPr>
            </w:pPr>
          </w:p>
        </w:tc>
        <w:tc>
          <w:tcPr>
            <w:tcW w:w="140" w:type="dxa"/>
            <w:vAlign w:val="bottom"/>
            <w:tcBorders>
              <w:right w:val="single" w:sz="8" w:color="CFF0FC"/>
            </w:tcBorders>
            <w:shd w:val="clear" w:color="auto" w:fill="CFF0FC"/>
          </w:tcPr>
          <w:p>
            <w:pPr>
              <w:spacing w:after="0"/>
              <w:rPr>
                <w:sz w:val="2"/>
                <w:szCs w:val="2"/>
                <w:color w:val="auto"/>
              </w:rPr>
            </w:pPr>
          </w:p>
        </w:tc>
        <w:tc>
          <w:tcPr>
            <w:tcW w:w="80" w:type="dxa"/>
            <w:vAlign w:val="bottom"/>
            <w:tcBorders>
              <w:left w:val="single" w:sz="8" w:color="CFF0FC"/>
            </w:tcBorders>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20" w:type="dxa"/>
            <w:vAlign w:val="bottom"/>
            <w:tcBorders>
              <w:left w:val="single" w:sz="8" w:color="CFF0FC"/>
            </w:tcBorders>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40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40" w:type="dxa"/>
            <w:vAlign w:val="bottom"/>
            <w:tcBorders>
              <w:left w:val="single" w:sz="8" w:color="CFF0FC"/>
            </w:tcBorders>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960" w:type="dxa"/>
            <w:vAlign w:val="bottom"/>
            <w:shd w:val="clear" w:color="auto" w:fill="CFF0FC"/>
          </w:tcPr>
          <w:p>
            <w:pPr>
              <w:spacing w:after="0"/>
              <w:rPr>
                <w:sz w:val="2"/>
                <w:szCs w:val="2"/>
                <w:color w:val="auto"/>
              </w:rPr>
            </w:pPr>
          </w:p>
        </w:tc>
        <w:tc>
          <w:tcPr>
            <w:tcW w:w="1600" w:type="dxa"/>
            <w:vAlign w:val="bottom"/>
            <w:shd w:val="clear" w:color="auto" w:fill="CFF0FC"/>
          </w:tcPr>
          <w:p>
            <w:pPr>
              <w:spacing w:after="0"/>
              <w:rPr>
                <w:sz w:val="2"/>
                <w:szCs w:val="2"/>
                <w:color w:val="auto"/>
              </w:rPr>
            </w:pPr>
          </w:p>
        </w:tc>
        <w:tc>
          <w:tcPr>
            <w:tcW w:w="720" w:type="dxa"/>
            <w:vAlign w:val="bottom"/>
            <w:tcBorders>
              <w:right w:val="single" w:sz="8" w:color="0000FF"/>
            </w:tcBorders>
            <w:shd w:val="clear" w:color="auto" w:fill="CFF0FC"/>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980" w:type="dxa"/>
            <w:vAlign w:val="bottom"/>
            <w:gridSpan w:val="28"/>
          </w:tcPr>
          <w:p>
            <w:pPr>
              <w:ind w:left="100"/>
              <w:spacing w:after="0" w:line="162" w:lineRule="exact"/>
              <w:rPr>
                <w:sz w:val="20"/>
                <w:szCs w:val="20"/>
                <w:color w:val="auto"/>
              </w:rPr>
            </w:pPr>
            <w:r>
              <w:rPr>
                <w:rFonts w:ascii="Arial" w:cs="Arial" w:eastAsia="Arial" w:hAnsi="Arial"/>
                <w:sz w:val="16"/>
                <w:szCs w:val="16"/>
                <w:color w:val="0000FF"/>
              </w:rPr>
              <w:t>Results of Operations</w:t>
            </w:r>
          </w:p>
        </w:tc>
        <w:tc>
          <w:tcPr>
            <w:tcW w:w="1540" w:type="dxa"/>
            <w:vAlign w:val="bottom"/>
            <w:gridSpan w:val="3"/>
          </w:tcPr>
          <w:p>
            <w:pPr>
              <w:jc w:val="center"/>
              <w:spacing w:after="0" w:line="162" w:lineRule="exact"/>
              <w:rPr>
                <w:sz w:val="20"/>
                <w:szCs w:val="20"/>
                <w:color w:val="auto"/>
              </w:rPr>
            </w:pPr>
            <w:r>
              <w:rPr>
                <w:rFonts w:ascii="Arial" w:cs="Arial" w:eastAsia="Arial" w:hAnsi="Arial"/>
                <w:sz w:val="16"/>
                <w:szCs w:val="16"/>
                <w:color w:val="0000FF"/>
              </w:rPr>
              <w:t>33</w:t>
            </w:r>
          </w:p>
        </w:tc>
        <w:tc>
          <w:tcPr>
            <w:tcW w:w="20" w:type="dxa"/>
            <w:vAlign w:val="bottom"/>
          </w:tcPr>
          <w:p>
            <w:pPr>
              <w:spacing w:after="0"/>
              <w:rPr>
                <w:sz w:val="14"/>
                <w:szCs w:val="14"/>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Borders>
              <w:right w:val="single" w:sz="8" w:color="0000FF"/>
            </w:tcBorders>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2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120" w:type="dxa"/>
            <w:vAlign w:val="bottom"/>
            <w:tcBorders>
              <w:right w:val="single" w:sz="8" w:color="CFF0FC"/>
            </w:tcBorders>
            <w:shd w:val="clear" w:color="auto" w:fill="CFF0FC"/>
          </w:tcPr>
          <w:p>
            <w:pPr>
              <w:spacing w:after="0"/>
              <w:rPr>
                <w:sz w:val="14"/>
                <w:szCs w:val="14"/>
                <w:color w:val="auto"/>
              </w:rPr>
            </w:pPr>
          </w:p>
        </w:tc>
        <w:tc>
          <w:tcPr>
            <w:tcW w:w="7700" w:type="dxa"/>
            <w:vAlign w:val="bottom"/>
            <w:gridSpan w:val="26"/>
            <w:shd w:val="clear" w:color="auto" w:fill="CFF0FC"/>
          </w:tcPr>
          <w:p>
            <w:pPr>
              <w:spacing w:after="0" w:line="162" w:lineRule="exact"/>
              <w:rPr>
                <w:sz w:val="20"/>
                <w:szCs w:val="20"/>
                <w:color w:val="auto"/>
              </w:rPr>
            </w:pPr>
            <w:r>
              <w:rPr>
                <w:rFonts w:ascii="Arial" w:cs="Arial" w:eastAsia="Arial" w:hAnsi="Arial"/>
                <w:sz w:val="16"/>
                <w:szCs w:val="16"/>
                <w:color w:val="0000FF"/>
              </w:rPr>
              <w:t>Consolidated Summary and Overview</w:t>
            </w:r>
          </w:p>
        </w:tc>
        <w:tc>
          <w:tcPr>
            <w:tcW w:w="1540" w:type="dxa"/>
            <w:vAlign w:val="bottom"/>
            <w:gridSpan w:val="3"/>
            <w:shd w:val="clear" w:color="auto" w:fill="CFF0FC"/>
          </w:tcPr>
          <w:p>
            <w:pPr>
              <w:jc w:val="center"/>
              <w:spacing w:after="0" w:line="162" w:lineRule="exact"/>
              <w:rPr>
                <w:sz w:val="20"/>
                <w:szCs w:val="20"/>
                <w:color w:val="auto"/>
              </w:rPr>
            </w:pPr>
            <w:r>
              <w:rPr>
                <w:rFonts w:ascii="Arial" w:cs="Arial" w:eastAsia="Arial" w:hAnsi="Arial"/>
                <w:sz w:val="16"/>
                <w:szCs w:val="16"/>
                <w:color w:val="0000FF"/>
              </w:rPr>
              <w:t>34</w:t>
            </w:r>
          </w:p>
        </w:tc>
        <w:tc>
          <w:tcPr>
            <w:tcW w:w="20" w:type="dxa"/>
            <w:vAlign w:val="bottom"/>
            <w:shd w:val="clear" w:color="auto" w:fill="CFF0FC"/>
          </w:tcPr>
          <w:p>
            <w:pPr>
              <w:spacing w:after="0"/>
              <w:rPr>
                <w:sz w:val="14"/>
                <w:szCs w:val="14"/>
                <w:color w:val="auto"/>
              </w:rPr>
            </w:pPr>
          </w:p>
        </w:tc>
      </w:tr>
      <w:tr>
        <w:trPr>
          <w:trHeight w:val="27"/>
        </w:trPr>
        <w:tc>
          <w:tcPr>
            <w:tcW w:w="20" w:type="dxa"/>
            <w:vAlign w:val="bottom"/>
            <w:shd w:val="clear" w:color="auto" w:fill="CFF0FC"/>
          </w:tcPr>
          <w:p>
            <w:pPr>
              <w:spacing w:after="0"/>
              <w:rPr>
                <w:sz w:val="2"/>
                <w:szCs w:val="2"/>
                <w:color w:val="auto"/>
              </w:rPr>
            </w:pPr>
          </w:p>
        </w:tc>
        <w:tc>
          <w:tcPr>
            <w:tcW w:w="7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160" w:type="dxa"/>
            <w:vAlign w:val="bottom"/>
            <w:tcBorders>
              <w:right w:val="single" w:sz="8" w:color="CFF0FC"/>
            </w:tcBorders>
            <w:shd w:val="clear" w:color="auto" w:fill="CFF0FC"/>
          </w:tcPr>
          <w:p>
            <w:pPr>
              <w:spacing w:after="0"/>
              <w:rPr>
                <w:sz w:val="2"/>
                <w:szCs w:val="2"/>
                <w:color w:val="auto"/>
              </w:rPr>
            </w:pPr>
          </w:p>
        </w:tc>
        <w:tc>
          <w:tcPr>
            <w:tcW w:w="120" w:type="dxa"/>
            <w:vAlign w:val="bottom"/>
            <w:tcBorders>
              <w:right w:val="single" w:sz="8" w:color="CFF0FC"/>
            </w:tcBorders>
            <w:shd w:val="clear" w:color="auto" w:fill="CFF0FC"/>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20" w:type="dxa"/>
            <w:vAlign w:val="bottom"/>
            <w:tcBorders>
              <w:left w:val="single" w:sz="8" w:color="0000FF"/>
              <w:right w:val="single" w:sz="8" w:color="0000FF"/>
            </w:tcBorders>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240" w:type="dxa"/>
            <w:vAlign w:val="bottom"/>
            <w:tcBorders>
              <w:left w:val="single" w:sz="8" w:color="0000FF"/>
              <w:right w:val="single" w:sz="8" w:color="0000FF"/>
            </w:tcBorders>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20" w:type="dxa"/>
            <w:vAlign w:val="bottom"/>
            <w:tcBorders>
              <w:left w:val="single" w:sz="8" w:color="0000FF"/>
            </w:tcBorders>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40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40" w:type="dxa"/>
            <w:vAlign w:val="bottom"/>
            <w:tcBorders>
              <w:left w:val="single" w:sz="8" w:color="CFF0FC"/>
            </w:tcBorders>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960" w:type="dxa"/>
            <w:vAlign w:val="bottom"/>
            <w:shd w:val="clear" w:color="auto" w:fill="CFF0FC"/>
          </w:tcPr>
          <w:p>
            <w:pPr>
              <w:spacing w:after="0"/>
              <w:rPr>
                <w:sz w:val="2"/>
                <w:szCs w:val="2"/>
                <w:color w:val="auto"/>
              </w:rPr>
            </w:pPr>
          </w:p>
        </w:tc>
        <w:tc>
          <w:tcPr>
            <w:tcW w:w="1600" w:type="dxa"/>
            <w:vAlign w:val="bottom"/>
            <w:shd w:val="clear" w:color="auto" w:fill="CFF0FC"/>
          </w:tcPr>
          <w:p>
            <w:pPr>
              <w:spacing w:after="0"/>
              <w:rPr>
                <w:sz w:val="2"/>
                <w:szCs w:val="2"/>
                <w:color w:val="auto"/>
              </w:rPr>
            </w:pPr>
          </w:p>
        </w:tc>
        <w:tc>
          <w:tcPr>
            <w:tcW w:w="720" w:type="dxa"/>
            <w:vAlign w:val="bottom"/>
            <w:tcBorders>
              <w:right w:val="single" w:sz="8" w:color="0000FF"/>
            </w:tcBorders>
            <w:shd w:val="clear" w:color="auto" w:fill="CFF0FC"/>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700" w:type="dxa"/>
            <w:vAlign w:val="bottom"/>
            <w:gridSpan w:val="26"/>
          </w:tcPr>
          <w:p>
            <w:pPr>
              <w:spacing w:after="0" w:line="162" w:lineRule="exact"/>
              <w:rPr>
                <w:sz w:val="20"/>
                <w:szCs w:val="20"/>
                <w:color w:val="auto"/>
              </w:rPr>
            </w:pPr>
            <w:r>
              <w:rPr>
                <w:rFonts w:ascii="Arial" w:cs="Arial" w:eastAsia="Arial" w:hAnsi="Arial"/>
                <w:sz w:val="16"/>
                <w:szCs w:val="16"/>
                <w:color w:val="0000FF"/>
              </w:rPr>
              <w:t>Non-GAAP Financial Measure</w:t>
            </w:r>
          </w:p>
        </w:tc>
        <w:tc>
          <w:tcPr>
            <w:tcW w:w="1540" w:type="dxa"/>
            <w:vAlign w:val="bottom"/>
            <w:gridSpan w:val="3"/>
          </w:tcPr>
          <w:p>
            <w:pPr>
              <w:jc w:val="center"/>
              <w:spacing w:after="0" w:line="162" w:lineRule="exact"/>
              <w:rPr>
                <w:sz w:val="20"/>
                <w:szCs w:val="20"/>
                <w:color w:val="auto"/>
              </w:rPr>
            </w:pPr>
            <w:r>
              <w:rPr>
                <w:rFonts w:ascii="Arial" w:cs="Arial" w:eastAsia="Arial" w:hAnsi="Arial"/>
                <w:sz w:val="16"/>
                <w:szCs w:val="16"/>
                <w:color w:val="0000FF"/>
              </w:rPr>
              <w:t>35</w:t>
            </w:r>
          </w:p>
        </w:tc>
        <w:tc>
          <w:tcPr>
            <w:tcW w:w="20" w:type="dxa"/>
            <w:vAlign w:val="bottom"/>
          </w:tcPr>
          <w:p>
            <w:pPr>
              <w:spacing w:after="0"/>
              <w:rPr>
                <w:sz w:val="14"/>
                <w:szCs w:val="14"/>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20" w:type="dxa"/>
            <w:vAlign w:val="bottom"/>
            <w:tcBorders>
              <w:left w:val="single" w:sz="8" w:color="0000FF"/>
              <w:right w:val="single" w:sz="8" w:color="0000FF"/>
            </w:tcBorders>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240" w:type="dxa"/>
            <w:vAlign w:val="bottom"/>
            <w:tcBorders>
              <w:left w:val="single" w:sz="8" w:color="0000FF"/>
              <w:right w:val="single" w:sz="8" w:color="0000FF"/>
            </w:tcBorders>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2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120" w:type="dxa"/>
            <w:vAlign w:val="bottom"/>
            <w:tcBorders>
              <w:right w:val="single" w:sz="8" w:color="CFF0FC"/>
            </w:tcBorders>
            <w:shd w:val="clear" w:color="auto" w:fill="CFF0FC"/>
          </w:tcPr>
          <w:p>
            <w:pPr>
              <w:spacing w:after="0"/>
              <w:rPr>
                <w:sz w:val="14"/>
                <w:szCs w:val="14"/>
                <w:color w:val="auto"/>
              </w:rPr>
            </w:pPr>
          </w:p>
        </w:tc>
        <w:tc>
          <w:tcPr>
            <w:tcW w:w="1060" w:type="dxa"/>
            <w:vAlign w:val="bottom"/>
            <w:gridSpan w:val="7"/>
            <w:shd w:val="clear" w:color="auto" w:fill="CFF0FC"/>
          </w:tcPr>
          <w:p>
            <w:pPr>
              <w:spacing w:after="0" w:line="162" w:lineRule="exact"/>
              <w:rPr>
                <w:sz w:val="20"/>
                <w:szCs w:val="20"/>
                <w:color w:val="auto"/>
              </w:rPr>
            </w:pPr>
            <w:r>
              <w:rPr>
                <w:rFonts w:ascii="Arial" w:cs="Arial" w:eastAsia="Arial" w:hAnsi="Arial"/>
                <w:sz w:val="16"/>
                <w:szCs w:val="16"/>
                <w:color w:val="0000FF"/>
                <w:w w:val="94"/>
              </w:rPr>
              <w:t>Electric Utilities</w:t>
            </w:r>
          </w:p>
        </w:tc>
        <w:tc>
          <w:tcPr>
            <w:tcW w:w="6640" w:type="dxa"/>
            <w:vAlign w:val="bottom"/>
            <w:tcBorders>
              <w:left w:val="single" w:sz="8" w:color="CFF0FC"/>
            </w:tcBorders>
            <w:gridSpan w:val="19"/>
            <w:shd w:val="clear" w:color="auto" w:fill="CFF0FC"/>
          </w:tcPr>
          <w:p>
            <w:pPr>
              <w:spacing w:after="0"/>
              <w:rPr>
                <w:sz w:val="14"/>
                <w:szCs w:val="14"/>
                <w:color w:val="auto"/>
              </w:rPr>
            </w:pPr>
          </w:p>
        </w:tc>
        <w:tc>
          <w:tcPr>
            <w:tcW w:w="720" w:type="dxa"/>
            <w:vAlign w:val="bottom"/>
            <w:tcBorders>
              <w:right w:val="single" w:sz="8" w:color="CFF0FC"/>
            </w:tcBorders>
            <w:shd w:val="clear" w:color="auto" w:fill="CFF0FC"/>
          </w:tcPr>
          <w:p>
            <w:pPr>
              <w:spacing w:after="0"/>
              <w:rPr>
                <w:sz w:val="14"/>
                <w:szCs w:val="14"/>
                <w:color w:val="auto"/>
              </w:rPr>
            </w:pPr>
          </w:p>
        </w:tc>
        <w:tc>
          <w:tcPr>
            <w:tcW w:w="820" w:type="dxa"/>
            <w:vAlign w:val="bottom"/>
            <w:gridSpan w:val="2"/>
            <w:shd w:val="clear" w:color="auto" w:fill="CFF0FC"/>
          </w:tcPr>
          <w:p>
            <w:pPr>
              <w:jc w:val="center"/>
              <w:ind w:right="680"/>
              <w:spacing w:after="0" w:line="162" w:lineRule="exact"/>
              <w:rPr>
                <w:sz w:val="20"/>
                <w:szCs w:val="20"/>
                <w:color w:val="auto"/>
              </w:rPr>
            </w:pPr>
            <w:r>
              <w:rPr>
                <w:rFonts w:ascii="Arial" w:cs="Arial" w:eastAsia="Arial" w:hAnsi="Arial"/>
                <w:sz w:val="16"/>
                <w:szCs w:val="16"/>
                <w:color w:val="0000FF"/>
                <w:w w:val="78"/>
              </w:rPr>
              <w:t>36</w:t>
            </w:r>
          </w:p>
        </w:tc>
        <w:tc>
          <w:tcPr>
            <w:tcW w:w="20" w:type="dxa"/>
            <w:vAlign w:val="bottom"/>
            <w:shd w:val="clear" w:color="auto" w:fill="CFF0FC"/>
          </w:tcPr>
          <w:p>
            <w:pPr>
              <w:spacing w:after="0"/>
              <w:rPr>
                <w:sz w:val="14"/>
                <w:szCs w:val="14"/>
                <w:color w:val="auto"/>
              </w:rPr>
            </w:pPr>
          </w:p>
        </w:tc>
      </w:tr>
      <w:tr>
        <w:trPr>
          <w:trHeight w:val="27"/>
        </w:trPr>
        <w:tc>
          <w:tcPr>
            <w:tcW w:w="20" w:type="dxa"/>
            <w:vAlign w:val="bottom"/>
            <w:shd w:val="clear" w:color="auto" w:fill="CFF0FC"/>
          </w:tcPr>
          <w:p>
            <w:pPr>
              <w:spacing w:after="0"/>
              <w:rPr>
                <w:sz w:val="2"/>
                <w:szCs w:val="2"/>
                <w:color w:val="auto"/>
              </w:rPr>
            </w:pPr>
          </w:p>
        </w:tc>
        <w:tc>
          <w:tcPr>
            <w:tcW w:w="7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160" w:type="dxa"/>
            <w:vAlign w:val="bottom"/>
            <w:tcBorders>
              <w:right w:val="single" w:sz="8" w:color="CFF0FC"/>
            </w:tcBorders>
            <w:shd w:val="clear" w:color="auto" w:fill="CFF0FC"/>
          </w:tcPr>
          <w:p>
            <w:pPr>
              <w:spacing w:after="0"/>
              <w:rPr>
                <w:sz w:val="2"/>
                <w:szCs w:val="2"/>
                <w:color w:val="auto"/>
              </w:rPr>
            </w:pPr>
          </w:p>
        </w:tc>
        <w:tc>
          <w:tcPr>
            <w:tcW w:w="120" w:type="dxa"/>
            <w:vAlign w:val="bottom"/>
            <w:tcBorders>
              <w:right w:val="single" w:sz="8" w:color="0000FF"/>
            </w:tcBorders>
            <w:shd w:val="clear" w:color="auto" w:fill="CFF0FC"/>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CFF0FC"/>
            </w:tcBorders>
            <w:shd w:val="clear" w:color="auto" w:fill="CFF0FC"/>
          </w:tcPr>
          <w:p>
            <w:pPr>
              <w:spacing w:after="0"/>
              <w:rPr>
                <w:sz w:val="2"/>
                <w:szCs w:val="2"/>
                <w:color w:val="auto"/>
              </w:rPr>
            </w:pPr>
          </w:p>
        </w:tc>
        <w:tc>
          <w:tcPr>
            <w:tcW w:w="100" w:type="dxa"/>
            <w:vAlign w:val="bottom"/>
            <w:tcBorders>
              <w:left w:val="single" w:sz="8" w:color="CFF0FC"/>
            </w:tcBorders>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220" w:type="dxa"/>
            <w:vAlign w:val="bottom"/>
            <w:tcBorders>
              <w:left w:val="single" w:sz="8" w:color="CFF0FC"/>
              <w:right w:val="single" w:sz="8" w:color="CFF0FC"/>
            </w:tcBorders>
            <w:shd w:val="clear" w:color="auto" w:fill="CFF0FC"/>
          </w:tcPr>
          <w:p>
            <w:pPr>
              <w:spacing w:after="0"/>
              <w:rPr>
                <w:sz w:val="2"/>
                <w:szCs w:val="2"/>
                <w:color w:val="auto"/>
              </w:rPr>
            </w:pPr>
          </w:p>
        </w:tc>
        <w:tc>
          <w:tcPr>
            <w:tcW w:w="320" w:type="dxa"/>
            <w:vAlign w:val="bottom"/>
            <w:tcBorders>
              <w:right w:val="single" w:sz="8" w:color="CFF0FC"/>
            </w:tcBorders>
            <w:shd w:val="clear" w:color="auto" w:fill="CFF0FC"/>
          </w:tcPr>
          <w:p>
            <w:pPr>
              <w:spacing w:after="0"/>
              <w:rPr>
                <w:sz w:val="2"/>
                <w:szCs w:val="2"/>
                <w:color w:val="auto"/>
              </w:rPr>
            </w:pPr>
          </w:p>
        </w:tc>
        <w:tc>
          <w:tcPr>
            <w:tcW w:w="240" w:type="dxa"/>
            <w:vAlign w:val="bottom"/>
            <w:tcBorders>
              <w:left w:val="single" w:sz="8" w:color="CFF0FC"/>
              <w:right w:val="single" w:sz="8" w:color="CFF0FC"/>
            </w:tcBorders>
            <w:shd w:val="clear" w:color="auto" w:fill="CFF0FC"/>
          </w:tcPr>
          <w:p>
            <w:pPr>
              <w:spacing w:after="0"/>
              <w:rPr>
                <w:sz w:val="2"/>
                <w:szCs w:val="2"/>
                <w:color w:val="auto"/>
              </w:rPr>
            </w:pPr>
          </w:p>
        </w:tc>
        <w:tc>
          <w:tcPr>
            <w:tcW w:w="140" w:type="dxa"/>
            <w:vAlign w:val="bottom"/>
            <w:tcBorders>
              <w:right w:val="single" w:sz="8" w:color="CFF0FC"/>
            </w:tcBorders>
            <w:shd w:val="clear" w:color="auto" w:fill="CFF0FC"/>
          </w:tcPr>
          <w:p>
            <w:pPr>
              <w:spacing w:after="0"/>
              <w:rPr>
                <w:sz w:val="2"/>
                <w:szCs w:val="2"/>
                <w:color w:val="auto"/>
              </w:rPr>
            </w:pPr>
          </w:p>
        </w:tc>
        <w:tc>
          <w:tcPr>
            <w:tcW w:w="80" w:type="dxa"/>
            <w:vAlign w:val="bottom"/>
            <w:tcBorders>
              <w:left w:val="single" w:sz="8" w:color="CFF0FC"/>
            </w:tcBorders>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20" w:type="dxa"/>
            <w:vAlign w:val="bottom"/>
            <w:tcBorders>
              <w:left w:val="single" w:sz="8" w:color="CFF0FC"/>
            </w:tcBorders>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40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40" w:type="dxa"/>
            <w:vAlign w:val="bottom"/>
            <w:tcBorders>
              <w:left w:val="single" w:sz="8" w:color="CFF0FC"/>
            </w:tcBorders>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960" w:type="dxa"/>
            <w:vAlign w:val="bottom"/>
            <w:shd w:val="clear" w:color="auto" w:fill="CFF0FC"/>
          </w:tcPr>
          <w:p>
            <w:pPr>
              <w:spacing w:after="0"/>
              <w:rPr>
                <w:sz w:val="2"/>
                <w:szCs w:val="2"/>
                <w:color w:val="auto"/>
              </w:rPr>
            </w:pPr>
          </w:p>
        </w:tc>
        <w:tc>
          <w:tcPr>
            <w:tcW w:w="1600" w:type="dxa"/>
            <w:vAlign w:val="bottom"/>
            <w:shd w:val="clear" w:color="auto" w:fill="CFF0FC"/>
          </w:tcPr>
          <w:p>
            <w:pPr>
              <w:spacing w:after="0"/>
              <w:rPr>
                <w:sz w:val="2"/>
                <w:szCs w:val="2"/>
                <w:color w:val="auto"/>
              </w:rPr>
            </w:pPr>
          </w:p>
        </w:tc>
        <w:tc>
          <w:tcPr>
            <w:tcW w:w="720" w:type="dxa"/>
            <w:vAlign w:val="bottom"/>
            <w:tcBorders>
              <w:right w:val="single" w:sz="8" w:color="0000FF"/>
            </w:tcBorders>
            <w:shd w:val="clear" w:color="auto" w:fill="CFF0FC"/>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7"/>
          </w:tcPr>
          <w:p>
            <w:pPr>
              <w:spacing w:after="0" w:line="162" w:lineRule="exact"/>
              <w:rPr>
                <w:sz w:val="20"/>
                <w:szCs w:val="20"/>
                <w:color w:val="auto"/>
              </w:rPr>
            </w:pPr>
            <w:r>
              <w:rPr>
                <w:rFonts w:ascii="Arial" w:cs="Arial" w:eastAsia="Arial" w:hAnsi="Arial"/>
                <w:sz w:val="16"/>
                <w:szCs w:val="16"/>
                <w:color w:val="0000FF"/>
              </w:rPr>
              <w:t>Gas Utilities</w:t>
            </w:r>
          </w:p>
        </w:tc>
        <w:tc>
          <w:tcPr>
            <w:tcW w:w="6640" w:type="dxa"/>
            <w:vAlign w:val="bottom"/>
            <w:gridSpan w:val="19"/>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gridSpan w:val="2"/>
          </w:tcPr>
          <w:p>
            <w:pPr>
              <w:jc w:val="center"/>
              <w:ind w:right="680"/>
              <w:spacing w:after="0" w:line="162" w:lineRule="exact"/>
              <w:rPr>
                <w:sz w:val="20"/>
                <w:szCs w:val="20"/>
                <w:color w:val="auto"/>
              </w:rPr>
            </w:pPr>
            <w:r>
              <w:rPr>
                <w:rFonts w:ascii="Arial" w:cs="Arial" w:eastAsia="Arial" w:hAnsi="Arial"/>
                <w:sz w:val="16"/>
                <w:szCs w:val="16"/>
                <w:color w:val="0000FF"/>
                <w:w w:val="78"/>
              </w:rPr>
              <w:t>39</w:t>
            </w:r>
          </w:p>
        </w:tc>
        <w:tc>
          <w:tcPr>
            <w:tcW w:w="20" w:type="dxa"/>
            <w:vAlign w:val="bottom"/>
          </w:tcPr>
          <w:p>
            <w:pPr>
              <w:spacing w:after="0"/>
              <w:rPr>
                <w:sz w:val="14"/>
                <w:szCs w:val="14"/>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right w:val="single" w:sz="8" w:color="0000FF"/>
            </w:tcBorders>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2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120" w:type="dxa"/>
            <w:vAlign w:val="bottom"/>
            <w:tcBorders>
              <w:right w:val="single" w:sz="8" w:color="CFF0FC"/>
            </w:tcBorders>
            <w:shd w:val="clear" w:color="auto" w:fill="CFF0FC"/>
          </w:tcPr>
          <w:p>
            <w:pPr>
              <w:spacing w:after="0"/>
              <w:rPr>
                <w:sz w:val="14"/>
                <w:szCs w:val="14"/>
                <w:color w:val="auto"/>
              </w:rPr>
            </w:pPr>
          </w:p>
        </w:tc>
        <w:tc>
          <w:tcPr>
            <w:tcW w:w="7700" w:type="dxa"/>
            <w:vAlign w:val="bottom"/>
            <w:gridSpan w:val="26"/>
            <w:shd w:val="clear" w:color="auto" w:fill="CFF0FC"/>
          </w:tcPr>
          <w:p>
            <w:pPr>
              <w:spacing w:after="0" w:line="162" w:lineRule="exact"/>
              <w:rPr>
                <w:sz w:val="20"/>
                <w:szCs w:val="20"/>
                <w:color w:val="auto"/>
              </w:rPr>
            </w:pPr>
            <w:r>
              <w:rPr>
                <w:rFonts w:ascii="Arial" w:cs="Arial" w:eastAsia="Arial" w:hAnsi="Arial"/>
                <w:sz w:val="16"/>
                <w:szCs w:val="16"/>
                <w:color w:val="0000FF"/>
              </w:rPr>
              <w:t>Corporate and Other</w:t>
            </w:r>
          </w:p>
        </w:tc>
        <w:tc>
          <w:tcPr>
            <w:tcW w:w="1540" w:type="dxa"/>
            <w:vAlign w:val="bottom"/>
            <w:gridSpan w:val="3"/>
            <w:shd w:val="clear" w:color="auto" w:fill="CFF0FC"/>
          </w:tcPr>
          <w:p>
            <w:pPr>
              <w:jc w:val="center"/>
              <w:spacing w:after="0" w:line="162" w:lineRule="exact"/>
              <w:rPr>
                <w:sz w:val="20"/>
                <w:szCs w:val="20"/>
                <w:color w:val="auto"/>
              </w:rPr>
            </w:pPr>
            <w:r>
              <w:rPr>
                <w:rFonts w:ascii="Arial" w:cs="Arial" w:eastAsia="Arial" w:hAnsi="Arial"/>
                <w:sz w:val="16"/>
                <w:szCs w:val="16"/>
                <w:color w:val="0000FF"/>
              </w:rPr>
              <w:t>41</w:t>
            </w:r>
          </w:p>
        </w:tc>
        <w:tc>
          <w:tcPr>
            <w:tcW w:w="20" w:type="dxa"/>
            <w:vAlign w:val="bottom"/>
            <w:shd w:val="clear" w:color="auto" w:fill="CFF0FC"/>
          </w:tcPr>
          <w:p>
            <w:pPr>
              <w:spacing w:after="0"/>
              <w:rPr>
                <w:sz w:val="14"/>
                <w:szCs w:val="14"/>
                <w:color w:val="auto"/>
              </w:rPr>
            </w:pPr>
          </w:p>
        </w:tc>
      </w:tr>
      <w:tr>
        <w:trPr>
          <w:trHeight w:val="27"/>
        </w:trPr>
        <w:tc>
          <w:tcPr>
            <w:tcW w:w="20" w:type="dxa"/>
            <w:vAlign w:val="bottom"/>
            <w:shd w:val="clear" w:color="auto" w:fill="CFF0FC"/>
          </w:tcPr>
          <w:p>
            <w:pPr>
              <w:spacing w:after="0"/>
              <w:rPr>
                <w:sz w:val="2"/>
                <w:szCs w:val="2"/>
                <w:color w:val="auto"/>
              </w:rPr>
            </w:pPr>
          </w:p>
        </w:tc>
        <w:tc>
          <w:tcPr>
            <w:tcW w:w="7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160" w:type="dxa"/>
            <w:vAlign w:val="bottom"/>
            <w:tcBorders>
              <w:right w:val="single" w:sz="8" w:color="CFF0FC"/>
            </w:tcBorders>
            <w:shd w:val="clear" w:color="auto" w:fill="CFF0FC"/>
          </w:tcPr>
          <w:p>
            <w:pPr>
              <w:spacing w:after="0"/>
              <w:rPr>
                <w:sz w:val="2"/>
                <w:szCs w:val="2"/>
                <w:color w:val="auto"/>
              </w:rPr>
            </w:pPr>
          </w:p>
        </w:tc>
        <w:tc>
          <w:tcPr>
            <w:tcW w:w="120" w:type="dxa"/>
            <w:vAlign w:val="bottom"/>
            <w:tcBorders>
              <w:right w:val="single" w:sz="8" w:color="0000FF"/>
            </w:tcBorders>
            <w:shd w:val="clear" w:color="auto" w:fill="CFF0FC"/>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20" w:type="dxa"/>
            <w:vAlign w:val="bottom"/>
            <w:tcBorders>
              <w:left w:val="single" w:sz="8" w:color="0000FF"/>
              <w:right w:val="single" w:sz="8" w:color="CFF0FC"/>
            </w:tcBorders>
            <w:shd w:val="clear" w:color="auto" w:fill="0000FF"/>
          </w:tcPr>
          <w:p>
            <w:pPr>
              <w:spacing w:after="0"/>
              <w:rPr>
                <w:sz w:val="2"/>
                <w:szCs w:val="2"/>
                <w:color w:val="auto"/>
              </w:rPr>
            </w:pPr>
          </w:p>
        </w:tc>
        <w:tc>
          <w:tcPr>
            <w:tcW w:w="320" w:type="dxa"/>
            <w:vAlign w:val="bottom"/>
            <w:tcBorders>
              <w:right w:val="single" w:sz="8" w:color="CFF0FC"/>
            </w:tcBorders>
            <w:shd w:val="clear" w:color="auto" w:fill="CFF0FC"/>
          </w:tcPr>
          <w:p>
            <w:pPr>
              <w:spacing w:after="0"/>
              <w:rPr>
                <w:sz w:val="2"/>
                <w:szCs w:val="2"/>
                <w:color w:val="auto"/>
              </w:rPr>
            </w:pPr>
          </w:p>
        </w:tc>
        <w:tc>
          <w:tcPr>
            <w:tcW w:w="240" w:type="dxa"/>
            <w:vAlign w:val="bottom"/>
            <w:tcBorders>
              <w:left w:val="single" w:sz="8" w:color="CFF0FC"/>
              <w:right w:val="single" w:sz="8" w:color="CFF0FC"/>
            </w:tcBorders>
            <w:shd w:val="clear" w:color="auto" w:fill="CFF0FC"/>
          </w:tcPr>
          <w:p>
            <w:pPr>
              <w:spacing w:after="0"/>
              <w:rPr>
                <w:sz w:val="2"/>
                <w:szCs w:val="2"/>
                <w:color w:val="auto"/>
              </w:rPr>
            </w:pPr>
          </w:p>
        </w:tc>
        <w:tc>
          <w:tcPr>
            <w:tcW w:w="140" w:type="dxa"/>
            <w:vAlign w:val="bottom"/>
            <w:tcBorders>
              <w:right w:val="single" w:sz="8" w:color="CFF0FC"/>
            </w:tcBorders>
            <w:shd w:val="clear" w:color="auto" w:fill="CFF0FC"/>
          </w:tcPr>
          <w:p>
            <w:pPr>
              <w:spacing w:after="0"/>
              <w:rPr>
                <w:sz w:val="2"/>
                <w:szCs w:val="2"/>
                <w:color w:val="auto"/>
              </w:rPr>
            </w:pPr>
          </w:p>
        </w:tc>
        <w:tc>
          <w:tcPr>
            <w:tcW w:w="80" w:type="dxa"/>
            <w:vAlign w:val="bottom"/>
            <w:tcBorders>
              <w:left w:val="single" w:sz="8" w:color="CFF0FC"/>
            </w:tcBorders>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20" w:type="dxa"/>
            <w:vAlign w:val="bottom"/>
            <w:tcBorders>
              <w:left w:val="single" w:sz="8" w:color="CFF0FC"/>
            </w:tcBorders>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40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40" w:type="dxa"/>
            <w:vAlign w:val="bottom"/>
            <w:tcBorders>
              <w:left w:val="single" w:sz="8" w:color="CFF0FC"/>
            </w:tcBorders>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960" w:type="dxa"/>
            <w:vAlign w:val="bottom"/>
            <w:shd w:val="clear" w:color="auto" w:fill="CFF0FC"/>
          </w:tcPr>
          <w:p>
            <w:pPr>
              <w:spacing w:after="0"/>
              <w:rPr>
                <w:sz w:val="2"/>
                <w:szCs w:val="2"/>
                <w:color w:val="auto"/>
              </w:rPr>
            </w:pPr>
          </w:p>
        </w:tc>
        <w:tc>
          <w:tcPr>
            <w:tcW w:w="1600" w:type="dxa"/>
            <w:vAlign w:val="bottom"/>
            <w:shd w:val="clear" w:color="auto" w:fill="CFF0FC"/>
          </w:tcPr>
          <w:p>
            <w:pPr>
              <w:spacing w:after="0"/>
              <w:rPr>
                <w:sz w:val="2"/>
                <w:szCs w:val="2"/>
                <w:color w:val="auto"/>
              </w:rPr>
            </w:pPr>
          </w:p>
        </w:tc>
        <w:tc>
          <w:tcPr>
            <w:tcW w:w="720" w:type="dxa"/>
            <w:vAlign w:val="bottom"/>
            <w:tcBorders>
              <w:right w:val="single" w:sz="8" w:color="0000FF"/>
            </w:tcBorders>
            <w:shd w:val="clear" w:color="auto" w:fill="CFF0FC"/>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700" w:type="dxa"/>
            <w:vAlign w:val="bottom"/>
            <w:gridSpan w:val="26"/>
          </w:tcPr>
          <w:p>
            <w:pPr>
              <w:spacing w:after="0" w:line="162" w:lineRule="exact"/>
              <w:rPr>
                <w:sz w:val="20"/>
                <w:szCs w:val="20"/>
                <w:color w:val="auto"/>
              </w:rPr>
            </w:pPr>
            <w:r>
              <w:rPr>
                <w:rFonts w:ascii="Arial" w:cs="Arial" w:eastAsia="Arial" w:hAnsi="Arial"/>
                <w:sz w:val="16"/>
                <w:szCs w:val="16"/>
                <w:color w:val="0000FF"/>
              </w:rPr>
              <w:t>Consolidated Interest Expense, Other Income and Income Tax Expense</w:t>
            </w:r>
          </w:p>
        </w:tc>
        <w:tc>
          <w:tcPr>
            <w:tcW w:w="1540" w:type="dxa"/>
            <w:vAlign w:val="bottom"/>
            <w:gridSpan w:val="3"/>
          </w:tcPr>
          <w:p>
            <w:pPr>
              <w:jc w:val="center"/>
              <w:spacing w:after="0" w:line="162" w:lineRule="exact"/>
              <w:rPr>
                <w:sz w:val="20"/>
                <w:szCs w:val="20"/>
                <w:color w:val="auto"/>
              </w:rPr>
            </w:pPr>
            <w:r>
              <w:rPr>
                <w:rFonts w:ascii="Arial" w:cs="Arial" w:eastAsia="Arial" w:hAnsi="Arial"/>
                <w:sz w:val="16"/>
                <w:szCs w:val="16"/>
                <w:color w:val="0000FF"/>
              </w:rPr>
              <w:t>41</w:t>
            </w:r>
          </w:p>
        </w:tc>
        <w:tc>
          <w:tcPr>
            <w:tcW w:w="20" w:type="dxa"/>
            <w:vAlign w:val="bottom"/>
          </w:tcPr>
          <w:p>
            <w:pPr>
              <w:spacing w:after="0"/>
              <w:rPr>
                <w:sz w:val="14"/>
                <w:szCs w:val="14"/>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right w:val="single" w:sz="8" w:color="0000FF"/>
            </w:tcBorders>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20" w:type="dxa"/>
            <w:vAlign w:val="bottom"/>
            <w:tcBorders>
              <w:left w:val="single" w:sz="8" w:color="0000FF"/>
              <w:right w:val="single" w:sz="8" w:color="0000FF"/>
            </w:tcBorders>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240" w:type="dxa"/>
            <w:vAlign w:val="bottom"/>
            <w:tcBorders>
              <w:left w:val="single" w:sz="8" w:color="0000FF"/>
              <w:right w:val="single" w:sz="8" w:color="0000FF"/>
            </w:tcBorders>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20" w:type="dxa"/>
            <w:vAlign w:val="bottom"/>
            <w:tcBorders>
              <w:lef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060" w:type="dxa"/>
            <w:vAlign w:val="bottom"/>
            <w:shd w:val="clear" w:color="auto" w:fill="0000FF"/>
          </w:tcPr>
          <w:p>
            <w:pPr>
              <w:spacing w:after="0"/>
              <w:rPr>
                <w:sz w:val="2"/>
                <w:szCs w:val="2"/>
                <w:color w:val="auto"/>
              </w:rPr>
            </w:pPr>
          </w:p>
        </w:tc>
        <w:tc>
          <w:tcPr>
            <w:tcW w:w="9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2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7980" w:type="dxa"/>
            <w:vAlign w:val="bottom"/>
            <w:gridSpan w:val="28"/>
            <w:shd w:val="clear" w:color="auto" w:fill="CFF0FC"/>
          </w:tcPr>
          <w:p>
            <w:pPr>
              <w:ind w:left="100"/>
              <w:spacing w:after="0" w:line="162" w:lineRule="exact"/>
              <w:rPr>
                <w:sz w:val="20"/>
                <w:szCs w:val="20"/>
                <w:color w:val="auto"/>
              </w:rPr>
            </w:pPr>
            <w:r>
              <w:rPr>
                <w:rFonts w:ascii="Arial" w:cs="Arial" w:eastAsia="Arial" w:hAnsi="Arial"/>
                <w:sz w:val="16"/>
                <w:szCs w:val="16"/>
                <w:color w:val="0000FF"/>
              </w:rPr>
              <w:t>Liquidity and Capital Resources</w:t>
            </w:r>
          </w:p>
        </w:tc>
        <w:tc>
          <w:tcPr>
            <w:tcW w:w="1540" w:type="dxa"/>
            <w:vAlign w:val="bottom"/>
            <w:gridSpan w:val="3"/>
            <w:shd w:val="clear" w:color="auto" w:fill="CFF0FC"/>
          </w:tcPr>
          <w:p>
            <w:pPr>
              <w:jc w:val="center"/>
              <w:spacing w:after="0" w:line="162" w:lineRule="exact"/>
              <w:rPr>
                <w:sz w:val="20"/>
                <w:szCs w:val="20"/>
                <w:color w:val="auto"/>
              </w:rPr>
            </w:pPr>
            <w:r>
              <w:rPr>
                <w:rFonts w:ascii="Arial" w:cs="Arial" w:eastAsia="Arial" w:hAnsi="Arial"/>
                <w:sz w:val="16"/>
                <w:szCs w:val="16"/>
                <w:color w:val="0000FF"/>
              </w:rPr>
              <w:t>42</w:t>
            </w:r>
          </w:p>
        </w:tc>
        <w:tc>
          <w:tcPr>
            <w:tcW w:w="20" w:type="dxa"/>
            <w:vAlign w:val="bottom"/>
            <w:shd w:val="clear" w:color="auto" w:fill="CFF0FC"/>
          </w:tcPr>
          <w:p>
            <w:pPr>
              <w:spacing w:after="0"/>
              <w:rPr>
                <w:sz w:val="14"/>
                <w:szCs w:val="14"/>
                <w:color w:val="auto"/>
              </w:rPr>
            </w:pPr>
          </w:p>
        </w:tc>
      </w:tr>
      <w:tr>
        <w:trPr>
          <w:trHeight w:val="27"/>
        </w:trPr>
        <w:tc>
          <w:tcPr>
            <w:tcW w:w="20" w:type="dxa"/>
            <w:vAlign w:val="bottom"/>
            <w:shd w:val="clear" w:color="auto" w:fill="CFF0FC"/>
          </w:tcPr>
          <w:p>
            <w:pPr>
              <w:spacing w:after="0"/>
              <w:rPr>
                <w:sz w:val="2"/>
                <w:szCs w:val="2"/>
                <w:color w:val="auto"/>
              </w:rPr>
            </w:pPr>
          </w:p>
        </w:tc>
        <w:tc>
          <w:tcPr>
            <w:tcW w:w="7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160" w:type="dxa"/>
            <w:vAlign w:val="bottom"/>
            <w:tcBorders>
              <w:right w:val="single" w:sz="8" w:color="0000FF"/>
            </w:tcBorders>
            <w:shd w:val="clear" w:color="auto" w:fill="CFF0FC"/>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20" w:type="dxa"/>
            <w:vAlign w:val="bottom"/>
            <w:tcBorders>
              <w:left w:val="single" w:sz="8" w:color="0000FF"/>
              <w:right w:val="single" w:sz="8" w:color="0000FF"/>
            </w:tcBorders>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240" w:type="dxa"/>
            <w:vAlign w:val="bottom"/>
            <w:tcBorders>
              <w:left w:val="single" w:sz="8" w:color="0000FF"/>
              <w:right w:val="single" w:sz="8" w:color="0000FF"/>
            </w:tcBorders>
            <w:shd w:val="clear" w:color="auto" w:fill="0000FF"/>
          </w:tcPr>
          <w:p>
            <w:pPr>
              <w:spacing w:after="0"/>
              <w:rPr>
                <w:sz w:val="2"/>
                <w:szCs w:val="2"/>
                <w:color w:val="auto"/>
              </w:rPr>
            </w:pPr>
          </w:p>
        </w:tc>
        <w:tc>
          <w:tcPr>
            <w:tcW w:w="140" w:type="dxa"/>
            <w:vAlign w:val="bottom"/>
            <w:tcBorders>
              <w:right w:val="single" w:sz="8" w:color="CFF0FC"/>
            </w:tcBorders>
            <w:shd w:val="clear" w:color="auto" w:fill="CFF0FC"/>
          </w:tcPr>
          <w:p>
            <w:pPr>
              <w:spacing w:after="0"/>
              <w:rPr>
                <w:sz w:val="2"/>
                <w:szCs w:val="2"/>
                <w:color w:val="auto"/>
              </w:rPr>
            </w:pPr>
          </w:p>
        </w:tc>
        <w:tc>
          <w:tcPr>
            <w:tcW w:w="80" w:type="dxa"/>
            <w:vAlign w:val="bottom"/>
            <w:tcBorders>
              <w:left w:val="single" w:sz="8" w:color="CFF0FC"/>
            </w:tcBorders>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20" w:type="dxa"/>
            <w:vAlign w:val="bottom"/>
            <w:tcBorders>
              <w:left w:val="single" w:sz="8" w:color="CFF0FC"/>
            </w:tcBorders>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40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40" w:type="dxa"/>
            <w:vAlign w:val="bottom"/>
            <w:tcBorders>
              <w:left w:val="single" w:sz="8" w:color="CFF0FC"/>
            </w:tcBorders>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960" w:type="dxa"/>
            <w:vAlign w:val="bottom"/>
            <w:shd w:val="clear" w:color="auto" w:fill="CFF0FC"/>
          </w:tcPr>
          <w:p>
            <w:pPr>
              <w:spacing w:after="0"/>
              <w:rPr>
                <w:sz w:val="2"/>
                <w:szCs w:val="2"/>
                <w:color w:val="auto"/>
              </w:rPr>
            </w:pPr>
          </w:p>
        </w:tc>
        <w:tc>
          <w:tcPr>
            <w:tcW w:w="1600" w:type="dxa"/>
            <w:vAlign w:val="bottom"/>
            <w:shd w:val="clear" w:color="auto" w:fill="CFF0FC"/>
          </w:tcPr>
          <w:p>
            <w:pPr>
              <w:spacing w:after="0"/>
              <w:rPr>
                <w:sz w:val="2"/>
                <w:szCs w:val="2"/>
                <w:color w:val="auto"/>
              </w:rPr>
            </w:pPr>
          </w:p>
        </w:tc>
        <w:tc>
          <w:tcPr>
            <w:tcW w:w="720" w:type="dxa"/>
            <w:vAlign w:val="bottom"/>
            <w:tcBorders>
              <w:right w:val="single" w:sz="8" w:color="0000FF"/>
            </w:tcBorders>
            <w:shd w:val="clear" w:color="auto" w:fill="CFF0FC"/>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10"/>
          </w:tcPr>
          <w:p>
            <w:pPr>
              <w:spacing w:after="0" w:line="162" w:lineRule="exact"/>
              <w:rPr>
                <w:sz w:val="20"/>
                <w:szCs w:val="20"/>
                <w:color w:val="auto"/>
              </w:rPr>
            </w:pPr>
            <w:r>
              <w:rPr>
                <w:rFonts w:ascii="Arial" w:cs="Arial" w:eastAsia="Arial" w:hAnsi="Arial"/>
                <w:sz w:val="16"/>
                <w:szCs w:val="16"/>
                <w:color w:val="0000FF"/>
                <w:w w:val="93"/>
              </w:rPr>
              <w:t>Cash Flow Activities</w:t>
            </w:r>
          </w:p>
        </w:tc>
        <w:tc>
          <w:tcPr>
            <w:tcW w:w="780" w:type="dxa"/>
            <w:vAlign w:val="bottom"/>
            <w:gridSpan w:val="3"/>
          </w:tcPr>
          <w:p>
            <w:pPr>
              <w:spacing w:after="0"/>
              <w:rPr>
                <w:sz w:val="14"/>
                <w:szCs w:val="14"/>
                <w:color w:val="auto"/>
              </w:rPr>
            </w:pPr>
          </w:p>
        </w:tc>
        <w:tc>
          <w:tcPr>
            <w:tcW w:w="5540" w:type="dxa"/>
            <w:vAlign w:val="bottom"/>
            <w:gridSpan w:val="13"/>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gridSpan w:val="2"/>
          </w:tcPr>
          <w:p>
            <w:pPr>
              <w:jc w:val="center"/>
              <w:ind w:right="680"/>
              <w:spacing w:after="0" w:line="162" w:lineRule="exact"/>
              <w:rPr>
                <w:sz w:val="20"/>
                <w:szCs w:val="20"/>
                <w:color w:val="auto"/>
              </w:rPr>
            </w:pPr>
            <w:r>
              <w:rPr>
                <w:rFonts w:ascii="Arial" w:cs="Arial" w:eastAsia="Arial" w:hAnsi="Arial"/>
                <w:sz w:val="16"/>
                <w:szCs w:val="16"/>
                <w:color w:val="0000FF"/>
                <w:w w:val="78"/>
              </w:rPr>
              <w:t>42</w:t>
            </w:r>
          </w:p>
        </w:tc>
        <w:tc>
          <w:tcPr>
            <w:tcW w:w="20" w:type="dxa"/>
            <w:vAlign w:val="bottom"/>
          </w:tcPr>
          <w:p>
            <w:pPr>
              <w:spacing w:after="0"/>
              <w:rPr>
                <w:sz w:val="14"/>
                <w:szCs w:val="14"/>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right w:val="single" w:sz="8" w:color="0000FF"/>
            </w:tcBorders>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20" w:type="dxa"/>
            <w:vAlign w:val="bottom"/>
            <w:tcBorders>
              <w:left w:val="single" w:sz="8" w:color="0000FF"/>
            </w:tcBorders>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2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120" w:type="dxa"/>
            <w:vAlign w:val="bottom"/>
            <w:tcBorders>
              <w:right w:val="single" w:sz="8" w:color="CFF0FC"/>
            </w:tcBorders>
            <w:shd w:val="clear" w:color="auto" w:fill="CFF0FC"/>
          </w:tcPr>
          <w:p>
            <w:pPr>
              <w:spacing w:after="0"/>
              <w:rPr>
                <w:sz w:val="14"/>
                <w:szCs w:val="14"/>
                <w:color w:val="auto"/>
              </w:rPr>
            </w:pPr>
          </w:p>
        </w:tc>
        <w:tc>
          <w:tcPr>
            <w:tcW w:w="1380" w:type="dxa"/>
            <w:vAlign w:val="bottom"/>
            <w:gridSpan w:val="10"/>
            <w:shd w:val="clear" w:color="auto" w:fill="CFF0FC"/>
          </w:tcPr>
          <w:p>
            <w:pPr>
              <w:spacing w:after="0" w:line="162" w:lineRule="exact"/>
              <w:rPr>
                <w:sz w:val="20"/>
                <w:szCs w:val="20"/>
                <w:color w:val="auto"/>
              </w:rPr>
            </w:pPr>
            <w:r>
              <w:rPr>
                <w:rFonts w:ascii="Arial" w:cs="Arial" w:eastAsia="Arial" w:hAnsi="Arial"/>
                <w:sz w:val="16"/>
                <w:szCs w:val="16"/>
                <w:color w:val="0000FF"/>
              </w:rPr>
              <w:t>Capital Resources</w:t>
            </w:r>
          </w:p>
        </w:tc>
        <w:tc>
          <w:tcPr>
            <w:tcW w:w="6320" w:type="dxa"/>
            <w:vAlign w:val="bottom"/>
            <w:tcBorders>
              <w:left w:val="single" w:sz="8" w:color="CFF0FC"/>
            </w:tcBorders>
            <w:gridSpan w:val="16"/>
            <w:shd w:val="clear" w:color="auto" w:fill="CFF0FC"/>
          </w:tcPr>
          <w:p>
            <w:pPr>
              <w:spacing w:after="0"/>
              <w:rPr>
                <w:sz w:val="14"/>
                <w:szCs w:val="14"/>
                <w:color w:val="auto"/>
              </w:rPr>
            </w:pPr>
          </w:p>
        </w:tc>
        <w:tc>
          <w:tcPr>
            <w:tcW w:w="720" w:type="dxa"/>
            <w:vAlign w:val="bottom"/>
            <w:tcBorders>
              <w:right w:val="single" w:sz="8" w:color="CFF0FC"/>
            </w:tcBorders>
            <w:shd w:val="clear" w:color="auto" w:fill="CFF0FC"/>
          </w:tcPr>
          <w:p>
            <w:pPr>
              <w:spacing w:after="0"/>
              <w:rPr>
                <w:sz w:val="14"/>
                <w:szCs w:val="14"/>
                <w:color w:val="auto"/>
              </w:rPr>
            </w:pPr>
          </w:p>
        </w:tc>
        <w:tc>
          <w:tcPr>
            <w:tcW w:w="820" w:type="dxa"/>
            <w:vAlign w:val="bottom"/>
            <w:gridSpan w:val="2"/>
            <w:shd w:val="clear" w:color="auto" w:fill="CFF0FC"/>
          </w:tcPr>
          <w:p>
            <w:pPr>
              <w:jc w:val="center"/>
              <w:ind w:right="680"/>
              <w:spacing w:after="0" w:line="162" w:lineRule="exact"/>
              <w:rPr>
                <w:sz w:val="20"/>
                <w:szCs w:val="20"/>
                <w:color w:val="auto"/>
              </w:rPr>
            </w:pPr>
            <w:r>
              <w:rPr>
                <w:rFonts w:ascii="Arial" w:cs="Arial" w:eastAsia="Arial" w:hAnsi="Arial"/>
                <w:sz w:val="16"/>
                <w:szCs w:val="16"/>
                <w:color w:val="0000FF"/>
                <w:w w:val="78"/>
              </w:rPr>
              <w:t>44</w:t>
            </w:r>
          </w:p>
        </w:tc>
        <w:tc>
          <w:tcPr>
            <w:tcW w:w="20" w:type="dxa"/>
            <w:vAlign w:val="bottom"/>
            <w:shd w:val="clear" w:color="auto" w:fill="CFF0FC"/>
          </w:tcPr>
          <w:p>
            <w:pPr>
              <w:spacing w:after="0"/>
              <w:rPr>
                <w:sz w:val="14"/>
                <w:szCs w:val="14"/>
                <w:color w:val="auto"/>
              </w:rPr>
            </w:pPr>
          </w:p>
        </w:tc>
      </w:tr>
      <w:tr>
        <w:trPr>
          <w:trHeight w:val="27"/>
        </w:trPr>
        <w:tc>
          <w:tcPr>
            <w:tcW w:w="20" w:type="dxa"/>
            <w:vAlign w:val="bottom"/>
            <w:shd w:val="clear" w:color="auto" w:fill="CFF0FC"/>
          </w:tcPr>
          <w:p>
            <w:pPr>
              <w:spacing w:after="0"/>
              <w:rPr>
                <w:sz w:val="2"/>
                <w:szCs w:val="2"/>
                <w:color w:val="auto"/>
              </w:rPr>
            </w:pPr>
          </w:p>
        </w:tc>
        <w:tc>
          <w:tcPr>
            <w:tcW w:w="7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160" w:type="dxa"/>
            <w:vAlign w:val="bottom"/>
            <w:tcBorders>
              <w:right w:val="single" w:sz="8" w:color="CFF0FC"/>
            </w:tcBorders>
            <w:shd w:val="clear" w:color="auto" w:fill="CFF0FC"/>
          </w:tcPr>
          <w:p>
            <w:pPr>
              <w:spacing w:after="0"/>
              <w:rPr>
                <w:sz w:val="2"/>
                <w:szCs w:val="2"/>
                <w:color w:val="auto"/>
              </w:rPr>
            </w:pPr>
          </w:p>
        </w:tc>
        <w:tc>
          <w:tcPr>
            <w:tcW w:w="120" w:type="dxa"/>
            <w:vAlign w:val="bottom"/>
            <w:tcBorders>
              <w:right w:val="single" w:sz="8" w:color="0000FF"/>
            </w:tcBorders>
            <w:shd w:val="clear" w:color="auto" w:fill="CFF0FC"/>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220" w:type="dxa"/>
            <w:vAlign w:val="bottom"/>
            <w:tcBorders>
              <w:left w:val="single" w:sz="8" w:color="CFF0FC"/>
              <w:right w:val="single" w:sz="8" w:color="CFF0FC"/>
            </w:tcBorders>
            <w:shd w:val="clear" w:color="auto" w:fill="CFF0FC"/>
          </w:tcPr>
          <w:p>
            <w:pPr>
              <w:spacing w:after="0"/>
              <w:rPr>
                <w:sz w:val="2"/>
                <w:szCs w:val="2"/>
                <w:color w:val="auto"/>
              </w:rPr>
            </w:pPr>
          </w:p>
        </w:tc>
        <w:tc>
          <w:tcPr>
            <w:tcW w:w="320" w:type="dxa"/>
            <w:vAlign w:val="bottom"/>
            <w:tcBorders>
              <w:right w:val="single" w:sz="8" w:color="CFF0FC"/>
            </w:tcBorders>
            <w:shd w:val="clear" w:color="auto" w:fill="CFF0FC"/>
          </w:tcPr>
          <w:p>
            <w:pPr>
              <w:spacing w:after="0"/>
              <w:rPr>
                <w:sz w:val="2"/>
                <w:szCs w:val="2"/>
                <w:color w:val="auto"/>
              </w:rPr>
            </w:pPr>
          </w:p>
        </w:tc>
        <w:tc>
          <w:tcPr>
            <w:tcW w:w="240" w:type="dxa"/>
            <w:vAlign w:val="bottom"/>
            <w:tcBorders>
              <w:left w:val="single" w:sz="8" w:color="CFF0FC"/>
              <w:right w:val="single" w:sz="8" w:color="CFF0FC"/>
            </w:tcBorders>
            <w:shd w:val="clear" w:color="auto" w:fill="CFF0FC"/>
          </w:tcPr>
          <w:p>
            <w:pPr>
              <w:spacing w:after="0"/>
              <w:rPr>
                <w:sz w:val="2"/>
                <w:szCs w:val="2"/>
                <w:color w:val="auto"/>
              </w:rPr>
            </w:pPr>
          </w:p>
        </w:tc>
        <w:tc>
          <w:tcPr>
            <w:tcW w:w="140" w:type="dxa"/>
            <w:vAlign w:val="bottom"/>
            <w:tcBorders>
              <w:right w:val="single" w:sz="8" w:color="CFF0FC"/>
            </w:tcBorders>
            <w:shd w:val="clear" w:color="auto" w:fill="CFF0FC"/>
          </w:tcPr>
          <w:p>
            <w:pPr>
              <w:spacing w:after="0"/>
              <w:rPr>
                <w:sz w:val="2"/>
                <w:szCs w:val="2"/>
                <w:color w:val="auto"/>
              </w:rPr>
            </w:pPr>
          </w:p>
        </w:tc>
        <w:tc>
          <w:tcPr>
            <w:tcW w:w="80" w:type="dxa"/>
            <w:vAlign w:val="bottom"/>
            <w:tcBorders>
              <w:left w:val="single" w:sz="8" w:color="CFF0FC"/>
            </w:tcBorders>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20" w:type="dxa"/>
            <w:vAlign w:val="bottom"/>
            <w:tcBorders>
              <w:left w:val="single" w:sz="8" w:color="CFF0FC"/>
            </w:tcBorders>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40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40" w:type="dxa"/>
            <w:vAlign w:val="bottom"/>
            <w:tcBorders>
              <w:left w:val="single" w:sz="8" w:color="CFF0FC"/>
            </w:tcBorders>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960" w:type="dxa"/>
            <w:vAlign w:val="bottom"/>
            <w:shd w:val="clear" w:color="auto" w:fill="CFF0FC"/>
          </w:tcPr>
          <w:p>
            <w:pPr>
              <w:spacing w:after="0"/>
              <w:rPr>
                <w:sz w:val="2"/>
                <w:szCs w:val="2"/>
                <w:color w:val="auto"/>
              </w:rPr>
            </w:pPr>
          </w:p>
        </w:tc>
        <w:tc>
          <w:tcPr>
            <w:tcW w:w="1600" w:type="dxa"/>
            <w:vAlign w:val="bottom"/>
            <w:shd w:val="clear" w:color="auto" w:fill="CFF0FC"/>
          </w:tcPr>
          <w:p>
            <w:pPr>
              <w:spacing w:after="0"/>
              <w:rPr>
                <w:sz w:val="2"/>
                <w:szCs w:val="2"/>
                <w:color w:val="auto"/>
              </w:rPr>
            </w:pPr>
          </w:p>
        </w:tc>
        <w:tc>
          <w:tcPr>
            <w:tcW w:w="720" w:type="dxa"/>
            <w:vAlign w:val="bottom"/>
            <w:tcBorders>
              <w:right w:val="single" w:sz="8" w:color="0000FF"/>
            </w:tcBorders>
            <w:shd w:val="clear" w:color="auto" w:fill="CFF0FC"/>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9"/>
          </w:tcPr>
          <w:p>
            <w:pPr>
              <w:spacing w:after="0" w:line="162" w:lineRule="exact"/>
              <w:rPr>
                <w:sz w:val="20"/>
                <w:szCs w:val="20"/>
                <w:color w:val="auto"/>
              </w:rPr>
            </w:pPr>
            <w:r>
              <w:rPr>
                <w:rFonts w:ascii="Arial" w:cs="Arial" w:eastAsia="Arial" w:hAnsi="Arial"/>
                <w:sz w:val="16"/>
                <w:szCs w:val="16"/>
                <w:color w:val="0000FF"/>
              </w:rPr>
              <w:t>Credit Ratings</w:t>
            </w:r>
          </w:p>
        </w:tc>
        <w:tc>
          <w:tcPr>
            <w:tcW w:w="6400" w:type="dxa"/>
            <w:vAlign w:val="bottom"/>
            <w:gridSpan w:val="17"/>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gridSpan w:val="2"/>
          </w:tcPr>
          <w:p>
            <w:pPr>
              <w:jc w:val="center"/>
              <w:ind w:right="680"/>
              <w:spacing w:after="0" w:line="162" w:lineRule="exact"/>
              <w:rPr>
                <w:sz w:val="20"/>
                <w:szCs w:val="20"/>
                <w:color w:val="auto"/>
              </w:rPr>
            </w:pPr>
            <w:r>
              <w:rPr>
                <w:rFonts w:ascii="Arial" w:cs="Arial" w:eastAsia="Arial" w:hAnsi="Arial"/>
                <w:sz w:val="16"/>
                <w:szCs w:val="16"/>
                <w:color w:val="0000FF"/>
                <w:w w:val="78"/>
              </w:rPr>
              <w:t>44</w:t>
            </w:r>
          </w:p>
        </w:tc>
        <w:tc>
          <w:tcPr>
            <w:tcW w:w="20" w:type="dxa"/>
            <w:vAlign w:val="bottom"/>
          </w:tcPr>
          <w:p>
            <w:pPr>
              <w:spacing w:after="0"/>
              <w:rPr>
                <w:sz w:val="14"/>
                <w:szCs w:val="14"/>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right w:val="single" w:sz="8" w:color="0000FF"/>
            </w:tcBorders>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2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120" w:type="dxa"/>
            <w:vAlign w:val="bottom"/>
            <w:tcBorders>
              <w:right w:val="single" w:sz="8" w:color="CFF0FC"/>
            </w:tcBorders>
            <w:shd w:val="clear" w:color="auto" w:fill="CFF0FC"/>
          </w:tcPr>
          <w:p>
            <w:pPr>
              <w:spacing w:after="0"/>
              <w:rPr>
                <w:sz w:val="14"/>
                <w:szCs w:val="14"/>
                <w:color w:val="auto"/>
              </w:rPr>
            </w:pPr>
          </w:p>
        </w:tc>
        <w:tc>
          <w:tcPr>
            <w:tcW w:w="1600" w:type="dxa"/>
            <w:vAlign w:val="bottom"/>
            <w:tcBorders>
              <w:right w:val="single" w:sz="8" w:color="CFF0FC"/>
            </w:tcBorders>
            <w:gridSpan w:val="11"/>
            <w:shd w:val="clear" w:color="auto" w:fill="CFF0FC"/>
          </w:tcPr>
          <w:p>
            <w:pPr>
              <w:spacing w:after="0" w:line="162" w:lineRule="exact"/>
              <w:rPr>
                <w:sz w:val="20"/>
                <w:szCs w:val="20"/>
                <w:color w:val="auto"/>
              </w:rPr>
            </w:pPr>
            <w:r>
              <w:rPr>
                <w:rFonts w:ascii="Arial" w:cs="Arial" w:eastAsia="Arial" w:hAnsi="Arial"/>
                <w:sz w:val="16"/>
                <w:szCs w:val="16"/>
                <w:color w:val="0000FF"/>
              </w:rPr>
              <w:t>Capital Requirements</w:t>
            </w:r>
          </w:p>
        </w:tc>
        <w:tc>
          <w:tcPr>
            <w:tcW w:w="6100" w:type="dxa"/>
            <w:vAlign w:val="bottom"/>
            <w:gridSpan w:val="15"/>
            <w:shd w:val="clear" w:color="auto" w:fill="CFF0FC"/>
          </w:tcPr>
          <w:p>
            <w:pPr>
              <w:spacing w:after="0"/>
              <w:rPr>
                <w:sz w:val="14"/>
                <w:szCs w:val="14"/>
                <w:color w:val="auto"/>
              </w:rPr>
            </w:pPr>
          </w:p>
        </w:tc>
        <w:tc>
          <w:tcPr>
            <w:tcW w:w="720" w:type="dxa"/>
            <w:vAlign w:val="bottom"/>
            <w:tcBorders>
              <w:right w:val="single" w:sz="8" w:color="CFF0FC"/>
            </w:tcBorders>
            <w:shd w:val="clear" w:color="auto" w:fill="CFF0FC"/>
          </w:tcPr>
          <w:p>
            <w:pPr>
              <w:spacing w:after="0"/>
              <w:rPr>
                <w:sz w:val="14"/>
                <w:szCs w:val="14"/>
                <w:color w:val="auto"/>
              </w:rPr>
            </w:pPr>
          </w:p>
        </w:tc>
        <w:tc>
          <w:tcPr>
            <w:tcW w:w="820" w:type="dxa"/>
            <w:vAlign w:val="bottom"/>
            <w:gridSpan w:val="2"/>
            <w:shd w:val="clear" w:color="auto" w:fill="CFF0FC"/>
          </w:tcPr>
          <w:p>
            <w:pPr>
              <w:jc w:val="center"/>
              <w:ind w:right="680"/>
              <w:spacing w:after="0" w:line="162" w:lineRule="exact"/>
              <w:rPr>
                <w:sz w:val="20"/>
                <w:szCs w:val="20"/>
                <w:color w:val="auto"/>
              </w:rPr>
            </w:pPr>
            <w:r>
              <w:rPr>
                <w:rFonts w:ascii="Arial" w:cs="Arial" w:eastAsia="Arial" w:hAnsi="Arial"/>
                <w:sz w:val="16"/>
                <w:szCs w:val="16"/>
                <w:color w:val="0000FF"/>
                <w:w w:val="78"/>
              </w:rPr>
              <w:t>44</w:t>
            </w:r>
          </w:p>
        </w:tc>
        <w:tc>
          <w:tcPr>
            <w:tcW w:w="20" w:type="dxa"/>
            <w:vAlign w:val="bottom"/>
            <w:shd w:val="clear" w:color="auto" w:fill="CFF0FC"/>
          </w:tcPr>
          <w:p>
            <w:pPr>
              <w:spacing w:after="0"/>
              <w:rPr>
                <w:sz w:val="14"/>
                <w:szCs w:val="14"/>
                <w:color w:val="auto"/>
              </w:rPr>
            </w:pPr>
          </w:p>
        </w:tc>
      </w:tr>
      <w:tr>
        <w:trPr>
          <w:trHeight w:val="27"/>
        </w:trPr>
        <w:tc>
          <w:tcPr>
            <w:tcW w:w="20" w:type="dxa"/>
            <w:vAlign w:val="bottom"/>
            <w:shd w:val="clear" w:color="auto" w:fill="CFF0FC"/>
          </w:tcPr>
          <w:p>
            <w:pPr>
              <w:spacing w:after="0"/>
              <w:rPr>
                <w:sz w:val="2"/>
                <w:szCs w:val="2"/>
                <w:color w:val="auto"/>
              </w:rPr>
            </w:pPr>
          </w:p>
        </w:tc>
        <w:tc>
          <w:tcPr>
            <w:tcW w:w="7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160" w:type="dxa"/>
            <w:vAlign w:val="bottom"/>
            <w:tcBorders>
              <w:right w:val="single" w:sz="8" w:color="CFF0FC"/>
            </w:tcBorders>
            <w:shd w:val="clear" w:color="auto" w:fill="CFF0FC"/>
          </w:tcPr>
          <w:p>
            <w:pPr>
              <w:spacing w:after="0"/>
              <w:rPr>
                <w:sz w:val="2"/>
                <w:szCs w:val="2"/>
                <w:color w:val="auto"/>
              </w:rPr>
            </w:pPr>
          </w:p>
        </w:tc>
        <w:tc>
          <w:tcPr>
            <w:tcW w:w="120" w:type="dxa"/>
            <w:vAlign w:val="bottom"/>
            <w:tcBorders>
              <w:right w:val="single" w:sz="8" w:color="0000FF"/>
            </w:tcBorders>
            <w:shd w:val="clear" w:color="auto" w:fill="CFF0FC"/>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20" w:type="dxa"/>
            <w:vAlign w:val="bottom"/>
            <w:tcBorders>
              <w:left w:val="single" w:sz="8" w:color="0000FF"/>
              <w:right w:val="single" w:sz="8" w:color="0000FF"/>
            </w:tcBorders>
            <w:shd w:val="clear" w:color="auto" w:fill="0000FF"/>
          </w:tcPr>
          <w:p>
            <w:pPr>
              <w:spacing w:after="0"/>
              <w:rPr>
                <w:sz w:val="2"/>
                <w:szCs w:val="2"/>
                <w:color w:val="auto"/>
              </w:rPr>
            </w:pPr>
          </w:p>
        </w:tc>
        <w:tc>
          <w:tcPr>
            <w:tcW w:w="320" w:type="dxa"/>
            <w:vAlign w:val="bottom"/>
            <w:tcBorders>
              <w:right w:val="single" w:sz="8" w:color="CFF0FC"/>
            </w:tcBorders>
            <w:shd w:val="clear" w:color="auto" w:fill="CFF0FC"/>
          </w:tcPr>
          <w:p>
            <w:pPr>
              <w:spacing w:after="0"/>
              <w:rPr>
                <w:sz w:val="2"/>
                <w:szCs w:val="2"/>
                <w:color w:val="auto"/>
              </w:rPr>
            </w:pPr>
          </w:p>
        </w:tc>
        <w:tc>
          <w:tcPr>
            <w:tcW w:w="240" w:type="dxa"/>
            <w:vAlign w:val="bottom"/>
            <w:tcBorders>
              <w:left w:val="single" w:sz="8" w:color="CFF0FC"/>
              <w:right w:val="single" w:sz="8" w:color="CFF0FC"/>
            </w:tcBorders>
            <w:shd w:val="clear" w:color="auto" w:fill="CFF0FC"/>
          </w:tcPr>
          <w:p>
            <w:pPr>
              <w:spacing w:after="0"/>
              <w:rPr>
                <w:sz w:val="2"/>
                <w:szCs w:val="2"/>
                <w:color w:val="auto"/>
              </w:rPr>
            </w:pPr>
          </w:p>
        </w:tc>
        <w:tc>
          <w:tcPr>
            <w:tcW w:w="140" w:type="dxa"/>
            <w:vAlign w:val="bottom"/>
            <w:tcBorders>
              <w:right w:val="single" w:sz="8" w:color="CFF0FC"/>
            </w:tcBorders>
            <w:shd w:val="clear" w:color="auto" w:fill="CFF0FC"/>
          </w:tcPr>
          <w:p>
            <w:pPr>
              <w:spacing w:after="0"/>
              <w:rPr>
                <w:sz w:val="2"/>
                <w:szCs w:val="2"/>
                <w:color w:val="auto"/>
              </w:rPr>
            </w:pPr>
          </w:p>
        </w:tc>
        <w:tc>
          <w:tcPr>
            <w:tcW w:w="80" w:type="dxa"/>
            <w:vAlign w:val="bottom"/>
            <w:tcBorders>
              <w:left w:val="single" w:sz="8" w:color="CFF0FC"/>
            </w:tcBorders>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20" w:type="dxa"/>
            <w:vAlign w:val="bottom"/>
            <w:tcBorders>
              <w:left w:val="single" w:sz="8" w:color="CFF0FC"/>
            </w:tcBorders>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40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40" w:type="dxa"/>
            <w:vAlign w:val="bottom"/>
            <w:tcBorders>
              <w:left w:val="single" w:sz="8" w:color="CFF0FC"/>
            </w:tcBorders>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960" w:type="dxa"/>
            <w:vAlign w:val="bottom"/>
            <w:shd w:val="clear" w:color="auto" w:fill="CFF0FC"/>
          </w:tcPr>
          <w:p>
            <w:pPr>
              <w:spacing w:after="0"/>
              <w:rPr>
                <w:sz w:val="2"/>
                <w:szCs w:val="2"/>
                <w:color w:val="auto"/>
              </w:rPr>
            </w:pPr>
          </w:p>
        </w:tc>
        <w:tc>
          <w:tcPr>
            <w:tcW w:w="1600" w:type="dxa"/>
            <w:vAlign w:val="bottom"/>
            <w:shd w:val="clear" w:color="auto" w:fill="CFF0FC"/>
          </w:tcPr>
          <w:p>
            <w:pPr>
              <w:spacing w:after="0"/>
              <w:rPr>
                <w:sz w:val="2"/>
                <w:szCs w:val="2"/>
                <w:color w:val="auto"/>
              </w:rPr>
            </w:pPr>
          </w:p>
        </w:tc>
        <w:tc>
          <w:tcPr>
            <w:tcW w:w="720" w:type="dxa"/>
            <w:vAlign w:val="bottom"/>
            <w:tcBorders>
              <w:right w:val="single" w:sz="8" w:color="0000FF"/>
            </w:tcBorders>
            <w:shd w:val="clear" w:color="auto" w:fill="CFF0FC"/>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980" w:type="dxa"/>
            <w:vAlign w:val="bottom"/>
            <w:gridSpan w:val="28"/>
          </w:tcPr>
          <w:p>
            <w:pPr>
              <w:ind w:left="100"/>
              <w:spacing w:after="0" w:line="162" w:lineRule="exact"/>
              <w:rPr>
                <w:sz w:val="20"/>
                <w:szCs w:val="20"/>
                <w:color w:val="auto"/>
              </w:rPr>
            </w:pPr>
            <w:r>
              <w:rPr>
                <w:rFonts w:ascii="Arial" w:cs="Arial" w:eastAsia="Arial" w:hAnsi="Arial"/>
                <w:sz w:val="16"/>
                <w:szCs w:val="16"/>
                <w:color w:val="0000FF"/>
              </w:rPr>
              <w:t>Critical Accounting Estimates</w:t>
            </w:r>
          </w:p>
        </w:tc>
        <w:tc>
          <w:tcPr>
            <w:tcW w:w="1540" w:type="dxa"/>
            <w:vAlign w:val="bottom"/>
            <w:gridSpan w:val="3"/>
          </w:tcPr>
          <w:p>
            <w:pPr>
              <w:jc w:val="center"/>
              <w:spacing w:after="0" w:line="162" w:lineRule="exact"/>
              <w:rPr>
                <w:sz w:val="20"/>
                <w:szCs w:val="20"/>
                <w:color w:val="auto"/>
              </w:rPr>
            </w:pPr>
            <w:r>
              <w:rPr>
                <w:rFonts w:ascii="Arial" w:cs="Arial" w:eastAsia="Arial" w:hAnsi="Arial"/>
                <w:sz w:val="16"/>
                <w:szCs w:val="16"/>
                <w:color w:val="0000FF"/>
              </w:rPr>
              <w:t>45</w:t>
            </w:r>
          </w:p>
        </w:tc>
        <w:tc>
          <w:tcPr>
            <w:tcW w:w="20" w:type="dxa"/>
            <w:vAlign w:val="bottom"/>
          </w:tcPr>
          <w:p>
            <w:pPr>
              <w:spacing w:after="0"/>
              <w:rPr>
                <w:sz w:val="14"/>
                <w:szCs w:val="14"/>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Borders>
              <w:right w:val="single" w:sz="8" w:color="0000FF"/>
            </w:tcBorders>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20" w:type="dxa"/>
            <w:vAlign w:val="bottom"/>
            <w:tcBorders>
              <w:left w:val="single" w:sz="8" w:color="0000FF"/>
              <w:right w:val="single" w:sz="8" w:color="0000FF"/>
            </w:tcBorders>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2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69"/>
        </w:trPr>
        <w:tc>
          <w:tcPr>
            <w:tcW w:w="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7980" w:type="dxa"/>
            <w:vAlign w:val="bottom"/>
            <w:gridSpan w:val="28"/>
            <w:shd w:val="clear" w:color="auto" w:fill="CFF0FC"/>
          </w:tcPr>
          <w:p>
            <w:pPr>
              <w:ind w:left="100"/>
              <w:spacing w:after="0" w:line="162" w:lineRule="exact"/>
              <w:rPr>
                <w:sz w:val="20"/>
                <w:szCs w:val="20"/>
                <w:color w:val="auto"/>
              </w:rPr>
            </w:pPr>
            <w:r>
              <w:rPr>
                <w:rFonts w:ascii="Arial" w:cs="Arial" w:eastAsia="Arial" w:hAnsi="Arial"/>
                <w:sz w:val="16"/>
                <w:szCs w:val="16"/>
                <w:color w:val="0000FF"/>
              </w:rPr>
              <w:t>New Accounting Pronouncements</w:t>
            </w:r>
          </w:p>
        </w:tc>
        <w:tc>
          <w:tcPr>
            <w:tcW w:w="1540" w:type="dxa"/>
            <w:vAlign w:val="bottom"/>
            <w:gridSpan w:val="3"/>
            <w:shd w:val="clear" w:color="auto" w:fill="CFF0FC"/>
          </w:tcPr>
          <w:p>
            <w:pPr>
              <w:jc w:val="center"/>
              <w:spacing w:after="0" w:line="162" w:lineRule="exact"/>
              <w:rPr>
                <w:sz w:val="20"/>
                <w:szCs w:val="20"/>
                <w:color w:val="auto"/>
              </w:rPr>
            </w:pPr>
            <w:r>
              <w:rPr>
                <w:rFonts w:ascii="Arial" w:cs="Arial" w:eastAsia="Arial" w:hAnsi="Arial"/>
                <w:sz w:val="16"/>
                <w:szCs w:val="16"/>
                <w:color w:val="0000FF"/>
              </w:rPr>
              <w:t>45</w:t>
            </w:r>
          </w:p>
        </w:tc>
        <w:tc>
          <w:tcPr>
            <w:tcW w:w="20" w:type="dxa"/>
            <w:vAlign w:val="bottom"/>
            <w:shd w:val="clear" w:color="auto" w:fill="CFF0FC"/>
          </w:tcPr>
          <w:p>
            <w:pPr>
              <w:spacing w:after="0"/>
              <w:rPr>
                <w:sz w:val="14"/>
                <w:szCs w:val="14"/>
                <w:color w:val="auto"/>
              </w:rPr>
            </w:pPr>
          </w:p>
        </w:tc>
      </w:tr>
      <w:tr>
        <w:trPr>
          <w:trHeight w:val="189"/>
        </w:trPr>
        <w:tc>
          <w:tcPr>
            <w:tcW w:w="20" w:type="dxa"/>
            <w:vAlign w:val="bottom"/>
            <w:tcBorders>
              <w:top w:val="single" w:sz="8" w:color="CFF0FC"/>
            </w:tcBorders>
          </w:tcPr>
          <w:p>
            <w:pPr>
              <w:spacing w:after="0"/>
              <w:rPr>
                <w:sz w:val="16"/>
                <w:szCs w:val="16"/>
                <w:color w:val="auto"/>
              </w:rPr>
            </w:pPr>
          </w:p>
        </w:tc>
        <w:tc>
          <w:tcPr>
            <w:tcW w:w="760" w:type="dxa"/>
            <w:vAlign w:val="bottom"/>
            <w:tcBorders>
              <w:top w:val="single" w:sz="8" w:color="CFF0FC"/>
            </w:tcBorders>
          </w:tcPr>
          <w:p>
            <w:pPr>
              <w:spacing w:after="0"/>
              <w:rPr>
                <w:sz w:val="16"/>
                <w:szCs w:val="16"/>
                <w:color w:val="auto"/>
              </w:rPr>
            </w:pPr>
          </w:p>
        </w:tc>
        <w:tc>
          <w:tcPr>
            <w:tcW w:w="460" w:type="dxa"/>
            <w:vAlign w:val="bottom"/>
            <w:tcBorders>
              <w:top w:val="single" w:sz="8" w:color="CFF0FC"/>
            </w:tcBorders>
          </w:tcPr>
          <w:p>
            <w:pPr>
              <w:spacing w:after="0"/>
              <w:rPr>
                <w:sz w:val="16"/>
                <w:szCs w:val="16"/>
                <w:color w:val="auto"/>
              </w:rPr>
            </w:pPr>
          </w:p>
        </w:tc>
        <w:tc>
          <w:tcPr>
            <w:tcW w:w="460" w:type="dxa"/>
            <w:vAlign w:val="bottom"/>
            <w:tcBorders>
              <w:top w:val="single" w:sz="8" w:color="CFF0FC"/>
            </w:tcBorders>
          </w:tcPr>
          <w:p>
            <w:pPr>
              <w:spacing w:after="0"/>
              <w:rPr>
                <w:sz w:val="16"/>
                <w:szCs w:val="16"/>
                <w:color w:val="auto"/>
              </w:rPr>
            </w:pPr>
          </w:p>
        </w:tc>
        <w:tc>
          <w:tcPr>
            <w:tcW w:w="160" w:type="dxa"/>
            <w:vAlign w:val="bottom"/>
            <w:tcBorders>
              <w:top w:val="single" w:sz="8" w:color="CFF0FC"/>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160" w:type="dxa"/>
            <w:vAlign w:val="bottom"/>
            <w:tcBorders>
              <w:top w:val="single" w:sz="8" w:color="0000FF"/>
            </w:tcBorders>
          </w:tcPr>
          <w:p>
            <w:pPr>
              <w:spacing w:after="0"/>
              <w:rPr>
                <w:sz w:val="16"/>
                <w:szCs w:val="16"/>
                <w:color w:val="auto"/>
              </w:rPr>
            </w:pPr>
          </w:p>
        </w:tc>
        <w:tc>
          <w:tcPr>
            <w:tcW w:w="420" w:type="dxa"/>
            <w:vAlign w:val="bottom"/>
            <w:tcBorders>
              <w:top w:val="single" w:sz="8" w:color="0000FF"/>
            </w:tcBorders>
            <w:gridSpan w:val="2"/>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320" w:type="dxa"/>
            <w:vAlign w:val="bottom"/>
            <w:tcBorders>
              <w:top w:val="single" w:sz="8" w:color="0000FF"/>
            </w:tcBorders>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80" w:type="dxa"/>
            <w:vAlign w:val="bottom"/>
            <w:tcBorders>
              <w:top w:val="single" w:sz="8" w:color="CFF0FC"/>
            </w:tcBorders>
          </w:tcPr>
          <w:p>
            <w:pPr>
              <w:spacing w:after="0"/>
              <w:rPr>
                <w:sz w:val="16"/>
                <w:szCs w:val="16"/>
                <w:color w:val="auto"/>
              </w:rPr>
            </w:pPr>
          </w:p>
        </w:tc>
        <w:tc>
          <w:tcPr>
            <w:tcW w:w="280" w:type="dxa"/>
            <w:vAlign w:val="bottom"/>
            <w:tcBorders>
              <w:top w:val="single" w:sz="8" w:color="CFF0FC"/>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180" w:type="dxa"/>
            <w:vAlign w:val="bottom"/>
            <w:tcBorders>
              <w:top w:val="single" w:sz="8" w:color="CFF0FC"/>
            </w:tcBorders>
          </w:tcPr>
          <w:p>
            <w:pPr>
              <w:spacing w:after="0"/>
              <w:rPr>
                <w:sz w:val="16"/>
                <w:szCs w:val="16"/>
                <w:color w:val="auto"/>
              </w:rPr>
            </w:pPr>
          </w:p>
        </w:tc>
        <w:tc>
          <w:tcPr>
            <w:tcW w:w="200" w:type="dxa"/>
            <w:vAlign w:val="bottom"/>
            <w:tcBorders>
              <w:top w:val="single" w:sz="8" w:color="CFF0FC"/>
            </w:tcBorders>
          </w:tcPr>
          <w:p>
            <w:pPr>
              <w:spacing w:after="0"/>
              <w:rPr>
                <w:sz w:val="16"/>
                <w:szCs w:val="16"/>
                <w:color w:val="auto"/>
              </w:rPr>
            </w:pPr>
          </w:p>
        </w:tc>
        <w:tc>
          <w:tcPr>
            <w:tcW w:w="400" w:type="dxa"/>
            <w:vAlign w:val="bottom"/>
            <w:tcBorders>
              <w:top w:val="single" w:sz="8" w:color="CFF0FC"/>
            </w:tcBorders>
          </w:tcPr>
          <w:p>
            <w:pPr>
              <w:spacing w:after="0"/>
              <w:rPr>
                <w:sz w:val="16"/>
                <w:szCs w:val="16"/>
                <w:color w:val="auto"/>
              </w:rPr>
            </w:pPr>
          </w:p>
        </w:tc>
        <w:tc>
          <w:tcPr>
            <w:tcW w:w="260" w:type="dxa"/>
            <w:vAlign w:val="bottom"/>
            <w:tcBorders>
              <w:top w:val="single" w:sz="8" w:color="CFF0FC"/>
            </w:tcBorders>
          </w:tcPr>
          <w:p>
            <w:pPr>
              <w:spacing w:after="0"/>
              <w:rPr>
                <w:sz w:val="16"/>
                <w:szCs w:val="16"/>
                <w:color w:val="auto"/>
              </w:rPr>
            </w:pPr>
          </w:p>
        </w:tc>
        <w:tc>
          <w:tcPr>
            <w:tcW w:w="140" w:type="dxa"/>
            <w:vAlign w:val="bottom"/>
            <w:tcBorders>
              <w:top w:val="single" w:sz="8" w:color="CFF0FC"/>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1060" w:type="dxa"/>
            <w:vAlign w:val="bottom"/>
            <w:tcBorders>
              <w:top w:val="single" w:sz="8" w:color="CFF0FC"/>
            </w:tcBorders>
          </w:tcPr>
          <w:p>
            <w:pPr>
              <w:spacing w:after="0"/>
              <w:rPr>
                <w:sz w:val="16"/>
                <w:szCs w:val="16"/>
                <w:color w:val="auto"/>
              </w:rPr>
            </w:pPr>
          </w:p>
        </w:tc>
        <w:tc>
          <w:tcPr>
            <w:tcW w:w="960" w:type="dxa"/>
            <w:vAlign w:val="bottom"/>
            <w:tcBorders>
              <w:top w:val="single" w:sz="8" w:color="CFF0FC"/>
            </w:tcBorders>
          </w:tcPr>
          <w:p>
            <w:pPr>
              <w:spacing w:after="0"/>
              <w:rPr>
                <w:sz w:val="16"/>
                <w:szCs w:val="16"/>
                <w:color w:val="auto"/>
              </w:rPr>
            </w:pPr>
          </w:p>
        </w:tc>
        <w:tc>
          <w:tcPr>
            <w:tcW w:w="1600" w:type="dxa"/>
            <w:vAlign w:val="bottom"/>
            <w:tcBorders>
              <w:top w:val="single" w:sz="8" w:color="CFF0FC"/>
            </w:tcBorders>
          </w:tcPr>
          <w:p>
            <w:pPr>
              <w:spacing w:after="0"/>
              <w:rPr>
                <w:sz w:val="16"/>
                <w:szCs w:val="16"/>
                <w:color w:val="auto"/>
              </w:rPr>
            </w:pPr>
          </w:p>
        </w:tc>
        <w:tc>
          <w:tcPr>
            <w:tcW w:w="720" w:type="dxa"/>
            <w:vAlign w:val="bottom"/>
            <w:tcBorders>
              <w:top w:val="single" w:sz="8" w:color="CFF0FC"/>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720" w:type="dxa"/>
            <w:vAlign w:val="bottom"/>
            <w:tcBorders>
              <w:top w:val="single" w:sz="8" w:color="CFF0FC"/>
            </w:tcBorders>
          </w:tcPr>
          <w:p>
            <w:pPr>
              <w:spacing w:after="0"/>
              <w:rPr>
                <w:sz w:val="16"/>
                <w:szCs w:val="16"/>
                <w:color w:val="auto"/>
              </w:rPr>
            </w:pPr>
          </w:p>
        </w:tc>
        <w:tc>
          <w:tcPr>
            <w:tcW w:w="20" w:type="dxa"/>
            <w:vAlign w:val="bottom"/>
            <w:tcBorders>
              <w:top w:val="single" w:sz="8" w:color="CFF0FC"/>
            </w:tcBorders>
          </w:tcPr>
          <w:p>
            <w:pPr>
              <w:spacing w:after="0"/>
              <w:rPr>
                <w:sz w:val="16"/>
                <w:szCs w:val="16"/>
                <w:color w:val="auto"/>
              </w:rPr>
            </w:pPr>
          </w:p>
        </w:tc>
      </w:tr>
      <w:tr>
        <w:trPr>
          <w:trHeight w:val="162"/>
        </w:trPr>
        <w:tc>
          <w:tcPr>
            <w:tcW w:w="1240" w:type="dxa"/>
            <w:vAlign w:val="bottom"/>
            <w:gridSpan w:val="3"/>
            <w:shd w:val="clear" w:color="auto" w:fill="CFF0FC"/>
          </w:tcPr>
          <w:p>
            <w:pPr>
              <w:spacing w:after="0" w:line="162" w:lineRule="exact"/>
              <w:rPr>
                <w:sz w:val="20"/>
                <w:szCs w:val="20"/>
                <w:color w:val="auto"/>
              </w:rPr>
            </w:pPr>
            <w:r>
              <w:rPr>
                <w:rFonts w:ascii="Arial" w:cs="Arial" w:eastAsia="Arial" w:hAnsi="Arial"/>
                <w:sz w:val="16"/>
                <w:szCs w:val="16"/>
                <w:color w:val="auto"/>
              </w:rPr>
              <w:t>Item 3.</w:t>
            </w:r>
          </w:p>
        </w:tc>
        <w:tc>
          <w:tcPr>
            <w:tcW w:w="8440" w:type="dxa"/>
            <w:vAlign w:val="bottom"/>
            <w:gridSpan w:val="29"/>
            <w:shd w:val="clear" w:color="auto" w:fill="CFF0FC"/>
          </w:tcPr>
          <w:p>
            <w:pPr>
              <w:ind w:left="460"/>
              <w:spacing w:after="0" w:line="162" w:lineRule="exact"/>
              <w:rPr>
                <w:sz w:val="20"/>
                <w:szCs w:val="20"/>
                <w:color w:val="auto"/>
              </w:rPr>
            </w:pPr>
            <w:r>
              <w:rPr>
                <w:rFonts w:ascii="Arial" w:cs="Arial" w:eastAsia="Arial" w:hAnsi="Arial"/>
                <w:sz w:val="16"/>
                <w:szCs w:val="16"/>
                <w:color w:val="0000FF"/>
              </w:rPr>
              <w:t>Quantitative and Qualitative Disclosures About Market Risk</w:t>
            </w:r>
          </w:p>
        </w:tc>
        <w:tc>
          <w:tcPr>
            <w:tcW w:w="1540" w:type="dxa"/>
            <w:vAlign w:val="bottom"/>
            <w:gridSpan w:val="3"/>
            <w:shd w:val="clear" w:color="auto" w:fill="CFF0FC"/>
          </w:tcPr>
          <w:p>
            <w:pPr>
              <w:jc w:val="center"/>
              <w:spacing w:after="0" w:line="162" w:lineRule="exact"/>
              <w:rPr>
                <w:sz w:val="20"/>
                <w:szCs w:val="20"/>
                <w:color w:val="auto"/>
              </w:rPr>
            </w:pPr>
            <w:r>
              <w:rPr>
                <w:rFonts w:ascii="Arial" w:cs="Arial" w:eastAsia="Arial" w:hAnsi="Arial"/>
                <w:sz w:val="16"/>
                <w:szCs w:val="16"/>
                <w:color w:val="0000FF"/>
              </w:rPr>
              <w:t>45</w:t>
            </w:r>
          </w:p>
        </w:tc>
        <w:tc>
          <w:tcPr>
            <w:tcW w:w="20" w:type="dxa"/>
            <w:vAlign w:val="bottom"/>
            <w:shd w:val="clear" w:color="auto" w:fill="CFF0FC"/>
          </w:tcPr>
          <w:p>
            <w:pPr>
              <w:spacing w:after="0"/>
              <w:rPr>
                <w:sz w:val="14"/>
                <w:szCs w:val="14"/>
                <w:color w:val="auto"/>
              </w:rPr>
            </w:pPr>
          </w:p>
        </w:tc>
      </w:tr>
      <w:tr>
        <w:trPr>
          <w:trHeight w:val="27"/>
        </w:trPr>
        <w:tc>
          <w:tcPr>
            <w:tcW w:w="20" w:type="dxa"/>
            <w:vAlign w:val="bottom"/>
            <w:shd w:val="clear" w:color="auto" w:fill="CFF0FC"/>
          </w:tcPr>
          <w:p>
            <w:pPr>
              <w:spacing w:after="0"/>
              <w:rPr>
                <w:sz w:val="2"/>
                <w:szCs w:val="2"/>
                <w:color w:val="auto"/>
              </w:rPr>
            </w:pPr>
          </w:p>
        </w:tc>
        <w:tc>
          <w:tcPr>
            <w:tcW w:w="7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20" w:type="dxa"/>
            <w:vAlign w:val="bottom"/>
            <w:tcBorders>
              <w:left w:val="single" w:sz="8" w:color="0000FF"/>
              <w:right w:val="single" w:sz="8" w:color="0000FF"/>
            </w:tcBorders>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240" w:type="dxa"/>
            <w:vAlign w:val="bottom"/>
            <w:tcBorders>
              <w:left w:val="single" w:sz="8" w:color="0000FF"/>
              <w:right w:val="single" w:sz="8" w:color="0000FF"/>
            </w:tcBorders>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20" w:type="dxa"/>
            <w:vAlign w:val="bottom"/>
            <w:tcBorders>
              <w:lef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960" w:type="dxa"/>
            <w:vAlign w:val="bottom"/>
            <w:shd w:val="clear" w:color="auto" w:fill="CFF0FC"/>
          </w:tcPr>
          <w:p>
            <w:pPr>
              <w:spacing w:after="0"/>
              <w:rPr>
                <w:sz w:val="2"/>
                <w:szCs w:val="2"/>
                <w:color w:val="auto"/>
              </w:rPr>
            </w:pPr>
          </w:p>
        </w:tc>
        <w:tc>
          <w:tcPr>
            <w:tcW w:w="1600" w:type="dxa"/>
            <w:vAlign w:val="bottom"/>
            <w:shd w:val="clear" w:color="auto" w:fill="CFF0FC"/>
          </w:tcPr>
          <w:p>
            <w:pPr>
              <w:spacing w:after="0"/>
              <w:rPr>
                <w:sz w:val="2"/>
                <w:szCs w:val="2"/>
                <w:color w:val="auto"/>
              </w:rPr>
            </w:pPr>
          </w:p>
        </w:tc>
        <w:tc>
          <w:tcPr>
            <w:tcW w:w="720" w:type="dxa"/>
            <w:vAlign w:val="bottom"/>
            <w:tcBorders>
              <w:right w:val="single" w:sz="8" w:color="0000FF"/>
            </w:tcBorders>
            <w:shd w:val="clear" w:color="auto" w:fill="CFF0FC"/>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r>
      <w:tr>
        <w:trPr>
          <w:trHeight w:val="162"/>
        </w:trPr>
        <w:tc>
          <w:tcPr>
            <w:tcW w:w="1240" w:type="dxa"/>
            <w:vAlign w:val="bottom"/>
            <w:gridSpan w:val="3"/>
          </w:tcPr>
          <w:p>
            <w:pPr>
              <w:spacing w:after="0" w:line="162" w:lineRule="exact"/>
              <w:rPr>
                <w:sz w:val="20"/>
                <w:szCs w:val="20"/>
                <w:color w:val="auto"/>
              </w:rPr>
            </w:pPr>
            <w:r>
              <w:rPr>
                <w:rFonts w:ascii="Arial" w:cs="Arial" w:eastAsia="Arial" w:hAnsi="Arial"/>
                <w:sz w:val="16"/>
                <w:szCs w:val="16"/>
                <w:color w:val="auto"/>
              </w:rPr>
              <w:t>Item 4.</w:t>
            </w:r>
          </w:p>
        </w:tc>
        <w:tc>
          <w:tcPr>
            <w:tcW w:w="8440" w:type="dxa"/>
            <w:vAlign w:val="bottom"/>
            <w:gridSpan w:val="29"/>
          </w:tcPr>
          <w:p>
            <w:pPr>
              <w:ind w:left="460"/>
              <w:spacing w:after="0" w:line="162" w:lineRule="exact"/>
              <w:rPr>
                <w:sz w:val="20"/>
                <w:szCs w:val="20"/>
                <w:color w:val="auto"/>
              </w:rPr>
            </w:pPr>
            <w:r>
              <w:rPr>
                <w:rFonts w:ascii="Arial" w:cs="Arial" w:eastAsia="Arial" w:hAnsi="Arial"/>
                <w:sz w:val="16"/>
                <w:szCs w:val="16"/>
                <w:color w:val="0000FF"/>
              </w:rPr>
              <w:t>Controls and Procedures</w:t>
            </w:r>
          </w:p>
        </w:tc>
        <w:tc>
          <w:tcPr>
            <w:tcW w:w="1540" w:type="dxa"/>
            <w:vAlign w:val="bottom"/>
            <w:gridSpan w:val="3"/>
          </w:tcPr>
          <w:p>
            <w:pPr>
              <w:jc w:val="center"/>
              <w:spacing w:after="0" w:line="162" w:lineRule="exact"/>
              <w:rPr>
                <w:sz w:val="20"/>
                <w:szCs w:val="20"/>
                <w:color w:val="auto"/>
              </w:rPr>
            </w:pPr>
            <w:r>
              <w:rPr>
                <w:rFonts w:ascii="Arial" w:cs="Arial" w:eastAsia="Arial" w:hAnsi="Arial"/>
                <w:sz w:val="16"/>
                <w:szCs w:val="16"/>
                <w:color w:val="0000FF"/>
              </w:rPr>
              <w:t>45</w:t>
            </w:r>
          </w:p>
        </w:tc>
        <w:tc>
          <w:tcPr>
            <w:tcW w:w="2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89"/>
        </w:trPr>
        <w:tc>
          <w:tcPr>
            <w:tcW w:w="2480" w:type="dxa"/>
            <w:vAlign w:val="bottom"/>
            <w:gridSpan w:val="9"/>
            <w:shd w:val="clear" w:color="auto" w:fill="CFF0FC"/>
          </w:tcPr>
          <w:p>
            <w:pPr>
              <w:spacing w:after="0"/>
              <w:rPr>
                <w:sz w:val="20"/>
                <w:szCs w:val="20"/>
                <w:color w:val="auto"/>
              </w:rPr>
            </w:pPr>
            <w:r>
              <w:rPr>
                <w:rFonts w:ascii="Arial" w:cs="Arial" w:eastAsia="Arial" w:hAnsi="Arial"/>
                <w:sz w:val="16"/>
                <w:szCs w:val="16"/>
                <w:color w:val="auto"/>
              </w:rPr>
              <w:t>PART II. OTHER INFORMATION</w:t>
            </w:r>
          </w:p>
        </w:tc>
        <w:tc>
          <w:tcPr>
            <w:tcW w:w="200" w:type="dxa"/>
            <w:vAlign w:val="bottom"/>
            <w:tcBorders>
              <w:right w:val="single" w:sz="8" w:color="CFF0FC"/>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tcBorders>
              <w:left w:val="single" w:sz="8" w:color="CFF0FC"/>
            </w:tcBorders>
            <w:shd w:val="clear" w:color="auto" w:fill="CFF0FC"/>
          </w:tcPr>
          <w:p>
            <w:pPr>
              <w:spacing w:after="0"/>
              <w:rPr>
                <w:sz w:val="16"/>
                <w:szCs w:val="16"/>
                <w:color w:val="auto"/>
              </w:rPr>
            </w:pPr>
          </w:p>
        </w:tc>
        <w:tc>
          <w:tcPr>
            <w:tcW w:w="140" w:type="dxa"/>
            <w:vAlign w:val="bottom"/>
            <w:tcBorders>
              <w:left w:val="single" w:sz="8" w:color="CFF0FC"/>
              <w:right w:val="single" w:sz="8" w:color="CFF0FC"/>
            </w:tcBorders>
            <w:shd w:val="clear" w:color="auto" w:fill="CFF0FC"/>
          </w:tcPr>
          <w:p>
            <w:pPr>
              <w:spacing w:after="0"/>
              <w:rPr>
                <w:sz w:val="16"/>
                <w:szCs w:val="16"/>
                <w:color w:val="auto"/>
              </w:rPr>
            </w:pPr>
          </w:p>
        </w:tc>
        <w:tc>
          <w:tcPr>
            <w:tcW w:w="100" w:type="dxa"/>
            <w:vAlign w:val="bottom"/>
            <w:tcBorders>
              <w:left w:val="single" w:sz="8" w:color="CFF0FC"/>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20" w:type="dxa"/>
            <w:vAlign w:val="bottom"/>
            <w:tcBorders>
              <w:left w:val="single" w:sz="8" w:color="CFF0FC"/>
              <w:right w:val="single" w:sz="8" w:color="CFF0FC"/>
            </w:tcBorders>
            <w:shd w:val="clear" w:color="auto" w:fill="CFF0FC"/>
          </w:tcPr>
          <w:p>
            <w:pPr>
              <w:spacing w:after="0"/>
              <w:rPr>
                <w:sz w:val="16"/>
                <w:szCs w:val="16"/>
                <w:color w:val="auto"/>
              </w:rPr>
            </w:pPr>
          </w:p>
        </w:tc>
        <w:tc>
          <w:tcPr>
            <w:tcW w:w="320" w:type="dxa"/>
            <w:vAlign w:val="bottom"/>
            <w:tcBorders>
              <w:right w:val="single" w:sz="8" w:color="CFF0FC"/>
            </w:tcBorders>
            <w:shd w:val="clear" w:color="auto" w:fill="CFF0FC"/>
          </w:tcPr>
          <w:p>
            <w:pPr>
              <w:spacing w:after="0"/>
              <w:rPr>
                <w:sz w:val="16"/>
                <w:szCs w:val="16"/>
                <w:color w:val="auto"/>
              </w:rPr>
            </w:pPr>
          </w:p>
        </w:tc>
        <w:tc>
          <w:tcPr>
            <w:tcW w:w="240" w:type="dxa"/>
            <w:vAlign w:val="bottom"/>
            <w:tcBorders>
              <w:left w:val="single" w:sz="8" w:color="CFF0FC"/>
              <w:right w:val="single" w:sz="8" w:color="CFF0FC"/>
            </w:tcBorders>
            <w:shd w:val="clear" w:color="auto" w:fill="CFF0FC"/>
          </w:tcPr>
          <w:p>
            <w:pPr>
              <w:spacing w:after="0"/>
              <w:rPr>
                <w:sz w:val="16"/>
                <w:szCs w:val="16"/>
                <w:color w:val="auto"/>
              </w:rPr>
            </w:pPr>
          </w:p>
        </w:tc>
        <w:tc>
          <w:tcPr>
            <w:tcW w:w="140" w:type="dxa"/>
            <w:vAlign w:val="bottom"/>
            <w:tcBorders>
              <w:right w:val="single" w:sz="8" w:color="CFF0FC"/>
            </w:tcBorders>
            <w:shd w:val="clear" w:color="auto" w:fill="CFF0FC"/>
          </w:tcPr>
          <w:p>
            <w:pPr>
              <w:spacing w:after="0"/>
              <w:rPr>
                <w:sz w:val="16"/>
                <w:szCs w:val="16"/>
                <w:color w:val="auto"/>
              </w:rPr>
            </w:pPr>
          </w:p>
        </w:tc>
        <w:tc>
          <w:tcPr>
            <w:tcW w:w="80" w:type="dxa"/>
            <w:vAlign w:val="bottom"/>
            <w:tcBorders>
              <w:left w:val="single" w:sz="8" w:color="CFF0FC"/>
            </w:tcBorders>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0" w:type="dxa"/>
            <w:vAlign w:val="bottom"/>
            <w:tcBorders>
              <w:left w:val="single" w:sz="8" w:color="CFF0FC"/>
            </w:tcBorders>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40" w:type="dxa"/>
            <w:vAlign w:val="bottom"/>
            <w:tcBorders>
              <w:lef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600" w:type="dxa"/>
            <w:vAlign w:val="bottom"/>
            <w:shd w:val="clear" w:color="auto" w:fill="CFF0FC"/>
          </w:tcPr>
          <w:p>
            <w:pPr>
              <w:spacing w:after="0"/>
              <w:rPr>
                <w:sz w:val="16"/>
                <w:szCs w:val="16"/>
                <w:color w:val="auto"/>
              </w:rPr>
            </w:pPr>
          </w:p>
        </w:tc>
        <w:tc>
          <w:tcPr>
            <w:tcW w:w="72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20" w:type="dxa"/>
            <w:vAlign w:val="bottom"/>
            <w:tcBorders>
              <w:left w:val="single" w:sz="8" w:color="CFF0FC"/>
            </w:tcBorders>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r>
      <w:tr>
        <w:trPr>
          <w:trHeight w:val="162"/>
        </w:trPr>
        <w:tc>
          <w:tcPr>
            <w:tcW w:w="1240" w:type="dxa"/>
            <w:vAlign w:val="bottom"/>
            <w:gridSpan w:val="3"/>
          </w:tcPr>
          <w:p>
            <w:pPr>
              <w:spacing w:after="0" w:line="162" w:lineRule="exact"/>
              <w:rPr>
                <w:sz w:val="20"/>
                <w:szCs w:val="20"/>
                <w:color w:val="auto"/>
              </w:rPr>
            </w:pPr>
            <w:r>
              <w:rPr>
                <w:rFonts w:ascii="Arial" w:cs="Arial" w:eastAsia="Arial" w:hAnsi="Arial"/>
                <w:sz w:val="16"/>
                <w:szCs w:val="16"/>
                <w:color w:val="auto"/>
              </w:rPr>
              <w:t>Item 1.</w:t>
            </w:r>
          </w:p>
        </w:tc>
        <w:tc>
          <w:tcPr>
            <w:tcW w:w="8440" w:type="dxa"/>
            <w:vAlign w:val="bottom"/>
            <w:gridSpan w:val="29"/>
          </w:tcPr>
          <w:p>
            <w:pPr>
              <w:ind w:left="460"/>
              <w:spacing w:after="0" w:line="162" w:lineRule="exact"/>
              <w:rPr>
                <w:sz w:val="20"/>
                <w:szCs w:val="20"/>
                <w:color w:val="auto"/>
              </w:rPr>
            </w:pPr>
            <w:r>
              <w:rPr>
                <w:rFonts w:ascii="Arial" w:cs="Arial" w:eastAsia="Arial" w:hAnsi="Arial"/>
                <w:sz w:val="16"/>
                <w:szCs w:val="16"/>
                <w:color w:val="0000FF"/>
              </w:rPr>
              <w:t>Legal Proceedings</w:t>
            </w:r>
          </w:p>
        </w:tc>
        <w:tc>
          <w:tcPr>
            <w:tcW w:w="1540" w:type="dxa"/>
            <w:vAlign w:val="bottom"/>
            <w:gridSpan w:val="3"/>
          </w:tcPr>
          <w:p>
            <w:pPr>
              <w:jc w:val="center"/>
              <w:spacing w:after="0" w:line="162" w:lineRule="exact"/>
              <w:rPr>
                <w:sz w:val="20"/>
                <w:szCs w:val="20"/>
                <w:color w:val="auto"/>
              </w:rPr>
            </w:pPr>
            <w:r>
              <w:rPr>
                <w:rFonts w:ascii="Arial" w:cs="Arial" w:eastAsia="Arial" w:hAnsi="Arial"/>
                <w:sz w:val="16"/>
                <w:szCs w:val="16"/>
                <w:color w:val="0000FF"/>
              </w:rPr>
              <w:t>45</w:t>
            </w:r>
          </w:p>
        </w:tc>
        <w:tc>
          <w:tcPr>
            <w:tcW w:w="20" w:type="dxa"/>
            <w:vAlign w:val="bottom"/>
          </w:tcPr>
          <w:p>
            <w:pPr>
              <w:spacing w:after="0"/>
              <w:rPr>
                <w:sz w:val="14"/>
                <w:szCs w:val="14"/>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2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1240" w:type="dxa"/>
            <w:vAlign w:val="bottom"/>
            <w:gridSpan w:val="3"/>
            <w:shd w:val="clear" w:color="auto" w:fill="CFF0FC"/>
          </w:tcPr>
          <w:p>
            <w:pPr>
              <w:spacing w:after="0" w:line="162" w:lineRule="exact"/>
              <w:rPr>
                <w:sz w:val="20"/>
                <w:szCs w:val="20"/>
                <w:color w:val="auto"/>
              </w:rPr>
            </w:pPr>
            <w:r>
              <w:rPr>
                <w:rFonts w:ascii="Arial" w:cs="Arial" w:eastAsia="Arial" w:hAnsi="Arial"/>
                <w:sz w:val="16"/>
                <w:szCs w:val="16"/>
                <w:color w:val="auto"/>
              </w:rPr>
              <w:t>Item 1A.</w:t>
            </w:r>
          </w:p>
        </w:tc>
        <w:tc>
          <w:tcPr>
            <w:tcW w:w="8440" w:type="dxa"/>
            <w:vAlign w:val="bottom"/>
            <w:gridSpan w:val="29"/>
            <w:shd w:val="clear" w:color="auto" w:fill="CFF0FC"/>
          </w:tcPr>
          <w:p>
            <w:pPr>
              <w:ind w:left="460"/>
              <w:spacing w:after="0" w:line="162" w:lineRule="exact"/>
              <w:rPr>
                <w:sz w:val="20"/>
                <w:szCs w:val="20"/>
                <w:color w:val="auto"/>
              </w:rPr>
            </w:pPr>
            <w:r>
              <w:rPr>
                <w:rFonts w:ascii="Arial" w:cs="Arial" w:eastAsia="Arial" w:hAnsi="Arial"/>
                <w:sz w:val="16"/>
                <w:szCs w:val="16"/>
                <w:color w:val="0000FF"/>
              </w:rPr>
              <w:t>Risk Factors</w:t>
            </w:r>
          </w:p>
        </w:tc>
        <w:tc>
          <w:tcPr>
            <w:tcW w:w="1540" w:type="dxa"/>
            <w:vAlign w:val="bottom"/>
            <w:gridSpan w:val="3"/>
            <w:shd w:val="clear" w:color="auto" w:fill="CFF0FC"/>
          </w:tcPr>
          <w:p>
            <w:pPr>
              <w:jc w:val="center"/>
              <w:spacing w:after="0" w:line="162" w:lineRule="exact"/>
              <w:rPr>
                <w:sz w:val="20"/>
                <w:szCs w:val="20"/>
                <w:color w:val="auto"/>
              </w:rPr>
            </w:pPr>
            <w:r>
              <w:rPr>
                <w:rFonts w:ascii="Arial" w:cs="Arial" w:eastAsia="Arial" w:hAnsi="Arial"/>
                <w:sz w:val="16"/>
                <w:szCs w:val="16"/>
                <w:color w:val="0000FF"/>
              </w:rPr>
              <w:t>45</w:t>
            </w:r>
          </w:p>
        </w:tc>
        <w:tc>
          <w:tcPr>
            <w:tcW w:w="20" w:type="dxa"/>
            <w:vAlign w:val="bottom"/>
            <w:shd w:val="clear" w:color="auto" w:fill="CFF0FC"/>
          </w:tcPr>
          <w:p>
            <w:pPr>
              <w:spacing w:after="0"/>
              <w:rPr>
                <w:sz w:val="14"/>
                <w:szCs w:val="14"/>
                <w:color w:val="auto"/>
              </w:rPr>
            </w:pPr>
          </w:p>
        </w:tc>
      </w:tr>
      <w:tr>
        <w:trPr>
          <w:trHeight w:val="27"/>
        </w:trPr>
        <w:tc>
          <w:tcPr>
            <w:tcW w:w="20" w:type="dxa"/>
            <w:vAlign w:val="bottom"/>
            <w:shd w:val="clear" w:color="auto" w:fill="CFF0FC"/>
          </w:tcPr>
          <w:p>
            <w:pPr>
              <w:spacing w:after="0"/>
              <w:rPr>
                <w:sz w:val="2"/>
                <w:szCs w:val="2"/>
                <w:color w:val="auto"/>
              </w:rPr>
            </w:pPr>
          </w:p>
        </w:tc>
        <w:tc>
          <w:tcPr>
            <w:tcW w:w="7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CFF0FC"/>
            </w:tcBorders>
            <w:shd w:val="clear" w:color="auto" w:fill="0000FF"/>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80" w:type="dxa"/>
            <w:vAlign w:val="bottom"/>
            <w:tcBorders>
              <w:left w:val="single" w:sz="8" w:color="CFF0FC"/>
            </w:tcBorders>
            <w:shd w:val="clear" w:color="auto" w:fill="CFF0FC"/>
          </w:tcPr>
          <w:p>
            <w:pPr>
              <w:spacing w:after="0"/>
              <w:rPr>
                <w:sz w:val="2"/>
                <w:szCs w:val="2"/>
                <w:color w:val="auto"/>
              </w:rPr>
            </w:pPr>
          </w:p>
        </w:tc>
        <w:tc>
          <w:tcPr>
            <w:tcW w:w="140" w:type="dxa"/>
            <w:vAlign w:val="bottom"/>
            <w:tcBorders>
              <w:left w:val="single" w:sz="8" w:color="CFF0FC"/>
              <w:right w:val="single" w:sz="8" w:color="CFF0FC"/>
            </w:tcBorders>
            <w:shd w:val="clear" w:color="auto" w:fill="CFF0FC"/>
          </w:tcPr>
          <w:p>
            <w:pPr>
              <w:spacing w:after="0"/>
              <w:rPr>
                <w:sz w:val="2"/>
                <w:szCs w:val="2"/>
                <w:color w:val="auto"/>
              </w:rPr>
            </w:pPr>
          </w:p>
        </w:tc>
        <w:tc>
          <w:tcPr>
            <w:tcW w:w="100" w:type="dxa"/>
            <w:vAlign w:val="bottom"/>
            <w:tcBorders>
              <w:left w:val="single" w:sz="8" w:color="CFF0FC"/>
            </w:tcBorders>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220" w:type="dxa"/>
            <w:vAlign w:val="bottom"/>
            <w:tcBorders>
              <w:left w:val="single" w:sz="8" w:color="CFF0FC"/>
              <w:right w:val="single" w:sz="8" w:color="CFF0FC"/>
            </w:tcBorders>
            <w:shd w:val="clear" w:color="auto" w:fill="CFF0FC"/>
          </w:tcPr>
          <w:p>
            <w:pPr>
              <w:spacing w:after="0"/>
              <w:rPr>
                <w:sz w:val="2"/>
                <w:szCs w:val="2"/>
                <w:color w:val="auto"/>
              </w:rPr>
            </w:pPr>
          </w:p>
        </w:tc>
        <w:tc>
          <w:tcPr>
            <w:tcW w:w="320" w:type="dxa"/>
            <w:vAlign w:val="bottom"/>
            <w:tcBorders>
              <w:right w:val="single" w:sz="8" w:color="CFF0FC"/>
            </w:tcBorders>
            <w:shd w:val="clear" w:color="auto" w:fill="CFF0FC"/>
          </w:tcPr>
          <w:p>
            <w:pPr>
              <w:spacing w:after="0"/>
              <w:rPr>
                <w:sz w:val="2"/>
                <w:szCs w:val="2"/>
                <w:color w:val="auto"/>
              </w:rPr>
            </w:pPr>
          </w:p>
        </w:tc>
        <w:tc>
          <w:tcPr>
            <w:tcW w:w="240" w:type="dxa"/>
            <w:vAlign w:val="bottom"/>
            <w:tcBorders>
              <w:left w:val="single" w:sz="8" w:color="CFF0FC"/>
              <w:right w:val="single" w:sz="8" w:color="CFF0FC"/>
            </w:tcBorders>
            <w:shd w:val="clear" w:color="auto" w:fill="CFF0FC"/>
          </w:tcPr>
          <w:p>
            <w:pPr>
              <w:spacing w:after="0"/>
              <w:rPr>
                <w:sz w:val="2"/>
                <w:szCs w:val="2"/>
                <w:color w:val="auto"/>
              </w:rPr>
            </w:pPr>
          </w:p>
        </w:tc>
        <w:tc>
          <w:tcPr>
            <w:tcW w:w="140" w:type="dxa"/>
            <w:vAlign w:val="bottom"/>
            <w:tcBorders>
              <w:right w:val="single" w:sz="8" w:color="CFF0FC"/>
            </w:tcBorders>
            <w:shd w:val="clear" w:color="auto" w:fill="CFF0FC"/>
          </w:tcPr>
          <w:p>
            <w:pPr>
              <w:spacing w:after="0"/>
              <w:rPr>
                <w:sz w:val="2"/>
                <w:szCs w:val="2"/>
                <w:color w:val="auto"/>
              </w:rPr>
            </w:pPr>
          </w:p>
        </w:tc>
        <w:tc>
          <w:tcPr>
            <w:tcW w:w="80" w:type="dxa"/>
            <w:vAlign w:val="bottom"/>
            <w:tcBorders>
              <w:left w:val="single" w:sz="8" w:color="CFF0FC"/>
            </w:tcBorders>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20" w:type="dxa"/>
            <w:vAlign w:val="bottom"/>
            <w:tcBorders>
              <w:left w:val="single" w:sz="8" w:color="CFF0FC"/>
            </w:tcBorders>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40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40" w:type="dxa"/>
            <w:vAlign w:val="bottom"/>
            <w:tcBorders>
              <w:left w:val="single" w:sz="8" w:color="CFF0FC"/>
            </w:tcBorders>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960" w:type="dxa"/>
            <w:vAlign w:val="bottom"/>
            <w:shd w:val="clear" w:color="auto" w:fill="CFF0FC"/>
          </w:tcPr>
          <w:p>
            <w:pPr>
              <w:spacing w:after="0"/>
              <w:rPr>
                <w:sz w:val="2"/>
                <w:szCs w:val="2"/>
                <w:color w:val="auto"/>
              </w:rPr>
            </w:pPr>
          </w:p>
        </w:tc>
        <w:tc>
          <w:tcPr>
            <w:tcW w:w="1600" w:type="dxa"/>
            <w:vAlign w:val="bottom"/>
            <w:shd w:val="clear" w:color="auto" w:fill="CFF0FC"/>
          </w:tcPr>
          <w:p>
            <w:pPr>
              <w:spacing w:after="0"/>
              <w:rPr>
                <w:sz w:val="2"/>
                <w:szCs w:val="2"/>
                <w:color w:val="auto"/>
              </w:rPr>
            </w:pPr>
          </w:p>
        </w:tc>
        <w:tc>
          <w:tcPr>
            <w:tcW w:w="720" w:type="dxa"/>
            <w:vAlign w:val="bottom"/>
            <w:tcBorders>
              <w:right w:val="single" w:sz="8" w:color="0000FF"/>
            </w:tcBorders>
            <w:shd w:val="clear" w:color="auto" w:fill="CFF0FC"/>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r>
      <w:tr>
        <w:trPr>
          <w:trHeight w:val="162"/>
        </w:trPr>
        <w:tc>
          <w:tcPr>
            <w:tcW w:w="1240" w:type="dxa"/>
            <w:vAlign w:val="bottom"/>
            <w:gridSpan w:val="3"/>
          </w:tcPr>
          <w:p>
            <w:pPr>
              <w:spacing w:after="0" w:line="162" w:lineRule="exact"/>
              <w:rPr>
                <w:sz w:val="20"/>
                <w:szCs w:val="20"/>
                <w:color w:val="auto"/>
              </w:rPr>
            </w:pPr>
            <w:r>
              <w:rPr>
                <w:rFonts w:ascii="Arial" w:cs="Arial" w:eastAsia="Arial" w:hAnsi="Arial"/>
                <w:sz w:val="16"/>
                <w:szCs w:val="16"/>
                <w:color w:val="auto"/>
              </w:rPr>
              <w:t>Item 2.</w:t>
            </w:r>
          </w:p>
        </w:tc>
        <w:tc>
          <w:tcPr>
            <w:tcW w:w="8440" w:type="dxa"/>
            <w:vAlign w:val="bottom"/>
            <w:gridSpan w:val="29"/>
          </w:tcPr>
          <w:p>
            <w:pPr>
              <w:ind w:left="460"/>
              <w:spacing w:after="0" w:line="162" w:lineRule="exact"/>
              <w:rPr>
                <w:sz w:val="20"/>
                <w:szCs w:val="20"/>
                <w:color w:val="auto"/>
              </w:rPr>
            </w:pPr>
            <w:r>
              <w:rPr>
                <w:rFonts w:ascii="Arial" w:cs="Arial" w:eastAsia="Arial" w:hAnsi="Arial"/>
                <w:sz w:val="16"/>
                <w:szCs w:val="16"/>
                <w:color w:val="0000FF"/>
              </w:rPr>
              <w:t>Unregistered Sales of Equity Securities and Use of Proceeds</w:t>
            </w:r>
          </w:p>
        </w:tc>
        <w:tc>
          <w:tcPr>
            <w:tcW w:w="1540" w:type="dxa"/>
            <w:vAlign w:val="bottom"/>
            <w:gridSpan w:val="3"/>
          </w:tcPr>
          <w:p>
            <w:pPr>
              <w:jc w:val="center"/>
              <w:spacing w:after="0" w:line="162" w:lineRule="exact"/>
              <w:rPr>
                <w:sz w:val="20"/>
                <w:szCs w:val="20"/>
                <w:color w:val="auto"/>
              </w:rPr>
            </w:pPr>
            <w:r>
              <w:rPr>
                <w:rFonts w:ascii="Arial" w:cs="Arial" w:eastAsia="Arial" w:hAnsi="Arial"/>
                <w:sz w:val="16"/>
                <w:szCs w:val="16"/>
                <w:color w:val="0000FF"/>
              </w:rPr>
              <w:t>45</w:t>
            </w:r>
          </w:p>
        </w:tc>
        <w:tc>
          <w:tcPr>
            <w:tcW w:w="20" w:type="dxa"/>
            <w:vAlign w:val="bottom"/>
          </w:tcPr>
          <w:p>
            <w:pPr>
              <w:spacing w:after="0"/>
              <w:rPr>
                <w:sz w:val="14"/>
                <w:szCs w:val="14"/>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20" w:type="dxa"/>
            <w:vAlign w:val="bottom"/>
            <w:tcBorders>
              <w:left w:val="single" w:sz="8" w:color="0000FF"/>
              <w:right w:val="single" w:sz="8" w:color="0000FF"/>
            </w:tcBorders>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240" w:type="dxa"/>
            <w:vAlign w:val="bottom"/>
            <w:tcBorders>
              <w:left w:val="single" w:sz="8" w:color="0000FF"/>
              <w:right w:val="single" w:sz="8" w:color="0000FF"/>
            </w:tcBorders>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20" w:type="dxa"/>
            <w:vAlign w:val="bottom"/>
            <w:tcBorders>
              <w:lef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2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1240" w:type="dxa"/>
            <w:vAlign w:val="bottom"/>
            <w:gridSpan w:val="3"/>
            <w:shd w:val="clear" w:color="auto" w:fill="CFF0FC"/>
          </w:tcPr>
          <w:p>
            <w:pPr>
              <w:spacing w:after="0" w:line="162" w:lineRule="exact"/>
              <w:rPr>
                <w:sz w:val="20"/>
                <w:szCs w:val="20"/>
                <w:color w:val="auto"/>
              </w:rPr>
            </w:pPr>
            <w:r>
              <w:rPr>
                <w:rFonts w:ascii="Arial" w:cs="Arial" w:eastAsia="Arial" w:hAnsi="Arial"/>
                <w:sz w:val="16"/>
                <w:szCs w:val="16"/>
                <w:color w:val="auto"/>
              </w:rPr>
              <w:t>Item 4.</w:t>
            </w:r>
          </w:p>
        </w:tc>
        <w:tc>
          <w:tcPr>
            <w:tcW w:w="8440" w:type="dxa"/>
            <w:vAlign w:val="bottom"/>
            <w:gridSpan w:val="29"/>
            <w:shd w:val="clear" w:color="auto" w:fill="CFF0FC"/>
          </w:tcPr>
          <w:p>
            <w:pPr>
              <w:ind w:left="460"/>
              <w:spacing w:after="0" w:line="162" w:lineRule="exact"/>
              <w:rPr>
                <w:sz w:val="20"/>
                <w:szCs w:val="20"/>
                <w:color w:val="auto"/>
              </w:rPr>
            </w:pPr>
            <w:r>
              <w:rPr>
                <w:rFonts w:ascii="Arial" w:cs="Arial" w:eastAsia="Arial" w:hAnsi="Arial"/>
                <w:sz w:val="16"/>
                <w:szCs w:val="16"/>
                <w:color w:val="0000FF"/>
              </w:rPr>
              <w:t>Mine Safety Disclosures</w:t>
            </w:r>
          </w:p>
        </w:tc>
        <w:tc>
          <w:tcPr>
            <w:tcW w:w="1540" w:type="dxa"/>
            <w:vAlign w:val="bottom"/>
            <w:gridSpan w:val="3"/>
            <w:shd w:val="clear" w:color="auto" w:fill="CFF0FC"/>
          </w:tcPr>
          <w:p>
            <w:pPr>
              <w:jc w:val="center"/>
              <w:spacing w:after="0" w:line="162" w:lineRule="exact"/>
              <w:rPr>
                <w:sz w:val="20"/>
                <w:szCs w:val="20"/>
                <w:color w:val="auto"/>
              </w:rPr>
            </w:pPr>
            <w:r>
              <w:rPr>
                <w:rFonts w:ascii="Arial" w:cs="Arial" w:eastAsia="Arial" w:hAnsi="Arial"/>
                <w:sz w:val="16"/>
                <w:szCs w:val="16"/>
                <w:color w:val="0000FF"/>
              </w:rPr>
              <w:t>46</w:t>
            </w:r>
          </w:p>
        </w:tc>
        <w:tc>
          <w:tcPr>
            <w:tcW w:w="20" w:type="dxa"/>
            <w:vAlign w:val="bottom"/>
            <w:shd w:val="clear" w:color="auto" w:fill="CFF0FC"/>
          </w:tcPr>
          <w:p>
            <w:pPr>
              <w:spacing w:after="0"/>
              <w:rPr>
                <w:sz w:val="14"/>
                <w:szCs w:val="14"/>
                <w:color w:val="auto"/>
              </w:rPr>
            </w:pPr>
          </w:p>
        </w:tc>
      </w:tr>
      <w:tr>
        <w:trPr>
          <w:trHeight w:val="27"/>
        </w:trPr>
        <w:tc>
          <w:tcPr>
            <w:tcW w:w="20" w:type="dxa"/>
            <w:vAlign w:val="bottom"/>
            <w:shd w:val="clear" w:color="auto" w:fill="CFF0FC"/>
          </w:tcPr>
          <w:p>
            <w:pPr>
              <w:spacing w:after="0"/>
              <w:rPr>
                <w:sz w:val="2"/>
                <w:szCs w:val="2"/>
                <w:color w:val="auto"/>
              </w:rPr>
            </w:pPr>
          </w:p>
        </w:tc>
        <w:tc>
          <w:tcPr>
            <w:tcW w:w="7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20" w:type="dxa"/>
            <w:vAlign w:val="bottom"/>
            <w:tcBorders>
              <w:left w:val="single" w:sz="8" w:color="0000FF"/>
              <w:right w:val="single" w:sz="8" w:color="CFF0FC"/>
            </w:tcBorders>
            <w:shd w:val="clear" w:color="auto" w:fill="0000FF"/>
          </w:tcPr>
          <w:p>
            <w:pPr>
              <w:spacing w:after="0"/>
              <w:rPr>
                <w:sz w:val="2"/>
                <w:szCs w:val="2"/>
                <w:color w:val="auto"/>
              </w:rPr>
            </w:pPr>
          </w:p>
        </w:tc>
        <w:tc>
          <w:tcPr>
            <w:tcW w:w="320" w:type="dxa"/>
            <w:vAlign w:val="bottom"/>
            <w:tcBorders>
              <w:right w:val="single" w:sz="8" w:color="CFF0FC"/>
            </w:tcBorders>
            <w:shd w:val="clear" w:color="auto" w:fill="CFF0FC"/>
          </w:tcPr>
          <w:p>
            <w:pPr>
              <w:spacing w:after="0"/>
              <w:rPr>
                <w:sz w:val="2"/>
                <w:szCs w:val="2"/>
                <w:color w:val="auto"/>
              </w:rPr>
            </w:pPr>
          </w:p>
        </w:tc>
        <w:tc>
          <w:tcPr>
            <w:tcW w:w="240" w:type="dxa"/>
            <w:vAlign w:val="bottom"/>
            <w:tcBorders>
              <w:left w:val="single" w:sz="8" w:color="CFF0FC"/>
              <w:right w:val="single" w:sz="8" w:color="CFF0FC"/>
            </w:tcBorders>
            <w:shd w:val="clear" w:color="auto" w:fill="CFF0FC"/>
          </w:tcPr>
          <w:p>
            <w:pPr>
              <w:spacing w:after="0"/>
              <w:rPr>
                <w:sz w:val="2"/>
                <w:szCs w:val="2"/>
                <w:color w:val="auto"/>
              </w:rPr>
            </w:pPr>
          </w:p>
        </w:tc>
        <w:tc>
          <w:tcPr>
            <w:tcW w:w="140" w:type="dxa"/>
            <w:vAlign w:val="bottom"/>
            <w:tcBorders>
              <w:right w:val="single" w:sz="8" w:color="CFF0FC"/>
            </w:tcBorders>
            <w:shd w:val="clear" w:color="auto" w:fill="CFF0FC"/>
          </w:tcPr>
          <w:p>
            <w:pPr>
              <w:spacing w:after="0"/>
              <w:rPr>
                <w:sz w:val="2"/>
                <w:szCs w:val="2"/>
                <w:color w:val="auto"/>
              </w:rPr>
            </w:pPr>
          </w:p>
        </w:tc>
        <w:tc>
          <w:tcPr>
            <w:tcW w:w="80" w:type="dxa"/>
            <w:vAlign w:val="bottom"/>
            <w:tcBorders>
              <w:left w:val="single" w:sz="8" w:color="CFF0FC"/>
            </w:tcBorders>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20" w:type="dxa"/>
            <w:vAlign w:val="bottom"/>
            <w:tcBorders>
              <w:left w:val="single" w:sz="8" w:color="CFF0FC"/>
            </w:tcBorders>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40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40" w:type="dxa"/>
            <w:vAlign w:val="bottom"/>
            <w:tcBorders>
              <w:left w:val="single" w:sz="8" w:color="CFF0FC"/>
            </w:tcBorders>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960" w:type="dxa"/>
            <w:vAlign w:val="bottom"/>
            <w:shd w:val="clear" w:color="auto" w:fill="CFF0FC"/>
          </w:tcPr>
          <w:p>
            <w:pPr>
              <w:spacing w:after="0"/>
              <w:rPr>
                <w:sz w:val="2"/>
                <w:szCs w:val="2"/>
                <w:color w:val="auto"/>
              </w:rPr>
            </w:pPr>
          </w:p>
        </w:tc>
        <w:tc>
          <w:tcPr>
            <w:tcW w:w="1600" w:type="dxa"/>
            <w:vAlign w:val="bottom"/>
            <w:shd w:val="clear" w:color="auto" w:fill="CFF0FC"/>
          </w:tcPr>
          <w:p>
            <w:pPr>
              <w:spacing w:after="0"/>
              <w:rPr>
                <w:sz w:val="2"/>
                <w:szCs w:val="2"/>
                <w:color w:val="auto"/>
              </w:rPr>
            </w:pPr>
          </w:p>
        </w:tc>
        <w:tc>
          <w:tcPr>
            <w:tcW w:w="720" w:type="dxa"/>
            <w:vAlign w:val="bottom"/>
            <w:tcBorders>
              <w:right w:val="single" w:sz="8" w:color="0000FF"/>
            </w:tcBorders>
            <w:shd w:val="clear" w:color="auto" w:fill="CFF0FC"/>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r>
      <w:tr>
        <w:trPr>
          <w:trHeight w:val="162"/>
        </w:trPr>
        <w:tc>
          <w:tcPr>
            <w:tcW w:w="1240" w:type="dxa"/>
            <w:vAlign w:val="bottom"/>
            <w:gridSpan w:val="3"/>
          </w:tcPr>
          <w:p>
            <w:pPr>
              <w:spacing w:after="0" w:line="162" w:lineRule="exact"/>
              <w:rPr>
                <w:sz w:val="20"/>
                <w:szCs w:val="20"/>
                <w:color w:val="auto"/>
              </w:rPr>
            </w:pPr>
            <w:r>
              <w:rPr>
                <w:rFonts w:ascii="Arial" w:cs="Arial" w:eastAsia="Arial" w:hAnsi="Arial"/>
                <w:sz w:val="16"/>
                <w:szCs w:val="16"/>
                <w:color w:val="auto"/>
              </w:rPr>
              <w:t>Item 5.</w:t>
            </w:r>
          </w:p>
        </w:tc>
        <w:tc>
          <w:tcPr>
            <w:tcW w:w="8440" w:type="dxa"/>
            <w:vAlign w:val="bottom"/>
            <w:gridSpan w:val="29"/>
          </w:tcPr>
          <w:p>
            <w:pPr>
              <w:ind w:left="460"/>
              <w:spacing w:after="0" w:line="162" w:lineRule="exact"/>
              <w:rPr>
                <w:sz w:val="20"/>
                <w:szCs w:val="20"/>
                <w:color w:val="auto"/>
              </w:rPr>
            </w:pPr>
            <w:r>
              <w:rPr>
                <w:rFonts w:ascii="Arial" w:cs="Arial" w:eastAsia="Arial" w:hAnsi="Arial"/>
                <w:sz w:val="16"/>
                <w:szCs w:val="16"/>
                <w:color w:val="0000FF"/>
              </w:rPr>
              <w:t>Other Information</w:t>
            </w:r>
          </w:p>
        </w:tc>
        <w:tc>
          <w:tcPr>
            <w:tcW w:w="1540" w:type="dxa"/>
            <w:vAlign w:val="bottom"/>
            <w:gridSpan w:val="3"/>
          </w:tcPr>
          <w:p>
            <w:pPr>
              <w:jc w:val="center"/>
              <w:spacing w:after="0" w:line="162" w:lineRule="exact"/>
              <w:rPr>
                <w:sz w:val="20"/>
                <w:szCs w:val="20"/>
                <w:color w:val="auto"/>
              </w:rPr>
            </w:pPr>
            <w:r>
              <w:rPr>
                <w:rFonts w:ascii="Arial" w:cs="Arial" w:eastAsia="Arial" w:hAnsi="Arial"/>
                <w:sz w:val="16"/>
                <w:szCs w:val="16"/>
                <w:color w:val="0000FF"/>
              </w:rPr>
              <w:t>46</w:t>
            </w:r>
          </w:p>
        </w:tc>
        <w:tc>
          <w:tcPr>
            <w:tcW w:w="20" w:type="dxa"/>
            <w:vAlign w:val="bottom"/>
          </w:tcPr>
          <w:p>
            <w:pPr>
              <w:spacing w:after="0"/>
              <w:rPr>
                <w:sz w:val="14"/>
                <w:szCs w:val="14"/>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2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20" w:type="dxa"/>
            <w:vAlign w:val="bottom"/>
            <w:tcBorders>
              <w:left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69"/>
        </w:trPr>
        <w:tc>
          <w:tcPr>
            <w:tcW w:w="1240" w:type="dxa"/>
            <w:vAlign w:val="bottom"/>
            <w:gridSpan w:val="3"/>
            <w:shd w:val="clear" w:color="auto" w:fill="CFF0FC"/>
          </w:tcPr>
          <w:p>
            <w:pPr>
              <w:spacing w:after="0" w:line="162" w:lineRule="exact"/>
              <w:rPr>
                <w:sz w:val="20"/>
                <w:szCs w:val="20"/>
                <w:color w:val="auto"/>
              </w:rPr>
            </w:pPr>
            <w:r>
              <w:rPr>
                <w:rFonts w:ascii="Arial" w:cs="Arial" w:eastAsia="Arial" w:hAnsi="Arial"/>
                <w:sz w:val="16"/>
                <w:szCs w:val="16"/>
                <w:color w:val="auto"/>
              </w:rPr>
              <w:t>Item 6.</w:t>
            </w:r>
          </w:p>
        </w:tc>
        <w:tc>
          <w:tcPr>
            <w:tcW w:w="1240" w:type="dxa"/>
            <w:vAlign w:val="bottom"/>
            <w:gridSpan w:val="6"/>
            <w:shd w:val="clear" w:color="auto" w:fill="CFF0FC"/>
          </w:tcPr>
          <w:p>
            <w:pPr>
              <w:ind w:left="460"/>
              <w:spacing w:after="0" w:line="162" w:lineRule="exact"/>
              <w:rPr>
                <w:sz w:val="20"/>
                <w:szCs w:val="20"/>
                <w:color w:val="auto"/>
              </w:rPr>
            </w:pPr>
            <w:r>
              <w:rPr>
                <w:rFonts w:ascii="Arial" w:cs="Arial" w:eastAsia="Arial" w:hAnsi="Arial"/>
                <w:sz w:val="16"/>
                <w:szCs w:val="16"/>
                <w:color w:val="0000FF"/>
              </w:rPr>
              <w:t>Exhibits</w:t>
            </w:r>
          </w:p>
        </w:tc>
        <w:tc>
          <w:tcPr>
            <w:tcW w:w="20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tcBorders>
              <w:left w:val="single" w:sz="8" w:color="CFF0FC"/>
            </w:tcBorders>
            <w:shd w:val="clear" w:color="auto" w:fill="CFF0FC"/>
          </w:tcPr>
          <w:p>
            <w:pPr>
              <w:spacing w:after="0"/>
              <w:rPr>
                <w:sz w:val="14"/>
                <w:szCs w:val="14"/>
                <w:color w:val="auto"/>
              </w:rPr>
            </w:pPr>
          </w:p>
        </w:tc>
        <w:tc>
          <w:tcPr>
            <w:tcW w:w="140" w:type="dxa"/>
            <w:vAlign w:val="bottom"/>
            <w:tcBorders>
              <w:left w:val="single" w:sz="8" w:color="CFF0FC"/>
              <w:right w:val="single" w:sz="8" w:color="CFF0FC"/>
            </w:tcBorders>
            <w:shd w:val="clear" w:color="auto" w:fill="CFF0FC"/>
          </w:tcPr>
          <w:p>
            <w:pPr>
              <w:spacing w:after="0"/>
              <w:rPr>
                <w:sz w:val="14"/>
                <w:szCs w:val="14"/>
                <w:color w:val="auto"/>
              </w:rPr>
            </w:pPr>
          </w:p>
        </w:tc>
        <w:tc>
          <w:tcPr>
            <w:tcW w:w="100" w:type="dxa"/>
            <w:vAlign w:val="bottom"/>
            <w:tcBorders>
              <w:lef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20" w:type="dxa"/>
            <w:vAlign w:val="bottom"/>
            <w:tcBorders>
              <w:left w:val="single" w:sz="8" w:color="CFF0FC"/>
              <w:right w:val="single" w:sz="8" w:color="CFF0FC"/>
            </w:tcBorders>
            <w:shd w:val="clear" w:color="auto" w:fill="CFF0FC"/>
          </w:tcPr>
          <w:p>
            <w:pPr>
              <w:spacing w:after="0"/>
              <w:rPr>
                <w:sz w:val="14"/>
                <w:szCs w:val="14"/>
                <w:color w:val="auto"/>
              </w:rPr>
            </w:pPr>
          </w:p>
        </w:tc>
        <w:tc>
          <w:tcPr>
            <w:tcW w:w="320" w:type="dxa"/>
            <w:vAlign w:val="bottom"/>
            <w:tcBorders>
              <w:right w:val="single" w:sz="8" w:color="CFF0FC"/>
            </w:tcBorders>
            <w:shd w:val="clear" w:color="auto" w:fill="CFF0FC"/>
          </w:tcPr>
          <w:p>
            <w:pPr>
              <w:spacing w:after="0"/>
              <w:rPr>
                <w:sz w:val="14"/>
                <w:szCs w:val="14"/>
                <w:color w:val="auto"/>
              </w:rPr>
            </w:pPr>
          </w:p>
        </w:tc>
        <w:tc>
          <w:tcPr>
            <w:tcW w:w="240" w:type="dxa"/>
            <w:vAlign w:val="bottom"/>
            <w:tcBorders>
              <w:left w:val="single" w:sz="8" w:color="CFF0FC"/>
              <w:right w:val="single" w:sz="8" w:color="CFF0FC"/>
            </w:tcBorders>
            <w:shd w:val="clear" w:color="auto" w:fill="CFF0FC"/>
          </w:tcPr>
          <w:p>
            <w:pPr>
              <w:spacing w:after="0"/>
              <w:rPr>
                <w:sz w:val="14"/>
                <w:szCs w:val="14"/>
                <w:color w:val="auto"/>
              </w:rPr>
            </w:pPr>
          </w:p>
        </w:tc>
        <w:tc>
          <w:tcPr>
            <w:tcW w:w="140" w:type="dxa"/>
            <w:vAlign w:val="bottom"/>
            <w:tcBorders>
              <w:right w:val="single" w:sz="8" w:color="CFF0FC"/>
            </w:tcBorders>
            <w:shd w:val="clear" w:color="auto" w:fill="CFF0FC"/>
          </w:tcPr>
          <w:p>
            <w:pPr>
              <w:spacing w:after="0"/>
              <w:rPr>
                <w:sz w:val="14"/>
                <w:szCs w:val="14"/>
                <w:color w:val="auto"/>
              </w:rPr>
            </w:pPr>
          </w:p>
        </w:tc>
        <w:tc>
          <w:tcPr>
            <w:tcW w:w="80" w:type="dxa"/>
            <w:vAlign w:val="bottom"/>
            <w:tcBorders>
              <w:left w:val="single" w:sz="8" w:color="CFF0FC"/>
            </w:tcBorders>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0" w:type="dxa"/>
            <w:vAlign w:val="bottom"/>
            <w:tcBorders>
              <w:left w:val="single" w:sz="8" w:color="CFF0FC"/>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tcBorders>
              <w:lef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600" w:type="dxa"/>
            <w:vAlign w:val="bottom"/>
            <w:shd w:val="clear" w:color="auto" w:fill="CFF0FC"/>
          </w:tcPr>
          <w:p>
            <w:pPr>
              <w:spacing w:after="0"/>
              <w:rPr>
                <w:sz w:val="14"/>
                <w:szCs w:val="14"/>
                <w:color w:val="auto"/>
              </w:rPr>
            </w:pPr>
          </w:p>
        </w:tc>
        <w:tc>
          <w:tcPr>
            <w:tcW w:w="1540" w:type="dxa"/>
            <w:vAlign w:val="bottom"/>
            <w:gridSpan w:val="3"/>
            <w:shd w:val="clear" w:color="auto" w:fill="CFF0FC"/>
          </w:tcPr>
          <w:p>
            <w:pPr>
              <w:jc w:val="center"/>
              <w:spacing w:after="0" w:line="162" w:lineRule="exact"/>
              <w:rPr>
                <w:sz w:val="20"/>
                <w:szCs w:val="20"/>
                <w:color w:val="auto"/>
              </w:rPr>
            </w:pPr>
            <w:r>
              <w:rPr>
                <w:rFonts w:ascii="Arial" w:cs="Arial" w:eastAsia="Arial" w:hAnsi="Arial"/>
                <w:sz w:val="16"/>
                <w:szCs w:val="16"/>
                <w:color w:val="0000FF"/>
              </w:rPr>
              <w:t>46</w:t>
            </w:r>
          </w:p>
        </w:tc>
        <w:tc>
          <w:tcPr>
            <w:tcW w:w="20" w:type="dxa"/>
            <w:vAlign w:val="bottom"/>
            <w:shd w:val="clear" w:color="auto" w:fill="CFF0FC"/>
          </w:tcPr>
          <w:p>
            <w:pPr>
              <w:spacing w:after="0"/>
              <w:rPr>
                <w:sz w:val="14"/>
                <w:szCs w:val="14"/>
                <w:color w:val="auto"/>
              </w:rPr>
            </w:pPr>
          </w:p>
        </w:tc>
      </w:tr>
      <w:tr>
        <w:trPr>
          <w:trHeight w:val="189"/>
        </w:trPr>
        <w:tc>
          <w:tcPr>
            <w:tcW w:w="20" w:type="dxa"/>
            <w:vAlign w:val="bottom"/>
            <w:tcBorders>
              <w:top w:val="single" w:sz="8" w:color="CFF0FC"/>
            </w:tcBorders>
          </w:tcPr>
          <w:p>
            <w:pPr>
              <w:spacing w:after="0"/>
              <w:rPr>
                <w:sz w:val="16"/>
                <w:szCs w:val="16"/>
                <w:color w:val="auto"/>
              </w:rPr>
            </w:pPr>
          </w:p>
        </w:tc>
        <w:tc>
          <w:tcPr>
            <w:tcW w:w="760" w:type="dxa"/>
            <w:vAlign w:val="bottom"/>
            <w:tcBorders>
              <w:top w:val="single" w:sz="8" w:color="CFF0FC"/>
            </w:tcBorders>
          </w:tcPr>
          <w:p>
            <w:pPr>
              <w:spacing w:after="0"/>
              <w:rPr>
                <w:sz w:val="16"/>
                <w:szCs w:val="16"/>
                <w:color w:val="auto"/>
              </w:rPr>
            </w:pPr>
          </w:p>
        </w:tc>
        <w:tc>
          <w:tcPr>
            <w:tcW w:w="460" w:type="dxa"/>
            <w:vAlign w:val="bottom"/>
            <w:tcBorders>
              <w:top w:val="single" w:sz="8" w:color="CFF0FC"/>
            </w:tcBorders>
          </w:tcPr>
          <w:p>
            <w:pPr>
              <w:spacing w:after="0"/>
              <w:rPr>
                <w:sz w:val="16"/>
                <w:szCs w:val="16"/>
                <w:color w:val="auto"/>
              </w:rPr>
            </w:pPr>
          </w:p>
        </w:tc>
        <w:tc>
          <w:tcPr>
            <w:tcW w:w="460" w:type="dxa"/>
            <w:vAlign w:val="bottom"/>
            <w:tcBorders>
              <w:top w:val="single" w:sz="8" w:color="CFF0FC"/>
            </w:tcBorders>
          </w:tcPr>
          <w:p>
            <w:pPr>
              <w:spacing w:after="0"/>
              <w:rPr>
                <w:sz w:val="16"/>
                <w:szCs w:val="16"/>
                <w:color w:val="auto"/>
              </w:rPr>
            </w:pPr>
          </w:p>
        </w:tc>
        <w:tc>
          <w:tcPr>
            <w:tcW w:w="16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160" w:type="dxa"/>
            <w:vAlign w:val="bottom"/>
            <w:tcBorders>
              <w:top w:val="single" w:sz="8" w:color="0000FF"/>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200" w:type="dxa"/>
            <w:vAlign w:val="bottom"/>
            <w:tcBorders>
              <w:top w:val="single" w:sz="8" w:color="CFF0FC"/>
            </w:tcBorders>
          </w:tcPr>
          <w:p>
            <w:pPr>
              <w:spacing w:after="0"/>
              <w:rPr>
                <w:sz w:val="16"/>
                <w:szCs w:val="16"/>
                <w:color w:val="auto"/>
              </w:rPr>
            </w:pPr>
          </w:p>
        </w:tc>
        <w:tc>
          <w:tcPr>
            <w:tcW w:w="140" w:type="dxa"/>
            <w:vAlign w:val="bottom"/>
            <w:tcBorders>
              <w:top w:val="single" w:sz="8" w:color="CFF0FC"/>
            </w:tcBorders>
          </w:tcPr>
          <w:p>
            <w:pPr>
              <w:spacing w:after="0"/>
              <w:rPr>
                <w:sz w:val="16"/>
                <w:szCs w:val="16"/>
                <w:color w:val="auto"/>
              </w:rPr>
            </w:pPr>
          </w:p>
        </w:tc>
        <w:tc>
          <w:tcPr>
            <w:tcW w:w="140" w:type="dxa"/>
            <w:vAlign w:val="bottom"/>
            <w:tcBorders>
              <w:top w:val="single" w:sz="8" w:color="CFF0FC"/>
            </w:tcBorders>
          </w:tcPr>
          <w:p>
            <w:pPr>
              <w:spacing w:after="0"/>
              <w:rPr>
                <w:sz w:val="16"/>
                <w:szCs w:val="16"/>
                <w:color w:val="auto"/>
              </w:rPr>
            </w:pPr>
          </w:p>
        </w:tc>
        <w:tc>
          <w:tcPr>
            <w:tcW w:w="80" w:type="dxa"/>
            <w:vAlign w:val="bottom"/>
            <w:tcBorders>
              <w:top w:val="single" w:sz="8" w:color="CFF0FC"/>
            </w:tcBorders>
          </w:tcPr>
          <w:p>
            <w:pPr>
              <w:spacing w:after="0"/>
              <w:rPr>
                <w:sz w:val="16"/>
                <w:szCs w:val="16"/>
                <w:color w:val="auto"/>
              </w:rPr>
            </w:pPr>
          </w:p>
        </w:tc>
        <w:tc>
          <w:tcPr>
            <w:tcW w:w="140" w:type="dxa"/>
            <w:vAlign w:val="bottom"/>
            <w:tcBorders>
              <w:top w:val="single" w:sz="8" w:color="CFF0FC"/>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80" w:type="dxa"/>
            <w:vAlign w:val="bottom"/>
            <w:tcBorders>
              <w:top w:val="single" w:sz="8" w:color="CFF0FC"/>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320" w:type="dxa"/>
            <w:vAlign w:val="bottom"/>
            <w:tcBorders>
              <w:top w:val="single" w:sz="8" w:color="CFF0FC"/>
            </w:tcBorders>
          </w:tcPr>
          <w:p>
            <w:pPr>
              <w:spacing w:after="0"/>
              <w:rPr>
                <w:sz w:val="16"/>
                <w:szCs w:val="16"/>
                <w:color w:val="auto"/>
              </w:rPr>
            </w:pPr>
          </w:p>
        </w:tc>
        <w:tc>
          <w:tcPr>
            <w:tcW w:w="240" w:type="dxa"/>
            <w:vAlign w:val="bottom"/>
            <w:tcBorders>
              <w:top w:val="single" w:sz="8" w:color="CFF0FC"/>
            </w:tcBorders>
          </w:tcPr>
          <w:p>
            <w:pPr>
              <w:spacing w:after="0"/>
              <w:rPr>
                <w:sz w:val="16"/>
                <w:szCs w:val="16"/>
                <w:color w:val="auto"/>
              </w:rPr>
            </w:pPr>
          </w:p>
        </w:tc>
        <w:tc>
          <w:tcPr>
            <w:tcW w:w="140" w:type="dxa"/>
            <w:vAlign w:val="bottom"/>
            <w:tcBorders>
              <w:top w:val="single" w:sz="8" w:color="CFF0FC"/>
            </w:tcBorders>
          </w:tcPr>
          <w:p>
            <w:pPr>
              <w:spacing w:after="0"/>
              <w:rPr>
                <w:sz w:val="16"/>
                <w:szCs w:val="16"/>
                <w:color w:val="auto"/>
              </w:rPr>
            </w:pPr>
          </w:p>
        </w:tc>
        <w:tc>
          <w:tcPr>
            <w:tcW w:w="80" w:type="dxa"/>
            <w:vAlign w:val="bottom"/>
            <w:tcBorders>
              <w:top w:val="single" w:sz="8" w:color="CFF0FC"/>
            </w:tcBorders>
          </w:tcPr>
          <w:p>
            <w:pPr>
              <w:spacing w:after="0"/>
              <w:rPr>
                <w:sz w:val="16"/>
                <w:szCs w:val="16"/>
                <w:color w:val="auto"/>
              </w:rPr>
            </w:pPr>
          </w:p>
        </w:tc>
        <w:tc>
          <w:tcPr>
            <w:tcW w:w="280" w:type="dxa"/>
            <w:vAlign w:val="bottom"/>
            <w:tcBorders>
              <w:top w:val="single" w:sz="8" w:color="CFF0FC"/>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180" w:type="dxa"/>
            <w:vAlign w:val="bottom"/>
            <w:tcBorders>
              <w:top w:val="single" w:sz="8" w:color="CFF0FC"/>
            </w:tcBorders>
          </w:tcPr>
          <w:p>
            <w:pPr>
              <w:spacing w:after="0"/>
              <w:rPr>
                <w:sz w:val="16"/>
                <w:szCs w:val="16"/>
                <w:color w:val="auto"/>
              </w:rPr>
            </w:pPr>
          </w:p>
        </w:tc>
        <w:tc>
          <w:tcPr>
            <w:tcW w:w="200" w:type="dxa"/>
            <w:vAlign w:val="bottom"/>
            <w:tcBorders>
              <w:top w:val="single" w:sz="8" w:color="CFF0FC"/>
            </w:tcBorders>
          </w:tcPr>
          <w:p>
            <w:pPr>
              <w:spacing w:after="0"/>
              <w:rPr>
                <w:sz w:val="16"/>
                <w:szCs w:val="16"/>
                <w:color w:val="auto"/>
              </w:rPr>
            </w:pPr>
          </w:p>
        </w:tc>
        <w:tc>
          <w:tcPr>
            <w:tcW w:w="400" w:type="dxa"/>
            <w:vAlign w:val="bottom"/>
            <w:tcBorders>
              <w:top w:val="single" w:sz="8" w:color="CFF0FC"/>
            </w:tcBorders>
          </w:tcPr>
          <w:p>
            <w:pPr>
              <w:spacing w:after="0"/>
              <w:rPr>
                <w:sz w:val="16"/>
                <w:szCs w:val="16"/>
                <w:color w:val="auto"/>
              </w:rPr>
            </w:pPr>
          </w:p>
        </w:tc>
        <w:tc>
          <w:tcPr>
            <w:tcW w:w="260" w:type="dxa"/>
            <w:vAlign w:val="bottom"/>
            <w:tcBorders>
              <w:top w:val="single" w:sz="8" w:color="CFF0FC"/>
            </w:tcBorders>
          </w:tcPr>
          <w:p>
            <w:pPr>
              <w:spacing w:after="0"/>
              <w:rPr>
                <w:sz w:val="16"/>
                <w:szCs w:val="16"/>
                <w:color w:val="auto"/>
              </w:rPr>
            </w:pPr>
          </w:p>
        </w:tc>
        <w:tc>
          <w:tcPr>
            <w:tcW w:w="140" w:type="dxa"/>
            <w:vAlign w:val="bottom"/>
            <w:tcBorders>
              <w:top w:val="single" w:sz="8" w:color="CFF0FC"/>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1060" w:type="dxa"/>
            <w:vAlign w:val="bottom"/>
            <w:tcBorders>
              <w:top w:val="single" w:sz="8" w:color="CFF0FC"/>
            </w:tcBorders>
          </w:tcPr>
          <w:p>
            <w:pPr>
              <w:spacing w:after="0"/>
              <w:rPr>
                <w:sz w:val="16"/>
                <w:szCs w:val="16"/>
                <w:color w:val="auto"/>
              </w:rPr>
            </w:pPr>
          </w:p>
        </w:tc>
        <w:tc>
          <w:tcPr>
            <w:tcW w:w="960" w:type="dxa"/>
            <w:vAlign w:val="bottom"/>
            <w:tcBorders>
              <w:top w:val="single" w:sz="8" w:color="CFF0FC"/>
            </w:tcBorders>
          </w:tcPr>
          <w:p>
            <w:pPr>
              <w:spacing w:after="0"/>
              <w:rPr>
                <w:sz w:val="16"/>
                <w:szCs w:val="16"/>
                <w:color w:val="auto"/>
              </w:rPr>
            </w:pPr>
          </w:p>
        </w:tc>
        <w:tc>
          <w:tcPr>
            <w:tcW w:w="1600" w:type="dxa"/>
            <w:vAlign w:val="bottom"/>
            <w:tcBorders>
              <w:top w:val="single" w:sz="8" w:color="CFF0FC"/>
            </w:tcBorders>
          </w:tcPr>
          <w:p>
            <w:pPr>
              <w:spacing w:after="0"/>
              <w:rPr>
                <w:sz w:val="16"/>
                <w:szCs w:val="16"/>
                <w:color w:val="auto"/>
              </w:rPr>
            </w:pPr>
          </w:p>
        </w:tc>
        <w:tc>
          <w:tcPr>
            <w:tcW w:w="720" w:type="dxa"/>
            <w:vAlign w:val="bottom"/>
            <w:tcBorders>
              <w:top w:val="single" w:sz="8" w:color="CFF0FC"/>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720" w:type="dxa"/>
            <w:vAlign w:val="bottom"/>
            <w:tcBorders>
              <w:top w:val="single" w:sz="8" w:color="CFF0FC"/>
            </w:tcBorders>
          </w:tcPr>
          <w:p>
            <w:pPr>
              <w:spacing w:after="0"/>
              <w:rPr>
                <w:sz w:val="16"/>
                <w:szCs w:val="16"/>
                <w:color w:val="auto"/>
              </w:rPr>
            </w:pPr>
          </w:p>
        </w:tc>
        <w:tc>
          <w:tcPr>
            <w:tcW w:w="20" w:type="dxa"/>
            <w:vAlign w:val="bottom"/>
            <w:tcBorders>
              <w:top w:val="single" w:sz="8" w:color="CFF0FC"/>
            </w:tcBorders>
          </w:tcPr>
          <w:p>
            <w:pPr>
              <w:spacing w:after="0"/>
              <w:rPr>
                <w:sz w:val="16"/>
                <w:szCs w:val="16"/>
                <w:color w:val="auto"/>
              </w:rPr>
            </w:pPr>
          </w:p>
        </w:tc>
      </w:tr>
      <w:tr>
        <w:trPr>
          <w:trHeight w:val="169"/>
        </w:trPr>
        <w:tc>
          <w:tcPr>
            <w:tcW w:w="1240" w:type="dxa"/>
            <w:vAlign w:val="bottom"/>
            <w:gridSpan w:val="3"/>
            <w:shd w:val="clear" w:color="auto" w:fill="CFF0FC"/>
          </w:tcPr>
          <w:p>
            <w:pPr>
              <w:spacing w:after="0" w:line="162" w:lineRule="exact"/>
              <w:rPr>
                <w:sz w:val="20"/>
                <w:szCs w:val="20"/>
                <w:color w:val="auto"/>
              </w:rPr>
            </w:pPr>
            <w:r>
              <w:rPr>
                <w:rFonts w:ascii="Arial" w:cs="Arial" w:eastAsia="Arial" w:hAnsi="Arial"/>
                <w:sz w:val="16"/>
                <w:szCs w:val="16"/>
                <w:color w:val="0000FF"/>
              </w:rPr>
              <w:t>Signatures</w:t>
            </w:r>
          </w:p>
        </w:tc>
        <w:tc>
          <w:tcPr>
            <w:tcW w:w="460" w:type="dxa"/>
            <w:vAlign w:val="bottom"/>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12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tcBorders>
              <w:left w:val="single" w:sz="8" w:color="CFF0FC"/>
            </w:tcBorders>
            <w:shd w:val="clear" w:color="auto" w:fill="CFF0FC"/>
          </w:tcPr>
          <w:p>
            <w:pPr>
              <w:spacing w:after="0"/>
              <w:rPr>
                <w:sz w:val="14"/>
                <w:szCs w:val="14"/>
                <w:color w:val="auto"/>
              </w:rPr>
            </w:pPr>
          </w:p>
        </w:tc>
        <w:tc>
          <w:tcPr>
            <w:tcW w:w="140" w:type="dxa"/>
            <w:vAlign w:val="bottom"/>
            <w:tcBorders>
              <w:left w:val="single" w:sz="8" w:color="CFF0FC"/>
              <w:right w:val="single" w:sz="8" w:color="CFF0FC"/>
            </w:tcBorders>
            <w:shd w:val="clear" w:color="auto" w:fill="CFF0FC"/>
          </w:tcPr>
          <w:p>
            <w:pPr>
              <w:spacing w:after="0"/>
              <w:rPr>
                <w:sz w:val="14"/>
                <w:szCs w:val="14"/>
                <w:color w:val="auto"/>
              </w:rPr>
            </w:pPr>
          </w:p>
        </w:tc>
        <w:tc>
          <w:tcPr>
            <w:tcW w:w="100" w:type="dxa"/>
            <w:vAlign w:val="bottom"/>
            <w:tcBorders>
              <w:lef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20" w:type="dxa"/>
            <w:vAlign w:val="bottom"/>
            <w:tcBorders>
              <w:left w:val="single" w:sz="8" w:color="CFF0FC"/>
              <w:right w:val="single" w:sz="8" w:color="CFF0FC"/>
            </w:tcBorders>
            <w:shd w:val="clear" w:color="auto" w:fill="CFF0FC"/>
          </w:tcPr>
          <w:p>
            <w:pPr>
              <w:spacing w:after="0"/>
              <w:rPr>
                <w:sz w:val="14"/>
                <w:szCs w:val="14"/>
                <w:color w:val="auto"/>
              </w:rPr>
            </w:pPr>
          </w:p>
        </w:tc>
        <w:tc>
          <w:tcPr>
            <w:tcW w:w="320" w:type="dxa"/>
            <w:vAlign w:val="bottom"/>
            <w:tcBorders>
              <w:right w:val="single" w:sz="8" w:color="CFF0FC"/>
            </w:tcBorders>
            <w:shd w:val="clear" w:color="auto" w:fill="CFF0FC"/>
          </w:tcPr>
          <w:p>
            <w:pPr>
              <w:spacing w:after="0"/>
              <w:rPr>
                <w:sz w:val="14"/>
                <w:szCs w:val="14"/>
                <w:color w:val="auto"/>
              </w:rPr>
            </w:pPr>
          </w:p>
        </w:tc>
        <w:tc>
          <w:tcPr>
            <w:tcW w:w="240" w:type="dxa"/>
            <w:vAlign w:val="bottom"/>
            <w:tcBorders>
              <w:left w:val="single" w:sz="8" w:color="CFF0FC"/>
              <w:right w:val="single" w:sz="8" w:color="CFF0FC"/>
            </w:tcBorders>
            <w:shd w:val="clear" w:color="auto" w:fill="CFF0FC"/>
          </w:tcPr>
          <w:p>
            <w:pPr>
              <w:spacing w:after="0"/>
              <w:rPr>
                <w:sz w:val="14"/>
                <w:szCs w:val="14"/>
                <w:color w:val="auto"/>
              </w:rPr>
            </w:pPr>
          </w:p>
        </w:tc>
        <w:tc>
          <w:tcPr>
            <w:tcW w:w="140" w:type="dxa"/>
            <w:vAlign w:val="bottom"/>
            <w:tcBorders>
              <w:right w:val="single" w:sz="8" w:color="CFF0FC"/>
            </w:tcBorders>
            <w:shd w:val="clear" w:color="auto" w:fill="CFF0FC"/>
          </w:tcPr>
          <w:p>
            <w:pPr>
              <w:spacing w:after="0"/>
              <w:rPr>
                <w:sz w:val="14"/>
                <w:szCs w:val="14"/>
                <w:color w:val="auto"/>
              </w:rPr>
            </w:pPr>
          </w:p>
        </w:tc>
        <w:tc>
          <w:tcPr>
            <w:tcW w:w="80" w:type="dxa"/>
            <w:vAlign w:val="bottom"/>
            <w:tcBorders>
              <w:left w:val="single" w:sz="8" w:color="CFF0FC"/>
            </w:tcBorders>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0" w:type="dxa"/>
            <w:vAlign w:val="bottom"/>
            <w:tcBorders>
              <w:left w:val="single" w:sz="8" w:color="CFF0FC"/>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tcBorders>
              <w:lef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600" w:type="dxa"/>
            <w:vAlign w:val="bottom"/>
            <w:shd w:val="clear" w:color="auto" w:fill="CFF0FC"/>
          </w:tcPr>
          <w:p>
            <w:pPr>
              <w:spacing w:after="0"/>
              <w:rPr>
                <w:sz w:val="14"/>
                <w:szCs w:val="14"/>
                <w:color w:val="auto"/>
              </w:rPr>
            </w:pPr>
          </w:p>
        </w:tc>
        <w:tc>
          <w:tcPr>
            <w:tcW w:w="1540" w:type="dxa"/>
            <w:vAlign w:val="bottom"/>
            <w:gridSpan w:val="3"/>
            <w:shd w:val="clear" w:color="auto" w:fill="CFF0FC"/>
          </w:tcPr>
          <w:p>
            <w:pPr>
              <w:jc w:val="center"/>
              <w:spacing w:after="0" w:line="162" w:lineRule="exact"/>
              <w:rPr>
                <w:sz w:val="20"/>
                <w:szCs w:val="20"/>
                <w:color w:val="auto"/>
              </w:rPr>
            </w:pPr>
            <w:r>
              <w:rPr>
                <w:rFonts w:ascii="Arial" w:cs="Arial" w:eastAsia="Arial" w:hAnsi="Arial"/>
                <w:sz w:val="16"/>
                <w:szCs w:val="16"/>
                <w:color w:val="0000FF"/>
              </w:rPr>
              <w:t>46</w:t>
            </w:r>
          </w:p>
        </w:tc>
        <w:tc>
          <w:tcPr>
            <w:tcW w:w="20" w:type="dxa"/>
            <w:vAlign w:val="bottom"/>
            <w:shd w:val="clear" w:color="auto" w:fill="CFF0FC"/>
          </w:tcPr>
          <w:p>
            <w:pPr>
              <w:spacing w:after="0"/>
              <w:rPr>
                <w:sz w:val="14"/>
                <w:szCs w:val="14"/>
                <w:color w:val="auto"/>
              </w:rPr>
            </w:pPr>
          </w:p>
        </w:tc>
      </w:tr>
      <w:tr>
        <w:trPr>
          <w:trHeight w:val="605"/>
        </w:trPr>
        <w:tc>
          <w:tcPr>
            <w:tcW w:w="2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460" w:type="dxa"/>
            <w:vAlign w:val="bottom"/>
            <w:tcBorders>
              <w:top w:val="single" w:sz="8" w:color="CFF0FC"/>
            </w:tcBorders>
          </w:tcPr>
          <w:p>
            <w:pPr>
              <w:spacing w:after="0"/>
              <w:rPr>
                <w:sz w:val="24"/>
                <w:szCs w:val="24"/>
                <w:color w:val="auto"/>
              </w:rPr>
            </w:pPr>
          </w:p>
        </w:tc>
        <w:tc>
          <w:tcPr>
            <w:tcW w:w="460" w:type="dxa"/>
            <w:vAlign w:val="bottom"/>
            <w:tcBorders>
              <w:top w:val="single" w:sz="8" w:color="CFF0FC"/>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3320" w:type="dxa"/>
            <w:vAlign w:val="bottom"/>
            <w:tcBorders>
              <w:top w:val="single" w:sz="8" w:color="CFF0FC"/>
            </w:tcBorders>
            <w:gridSpan w:val="18"/>
          </w:tcPr>
          <w:p>
            <w:pPr>
              <w:ind w:left="3100"/>
              <w:spacing w:after="0"/>
              <w:rPr>
                <w:sz w:val="20"/>
                <w:szCs w:val="20"/>
                <w:color w:val="auto"/>
              </w:rPr>
            </w:pPr>
            <w:r>
              <w:rPr>
                <w:rFonts w:ascii="Arial" w:cs="Arial" w:eastAsia="Arial" w:hAnsi="Arial"/>
                <w:sz w:val="16"/>
                <w:szCs w:val="16"/>
                <w:color w:val="auto"/>
              </w:rPr>
              <w:t>2</w:t>
            </w:r>
          </w:p>
        </w:tc>
        <w:tc>
          <w:tcPr>
            <w:tcW w:w="14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060" w:type="dxa"/>
            <w:vAlign w:val="bottom"/>
            <w:tcBorders>
              <w:top w:val="single" w:sz="8" w:color="CFF0FC"/>
            </w:tcBorders>
          </w:tcPr>
          <w:p>
            <w:pPr>
              <w:spacing w:after="0"/>
              <w:rPr>
                <w:sz w:val="24"/>
                <w:szCs w:val="24"/>
                <w:color w:val="auto"/>
              </w:rPr>
            </w:pPr>
          </w:p>
        </w:tc>
        <w:tc>
          <w:tcPr>
            <w:tcW w:w="960" w:type="dxa"/>
            <w:vAlign w:val="bottom"/>
            <w:tcBorders>
              <w:top w:val="single" w:sz="8" w:color="CFF0FC"/>
            </w:tcBorders>
          </w:tcPr>
          <w:p>
            <w:pPr>
              <w:spacing w:after="0"/>
              <w:rPr>
                <w:sz w:val="24"/>
                <w:szCs w:val="24"/>
                <w:color w:val="auto"/>
              </w:rPr>
            </w:pPr>
          </w:p>
        </w:tc>
        <w:tc>
          <w:tcPr>
            <w:tcW w:w="1600" w:type="dxa"/>
            <w:vAlign w:val="bottom"/>
            <w:tcBorders>
              <w:top w:val="single" w:sz="8" w:color="CFF0FC"/>
            </w:tcBorders>
          </w:tcPr>
          <w:p>
            <w:pPr>
              <w:spacing w:after="0"/>
              <w:rPr>
                <w:sz w:val="24"/>
                <w:szCs w:val="24"/>
                <w:color w:val="auto"/>
              </w:rPr>
            </w:pPr>
          </w:p>
        </w:tc>
        <w:tc>
          <w:tcPr>
            <w:tcW w:w="720" w:type="dxa"/>
            <w:vAlign w:val="bottom"/>
            <w:tcBorders>
              <w:top w:val="single" w:sz="8" w:color="CFF0FC"/>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720" w:type="dxa"/>
            <w:vAlign w:val="bottom"/>
            <w:tcBorders>
              <w:top w:val="single" w:sz="8" w:color="CFF0FC"/>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r>
      <w:tr>
        <w:trPr>
          <w:trHeight w:val="751"/>
        </w:trPr>
        <w:tc>
          <w:tcPr>
            <w:tcW w:w="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480" w:type="dxa"/>
            <w:vAlign w:val="bottom"/>
          </w:tcPr>
          <w:p>
            <w:pPr>
              <w:spacing w:after="0"/>
              <w:rPr>
                <w:sz w:val="19"/>
                <w:szCs w:val="19"/>
                <w:color w:val="auto"/>
              </w:rPr>
            </w:pPr>
          </w:p>
        </w:tc>
        <w:tc>
          <w:tcPr>
            <w:tcW w:w="7760" w:type="dxa"/>
            <w:vAlign w:val="bottom"/>
          </w:tcPr>
          <w:p>
            <w:pPr>
              <w:ind w:left="360"/>
              <w:spacing w:after="0"/>
              <w:rPr>
                <w:sz w:val="20"/>
                <w:szCs w:val="20"/>
                <w:color w:val="auto"/>
              </w:rPr>
            </w:pPr>
            <w:r>
              <w:rPr>
                <w:rFonts w:ascii="Arial" w:cs="Arial" w:eastAsia="Arial" w:hAnsi="Arial"/>
                <w:sz w:val="16"/>
                <w:szCs w:val="16"/>
                <w:b w:val="1"/>
                <w:bCs w:val="1"/>
                <w:color w:val="auto"/>
              </w:rPr>
              <w:t>GLOSSARY OF TERMS AND ABBREVIATIONS</w:t>
            </w:r>
          </w:p>
        </w:tc>
      </w:tr>
      <w:tr>
        <w:trPr>
          <w:trHeight w:val="370"/>
        </w:trPr>
        <w:tc>
          <w:tcPr>
            <w:tcW w:w="11240" w:type="dxa"/>
            <w:vAlign w:val="bottom"/>
            <w:gridSpan w:val="2"/>
          </w:tcPr>
          <w:p>
            <w:pPr>
              <w:spacing w:after="0"/>
              <w:rPr>
                <w:sz w:val="20"/>
                <w:szCs w:val="20"/>
                <w:color w:val="auto"/>
              </w:rPr>
            </w:pPr>
            <w:r>
              <w:rPr>
                <w:rFonts w:ascii="Arial" w:cs="Arial" w:eastAsia="Arial" w:hAnsi="Arial"/>
                <w:sz w:val="16"/>
                <w:szCs w:val="16"/>
                <w:color w:val="auto"/>
              </w:rPr>
              <w:t>The following terms and abbreviations appear in the text of this report and have the definitions described below:</w:t>
            </w:r>
          </w:p>
        </w:tc>
      </w:tr>
      <w:tr>
        <w:trPr>
          <w:trHeight w:val="178"/>
        </w:trPr>
        <w:tc>
          <w:tcPr>
            <w:tcW w:w="3480" w:type="dxa"/>
            <w:vAlign w:val="bottom"/>
          </w:tcPr>
          <w:p>
            <w:pPr>
              <w:spacing w:after="0"/>
              <w:rPr>
                <w:sz w:val="15"/>
                <w:szCs w:val="15"/>
                <w:color w:val="auto"/>
              </w:rPr>
            </w:pPr>
          </w:p>
        </w:tc>
        <w:tc>
          <w:tcPr>
            <w:tcW w:w="7760" w:type="dxa"/>
            <w:vAlign w:val="bottom"/>
          </w:tcPr>
          <w:p>
            <w:pPr>
              <w:spacing w:after="0"/>
              <w:rPr>
                <w:sz w:val="15"/>
                <w:szCs w:val="15"/>
                <w:color w:val="auto"/>
              </w:rPr>
            </w:pPr>
          </w:p>
        </w:tc>
      </w:tr>
      <w:tr>
        <w:trPr>
          <w:trHeight w:val="189"/>
        </w:trPr>
        <w:tc>
          <w:tcPr>
            <w:tcW w:w="3480" w:type="dxa"/>
            <w:vAlign w:val="bottom"/>
            <w:shd w:val="clear" w:color="auto" w:fill="CFF0FC"/>
          </w:tcPr>
          <w:p>
            <w:pPr>
              <w:spacing w:after="0"/>
              <w:rPr>
                <w:sz w:val="20"/>
                <w:szCs w:val="20"/>
                <w:color w:val="auto"/>
              </w:rPr>
            </w:pPr>
            <w:r>
              <w:rPr>
                <w:rFonts w:ascii="Arial" w:cs="Arial" w:eastAsia="Arial" w:hAnsi="Arial"/>
                <w:sz w:val="16"/>
                <w:szCs w:val="16"/>
                <w:color w:val="auto"/>
              </w:rPr>
              <w:t>AFUDC</w:t>
            </w:r>
          </w:p>
        </w:tc>
        <w:tc>
          <w:tcPr>
            <w:tcW w:w="77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Allowance for Funds Used During Construction</w:t>
            </w:r>
          </w:p>
        </w:tc>
      </w:tr>
      <w:tr>
        <w:trPr>
          <w:trHeight w:val="189"/>
        </w:trPr>
        <w:tc>
          <w:tcPr>
            <w:tcW w:w="3480" w:type="dxa"/>
            <w:vAlign w:val="bottom"/>
          </w:tcPr>
          <w:p>
            <w:pPr>
              <w:spacing w:after="0"/>
              <w:rPr>
                <w:sz w:val="20"/>
                <w:szCs w:val="20"/>
                <w:color w:val="auto"/>
              </w:rPr>
            </w:pPr>
            <w:r>
              <w:rPr>
                <w:rFonts w:ascii="Arial" w:cs="Arial" w:eastAsia="Arial" w:hAnsi="Arial"/>
                <w:sz w:val="16"/>
                <w:szCs w:val="16"/>
                <w:color w:val="auto"/>
              </w:rPr>
              <w:t>AOCI</w:t>
            </w:r>
          </w:p>
        </w:tc>
        <w:tc>
          <w:tcPr>
            <w:tcW w:w="7760" w:type="dxa"/>
            <w:vAlign w:val="bottom"/>
          </w:tcPr>
          <w:p>
            <w:pPr>
              <w:ind w:left="240"/>
              <w:spacing w:after="0"/>
              <w:rPr>
                <w:sz w:val="20"/>
                <w:szCs w:val="20"/>
                <w:color w:val="auto"/>
              </w:rPr>
            </w:pPr>
            <w:r>
              <w:rPr>
                <w:rFonts w:ascii="Arial" w:cs="Arial" w:eastAsia="Arial" w:hAnsi="Arial"/>
                <w:sz w:val="16"/>
                <w:szCs w:val="16"/>
                <w:color w:val="auto"/>
              </w:rPr>
              <w:t>Accumulated Other Comprehensive Income (Loss)</w:t>
            </w:r>
          </w:p>
        </w:tc>
      </w:tr>
      <w:tr>
        <w:trPr>
          <w:trHeight w:val="175"/>
        </w:trPr>
        <w:tc>
          <w:tcPr>
            <w:tcW w:w="3480" w:type="dxa"/>
            <w:vAlign w:val="bottom"/>
            <w:shd w:val="clear" w:color="auto" w:fill="CFF0FC"/>
          </w:tcPr>
          <w:p>
            <w:pPr>
              <w:spacing w:after="0" w:line="175" w:lineRule="exact"/>
              <w:rPr>
                <w:sz w:val="20"/>
                <w:szCs w:val="20"/>
                <w:color w:val="auto"/>
              </w:rPr>
            </w:pPr>
            <w:r>
              <w:rPr>
                <w:rFonts w:ascii="Arial" w:cs="Arial" w:eastAsia="Arial" w:hAnsi="Arial"/>
                <w:sz w:val="16"/>
                <w:szCs w:val="16"/>
                <w:color w:val="auto"/>
              </w:rPr>
              <w:t>Arkansas Gas</w:t>
            </w:r>
          </w:p>
        </w:tc>
        <w:tc>
          <w:tcPr>
            <w:tcW w:w="7760" w:type="dxa"/>
            <w:vAlign w:val="bottom"/>
            <w:shd w:val="clear" w:color="auto" w:fill="CFF0FC"/>
          </w:tcPr>
          <w:p>
            <w:pPr>
              <w:ind w:left="240"/>
              <w:spacing w:after="0" w:line="175" w:lineRule="exact"/>
              <w:rPr>
                <w:sz w:val="20"/>
                <w:szCs w:val="20"/>
                <w:color w:val="auto"/>
              </w:rPr>
            </w:pPr>
            <w:r>
              <w:rPr>
                <w:rFonts w:ascii="Arial" w:cs="Arial" w:eastAsia="Arial" w:hAnsi="Arial"/>
                <w:sz w:val="16"/>
                <w:szCs w:val="16"/>
                <w:color w:val="auto"/>
              </w:rPr>
              <w:t>Black Hills Energy Arkansas, Inc., an indirect, wholly-owned subsidiary of Black Hills Utility Holdings,</w:t>
            </w:r>
          </w:p>
        </w:tc>
      </w:tr>
      <w:tr>
        <w:trPr>
          <w:trHeight w:val="203"/>
        </w:trPr>
        <w:tc>
          <w:tcPr>
            <w:tcW w:w="3480" w:type="dxa"/>
            <w:vAlign w:val="bottom"/>
            <w:shd w:val="clear" w:color="auto" w:fill="CFF0FC"/>
          </w:tcPr>
          <w:p>
            <w:pPr>
              <w:spacing w:after="0"/>
              <w:rPr>
                <w:sz w:val="17"/>
                <w:szCs w:val="17"/>
                <w:color w:val="auto"/>
              </w:rPr>
            </w:pPr>
          </w:p>
        </w:tc>
        <w:tc>
          <w:tcPr>
            <w:tcW w:w="77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providing natural gas services to customers in Arkansas (doing business as Black Hills Energy).</w:t>
            </w:r>
          </w:p>
        </w:tc>
      </w:tr>
      <w:tr>
        <w:trPr>
          <w:trHeight w:val="189"/>
        </w:trPr>
        <w:tc>
          <w:tcPr>
            <w:tcW w:w="3480" w:type="dxa"/>
            <w:vAlign w:val="bottom"/>
          </w:tcPr>
          <w:p>
            <w:pPr>
              <w:spacing w:after="0"/>
              <w:rPr>
                <w:sz w:val="20"/>
                <w:szCs w:val="20"/>
                <w:color w:val="auto"/>
              </w:rPr>
            </w:pPr>
            <w:r>
              <w:rPr>
                <w:rFonts w:ascii="Arial" w:cs="Arial" w:eastAsia="Arial" w:hAnsi="Arial"/>
                <w:sz w:val="16"/>
                <w:szCs w:val="16"/>
                <w:color w:val="auto"/>
              </w:rPr>
              <w:t>ASU</w:t>
            </w:r>
          </w:p>
        </w:tc>
        <w:tc>
          <w:tcPr>
            <w:tcW w:w="7760" w:type="dxa"/>
            <w:vAlign w:val="bottom"/>
          </w:tcPr>
          <w:p>
            <w:pPr>
              <w:ind w:left="240"/>
              <w:spacing w:after="0"/>
              <w:rPr>
                <w:sz w:val="20"/>
                <w:szCs w:val="20"/>
                <w:color w:val="auto"/>
              </w:rPr>
            </w:pPr>
            <w:r>
              <w:rPr>
                <w:rFonts w:ascii="Arial" w:cs="Arial" w:eastAsia="Arial" w:hAnsi="Arial"/>
                <w:sz w:val="16"/>
                <w:szCs w:val="16"/>
                <w:color w:val="auto"/>
              </w:rPr>
              <w:t>Accounting Standards Update as issued by the FASB</w:t>
            </w:r>
          </w:p>
        </w:tc>
      </w:tr>
      <w:tr>
        <w:trPr>
          <w:trHeight w:val="189"/>
        </w:trPr>
        <w:tc>
          <w:tcPr>
            <w:tcW w:w="3480" w:type="dxa"/>
            <w:vAlign w:val="bottom"/>
            <w:shd w:val="clear" w:color="auto" w:fill="CFF0FC"/>
          </w:tcPr>
          <w:p>
            <w:pPr>
              <w:spacing w:after="0"/>
              <w:rPr>
                <w:sz w:val="20"/>
                <w:szCs w:val="20"/>
                <w:color w:val="auto"/>
              </w:rPr>
            </w:pPr>
            <w:r>
              <w:rPr>
                <w:rFonts w:ascii="Arial" w:cs="Arial" w:eastAsia="Arial" w:hAnsi="Arial"/>
                <w:sz w:val="16"/>
                <w:szCs w:val="16"/>
                <w:color w:val="auto"/>
              </w:rPr>
              <w:t>ATM</w:t>
            </w:r>
          </w:p>
        </w:tc>
        <w:tc>
          <w:tcPr>
            <w:tcW w:w="77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At-the-market equity offering program</w:t>
            </w:r>
          </w:p>
        </w:tc>
      </w:tr>
      <w:tr>
        <w:trPr>
          <w:trHeight w:val="189"/>
        </w:trPr>
        <w:tc>
          <w:tcPr>
            <w:tcW w:w="3480" w:type="dxa"/>
            <w:vAlign w:val="bottom"/>
          </w:tcPr>
          <w:p>
            <w:pPr>
              <w:spacing w:after="0"/>
              <w:rPr>
                <w:sz w:val="20"/>
                <w:szCs w:val="20"/>
                <w:color w:val="auto"/>
              </w:rPr>
            </w:pPr>
            <w:r>
              <w:rPr>
                <w:rFonts w:ascii="Arial" w:cs="Arial" w:eastAsia="Arial" w:hAnsi="Arial"/>
                <w:sz w:val="16"/>
                <w:szCs w:val="16"/>
                <w:color w:val="auto"/>
              </w:rPr>
              <w:t>Availability</w:t>
            </w:r>
          </w:p>
        </w:tc>
        <w:tc>
          <w:tcPr>
            <w:tcW w:w="7760" w:type="dxa"/>
            <w:vAlign w:val="bottom"/>
          </w:tcPr>
          <w:p>
            <w:pPr>
              <w:ind w:left="240"/>
              <w:spacing w:after="0"/>
              <w:rPr>
                <w:sz w:val="20"/>
                <w:szCs w:val="20"/>
                <w:color w:val="auto"/>
              </w:rPr>
            </w:pPr>
            <w:r>
              <w:rPr>
                <w:rFonts w:ascii="Arial" w:cs="Arial" w:eastAsia="Arial" w:hAnsi="Arial"/>
                <w:sz w:val="16"/>
                <w:szCs w:val="16"/>
                <w:color w:val="auto"/>
              </w:rPr>
              <w:t>The availability factor of a power plant is the percentage of the time that it is available to provide energy.</w:t>
            </w:r>
          </w:p>
        </w:tc>
      </w:tr>
      <w:tr>
        <w:trPr>
          <w:trHeight w:val="189"/>
        </w:trPr>
        <w:tc>
          <w:tcPr>
            <w:tcW w:w="3480" w:type="dxa"/>
            <w:vAlign w:val="bottom"/>
            <w:shd w:val="clear" w:color="auto" w:fill="CFF0FC"/>
          </w:tcPr>
          <w:p>
            <w:pPr>
              <w:spacing w:after="0"/>
              <w:rPr>
                <w:sz w:val="20"/>
                <w:szCs w:val="20"/>
                <w:color w:val="auto"/>
              </w:rPr>
            </w:pPr>
            <w:r>
              <w:rPr>
                <w:rFonts w:ascii="Arial" w:cs="Arial" w:eastAsia="Arial" w:hAnsi="Arial"/>
                <w:sz w:val="16"/>
                <w:szCs w:val="16"/>
                <w:color w:val="auto"/>
              </w:rPr>
              <w:t>BHC</w:t>
            </w:r>
          </w:p>
        </w:tc>
        <w:tc>
          <w:tcPr>
            <w:tcW w:w="77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Black Hills Corporation; the Company</w:t>
            </w:r>
          </w:p>
        </w:tc>
      </w:tr>
      <w:tr>
        <w:trPr>
          <w:trHeight w:val="175"/>
        </w:trPr>
        <w:tc>
          <w:tcPr>
            <w:tcW w:w="3480" w:type="dxa"/>
            <w:vAlign w:val="bottom"/>
          </w:tcPr>
          <w:p>
            <w:pPr>
              <w:spacing w:after="0" w:line="175" w:lineRule="exact"/>
              <w:rPr>
                <w:sz w:val="20"/>
                <w:szCs w:val="20"/>
                <w:color w:val="auto"/>
              </w:rPr>
            </w:pPr>
            <w:r>
              <w:rPr>
                <w:rFonts w:ascii="Arial" w:cs="Arial" w:eastAsia="Arial" w:hAnsi="Arial"/>
                <w:sz w:val="16"/>
                <w:szCs w:val="16"/>
                <w:color w:val="auto"/>
              </w:rPr>
              <w:t>Black-box Settlement</w:t>
            </w:r>
          </w:p>
        </w:tc>
        <w:tc>
          <w:tcPr>
            <w:tcW w:w="7760" w:type="dxa"/>
            <w:vAlign w:val="bottom"/>
          </w:tcPr>
          <w:p>
            <w:pPr>
              <w:ind w:left="240"/>
              <w:spacing w:after="0" w:line="175" w:lineRule="exact"/>
              <w:rPr>
                <w:sz w:val="20"/>
                <w:szCs w:val="20"/>
                <w:color w:val="auto"/>
              </w:rPr>
            </w:pPr>
            <w:r>
              <w:rPr>
                <w:rFonts w:ascii="Arial" w:cs="Arial" w:eastAsia="Arial" w:hAnsi="Arial"/>
                <w:sz w:val="16"/>
                <w:szCs w:val="16"/>
                <w:color w:val="auto"/>
              </w:rPr>
              <w:t>Settlement with a utility's commission where the revenue requirement is agreed upon, but the specific</w:t>
            </w:r>
          </w:p>
        </w:tc>
      </w:tr>
      <w:tr>
        <w:trPr>
          <w:trHeight w:val="203"/>
        </w:trPr>
        <w:tc>
          <w:tcPr>
            <w:tcW w:w="3480" w:type="dxa"/>
            <w:vAlign w:val="bottom"/>
          </w:tcPr>
          <w:p>
            <w:pPr>
              <w:spacing w:after="0"/>
              <w:rPr>
                <w:sz w:val="17"/>
                <w:szCs w:val="17"/>
                <w:color w:val="auto"/>
              </w:rPr>
            </w:pPr>
          </w:p>
        </w:tc>
        <w:tc>
          <w:tcPr>
            <w:tcW w:w="7760" w:type="dxa"/>
            <w:vAlign w:val="bottom"/>
          </w:tcPr>
          <w:p>
            <w:pPr>
              <w:ind w:left="240"/>
              <w:spacing w:after="0"/>
              <w:rPr>
                <w:sz w:val="20"/>
                <w:szCs w:val="20"/>
                <w:color w:val="auto"/>
              </w:rPr>
            </w:pPr>
            <w:r>
              <w:rPr>
                <w:rFonts w:ascii="Arial" w:cs="Arial" w:eastAsia="Arial" w:hAnsi="Arial"/>
                <w:sz w:val="16"/>
                <w:szCs w:val="16"/>
                <w:color w:val="auto"/>
              </w:rPr>
              <w:t>adjustments used by each party to arrive at the amount are not specified in public rate orders.</w:t>
            </w:r>
          </w:p>
        </w:tc>
      </w:tr>
      <w:tr>
        <w:trPr>
          <w:trHeight w:val="189"/>
        </w:trPr>
        <w:tc>
          <w:tcPr>
            <w:tcW w:w="3480" w:type="dxa"/>
            <w:vAlign w:val="bottom"/>
            <w:shd w:val="clear" w:color="auto" w:fill="CFF0FC"/>
          </w:tcPr>
          <w:p>
            <w:pPr>
              <w:spacing w:after="0"/>
              <w:rPr>
                <w:sz w:val="20"/>
                <w:szCs w:val="20"/>
                <w:color w:val="auto"/>
              </w:rPr>
            </w:pPr>
            <w:r>
              <w:rPr>
                <w:rFonts w:ascii="Arial" w:cs="Arial" w:eastAsia="Arial" w:hAnsi="Arial"/>
                <w:sz w:val="16"/>
                <w:szCs w:val="16"/>
                <w:color w:val="auto"/>
              </w:rPr>
              <w:t>Black Hills Colorado IPP</w:t>
            </w:r>
          </w:p>
        </w:tc>
        <w:tc>
          <w:tcPr>
            <w:tcW w:w="77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Black Hills Colorado IPP, LLC a 50.1% owned subsidiary of Black Hills Electric Generation</w:t>
            </w:r>
          </w:p>
        </w:tc>
      </w:tr>
      <w:tr>
        <w:trPr>
          <w:trHeight w:val="175"/>
        </w:trPr>
        <w:tc>
          <w:tcPr>
            <w:tcW w:w="3480" w:type="dxa"/>
            <w:vAlign w:val="bottom"/>
          </w:tcPr>
          <w:p>
            <w:pPr>
              <w:spacing w:after="0" w:line="175" w:lineRule="exact"/>
              <w:rPr>
                <w:sz w:val="20"/>
                <w:szCs w:val="20"/>
                <w:color w:val="auto"/>
              </w:rPr>
            </w:pPr>
            <w:r>
              <w:rPr>
                <w:rFonts w:ascii="Arial" w:cs="Arial" w:eastAsia="Arial" w:hAnsi="Arial"/>
                <w:sz w:val="16"/>
                <w:szCs w:val="16"/>
                <w:color w:val="auto"/>
              </w:rPr>
              <w:t>Black Hills Electric Generation</w:t>
            </w:r>
          </w:p>
        </w:tc>
        <w:tc>
          <w:tcPr>
            <w:tcW w:w="7760" w:type="dxa"/>
            <w:vAlign w:val="bottom"/>
          </w:tcPr>
          <w:p>
            <w:pPr>
              <w:ind w:left="240"/>
              <w:spacing w:after="0" w:line="175" w:lineRule="exact"/>
              <w:rPr>
                <w:sz w:val="20"/>
                <w:szCs w:val="20"/>
                <w:color w:val="auto"/>
              </w:rPr>
            </w:pPr>
            <w:r>
              <w:rPr>
                <w:rFonts w:ascii="Arial" w:cs="Arial" w:eastAsia="Arial" w:hAnsi="Arial"/>
                <w:sz w:val="16"/>
                <w:szCs w:val="16"/>
                <w:color w:val="auto"/>
              </w:rPr>
              <w:t>Black Hills Electric Generation, LLC, a direct, wholly-owned subsidiary of Black Hills Non-regulated</w:t>
            </w:r>
          </w:p>
        </w:tc>
      </w:tr>
      <w:tr>
        <w:trPr>
          <w:trHeight w:val="203"/>
        </w:trPr>
        <w:tc>
          <w:tcPr>
            <w:tcW w:w="3480" w:type="dxa"/>
            <w:vAlign w:val="bottom"/>
          </w:tcPr>
          <w:p>
            <w:pPr>
              <w:spacing w:after="0"/>
              <w:rPr>
                <w:sz w:val="17"/>
                <w:szCs w:val="17"/>
                <w:color w:val="auto"/>
              </w:rPr>
            </w:pPr>
          </w:p>
        </w:tc>
        <w:tc>
          <w:tcPr>
            <w:tcW w:w="7760" w:type="dxa"/>
            <w:vAlign w:val="bottom"/>
          </w:tcPr>
          <w:p>
            <w:pPr>
              <w:ind w:left="240"/>
              <w:spacing w:after="0"/>
              <w:rPr>
                <w:sz w:val="20"/>
                <w:szCs w:val="20"/>
                <w:color w:val="auto"/>
              </w:rPr>
            </w:pPr>
            <w:r>
              <w:rPr>
                <w:rFonts w:ascii="Arial" w:cs="Arial" w:eastAsia="Arial" w:hAnsi="Arial"/>
                <w:sz w:val="16"/>
                <w:szCs w:val="16"/>
                <w:color w:val="auto"/>
              </w:rPr>
              <w:t>Holdings, providing wholesale electric capacity and energy primarily to our affiliate utilities.</w:t>
            </w:r>
          </w:p>
        </w:tc>
      </w:tr>
      <w:tr>
        <w:trPr>
          <w:trHeight w:val="189"/>
        </w:trPr>
        <w:tc>
          <w:tcPr>
            <w:tcW w:w="3480" w:type="dxa"/>
            <w:vAlign w:val="bottom"/>
            <w:shd w:val="clear" w:color="auto" w:fill="CFF0FC"/>
          </w:tcPr>
          <w:p>
            <w:pPr>
              <w:spacing w:after="0"/>
              <w:rPr>
                <w:sz w:val="20"/>
                <w:szCs w:val="20"/>
                <w:color w:val="auto"/>
              </w:rPr>
            </w:pPr>
            <w:r>
              <w:rPr>
                <w:rFonts w:ascii="Arial" w:cs="Arial" w:eastAsia="Arial" w:hAnsi="Arial"/>
                <w:sz w:val="16"/>
                <w:szCs w:val="16"/>
                <w:color w:val="auto"/>
              </w:rPr>
              <w:t>Black Hills Electric Parent Holdings</w:t>
            </w:r>
          </w:p>
        </w:tc>
        <w:tc>
          <w:tcPr>
            <w:tcW w:w="77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Black Hills Electric Utility Holdings, LLC., a direct, wholly-owned subsidiary of Black Hills Corporation</w:t>
            </w:r>
          </w:p>
        </w:tc>
      </w:tr>
      <w:tr>
        <w:trPr>
          <w:trHeight w:val="189"/>
        </w:trPr>
        <w:tc>
          <w:tcPr>
            <w:tcW w:w="3480" w:type="dxa"/>
            <w:vAlign w:val="bottom"/>
          </w:tcPr>
          <w:p>
            <w:pPr>
              <w:spacing w:after="0"/>
              <w:rPr>
                <w:sz w:val="20"/>
                <w:szCs w:val="20"/>
                <w:color w:val="auto"/>
              </w:rPr>
            </w:pPr>
            <w:r>
              <w:rPr>
                <w:rFonts w:ascii="Arial" w:cs="Arial" w:eastAsia="Arial" w:hAnsi="Arial"/>
                <w:sz w:val="16"/>
                <w:szCs w:val="16"/>
                <w:color w:val="auto"/>
              </w:rPr>
              <w:t>Black Hills Energy</w:t>
            </w:r>
          </w:p>
        </w:tc>
        <w:tc>
          <w:tcPr>
            <w:tcW w:w="7760" w:type="dxa"/>
            <w:vAlign w:val="bottom"/>
          </w:tcPr>
          <w:p>
            <w:pPr>
              <w:ind w:left="240"/>
              <w:spacing w:after="0"/>
              <w:rPr>
                <w:sz w:val="20"/>
                <w:szCs w:val="20"/>
                <w:color w:val="auto"/>
              </w:rPr>
            </w:pPr>
            <w:r>
              <w:rPr>
                <w:rFonts w:ascii="Arial" w:cs="Arial" w:eastAsia="Arial" w:hAnsi="Arial"/>
                <w:sz w:val="16"/>
                <w:szCs w:val="16"/>
                <w:color w:val="auto"/>
              </w:rPr>
              <w:t>The name used to conduct the business of our Utilities</w:t>
            </w:r>
          </w:p>
        </w:tc>
      </w:tr>
      <w:tr>
        <w:trPr>
          <w:trHeight w:val="175"/>
        </w:trPr>
        <w:tc>
          <w:tcPr>
            <w:tcW w:w="3480" w:type="dxa"/>
            <w:vAlign w:val="bottom"/>
            <w:shd w:val="clear" w:color="auto" w:fill="CFF0FC"/>
          </w:tcPr>
          <w:p>
            <w:pPr>
              <w:spacing w:after="0" w:line="175" w:lineRule="exact"/>
              <w:rPr>
                <w:sz w:val="20"/>
                <w:szCs w:val="20"/>
                <w:color w:val="auto"/>
              </w:rPr>
            </w:pPr>
            <w:r>
              <w:rPr>
                <w:rFonts w:ascii="Arial" w:cs="Arial" w:eastAsia="Arial" w:hAnsi="Arial"/>
                <w:sz w:val="16"/>
                <w:szCs w:val="16"/>
                <w:color w:val="auto"/>
              </w:rPr>
              <w:t>Black Hills Energy Renewable Resources</w:t>
            </w:r>
          </w:p>
        </w:tc>
        <w:tc>
          <w:tcPr>
            <w:tcW w:w="7760" w:type="dxa"/>
            <w:vAlign w:val="bottom"/>
            <w:shd w:val="clear" w:color="auto" w:fill="CFF0FC"/>
          </w:tcPr>
          <w:p>
            <w:pPr>
              <w:ind w:left="240"/>
              <w:spacing w:after="0" w:line="175" w:lineRule="exact"/>
              <w:rPr>
                <w:sz w:val="20"/>
                <w:szCs w:val="20"/>
                <w:color w:val="auto"/>
              </w:rPr>
            </w:pPr>
            <w:r>
              <w:rPr>
                <w:rFonts w:ascii="Arial" w:cs="Arial" w:eastAsia="Arial" w:hAnsi="Arial"/>
                <w:sz w:val="16"/>
                <w:szCs w:val="16"/>
                <w:color w:val="auto"/>
              </w:rPr>
              <w:t>Black Hills Energy Renewable Resources, LLC, a direct, wholly-owned subsidiary of Black Hills Non-</w:t>
            </w:r>
          </w:p>
        </w:tc>
      </w:tr>
      <w:tr>
        <w:trPr>
          <w:trHeight w:val="203"/>
        </w:trPr>
        <w:tc>
          <w:tcPr>
            <w:tcW w:w="3480" w:type="dxa"/>
            <w:vAlign w:val="bottom"/>
            <w:shd w:val="clear" w:color="auto" w:fill="CFF0FC"/>
          </w:tcPr>
          <w:p>
            <w:pPr>
              <w:spacing w:after="0"/>
              <w:rPr>
                <w:sz w:val="20"/>
                <w:szCs w:val="20"/>
                <w:color w:val="auto"/>
              </w:rPr>
            </w:pPr>
            <w:r>
              <w:rPr>
                <w:rFonts w:ascii="Arial" w:cs="Arial" w:eastAsia="Arial" w:hAnsi="Arial"/>
                <w:sz w:val="16"/>
                <w:szCs w:val="16"/>
                <w:color w:val="auto"/>
              </w:rPr>
              <w:t>(BHERR)</w:t>
            </w:r>
          </w:p>
        </w:tc>
        <w:tc>
          <w:tcPr>
            <w:tcW w:w="77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regulated Holdings</w:t>
            </w:r>
          </w:p>
        </w:tc>
      </w:tr>
      <w:tr>
        <w:trPr>
          <w:trHeight w:val="175"/>
        </w:trPr>
        <w:tc>
          <w:tcPr>
            <w:tcW w:w="3480" w:type="dxa"/>
            <w:vAlign w:val="bottom"/>
          </w:tcPr>
          <w:p>
            <w:pPr>
              <w:spacing w:after="0" w:line="175" w:lineRule="exact"/>
              <w:rPr>
                <w:sz w:val="20"/>
                <w:szCs w:val="20"/>
                <w:color w:val="auto"/>
              </w:rPr>
            </w:pPr>
            <w:r>
              <w:rPr>
                <w:rFonts w:ascii="Arial" w:cs="Arial" w:eastAsia="Arial" w:hAnsi="Arial"/>
                <w:sz w:val="16"/>
                <w:szCs w:val="16"/>
                <w:color w:val="auto"/>
              </w:rPr>
              <w:t>Black Hills Energy Services</w:t>
            </w:r>
          </w:p>
        </w:tc>
        <w:tc>
          <w:tcPr>
            <w:tcW w:w="7760" w:type="dxa"/>
            <w:vAlign w:val="bottom"/>
          </w:tcPr>
          <w:p>
            <w:pPr>
              <w:ind w:left="240"/>
              <w:spacing w:after="0" w:line="175" w:lineRule="exact"/>
              <w:rPr>
                <w:sz w:val="20"/>
                <w:szCs w:val="20"/>
                <w:color w:val="auto"/>
              </w:rPr>
            </w:pPr>
            <w:r>
              <w:rPr>
                <w:rFonts w:ascii="Arial" w:cs="Arial" w:eastAsia="Arial" w:hAnsi="Arial"/>
                <w:sz w:val="16"/>
                <w:szCs w:val="16"/>
                <w:color w:val="auto"/>
              </w:rPr>
              <w:t>Black Hills Energy Services Company, an indirect, wholly-owned subsidiary of Black Hills Utility</w:t>
            </w:r>
          </w:p>
        </w:tc>
      </w:tr>
      <w:tr>
        <w:trPr>
          <w:trHeight w:val="189"/>
        </w:trPr>
        <w:tc>
          <w:tcPr>
            <w:tcW w:w="3480" w:type="dxa"/>
            <w:vAlign w:val="bottom"/>
          </w:tcPr>
          <w:p>
            <w:pPr>
              <w:spacing w:after="0"/>
              <w:rPr>
                <w:sz w:val="16"/>
                <w:szCs w:val="16"/>
                <w:color w:val="auto"/>
              </w:rPr>
            </w:pPr>
          </w:p>
        </w:tc>
        <w:tc>
          <w:tcPr>
            <w:tcW w:w="7760" w:type="dxa"/>
            <w:vAlign w:val="bottom"/>
          </w:tcPr>
          <w:p>
            <w:pPr>
              <w:ind w:left="240"/>
              <w:spacing w:after="0"/>
              <w:rPr>
                <w:sz w:val="20"/>
                <w:szCs w:val="20"/>
                <w:color w:val="auto"/>
              </w:rPr>
            </w:pPr>
            <w:r>
              <w:rPr>
                <w:rFonts w:ascii="Arial" w:cs="Arial" w:eastAsia="Arial" w:hAnsi="Arial"/>
                <w:sz w:val="16"/>
                <w:szCs w:val="16"/>
                <w:color w:val="auto"/>
              </w:rPr>
              <w:t>Holdings, providing natural gas commodity supply for the Choice Gas Programs (doing business as</w:t>
            </w:r>
          </w:p>
        </w:tc>
      </w:tr>
      <w:tr>
        <w:trPr>
          <w:trHeight w:val="203"/>
        </w:trPr>
        <w:tc>
          <w:tcPr>
            <w:tcW w:w="3480" w:type="dxa"/>
            <w:vAlign w:val="bottom"/>
          </w:tcPr>
          <w:p>
            <w:pPr>
              <w:spacing w:after="0"/>
              <w:rPr>
                <w:sz w:val="17"/>
                <w:szCs w:val="17"/>
                <w:color w:val="auto"/>
              </w:rPr>
            </w:pPr>
          </w:p>
        </w:tc>
        <w:tc>
          <w:tcPr>
            <w:tcW w:w="7760" w:type="dxa"/>
            <w:vAlign w:val="bottom"/>
          </w:tcPr>
          <w:p>
            <w:pPr>
              <w:ind w:left="240"/>
              <w:spacing w:after="0"/>
              <w:rPr>
                <w:sz w:val="20"/>
                <w:szCs w:val="20"/>
                <w:color w:val="auto"/>
              </w:rPr>
            </w:pPr>
            <w:r>
              <w:rPr>
                <w:rFonts w:ascii="Arial" w:cs="Arial" w:eastAsia="Arial" w:hAnsi="Arial"/>
                <w:sz w:val="16"/>
                <w:szCs w:val="16"/>
                <w:color w:val="auto"/>
              </w:rPr>
              <w:t>Black Hills Energy).</w:t>
            </w:r>
          </w:p>
        </w:tc>
      </w:tr>
      <w:tr>
        <w:trPr>
          <w:trHeight w:val="189"/>
        </w:trPr>
        <w:tc>
          <w:tcPr>
            <w:tcW w:w="3480" w:type="dxa"/>
            <w:vAlign w:val="bottom"/>
            <w:shd w:val="clear" w:color="auto" w:fill="CFF0FC"/>
          </w:tcPr>
          <w:p>
            <w:pPr>
              <w:spacing w:after="0"/>
              <w:rPr>
                <w:sz w:val="20"/>
                <w:szCs w:val="20"/>
                <w:color w:val="auto"/>
              </w:rPr>
            </w:pPr>
            <w:r>
              <w:rPr>
                <w:rFonts w:ascii="Arial" w:cs="Arial" w:eastAsia="Arial" w:hAnsi="Arial"/>
                <w:sz w:val="16"/>
                <w:szCs w:val="16"/>
                <w:color w:val="auto"/>
              </w:rPr>
              <w:t>Black Hills Non-regulated Holdings</w:t>
            </w:r>
          </w:p>
        </w:tc>
        <w:tc>
          <w:tcPr>
            <w:tcW w:w="77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Black Hills Non-regulated Holdings, LLC, a direct, wholly-owned subsidiary of Black Hills Corporation</w:t>
            </w:r>
          </w:p>
        </w:tc>
      </w:tr>
      <w:tr>
        <w:trPr>
          <w:trHeight w:val="175"/>
        </w:trPr>
        <w:tc>
          <w:tcPr>
            <w:tcW w:w="3480" w:type="dxa"/>
            <w:vAlign w:val="bottom"/>
          </w:tcPr>
          <w:p>
            <w:pPr>
              <w:spacing w:after="0" w:line="175" w:lineRule="exact"/>
              <w:rPr>
                <w:sz w:val="20"/>
                <w:szCs w:val="20"/>
                <w:color w:val="auto"/>
              </w:rPr>
            </w:pPr>
            <w:r>
              <w:rPr>
                <w:rFonts w:ascii="Arial" w:cs="Arial" w:eastAsia="Arial" w:hAnsi="Arial"/>
                <w:sz w:val="16"/>
                <w:szCs w:val="16"/>
                <w:color w:val="auto"/>
              </w:rPr>
              <w:t>Black Hills Utility Holdings</w:t>
            </w:r>
          </w:p>
        </w:tc>
        <w:tc>
          <w:tcPr>
            <w:tcW w:w="7760" w:type="dxa"/>
            <w:vAlign w:val="bottom"/>
          </w:tcPr>
          <w:p>
            <w:pPr>
              <w:ind w:left="240"/>
              <w:spacing w:after="0" w:line="175" w:lineRule="exact"/>
              <w:rPr>
                <w:sz w:val="20"/>
                <w:szCs w:val="20"/>
                <w:color w:val="auto"/>
              </w:rPr>
            </w:pPr>
            <w:r>
              <w:rPr>
                <w:rFonts w:ascii="Arial" w:cs="Arial" w:eastAsia="Arial" w:hAnsi="Arial"/>
                <w:sz w:val="16"/>
                <w:szCs w:val="16"/>
                <w:color w:val="auto"/>
              </w:rPr>
              <w:t>Black Hills Utility Holdings, Inc., a direct, wholly-owned subsidiary of Black Hills Corporation (doing</w:t>
            </w:r>
          </w:p>
        </w:tc>
      </w:tr>
      <w:tr>
        <w:trPr>
          <w:trHeight w:val="203"/>
        </w:trPr>
        <w:tc>
          <w:tcPr>
            <w:tcW w:w="3480" w:type="dxa"/>
            <w:vAlign w:val="bottom"/>
          </w:tcPr>
          <w:p>
            <w:pPr>
              <w:spacing w:after="0"/>
              <w:rPr>
                <w:sz w:val="17"/>
                <w:szCs w:val="17"/>
                <w:color w:val="auto"/>
              </w:rPr>
            </w:pPr>
          </w:p>
        </w:tc>
        <w:tc>
          <w:tcPr>
            <w:tcW w:w="7760" w:type="dxa"/>
            <w:vAlign w:val="bottom"/>
          </w:tcPr>
          <w:p>
            <w:pPr>
              <w:ind w:left="240"/>
              <w:spacing w:after="0"/>
              <w:rPr>
                <w:sz w:val="20"/>
                <w:szCs w:val="20"/>
                <w:color w:val="auto"/>
              </w:rPr>
            </w:pPr>
            <w:r>
              <w:rPr>
                <w:rFonts w:ascii="Arial" w:cs="Arial" w:eastAsia="Arial" w:hAnsi="Arial"/>
                <w:sz w:val="16"/>
                <w:szCs w:val="16"/>
                <w:color w:val="auto"/>
              </w:rPr>
              <w:t>business as Black Hills Energy)</w:t>
            </w:r>
          </w:p>
        </w:tc>
      </w:tr>
      <w:tr>
        <w:trPr>
          <w:trHeight w:val="189"/>
        </w:trPr>
        <w:tc>
          <w:tcPr>
            <w:tcW w:w="3480" w:type="dxa"/>
            <w:vAlign w:val="bottom"/>
            <w:shd w:val="clear" w:color="auto" w:fill="CFF0FC"/>
          </w:tcPr>
          <w:p>
            <w:pPr>
              <w:spacing w:after="0"/>
              <w:rPr>
                <w:sz w:val="20"/>
                <w:szCs w:val="20"/>
                <w:color w:val="auto"/>
              </w:rPr>
            </w:pPr>
            <w:r>
              <w:rPr>
                <w:rFonts w:ascii="Arial" w:cs="Arial" w:eastAsia="Arial" w:hAnsi="Arial"/>
                <w:sz w:val="16"/>
                <w:szCs w:val="16"/>
                <w:color w:val="auto"/>
              </w:rPr>
              <w:t>Black Hills Wyoming</w:t>
            </w:r>
          </w:p>
        </w:tc>
        <w:tc>
          <w:tcPr>
            <w:tcW w:w="77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Black Hills Wyoming, LLC, a direct, wholly-owned subsidiary of Black Hills Electric Generation</w:t>
            </w:r>
          </w:p>
        </w:tc>
      </w:tr>
      <w:tr>
        <w:trPr>
          <w:trHeight w:val="229"/>
        </w:trPr>
        <w:tc>
          <w:tcPr>
            <w:tcW w:w="3480" w:type="dxa"/>
            <w:vAlign w:val="bottom"/>
          </w:tcPr>
          <w:p>
            <w:pPr>
              <w:spacing w:after="0"/>
              <w:rPr>
                <w:sz w:val="20"/>
                <w:szCs w:val="20"/>
                <w:color w:val="auto"/>
              </w:rPr>
            </w:pPr>
            <w:r>
              <w:rPr>
                <w:rFonts w:ascii="Arial" w:cs="Arial" w:eastAsia="Arial" w:hAnsi="Arial"/>
                <w:sz w:val="16"/>
                <w:szCs w:val="16"/>
                <w:color w:val="auto"/>
              </w:rPr>
              <w:t>Blockchain Interruptible Service (BCIS) Tariff</w:t>
            </w:r>
          </w:p>
        </w:tc>
        <w:tc>
          <w:tcPr>
            <w:tcW w:w="7760" w:type="dxa"/>
            <w:vAlign w:val="bottom"/>
          </w:tcPr>
          <w:p>
            <w:pPr>
              <w:ind w:left="240"/>
              <w:spacing w:after="0"/>
              <w:rPr>
                <w:sz w:val="20"/>
                <w:szCs w:val="20"/>
                <w:color w:val="auto"/>
              </w:rPr>
            </w:pPr>
            <w:r>
              <w:rPr>
                <w:rFonts w:ascii="Arial" w:cs="Arial" w:eastAsia="Arial" w:hAnsi="Arial"/>
                <w:sz w:val="16"/>
                <w:szCs w:val="16"/>
                <w:color w:val="auto"/>
              </w:rPr>
              <w:t>A WPSC-approved tariff applicable to prospective new Wyoming Electric blockchain customers. The</w:t>
            </w:r>
          </w:p>
        </w:tc>
      </w:tr>
      <w:tr>
        <w:trPr>
          <w:trHeight w:val="189"/>
        </w:trPr>
        <w:tc>
          <w:tcPr>
            <w:tcW w:w="3480" w:type="dxa"/>
            <w:vAlign w:val="bottom"/>
          </w:tcPr>
          <w:p>
            <w:pPr>
              <w:spacing w:after="0"/>
              <w:rPr>
                <w:sz w:val="16"/>
                <w:szCs w:val="16"/>
                <w:color w:val="auto"/>
              </w:rPr>
            </w:pPr>
          </w:p>
        </w:tc>
        <w:tc>
          <w:tcPr>
            <w:tcW w:w="7760" w:type="dxa"/>
            <w:vAlign w:val="bottom"/>
          </w:tcPr>
          <w:p>
            <w:pPr>
              <w:ind w:left="240"/>
              <w:spacing w:after="0"/>
              <w:rPr>
                <w:sz w:val="20"/>
                <w:szCs w:val="20"/>
                <w:color w:val="auto"/>
              </w:rPr>
            </w:pPr>
            <w:r>
              <w:rPr>
                <w:rFonts w:ascii="Arial" w:cs="Arial" w:eastAsia="Arial" w:hAnsi="Arial"/>
                <w:sz w:val="16"/>
                <w:szCs w:val="16"/>
                <w:color w:val="auto"/>
              </w:rPr>
              <w:t>tariff allows customers to negotiate rates and terms and conditions for interruptible electric utility service</w:t>
            </w:r>
          </w:p>
        </w:tc>
      </w:tr>
      <w:tr>
        <w:trPr>
          <w:trHeight w:val="189"/>
        </w:trPr>
        <w:tc>
          <w:tcPr>
            <w:tcW w:w="3480" w:type="dxa"/>
            <w:vAlign w:val="bottom"/>
          </w:tcPr>
          <w:p>
            <w:pPr>
              <w:spacing w:after="0"/>
              <w:rPr>
                <w:sz w:val="16"/>
                <w:szCs w:val="16"/>
                <w:color w:val="auto"/>
              </w:rPr>
            </w:pPr>
          </w:p>
        </w:tc>
        <w:tc>
          <w:tcPr>
            <w:tcW w:w="7760" w:type="dxa"/>
            <w:vAlign w:val="bottom"/>
          </w:tcPr>
          <w:p>
            <w:pPr>
              <w:ind w:left="240"/>
              <w:spacing w:after="0"/>
              <w:rPr>
                <w:sz w:val="20"/>
                <w:szCs w:val="20"/>
                <w:color w:val="auto"/>
              </w:rPr>
            </w:pPr>
            <w:r>
              <w:rPr>
                <w:rFonts w:ascii="Arial" w:cs="Arial" w:eastAsia="Arial" w:hAnsi="Arial"/>
                <w:sz w:val="16"/>
                <w:szCs w:val="16"/>
                <w:color w:val="auto"/>
              </w:rPr>
              <w:t>of 10 MW or greater that would be interconnected with Wyoming Electric’s system. Agreements under</w:t>
            </w:r>
          </w:p>
        </w:tc>
      </w:tr>
      <w:tr>
        <w:trPr>
          <w:trHeight w:val="189"/>
        </w:trPr>
        <w:tc>
          <w:tcPr>
            <w:tcW w:w="3480" w:type="dxa"/>
            <w:vAlign w:val="bottom"/>
          </w:tcPr>
          <w:p>
            <w:pPr>
              <w:spacing w:after="0"/>
              <w:rPr>
                <w:sz w:val="16"/>
                <w:szCs w:val="16"/>
                <w:color w:val="auto"/>
              </w:rPr>
            </w:pPr>
          </w:p>
        </w:tc>
        <w:tc>
          <w:tcPr>
            <w:tcW w:w="7760" w:type="dxa"/>
            <w:vAlign w:val="bottom"/>
          </w:tcPr>
          <w:p>
            <w:pPr>
              <w:ind w:left="240"/>
              <w:spacing w:after="0"/>
              <w:rPr>
                <w:sz w:val="20"/>
                <w:szCs w:val="20"/>
                <w:color w:val="auto"/>
              </w:rPr>
            </w:pPr>
            <w:r>
              <w:rPr>
                <w:rFonts w:ascii="Arial" w:cs="Arial" w:eastAsia="Arial" w:hAnsi="Arial"/>
                <w:sz w:val="16"/>
                <w:szCs w:val="16"/>
                <w:color w:val="auto"/>
              </w:rPr>
              <w:t>the BCIS tariff must be filed with the WPSC prior to the first customer billing, be at least 2 years in</w:t>
            </w:r>
          </w:p>
        </w:tc>
      </w:tr>
      <w:tr>
        <w:trPr>
          <w:trHeight w:val="189"/>
        </w:trPr>
        <w:tc>
          <w:tcPr>
            <w:tcW w:w="3480" w:type="dxa"/>
            <w:vAlign w:val="bottom"/>
          </w:tcPr>
          <w:p>
            <w:pPr>
              <w:spacing w:after="0"/>
              <w:rPr>
                <w:sz w:val="16"/>
                <w:szCs w:val="16"/>
                <w:color w:val="auto"/>
              </w:rPr>
            </w:pPr>
          </w:p>
        </w:tc>
        <w:tc>
          <w:tcPr>
            <w:tcW w:w="7760" w:type="dxa"/>
            <w:vAlign w:val="bottom"/>
          </w:tcPr>
          <w:p>
            <w:pPr>
              <w:ind w:left="240"/>
              <w:spacing w:after="0"/>
              <w:rPr>
                <w:sz w:val="20"/>
                <w:szCs w:val="20"/>
                <w:color w:val="auto"/>
              </w:rPr>
            </w:pPr>
            <w:r>
              <w:rPr>
                <w:rFonts w:ascii="Arial" w:cs="Arial" w:eastAsia="Arial" w:hAnsi="Arial"/>
                <w:sz w:val="16"/>
                <w:szCs w:val="16"/>
                <w:color w:val="auto"/>
              </w:rPr>
              <w:t>duration and include specific pricing for all electricity purchased (with pricing terms subject to</w:t>
            </w:r>
          </w:p>
        </w:tc>
      </w:tr>
      <w:tr>
        <w:trPr>
          <w:trHeight w:val="189"/>
        </w:trPr>
        <w:tc>
          <w:tcPr>
            <w:tcW w:w="3480" w:type="dxa"/>
            <w:vAlign w:val="bottom"/>
          </w:tcPr>
          <w:p>
            <w:pPr>
              <w:spacing w:after="0"/>
              <w:rPr>
                <w:sz w:val="16"/>
                <w:szCs w:val="16"/>
                <w:color w:val="auto"/>
              </w:rPr>
            </w:pPr>
          </w:p>
        </w:tc>
        <w:tc>
          <w:tcPr>
            <w:tcW w:w="7760" w:type="dxa"/>
            <w:vAlign w:val="bottom"/>
          </w:tcPr>
          <w:p>
            <w:pPr>
              <w:ind w:left="240"/>
              <w:spacing w:after="0"/>
              <w:rPr>
                <w:sz w:val="20"/>
                <w:szCs w:val="20"/>
                <w:color w:val="auto"/>
              </w:rPr>
            </w:pPr>
            <w:r>
              <w:rPr>
                <w:rFonts w:ascii="Arial" w:cs="Arial" w:eastAsia="Arial" w:hAnsi="Arial"/>
                <w:sz w:val="16"/>
                <w:szCs w:val="16"/>
                <w:color w:val="auto"/>
              </w:rPr>
              <w:t>renegotiation every three years). BCIS customers shall not participate in the PCA to the extent of service</w:t>
            </w:r>
          </w:p>
        </w:tc>
      </w:tr>
      <w:tr>
        <w:trPr>
          <w:trHeight w:val="222"/>
        </w:trPr>
        <w:tc>
          <w:tcPr>
            <w:tcW w:w="3480" w:type="dxa"/>
            <w:vAlign w:val="bottom"/>
          </w:tcPr>
          <w:p>
            <w:pPr>
              <w:spacing w:after="0"/>
              <w:rPr>
                <w:sz w:val="19"/>
                <w:szCs w:val="19"/>
                <w:color w:val="auto"/>
              </w:rPr>
            </w:pPr>
          </w:p>
        </w:tc>
        <w:tc>
          <w:tcPr>
            <w:tcW w:w="7760" w:type="dxa"/>
            <w:vAlign w:val="bottom"/>
          </w:tcPr>
          <w:p>
            <w:pPr>
              <w:ind w:left="240"/>
              <w:spacing w:after="0"/>
              <w:rPr>
                <w:sz w:val="20"/>
                <w:szCs w:val="20"/>
                <w:color w:val="auto"/>
              </w:rPr>
            </w:pPr>
            <w:r>
              <w:rPr>
                <w:rFonts w:ascii="Arial" w:cs="Arial" w:eastAsia="Arial" w:hAnsi="Arial"/>
                <w:sz w:val="16"/>
                <w:szCs w:val="16"/>
                <w:color w:val="auto"/>
              </w:rPr>
              <w:t>received under the tariff.</w:t>
            </w:r>
          </w:p>
        </w:tc>
      </w:tr>
      <w:tr>
        <w:trPr>
          <w:trHeight w:val="183"/>
        </w:trPr>
        <w:tc>
          <w:tcPr>
            <w:tcW w:w="34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Busch Ranch I</w:t>
            </w:r>
          </w:p>
        </w:tc>
        <w:tc>
          <w:tcPr>
            <w:tcW w:w="7760" w:type="dxa"/>
            <w:vAlign w:val="bottom"/>
            <w:shd w:val="clear" w:color="auto" w:fill="CFF0FC"/>
          </w:tcPr>
          <w:p>
            <w:pPr>
              <w:ind w:left="240"/>
              <w:spacing w:after="0" w:line="183" w:lineRule="exact"/>
              <w:rPr>
                <w:sz w:val="20"/>
                <w:szCs w:val="20"/>
                <w:color w:val="auto"/>
              </w:rPr>
            </w:pPr>
            <w:r>
              <w:rPr>
                <w:rFonts w:ascii="Arial" w:cs="Arial" w:eastAsia="Arial" w:hAnsi="Arial"/>
                <w:sz w:val="16"/>
                <w:szCs w:val="16"/>
                <w:color w:val="auto"/>
              </w:rPr>
              <w:t>A 29 MW wind farm near Pueblo, Colorado, jointly owned by Colorado Electric and Black Hills Electric</w:t>
            </w:r>
          </w:p>
        </w:tc>
      </w:tr>
      <w:tr>
        <w:trPr>
          <w:trHeight w:val="189"/>
        </w:trPr>
        <w:tc>
          <w:tcPr>
            <w:tcW w:w="3480" w:type="dxa"/>
            <w:vAlign w:val="bottom"/>
            <w:shd w:val="clear" w:color="auto" w:fill="CFF0FC"/>
          </w:tcPr>
          <w:p>
            <w:pPr>
              <w:spacing w:after="0"/>
              <w:rPr>
                <w:sz w:val="16"/>
                <w:szCs w:val="16"/>
                <w:color w:val="auto"/>
              </w:rPr>
            </w:pPr>
          </w:p>
        </w:tc>
        <w:tc>
          <w:tcPr>
            <w:tcW w:w="77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Generation. Colorado Electric and Black Hills Electric Generation each have a 50% ownership interest in</w:t>
            </w:r>
          </w:p>
        </w:tc>
      </w:tr>
      <w:tr>
        <w:trPr>
          <w:trHeight w:val="189"/>
        </w:trPr>
        <w:tc>
          <w:tcPr>
            <w:tcW w:w="3480" w:type="dxa"/>
            <w:vAlign w:val="bottom"/>
            <w:shd w:val="clear" w:color="auto" w:fill="CFF0FC"/>
          </w:tcPr>
          <w:p>
            <w:pPr>
              <w:spacing w:after="0"/>
              <w:rPr>
                <w:sz w:val="16"/>
                <w:szCs w:val="16"/>
                <w:color w:val="auto"/>
              </w:rPr>
            </w:pPr>
          </w:p>
        </w:tc>
        <w:tc>
          <w:tcPr>
            <w:tcW w:w="77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the wind farm. Black Hills Electric Generation provides its share of energy from the wind farm to</w:t>
            </w:r>
          </w:p>
        </w:tc>
      </w:tr>
      <w:tr>
        <w:trPr>
          <w:trHeight w:val="203"/>
        </w:trPr>
        <w:tc>
          <w:tcPr>
            <w:tcW w:w="3480" w:type="dxa"/>
            <w:vAlign w:val="bottom"/>
            <w:shd w:val="clear" w:color="auto" w:fill="CFF0FC"/>
          </w:tcPr>
          <w:p>
            <w:pPr>
              <w:spacing w:after="0"/>
              <w:rPr>
                <w:sz w:val="17"/>
                <w:szCs w:val="17"/>
                <w:color w:val="auto"/>
              </w:rPr>
            </w:pPr>
          </w:p>
        </w:tc>
        <w:tc>
          <w:tcPr>
            <w:tcW w:w="77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Colorado Electric through a PPA, which expires in October 2037.</w:t>
            </w:r>
          </w:p>
        </w:tc>
      </w:tr>
      <w:tr>
        <w:trPr>
          <w:trHeight w:val="175"/>
        </w:trPr>
        <w:tc>
          <w:tcPr>
            <w:tcW w:w="3480" w:type="dxa"/>
            <w:vAlign w:val="bottom"/>
          </w:tcPr>
          <w:p>
            <w:pPr>
              <w:spacing w:after="0" w:line="175" w:lineRule="exact"/>
              <w:rPr>
                <w:sz w:val="20"/>
                <w:szCs w:val="20"/>
                <w:color w:val="auto"/>
              </w:rPr>
            </w:pPr>
            <w:r>
              <w:rPr>
                <w:rFonts w:ascii="Arial" w:cs="Arial" w:eastAsia="Arial" w:hAnsi="Arial"/>
                <w:sz w:val="16"/>
                <w:szCs w:val="16"/>
                <w:color w:val="auto"/>
              </w:rPr>
              <w:t>Busch Ranch II</w:t>
            </w:r>
          </w:p>
        </w:tc>
        <w:tc>
          <w:tcPr>
            <w:tcW w:w="7760" w:type="dxa"/>
            <w:vAlign w:val="bottom"/>
          </w:tcPr>
          <w:p>
            <w:pPr>
              <w:ind w:left="240"/>
              <w:spacing w:after="0" w:line="175" w:lineRule="exact"/>
              <w:rPr>
                <w:sz w:val="20"/>
                <w:szCs w:val="20"/>
                <w:color w:val="auto"/>
              </w:rPr>
            </w:pPr>
            <w:r>
              <w:rPr>
                <w:rFonts w:ascii="Arial" w:cs="Arial" w:eastAsia="Arial" w:hAnsi="Arial"/>
                <w:sz w:val="16"/>
                <w:szCs w:val="16"/>
                <w:color w:val="auto"/>
              </w:rPr>
              <w:t>A 59.4 MW wind farm near Pueblo, Colorado owned by Black Hills Electric Generation to provide wind</w:t>
            </w:r>
          </w:p>
        </w:tc>
      </w:tr>
      <w:tr>
        <w:trPr>
          <w:trHeight w:val="203"/>
        </w:trPr>
        <w:tc>
          <w:tcPr>
            <w:tcW w:w="3480" w:type="dxa"/>
            <w:vAlign w:val="bottom"/>
          </w:tcPr>
          <w:p>
            <w:pPr>
              <w:spacing w:after="0"/>
              <w:rPr>
                <w:sz w:val="17"/>
                <w:szCs w:val="17"/>
                <w:color w:val="auto"/>
              </w:rPr>
            </w:pPr>
          </w:p>
        </w:tc>
        <w:tc>
          <w:tcPr>
            <w:tcW w:w="7760" w:type="dxa"/>
            <w:vAlign w:val="bottom"/>
          </w:tcPr>
          <w:p>
            <w:pPr>
              <w:ind w:left="240"/>
              <w:spacing w:after="0"/>
              <w:rPr>
                <w:sz w:val="20"/>
                <w:szCs w:val="20"/>
                <w:color w:val="auto"/>
              </w:rPr>
            </w:pPr>
            <w:r>
              <w:rPr>
                <w:rFonts w:ascii="Arial" w:cs="Arial" w:eastAsia="Arial" w:hAnsi="Arial"/>
                <w:sz w:val="16"/>
                <w:szCs w:val="16"/>
                <w:color w:val="auto"/>
              </w:rPr>
              <w:t>energy to Colorado Electric through a PPA expiring in November 2044.</w:t>
            </w:r>
          </w:p>
        </w:tc>
      </w:tr>
      <w:tr>
        <w:trPr>
          <w:trHeight w:val="175"/>
        </w:trPr>
        <w:tc>
          <w:tcPr>
            <w:tcW w:w="3480" w:type="dxa"/>
            <w:vAlign w:val="bottom"/>
            <w:shd w:val="clear" w:color="auto" w:fill="CFF0FC"/>
          </w:tcPr>
          <w:p>
            <w:pPr>
              <w:spacing w:after="0" w:line="175" w:lineRule="exact"/>
              <w:rPr>
                <w:sz w:val="20"/>
                <w:szCs w:val="20"/>
                <w:color w:val="auto"/>
              </w:rPr>
            </w:pPr>
            <w:r>
              <w:rPr>
                <w:rFonts w:ascii="Arial" w:cs="Arial" w:eastAsia="Arial" w:hAnsi="Arial"/>
                <w:sz w:val="16"/>
                <w:szCs w:val="16"/>
                <w:color w:val="auto"/>
              </w:rPr>
              <w:t>CEPR</w:t>
            </w:r>
          </w:p>
        </w:tc>
        <w:tc>
          <w:tcPr>
            <w:tcW w:w="7760" w:type="dxa"/>
            <w:vAlign w:val="bottom"/>
            <w:shd w:val="clear" w:color="auto" w:fill="CFF0FC"/>
          </w:tcPr>
          <w:p>
            <w:pPr>
              <w:ind w:left="240"/>
              <w:spacing w:after="0" w:line="175" w:lineRule="exact"/>
              <w:rPr>
                <w:sz w:val="20"/>
                <w:szCs w:val="20"/>
                <w:color w:val="auto"/>
              </w:rPr>
            </w:pPr>
            <w:r>
              <w:rPr>
                <w:rFonts w:ascii="Arial" w:cs="Arial" w:eastAsia="Arial" w:hAnsi="Arial"/>
                <w:sz w:val="16"/>
                <w:szCs w:val="16"/>
                <w:color w:val="auto"/>
              </w:rPr>
              <w:t>Clean Energy Plan Rider, which is a 1.5% surcharge to fund Colorado Electric's recovery of renewable</w:t>
            </w:r>
          </w:p>
        </w:tc>
      </w:tr>
      <w:tr>
        <w:trPr>
          <w:trHeight w:val="189"/>
        </w:trPr>
        <w:tc>
          <w:tcPr>
            <w:tcW w:w="3480" w:type="dxa"/>
            <w:vAlign w:val="bottom"/>
            <w:shd w:val="clear" w:color="auto" w:fill="CFF0FC"/>
          </w:tcPr>
          <w:p>
            <w:pPr>
              <w:spacing w:after="0"/>
              <w:rPr>
                <w:sz w:val="16"/>
                <w:szCs w:val="16"/>
                <w:color w:val="auto"/>
              </w:rPr>
            </w:pPr>
          </w:p>
        </w:tc>
        <w:tc>
          <w:tcPr>
            <w:tcW w:w="77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energy projects under the Clean Energy Plan. In conjunction with the implementation of the CEPR in</w:t>
            </w:r>
          </w:p>
        </w:tc>
      </w:tr>
      <w:tr>
        <w:trPr>
          <w:trHeight w:val="203"/>
        </w:trPr>
        <w:tc>
          <w:tcPr>
            <w:tcW w:w="3480" w:type="dxa"/>
            <w:vAlign w:val="bottom"/>
            <w:shd w:val="clear" w:color="auto" w:fill="CFF0FC"/>
          </w:tcPr>
          <w:p>
            <w:pPr>
              <w:spacing w:after="0"/>
              <w:rPr>
                <w:sz w:val="17"/>
                <w:szCs w:val="17"/>
                <w:color w:val="auto"/>
              </w:rPr>
            </w:pPr>
          </w:p>
        </w:tc>
        <w:tc>
          <w:tcPr>
            <w:tcW w:w="77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January 2025, the RESA surcharge was reduced from 2.0% to 1.5%.</w:t>
            </w:r>
          </w:p>
        </w:tc>
      </w:tr>
      <w:tr>
        <w:trPr>
          <w:trHeight w:val="175"/>
        </w:trPr>
        <w:tc>
          <w:tcPr>
            <w:tcW w:w="3480" w:type="dxa"/>
            <w:vAlign w:val="bottom"/>
          </w:tcPr>
          <w:p>
            <w:pPr>
              <w:spacing w:after="0" w:line="175" w:lineRule="exact"/>
              <w:rPr>
                <w:sz w:val="20"/>
                <w:szCs w:val="20"/>
                <w:color w:val="auto"/>
              </w:rPr>
            </w:pPr>
            <w:r>
              <w:rPr>
                <w:rFonts w:ascii="Arial" w:cs="Arial" w:eastAsia="Arial" w:hAnsi="Arial"/>
                <w:sz w:val="16"/>
                <w:szCs w:val="16"/>
                <w:color w:val="auto"/>
              </w:rPr>
              <w:t>Choice Gas Program</w:t>
            </w:r>
          </w:p>
        </w:tc>
        <w:tc>
          <w:tcPr>
            <w:tcW w:w="7760" w:type="dxa"/>
            <w:vAlign w:val="bottom"/>
          </w:tcPr>
          <w:p>
            <w:pPr>
              <w:ind w:left="240"/>
              <w:spacing w:after="0" w:line="175" w:lineRule="exact"/>
              <w:rPr>
                <w:sz w:val="20"/>
                <w:szCs w:val="20"/>
                <w:color w:val="auto"/>
              </w:rPr>
            </w:pPr>
            <w:r>
              <w:rPr>
                <w:rFonts w:ascii="Arial" w:cs="Arial" w:eastAsia="Arial" w:hAnsi="Arial"/>
                <w:sz w:val="16"/>
                <w:szCs w:val="16"/>
                <w:color w:val="auto"/>
              </w:rPr>
              <w:t>Regulator-approved programs in Wyoming and Nebraska that allow certain utility customers to select</w:t>
            </w:r>
          </w:p>
        </w:tc>
      </w:tr>
      <w:tr>
        <w:trPr>
          <w:trHeight w:val="189"/>
        </w:trPr>
        <w:tc>
          <w:tcPr>
            <w:tcW w:w="3480" w:type="dxa"/>
            <w:vAlign w:val="bottom"/>
          </w:tcPr>
          <w:p>
            <w:pPr>
              <w:spacing w:after="0"/>
              <w:rPr>
                <w:sz w:val="16"/>
                <w:szCs w:val="16"/>
                <w:color w:val="auto"/>
              </w:rPr>
            </w:pPr>
          </w:p>
        </w:tc>
        <w:tc>
          <w:tcPr>
            <w:tcW w:w="7760" w:type="dxa"/>
            <w:vAlign w:val="bottom"/>
          </w:tcPr>
          <w:p>
            <w:pPr>
              <w:ind w:left="240"/>
              <w:spacing w:after="0"/>
              <w:rPr>
                <w:sz w:val="20"/>
                <w:szCs w:val="20"/>
                <w:color w:val="auto"/>
              </w:rPr>
            </w:pPr>
            <w:r>
              <w:rPr>
                <w:rFonts w:ascii="Arial" w:cs="Arial" w:eastAsia="Arial" w:hAnsi="Arial"/>
                <w:sz w:val="16"/>
                <w:szCs w:val="16"/>
                <w:color w:val="auto"/>
              </w:rPr>
              <w:t>their natural gas commodity supplier, providing for the unbundling of the commodity service from the</w:t>
            </w:r>
          </w:p>
        </w:tc>
      </w:tr>
      <w:tr>
        <w:trPr>
          <w:trHeight w:val="203"/>
        </w:trPr>
        <w:tc>
          <w:tcPr>
            <w:tcW w:w="3480" w:type="dxa"/>
            <w:vAlign w:val="bottom"/>
          </w:tcPr>
          <w:p>
            <w:pPr>
              <w:spacing w:after="0"/>
              <w:rPr>
                <w:sz w:val="17"/>
                <w:szCs w:val="17"/>
                <w:color w:val="auto"/>
              </w:rPr>
            </w:pPr>
          </w:p>
        </w:tc>
        <w:tc>
          <w:tcPr>
            <w:tcW w:w="7760" w:type="dxa"/>
            <w:vAlign w:val="bottom"/>
          </w:tcPr>
          <w:p>
            <w:pPr>
              <w:ind w:left="240"/>
              <w:spacing w:after="0"/>
              <w:rPr>
                <w:sz w:val="20"/>
                <w:szCs w:val="20"/>
                <w:color w:val="auto"/>
              </w:rPr>
            </w:pPr>
            <w:r>
              <w:rPr>
                <w:rFonts w:ascii="Arial" w:cs="Arial" w:eastAsia="Arial" w:hAnsi="Arial"/>
                <w:sz w:val="16"/>
                <w:szCs w:val="16"/>
                <w:color w:val="auto"/>
              </w:rPr>
              <w:t>distribution delivery service.</w:t>
            </w:r>
          </w:p>
        </w:tc>
      </w:tr>
      <w:tr>
        <w:trPr>
          <w:trHeight w:val="189"/>
        </w:trPr>
        <w:tc>
          <w:tcPr>
            <w:tcW w:w="3480" w:type="dxa"/>
            <w:vAlign w:val="bottom"/>
            <w:shd w:val="clear" w:color="auto" w:fill="CFF0FC"/>
          </w:tcPr>
          <w:p>
            <w:pPr>
              <w:spacing w:after="0"/>
              <w:rPr>
                <w:sz w:val="20"/>
                <w:szCs w:val="20"/>
                <w:color w:val="auto"/>
              </w:rPr>
            </w:pPr>
            <w:r>
              <w:rPr>
                <w:rFonts w:ascii="Arial" w:cs="Arial" w:eastAsia="Arial" w:hAnsi="Arial"/>
                <w:sz w:val="16"/>
                <w:szCs w:val="16"/>
                <w:color w:val="auto"/>
              </w:rPr>
              <w:t>Chief Operating Decision Maker (CODM)</w:t>
            </w:r>
          </w:p>
        </w:tc>
        <w:tc>
          <w:tcPr>
            <w:tcW w:w="77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Chief Executive Officer</w:t>
            </w:r>
          </w:p>
        </w:tc>
      </w:tr>
      <w:tr>
        <w:trPr>
          <w:trHeight w:val="175"/>
        </w:trPr>
        <w:tc>
          <w:tcPr>
            <w:tcW w:w="3480" w:type="dxa"/>
            <w:vAlign w:val="bottom"/>
          </w:tcPr>
          <w:p>
            <w:pPr>
              <w:spacing w:after="0" w:line="175" w:lineRule="exact"/>
              <w:rPr>
                <w:sz w:val="20"/>
                <w:szCs w:val="20"/>
                <w:color w:val="auto"/>
              </w:rPr>
            </w:pPr>
            <w:r>
              <w:rPr>
                <w:rFonts w:ascii="Arial" w:cs="Arial" w:eastAsia="Arial" w:hAnsi="Arial"/>
                <w:sz w:val="16"/>
                <w:szCs w:val="16"/>
                <w:color w:val="auto"/>
              </w:rPr>
              <w:t>CIAC</w:t>
            </w:r>
          </w:p>
        </w:tc>
        <w:tc>
          <w:tcPr>
            <w:tcW w:w="7760" w:type="dxa"/>
            <w:vAlign w:val="bottom"/>
          </w:tcPr>
          <w:p>
            <w:pPr>
              <w:ind w:left="240"/>
              <w:spacing w:after="0" w:line="175" w:lineRule="exact"/>
              <w:rPr>
                <w:sz w:val="20"/>
                <w:szCs w:val="20"/>
                <w:color w:val="auto"/>
              </w:rPr>
            </w:pPr>
            <w:r>
              <w:rPr>
                <w:rFonts w:ascii="Arial" w:cs="Arial" w:eastAsia="Arial" w:hAnsi="Arial"/>
                <w:sz w:val="16"/>
                <w:szCs w:val="16"/>
                <w:color w:val="auto"/>
              </w:rPr>
              <w:t>Contribution in aid of construction</w:t>
            </w:r>
          </w:p>
        </w:tc>
      </w:tr>
      <w:tr>
        <w:trPr>
          <w:trHeight w:val="215"/>
        </w:trPr>
        <w:tc>
          <w:tcPr>
            <w:tcW w:w="3480" w:type="dxa"/>
            <w:vAlign w:val="bottom"/>
          </w:tcPr>
          <w:p>
            <w:pPr>
              <w:spacing w:after="0"/>
              <w:rPr>
                <w:sz w:val="18"/>
                <w:szCs w:val="18"/>
                <w:color w:val="auto"/>
              </w:rPr>
            </w:pPr>
          </w:p>
        </w:tc>
        <w:tc>
          <w:tcPr>
            <w:tcW w:w="7760" w:type="dxa"/>
            <w:vAlign w:val="bottom"/>
          </w:tcPr>
          <w:p>
            <w:pPr>
              <w:ind w:left="2100"/>
              <w:spacing w:after="0"/>
              <w:rPr>
                <w:sz w:val="20"/>
                <w:szCs w:val="20"/>
                <w:color w:val="auto"/>
              </w:rPr>
            </w:pPr>
            <w:r>
              <w:rPr>
                <w:rFonts w:ascii="Arial" w:cs="Arial" w:eastAsia="Arial" w:hAnsi="Arial"/>
                <w:sz w:val="16"/>
                <w:szCs w:val="16"/>
                <w:color w:val="auto"/>
              </w:rPr>
              <w:t>3</w:t>
            </w:r>
          </w:p>
        </w:tc>
      </w:tr>
      <w:tr>
        <w:trPr>
          <w:trHeight w:val="751"/>
        </w:trPr>
        <w:tc>
          <w:tcPr>
            <w:tcW w:w="3480" w:type="dxa"/>
            <w:vAlign w:val="bottom"/>
            <w:tcBorders>
              <w:bottom w:val="single" w:sz="8" w:color="9A9A9A"/>
            </w:tcBorders>
          </w:tcPr>
          <w:p>
            <w:pPr>
              <w:spacing w:after="0"/>
              <w:rPr>
                <w:sz w:val="24"/>
                <w:szCs w:val="24"/>
                <w:color w:val="auto"/>
              </w:rPr>
            </w:pPr>
          </w:p>
        </w:tc>
        <w:tc>
          <w:tcPr>
            <w:tcW w:w="7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60" w:type="dxa"/>
            <w:vAlign w:val="bottom"/>
            <w:shd w:val="clear" w:color="auto" w:fill="CFF0FC"/>
          </w:tcPr>
          <w:p>
            <w:pPr>
              <w:spacing w:after="0"/>
              <w:rPr>
                <w:sz w:val="20"/>
                <w:szCs w:val="20"/>
                <w:color w:val="auto"/>
              </w:rPr>
            </w:pPr>
            <w:r>
              <w:rPr>
                <w:rFonts w:ascii="Arial" w:cs="Arial" w:eastAsia="Arial" w:hAnsi="Arial"/>
                <w:sz w:val="16"/>
                <w:szCs w:val="16"/>
                <w:color w:val="auto"/>
              </w:rPr>
              <w:t>Clean Energy Plan</w:t>
            </w:r>
          </w:p>
        </w:tc>
        <w:tc>
          <w:tcPr>
            <w:tcW w:w="7580" w:type="dxa"/>
            <w:vAlign w:val="bottom"/>
            <w:shd w:val="clear" w:color="auto" w:fill="CFF0FC"/>
          </w:tcPr>
          <w:p>
            <w:pPr>
              <w:ind w:left="60"/>
              <w:spacing w:after="0"/>
              <w:rPr>
                <w:sz w:val="20"/>
                <w:szCs w:val="20"/>
                <w:color w:val="auto"/>
              </w:rPr>
            </w:pPr>
            <w:r>
              <w:rPr>
                <w:rFonts w:ascii="Arial" w:cs="Arial" w:eastAsia="Arial" w:hAnsi="Arial"/>
                <w:sz w:val="16"/>
                <w:szCs w:val="16"/>
                <w:color w:val="auto"/>
              </w:rPr>
              <w:t>2030 Ready Plan that establishes a roadmap and preferred resource portfolio for Colorado Electric to</w:t>
            </w:r>
          </w:p>
        </w:tc>
      </w:tr>
      <w:tr>
        <w:trPr>
          <w:trHeight w:val="189"/>
        </w:trPr>
        <w:tc>
          <w:tcPr>
            <w:tcW w:w="3660" w:type="dxa"/>
            <w:vAlign w:val="bottom"/>
            <w:shd w:val="clear" w:color="auto" w:fill="CFF0FC"/>
          </w:tcPr>
          <w:p>
            <w:pPr>
              <w:spacing w:after="0"/>
              <w:rPr>
                <w:sz w:val="16"/>
                <w:szCs w:val="16"/>
                <w:color w:val="auto"/>
              </w:rPr>
            </w:pPr>
          </w:p>
        </w:tc>
        <w:tc>
          <w:tcPr>
            <w:tcW w:w="7580" w:type="dxa"/>
            <w:vAlign w:val="bottom"/>
            <w:shd w:val="clear" w:color="auto" w:fill="CFF0FC"/>
          </w:tcPr>
          <w:p>
            <w:pPr>
              <w:ind w:left="60"/>
              <w:spacing w:after="0"/>
              <w:rPr>
                <w:sz w:val="20"/>
                <w:szCs w:val="20"/>
                <w:color w:val="auto"/>
              </w:rPr>
            </w:pPr>
            <w:r>
              <w:rPr>
                <w:rFonts w:ascii="Arial" w:cs="Arial" w:eastAsia="Arial" w:hAnsi="Arial"/>
                <w:sz w:val="16"/>
                <w:szCs w:val="16"/>
                <w:color w:val="auto"/>
              </w:rPr>
              <w:t>achieve the State of Colorado’s requirement calling upon electric utilities to reduce greenhouse gas</w:t>
            </w:r>
          </w:p>
        </w:tc>
      </w:tr>
      <w:tr>
        <w:trPr>
          <w:trHeight w:val="189"/>
        </w:trPr>
        <w:tc>
          <w:tcPr>
            <w:tcW w:w="3660" w:type="dxa"/>
            <w:vAlign w:val="bottom"/>
            <w:shd w:val="clear" w:color="auto" w:fill="CFF0FC"/>
          </w:tcPr>
          <w:p>
            <w:pPr>
              <w:spacing w:after="0"/>
              <w:rPr>
                <w:sz w:val="16"/>
                <w:szCs w:val="16"/>
                <w:color w:val="auto"/>
              </w:rPr>
            </w:pPr>
          </w:p>
        </w:tc>
        <w:tc>
          <w:tcPr>
            <w:tcW w:w="7580" w:type="dxa"/>
            <w:vAlign w:val="bottom"/>
            <w:shd w:val="clear" w:color="auto" w:fill="CFF0FC"/>
          </w:tcPr>
          <w:p>
            <w:pPr>
              <w:ind w:left="60"/>
              <w:spacing w:after="0"/>
              <w:rPr>
                <w:sz w:val="20"/>
                <w:szCs w:val="20"/>
                <w:color w:val="auto"/>
              </w:rPr>
            </w:pPr>
            <w:r>
              <w:rPr>
                <w:rFonts w:ascii="Arial" w:cs="Arial" w:eastAsia="Arial" w:hAnsi="Arial"/>
                <w:sz w:val="16"/>
                <w:szCs w:val="16"/>
                <w:color w:val="auto"/>
              </w:rPr>
              <w:t>emissions by a minimum of 80% from 2005 levels by 2030. The recommended resource portfolio</w:t>
            </w:r>
          </w:p>
        </w:tc>
      </w:tr>
      <w:tr>
        <w:trPr>
          <w:trHeight w:val="189"/>
        </w:trPr>
        <w:tc>
          <w:tcPr>
            <w:tcW w:w="3660" w:type="dxa"/>
            <w:vAlign w:val="bottom"/>
            <w:shd w:val="clear" w:color="auto" w:fill="CFF0FC"/>
          </w:tcPr>
          <w:p>
            <w:pPr>
              <w:spacing w:after="0"/>
              <w:rPr>
                <w:sz w:val="16"/>
                <w:szCs w:val="16"/>
                <w:color w:val="auto"/>
              </w:rPr>
            </w:pPr>
          </w:p>
        </w:tc>
        <w:tc>
          <w:tcPr>
            <w:tcW w:w="7580" w:type="dxa"/>
            <w:vAlign w:val="bottom"/>
            <w:shd w:val="clear" w:color="auto" w:fill="CFF0FC"/>
          </w:tcPr>
          <w:p>
            <w:pPr>
              <w:ind w:left="60"/>
              <w:spacing w:after="0"/>
              <w:rPr>
                <w:sz w:val="20"/>
                <w:szCs w:val="20"/>
                <w:color w:val="auto"/>
              </w:rPr>
            </w:pPr>
            <w:r>
              <w:rPr>
                <w:rFonts w:ascii="Arial" w:cs="Arial" w:eastAsia="Arial" w:hAnsi="Arial"/>
                <w:sz w:val="16"/>
                <w:szCs w:val="16"/>
                <w:color w:val="auto"/>
              </w:rPr>
              <w:t>proposes the addition of 350 MW of clean energy resources to Colorado Electric's system. Colorado</w:t>
            </w:r>
          </w:p>
        </w:tc>
      </w:tr>
      <w:tr>
        <w:trPr>
          <w:trHeight w:val="189"/>
        </w:trPr>
        <w:tc>
          <w:tcPr>
            <w:tcW w:w="3660" w:type="dxa"/>
            <w:vAlign w:val="bottom"/>
            <w:shd w:val="clear" w:color="auto" w:fill="CFF0FC"/>
          </w:tcPr>
          <w:p>
            <w:pPr>
              <w:spacing w:after="0"/>
              <w:rPr>
                <w:sz w:val="16"/>
                <w:szCs w:val="16"/>
                <w:color w:val="auto"/>
              </w:rPr>
            </w:pPr>
          </w:p>
        </w:tc>
        <w:tc>
          <w:tcPr>
            <w:tcW w:w="7580" w:type="dxa"/>
            <w:vAlign w:val="bottom"/>
            <w:shd w:val="clear" w:color="auto" w:fill="CFF0FC"/>
          </w:tcPr>
          <w:p>
            <w:pPr>
              <w:ind w:left="60"/>
              <w:spacing w:after="0"/>
              <w:rPr>
                <w:sz w:val="20"/>
                <w:szCs w:val="20"/>
                <w:color w:val="auto"/>
              </w:rPr>
            </w:pPr>
            <w:r>
              <w:rPr>
                <w:rFonts w:ascii="Arial" w:cs="Arial" w:eastAsia="Arial" w:hAnsi="Arial"/>
                <w:sz w:val="16"/>
                <w:szCs w:val="16"/>
                <w:color w:val="auto"/>
              </w:rPr>
              <w:t>legislation allows electric utilities to own up to 50% of the renewable generation assets added to comply</w:t>
            </w:r>
          </w:p>
        </w:tc>
      </w:tr>
      <w:tr>
        <w:trPr>
          <w:trHeight w:val="203"/>
        </w:trPr>
        <w:tc>
          <w:tcPr>
            <w:tcW w:w="3660" w:type="dxa"/>
            <w:vAlign w:val="bottom"/>
            <w:shd w:val="clear" w:color="auto" w:fill="CFF0FC"/>
          </w:tcPr>
          <w:p>
            <w:pPr>
              <w:spacing w:after="0"/>
              <w:rPr>
                <w:sz w:val="17"/>
                <w:szCs w:val="17"/>
                <w:color w:val="auto"/>
              </w:rPr>
            </w:pPr>
          </w:p>
        </w:tc>
        <w:tc>
          <w:tcPr>
            <w:tcW w:w="7580" w:type="dxa"/>
            <w:vAlign w:val="bottom"/>
            <w:shd w:val="clear" w:color="auto" w:fill="CFF0FC"/>
          </w:tcPr>
          <w:p>
            <w:pPr>
              <w:ind w:left="60"/>
              <w:spacing w:after="0"/>
              <w:rPr>
                <w:sz w:val="20"/>
                <w:szCs w:val="20"/>
                <w:color w:val="auto"/>
              </w:rPr>
            </w:pPr>
            <w:r>
              <w:rPr>
                <w:rFonts w:ascii="Arial" w:cs="Arial" w:eastAsia="Arial" w:hAnsi="Arial"/>
                <w:sz w:val="16"/>
                <w:szCs w:val="16"/>
                <w:color w:val="auto"/>
              </w:rPr>
              <w:t>with the Clean Energy Plan.</w:t>
            </w:r>
          </w:p>
        </w:tc>
      </w:tr>
      <w:tr>
        <w:trPr>
          <w:trHeight w:val="175"/>
        </w:trPr>
        <w:tc>
          <w:tcPr>
            <w:tcW w:w="3660" w:type="dxa"/>
            <w:vAlign w:val="bottom"/>
          </w:tcPr>
          <w:p>
            <w:pPr>
              <w:spacing w:after="0" w:line="175" w:lineRule="exact"/>
              <w:rPr>
                <w:sz w:val="20"/>
                <w:szCs w:val="20"/>
                <w:color w:val="auto"/>
              </w:rPr>
            </w:pPr>
            <w:r>
              <w:rPr>
                <w:rFonts w:ascii="Arial" w:cs="Arial" w:eastAsia="Arial" w:hAnsi="Arial"/>
                <w:sz w:val="16"/>
                <w:szCs w:val="16"/>
                <w:color w:val="auto"/>
              </w:rPr>
              <w:t>Colorado Electric</w:t>
            </w:r>
          </w:p>
        </w:tc>
        <w:tc>
          <w:tcPr>
            <w:tcW w:w="7580" w:type="dxa"/>
            <w:vAlign w:val="bottom"/>
          </w:tcPr>
          <w:p>
            <w:pPr>
              <w:ind w:left="60"/>
              <w:spacing w:after="0" w:line="175" w:lineRule="exact"/>
              <w:rPr>
                <w:sz w:val="20"/>
                <w:szCs w:val="20"/>
                <w:color w:val="auto"/>
              </w:rPr>
            </w:pPr>
            <w:r>
              <w:rPr>
                <w:rFonts w:ascii="Arial" w:cs="Arial" w:eastAsia="Arial" w:hAnsi="Arial"/>
                <w:sz w:val="16"/>
                <w:szCs w:val="16"/>
                <w:color w:val="auto"/>
              </w:rPr>
              <w:t>Black Hills Colorado Electric, LLC, a direct, wholly-owned subsidiary of Black Hills Electric Parent</w:t>
            </w:r>
          </w:p>
        </w:tc>
      </w:tr>
      <w:tr>
        <w:trPr>
          <w:trHeight w:val="203"/>
        </w:trPr>
        <w:tc>
          <w:tcPr>
            <w:tcW w:w="3660" w:type="dxa"/>
            <w:vAlign w:val="bottom"/>
          </w:tcPr>
          <w:p>
            <w:pPr>
              <w:spacing w:after="0"/>
              <w:rPr>
                <w:sz w:val="17"/>
                <w:szCs w:val="17"/>
                <w:color w:val="auto"/>
              </w:rPr>
            </w:pPr>
          </w:p>
        </w:tc>
        <w:tc>
          <w:tcPr>
            <w:tcW w:w="7580" w:type="dxa"/>
            <w:vAlign w:val="bottom"/>
          </w:tcPr>
          <w:p>
            <w:pPr>
              <w:ind w:left="60"/>
              <w:spacing w:after="0"/>
              <w:rPr>
                <w:sz w:val="20"/>
                <w:szCs w:val="20"/>
                <w:color w:val="auto"/>
              </w:rPr>
            </w:pPr>
            <w:r>
              <w:rPr>
                <w:rFonts w:ascii="Arial" w:cs="Arial" w:eastAsia="Arial" w:hAnsi="Arial"/>
                <w:sz w:val="16"/>
                <w:szCs w:val="16"/>
                <w:color w:val="auto"/>
              </w:rPr>
              <w:t>Holdings, providing electric services to customers in Colorado (doing business as Black Hills Energy).</w:t>
            </w:r>
          </w:p>
        </w:tc>
      </w:tr>
      <w:tr>
        <w:trPr>
          <w:trHeight w:val="175"/>
        </w:trPr>
        <w:tc>
          <w:tcPr>
            <w:tcW w:w="3660" w:type="dxa"/>
            <w:vAlign w:val="bottom"/>
            <w:shd w:val="clear" w:color="auto" w:fill="CFF0FC"/>
          </w:tcPr>
          <w:p>
            <w:pPr>
              <w:spacing w:after="0" w:line="175" w:lineRule="exact"/>
              <w:rPr>
                <w:sz w:val="20"/>
                <w:szCs w:val="20"/>
                <w:color w:val="auto"/>
              </w:rPr>
            </w:pPr>
            <w:r>
              <w:rPr>
                <w:rFonts w:ascii="Arial" w:cs="Arial" w:eastAsia="Arial" w:hAnsi="Arial"/>
                <w:sz w:val="16"/>
                <w:szCs w:val="16"/>
                <w:color w:val="auto"/>
              </w:rPr>
              <w:t>Colorado Gas</w:t>
            </w:r>
          </w:p>
        </w:tc>
        <w:tc>
          <w:tcPr>
            <w:tcW w:w="7580" w:type="dxa"/>
            <w:vAlign w:val="bottom"/>
            <w:shd w:val="clear" w:color="auto" w:fill="CFF0FC"/>
          </w:tcPr>
          <w:p>
            <w:pPr>
              <w:ind w:left="60"/>
              <w:spacing w:after="0" w:line="175" w:lineRule="exact"/>
              <w:rPr>
                <w:sz w:val="20"/>
                <w:szCs w:val="20"/>
                <w:color w:val="auto"/>
              </w:rPr>
            </w:pPr>
            <w:r>
              <w:rPr>
                <w:rFonts w:ascii="Arial" w:cs="Arial" w:eastAsia="Arial" w:hAnsi="Arial"/>
                <w:sz w:val="16"/>
                <w:szCs w:val="16"/>
                <w:color w:val="auto"/>
              </w:rPr>
              <w:t>Black Hills Colorado Gas, Inc., an indirect, wholly-owned subsidiary of Black Hills Utility Holdings,</w:t>
            </w:r>
          </w:p>
        </w:tc>
      </w:tr>
      <w:tr>
        <w:trPr>
          <w:trHeight w:val="203"/>
        </w:trPr>
        <w:tc>
          <w:tcPr>
            <w:tcW w:w="3660" w:type="dxa"/>
            <w:vAlign w:val="bottom"/>
            <w:shd w:val="clear" w:color="auto" w:fill="CFF0FC"/>
          </w:tcPr>
          <w:p>
            <w:pPr>
              <w:spacing w:after="0"/>
              <w:rPr>
                <w:sz w:val="17"/>
                <w:szCs w:val="17"/>
                <w:color w:val="auto"/>
              </w:rPr>
            </w:pPr>
          </w:p>
        </w:tc>
        <w:tc>
          <w:tcPr>
            <w:tcW w:w="7580" w:type="dxa"/>
            <w:vAlign w:val="bottom"/>
            <w:shd w:val="clear" w:color="auto" w:fill="CFF0FC"/>
          </w:tcPr>
          <w:p>
            <w:pPr>
              <w:ind w:left="60"/>
              <w:spacing w:after="0"/>
              <w:rPr>
                <w:sz w:val="20"/>
                <w:szCs w:val="20"/>
                <w:color w:val="auto"/>
              </w:rPr>
            </w:pPr>
            <w:r>
              <w:rPr>
                <w:rFonts w:ascii="Arial" w:cs="Arial" w:eastAsia="Arial" w:hAnsi="Arial"/>
                <w:sz w:val="16"/>
                <w:szCs w:val="16"/>
                <w:color w:val="auto"/>
              </w:rPr>
              <w:t>providing natural gas services to customers in Colorado (doing business as Black Hills Energy).</w:t>
            </w:r>
          </w:p>
        </w:tc>
      </w:tr>
      <w:tr>
        <w:trPr>
          <w:trHeight w:val="175"/>
        </w:trPr>
        <w:tc>
          <w:tcPr>
            <w:tcW w:w="3660" w:type="dxa"/>
            <w:vAlign w:val="bottom"/>
          </w:tcPr>
          <w:p>
            <w:pPr>
              <w:spacing w:after="0" w:line="175" w:lineRule="exact"/>
              <w:rPr>
                <w:sz w:val="20"/>
                <w:szCs w:val="20"/>
                <w:color w:val="auto"/>
              </w:rPr>
            </w:pPr>
            <w:r>
              <w:rPr>
                <w:rFonts w:ascii="Arial" w:cs="Arial" w:eastAsia="Arial" w:hAnsi="Arial"/>
                <w:sz w:val="16"/>
                <w:szCs w:val="16"/>
                <w:color w:val="auto"/>
              </w:rPr>
              <w:t>Consolidated Indebtedness to Capitalization Ratio</w:t>
            </w:r>
          </w:p>
        </w:tc>
        <w:tc>
          <w:tcPr>
            <w:tcW w:w="7580" w:type="dxa"/>
            <w:vAlign w:val="bottom"/>
          </w:tcPr>
          <w:p>
            <w:pPr>
              <w:ind w:left="60"/>
              <w:spacing w:after="0" w:line="175" w:lineRule="exact"/>
              <w:rPr>
                <w:sz w:val="20"/>
                <w:szCs w:val="20"/>
                <w:color w:val="auto"/>
              </w:rPr>
            </w:pPr>
            <w:r>
              <w:rPr>
                <w:rFonts w:ascii="Arial" w:cs="Arial" w:eastAsia="Arial" w:hAnsi="Arial"/>
                <w:sz w:val="16"/>
                <w:szCs w:val="16"/>
                <w:color w:val="auto"/>
              </w:rPr>
              <w:t>Any indebtedness outstanding at such time, divided by capital at such time. Capital being consolidated</w:t>
            </w:r>
          </w:p>
        </w:tc>
      </w:tr>
      <w:tr>
        <w:trPr>
          <w:trHeight w:val="189"/>
        </w:trPr>
        <w:tc>
          <w:tcPr>
            <w:tcW w:w="3660" w:type="dxa"/>
            <w:vAlign w:val="bottom"/>
          </w:tcPr>
          <w:p>
            <w:pPr>
              <w:spacing w:after="0"/>
              <w:rPr>
                <w:sz w:val="16"/>
                <w:szCs w:val="16"/>
                <w:color w:val="auto"/>
              </w:rPr>
            </w:pPr>
          </w:p>
        </w:tc>
        <w:tc>
          <w:tcPr>
            <w:tcW w:w="7580" w:type="dxa"/>
            <w:vAlign w:val="bottom"/>
          </w:tcPr>
          <w:p>
            <w:pPr>
              <w:ind w:left="60"/>
              <w:spacing w:after="0"/>
              <w:rPr>
                <w:sz w:val="20"/>
                <w:szCs w:val="20"/>
                <w:color w:val="auto"/>
              </w:rPr>
            </w:pPr>
            <w:r>
              <w:rPr>
                <w:rFonts w:ascii="Arial" w:cs="Arial" w:eastAsia="Arial" w:hAnsi="Arial"/>
                <w:sz w:val="16"/>
                <w:szCs w:val="16"/>
                <w:color w:val="auto"/>
              </w:rPr>
              <w:t>net worth (excluding non-controlling interest) plus consolidated indebtedness (including letters of credit</w:t>
            </w:r>
          </w:p>
        </w:tc>
      </w:tr>
      <w:tr>
        <w:trPr>
          <w:trHeight w:val="203"/>
        </w:trPr>
        <w:tc>
          <w:tcPr>
            <w:tcW w:w="3660" w:type="dxa"/>
            <w:vAlign w:val="bottom"/>
          </w:tcPr>
          <w:p>
            <w:pPr>
              <w:spacing w:after="0"/>
              <w:rPr>
                <w:sz w:val="17"/>
                <w:szCs w:val="17"/>
                <w:color w:val="auto"/>
              </w:rPr>
            </w:pPr>
          </w:p>
        </w:tc>
        <w:tc>
          <w:tcPr>
            <w:tcW w:w="7580" w:type="dxa"/>
            <w:vAlign w:val="bottom"/>
          </w:tcPr>
          <w:p>
            <w:pPr>
              <w:ind w:left="60"/>
              <w:spacing w:after="0"/>
              <w:rPr>
                <w:sz w:val="20"/>
                <w:szCs w:val="20"/>
                <w:color w:val="auto"/>
              </w:rPr>
            </w:pPr>
            <w:r>
              <w:rPr>
                <w:rFonts w:ascii="Arial" w:cs="Arial" w:eastAsia="Arial" w:hAnsi="Arial"/>
                <w:sz w:val="16"/>
                <w:szCs w:val="16"/>
                <w:color w:val="auto"/>
              </w:rPr>
              <w:t>and certain guarantees issued) as defined within the current Revolving Credit Facility.</w:t>
            </w:r>
          </w:p>
        </w:tc>
      </w:tr>
      <w:tr>
        <w:trPr>
          <w:trHeight w:val="175"/>
        </w:trPr>
        <w:tc>
          <w:tcPr>
            <w:tcW w:w="3660" w:type="dxa"/>
            <w:vAlign w:val="bottom"/>
            <w:shd w:val="clear" w:color="auto" w:fill="CFF0FC"/>
          </w:tcPr>
          <w:p>
            <w:pPr>
              <w:spacing w:after="0" w:line="175" w:lineRule="exact"/>
              <w:rPr>
                <w:sz w:val="20"/>
                <w:szCs w:val="20"/>
                <w:color w:val="auto"/>
              </w:rPr>
            </w:pPr>
            <w:r>
              <w:rPr>
                <w:rFonts w:ascii="Arial" w:cs="Arial" w:eastAsia="Arial" w:hAnsi="Arial"/>
                <w:sz w:val="16"/>
                <w:szCs w:val="16"/>
                <w:color w:val="auto"/>
              </w:rPr>
              <w:t>Cooling Degree Day</w:t>
            </w:r>
          </w:p>
        </w:tc>
        <w:tc>
          <w:tcPr>
            <w:tcW w:w="7580" w:type="dxa"/>
            <w:vAlign w:val="bottom"/>
            <w:shd w:val="clear" w:color="auto" w:fill="CFF0FC"/>
          </w:tcPr>
          <w:p>
            <w:pPr>
              <w:ind w:left="60"/>
              <w:spacing w:after="0" w:line="175" w:lineRule="exact"/>
              <w:rPr>
                <w:sz w:val="20"/>
                <w:szCs w:val="20"/>
                <w:color w:val="auto"/>
              </w:rPr>
            </w:pPr>
            <w:r>
              <w:rPr>
                <w:rFonts w:ascii="Arial" w:cs="Arial" w:eastAsia="Arial" w:hAnsi="Arial"/>
                <w:sz w:val="16"/>
                <w:szCs w:val="16"/>
                <w:color w:val="auto"/>
              </w:rPr>
              <w:t>A cooling degree day is equivalent to each degree that the average of the high and the low temperatures</w:t>
            </w:r>
          </w:p>
        </w:tc>
      </w:tr>
      <w:tr>
        <w:trPr>
          <w:trHeight w:val="189"/>
        </w:trPr>
        <w:tc>
          <w:tcPr>
            <w:tcW w:w="3660" w:type="dxa"/>
            <w:vAlign w:val="bottom"/>
            <w:shd w:val="clear" w:color="auto" w:fill="CFF0FC"/>
          </w:tcPr>
          <w:p>
            <w:pPr>
              <w:spacing w:after="0"/>
              <w:rPr>
                <w:sz w:val="16"/>
                <w:szCs w:val="16"/>
                <w:color w:val="auto"/>
              </w:rPr>
            </w:pPr>
          </w:p>
        </w:tc>
        <w:tc>
          <w:tcPr>
            <w:tcW w:w="7580" w:type="dxa"/>
            <w:vAlign w:val="bottom"/>
            <w:shd w:val="clear" w:color="auto" w:fill="CFF0FC"/>
          </w:tcPr>
          <w:p>
            <w:pPr>
              <w:ind w:left="60"/>
              <w:spacing w:after="0"/>
              <w:rPr>
                <w:sz w:val="20"/>
                <w:szCs w:val="20"/>
                <w:color w:val="auto"/>
              </w:rPr>
            </w:pPr>
            <w:r>
              <w:rPr>
                <w:rFonts w:ascii="Arial" w:cs="Arial" w:eastAsia="Arial" w:hAnsi="Arial"/>
                <w:sz w:val="16"/>
                <w:szCs w:val="16"/>
                <w:color w:val="auto"/>
              </w:rPr>
              <w:t>for a day is above 65 degrees. The warmer the climate, the greater the number of cooling degree days.</w:t>
            </w:r>
          </w:p>
        </w:tc>
      </w:tr>
      <w:tr>
        <w:trPr>
          <w:trHeight w:val="189"/>
        </w:trPr>
        <w:tc>
          <w:tcPr>
            <w:tcW w:w="3660" w:type="dxa"/>
            <w:vAlign w:val="bottom"/>
            <w:shd w:val="clear" w:color="auto" w:fill="CFF0FC"/>
          </w:tcPr>
          <w:p>
            <w:pPr>
              <w:spacing w:after="0"/>
              <w:rPr>
                <w:sz w:val="16"/>
                <w:szCs w:val="16"/>
                <w:color w:val="auto"/>
              </w:rPr>
            </w:pPr>
          </w:p>
        </w:tc>
        <w:tc>
          <w:tcPr>
            <w:tcW w:w="7580" w:type="dxa"/>
            <w:vAlign w:val="bottom"/>
            <w:shd w:val="clear" w:color="auto" w:fill="CFF0FC"/>
          </w:tcPr>
          <w:p>
            <w:pPr>
              <w:ind w:left="60"/>
              <w:spacing w:after="0"/>
              <w:rPr>
                <w:sz w:val="20"/>
                <w:szCs w:val="20"/>
                <w:color w:val="auto"/>
              </w:rPr>
            </w:pPr>
            <w:r>
              <w:rPr>
                <w:rFonts w:ascii="Arial" w:cs="Arial" w:eastAsia="Arial" w:hAnsi="Arial"/>
                <w:sz w:val="16"/>
                <w:szCs w:val="16"/>
                <w:color w:val="auto"/>
              </w:rPr>
              <w:t>Cooling degree days are used in the utility industry to measure the relative warmth of weather and to</w:t>
            </w:r>
          </w:p>
        </w:tc>
      </w:tr>
      <w:tr>
        <w:trPr>
          <w:trHeight w:val="189"/>
        </w:trPr>
        <w:tc>
          <w:tcPr>
            <w:tcW w:w="3660" w:type="dxa"/>
            <w:vAlign w:val="bottom"/>
            <w:shd w:val="clear" w:color="auto" w:fill="CFF0FC"/>
          </w:tcPr>
          <w:p>
            <w:pPr>
              <w:spacing w:after="0"/>
              <w:rPr>
                <w:sz w:val="16"/>
                <w:szCs w:val="16"/>
                <w:color w:val="auto"/>
              </w:rPr>
            </w:pPr>
          </w:p>
        </w:tc>
        <w:tc>
          <w:tcPr>
            <w:tcW w:w="7580" w:type="dxa"/>
            <w:vAlign w:val="bottom"/>
            <w:shd w:val="clear" w:color="auto" w:fill="CFF0FC"/>
          </w:tcPr>
          <w:p>
            <w:pPr>
              <w:ind w:left="60"/>
              <w:spacing w:after="0"/>
              <w:rPr>
                <w:sz w:val="20"/>
                <w:szCs w:val="20"/>
                <w:color w:val="auto"/>
              </w:rPr>
            </w:pPr>
            <w:r>
              <w:rPr>
                <w:rFonts w:ascii="Arial" w:cs="Arial" w:eastAsia="Arial" w:hAnsi="Arial"/>
                <w:sz w:val="16"/>
                <w:szCs w:val="16"/>
                <w:color w:val="auto"/>
              </w:rPr>
              <w:t>compare relative temperatures between one geographic area and another. Normal degree days are</w:t>
            </w:r>
          </w:p>
        </w:tc>
      </w:tr>
      <w:tr>
        <w:trPr>
          <w:trHeight w:val="203"/>
        </w:trPr>
        <w:tc>
          <w:tcPr>
            <w:tcW w:w="3660" w:type="dxa"/>
            <w:vAlign w:val="bottom"/>
            <w:shd w:val="clear" w:color="auto" w:fill="CFF0FC"/>
          </w:tcPr>
          <w:p>
            <w:pPr>
              <w:spacing w:after="0"/>
              <w:rPr>
                <w:sz w:val="17"/>
                <w:szCs w:val="17"/>
                <w:color w:val="auto"/>
              </w:rPr>
            </w:pPr>
          </w:p>
        </w:tc>
        <w:tc>
          <w:tcPr>
            <w:tcW w:w="7580" w:type="dxa"/>
            <w:vAlign w:val="bottom"/>
            <w:shd w:val="clear" w:color="auto" w:fill="CFF0FC"/>
          </w:tcPr>
          <w:p>
            <w:pPr>
              <w:ind w:left="60"/>
              <w:spacing w:after="0"/>
              <w:rPr>
                <w:sz w:val="20"/>
                <w:szCs w:val="20"/>
                <w:color w:val="auto"/>
              </w:rPr>
            </w:pPr>
            <w:r>
              <w:rPr>
                <w:rFonts w:ascii="Arial" w:cs="Arial" w:eastAsia="Arial" w:hAnsi="Arial"/>
                <w:sz w:val="16"/>
                <w:szCs w:val="16"/>
                <w:color w:val="auto"/>
              </w:rPr>
              <w:t>based on the National Weather Service data for selected locations.</w:t>
            </w:r>
          </w:p>
        </w:tc>
      </w:tr>
      <w:tr>
        <w:trPr>
          <w:trHeight w:val="189"/>
        </w:trPr>
        <w:tc>
          <w:tcPr>
            <w:tcW w:w="3660" w:type="dxa"/>
            <w:vAlign w:val="bottom"/>
          </w:tcPr>
          <w:p>
            <w:pPr>
              <w:spacing w:after="0"/>
              <w:rPr>
                <w:sz w:val="20"/>
                <w:szCs w:val="20"/>
                <w:color w:val="auto"/>
              </w:rPr>
            </w:pPr>
            <w:r>
              <w:rPr>
                <w:rFonts w:ascii="Arial" w:cs="Arial" w:eastAsia="Arial" w:hAnsi="Arial"/>
                <w:sz w:val="16"/>
                <w:szCs w:val="16"/>
                <w:color w:val="auto"/>
              </w:rPr>
              <w:t>CP Program</w:t>
            </w:r>
          </w:p>
        </w:tc>
        <w:tc>
          <w:tcPr>
            <w:tcW w:w="7580" w:type="dxa"/>
            <w:vAlign w:val="bottom"/>
          </w:tcPr>
          <w:p>
            <w:pPr>
              <w:ind w:left="60"/>
              <w:spacing w:after="0"/>
              <w:rPr>
                <w:sz w:val="20"/>
                <w:szCs w:val="20"/>
                <w:color w:val="auto"/>
              </w:rPr>
            </w:pPr>
            <w:r>
              <w:rPr>
                <w:rFonts w:ascii="Arial" w:cs="Arial" w:eastAsia="Arial" w:hAnsi="Arial"/>
                <w:sz w:val="16"/>
                <w:szCs w:val="16"/>
                <w:color w:val="auto"/>
              </w:rPr>
              <w:t>Commercial Paper Program</w:t>
            </w:r>
          </w:p>
        </w:tc>
      </w:tr>
      <w:tr>
        <w:trPr>
          <w:trHeight w:val="189"/>
        </w:trPr>
        <w:tc>
          <w:tcPr>
            <w:tcW w:w="3660" w:type="dxa"/>
            <w:vAlign w:val="bottom"/>
            <w:shd w:val="clear" w:color="auto" w:fill="CFF0FC"/>
          </w:tcPr>
          <w:p>
            <w:pPr>
              <w:spacing w:after="0"/>
              <w:rPr>
                <w:sz w:val="20"/>
                <w:szCs w:val="20"/>
                <w:color w:val="auto"/>
              </w:rPr>
            </w:pPr>
            <w:r>
              <w:rPr>
                <w:rFonts w:ascii="Arial" w:cs="Arial" w:eastAsia="Arial" w:hAnsi="Arial"/>
                <w:sz w:val="16"/>
                <w:szCs w:val="16"/>
                <w:color w:val="auto"/>
              </w:rPr>
              <w:t>CPCN</w:t>
            </w:r>
          </w:p>
        </w:tc>
        <w:tc>
          <w:tcPr>
            <w:tcW w:w="7580" w:type="dxa"/>
            <w:vAlign w:val="bottom"/>
            <w:shd w:val="clear" w:color="auto" w:fill="CFF0FC"/>
          </w:tcPr>
          <w:p>
            <w:pPr>
              <w:ind w:left="60"/>
              <w:spacing w:after="0"/>
              <w:rPr>
                <w:sz w:val="20"/>
                <w:szCs w:val="20"/>
                <w:color w:val="auto"/>
              </w:rPr>
            </w:pPr>
            <w:r>
              <w:rPr>
                <w:rFonts w:ascii="Arial" w:cs="Arial" w:eastAsia="Arial" w:hAnsi="Arial"/>
                <w:sz w:val="16"/>
                <w:szCs w:val="16"/>
                <w:color w:val="auto"/>
              </w:rPr>
              <w:t>Certificate of Public Convenience and Necessity</w:t>
            </w:r>
          </w:p>
        </w:tc>
      </w:tr>
      <w:tr>
        <w:trPr>
          <w:trHeight w:val="189"/>
        </w:trPr>
        <w:tc>
          <w:tcPr>
            <w:tcW w:w="3660" w:type="dxa"/>
            <w:vAlign w:val="bottom"/>
          </w:tcPr>
          <w:p>
            <w:pPr>
              <w:spacing w:after="0"/>
              <w:rPr>
                <w:sz w:val="20"/>
                <w:szCs w:val="20"/>
                <w:color w:val="auto"/>
              </w:rPr>
            </w:pPr>
            <w:r>
              <w:rPr>
                <w:rFonts w:ascii="Arial" w:cs="Arial" w:eastAsia="Arial" w:hAnsi="Arial"/>
                <w:sz w:val="16"/>
                <w:szCs w:val="16"/>
                <w:color w:val="auto"/>
              </w:rPr>
              <w:t>CPUC</w:t>
            </w:r>
          </w:p>
        </w:tc>
        <w:tc>
          <w:tcPr>
            <w:tcW w:w="7580" w:type="dxa"/>
            <w:vAlign w:val="bottom"/>
          </w:tcPr>
          <w:p>
            <w:pPr>
              <w:ind w:left="60"/>
              <w:spacing w:after="0"/>
              <w:rPr>
                <w:sz w:val="20"/>
                <w:szCs w:val="20"/>
                <w:color w:val="auto"/>
              </w:rPr>
            </w:pPr>
            <w:r>
              <w:rPr>
                <w:rFonts w:ascii="Arial" w:cs="Arial" w:eastAsia="Arial" w:hAnsi="Arial"/>
                <w:sz w:val="16"/>
                <w:szCs w:val="16"/>
                <w:color w:val="auto"/>
              </w:rPr>
              <w:t>Colorado Public Utilities Commission</w:t>
            </w:r>
          </w:p>
        </w:tc>
      </w:tr>
      <w:tr>
        <w:trPr>
          <w:trHeight w:val="189"/>
        </w:trPr>
        <w:tc>
          <w:tcPr>
            <w:tcW w:w="3660" w:type="dxa"/>
            <w:vAlign w:val="bottom"/>
            <w:shd w:val="clear" w:color="auto" w:fill="CFF0FC"/>
          </w:tcPr>
          <w:p>
            <w:pPr>
              <w:spacing w:after="0"/>
              <w:rPr>
                <w:sz w:val="20"/>
                <w:szCs w:val="20"/>
                <w:color w:val="auto"/>
              </w:rPr>
            </w:pPr>
            <w:r>
              <w:rPr>
                <w:rFonts w:ascii="Arial" w:cs="Arial" w:eastAsia="Arial" w:hAnsi="Arial"/>
                <w:sz w:val="16"/>
                <w:szCs w:val="16"/>
                <w:color w:val="auto"/>
              </w:rPr>
              <w:t>CT</w:t>
            </w:r>
          </w:p>
        </w:tc>
        <w:tc>
          <w:tcPr>
            <w:tcW w:w="7580" w:type="dxa"/>
            <w:vAlign w:val="bottom"/>
            <w:shd w:val="clear" w:color="auto" w:fill="CFF0FC"/>
          </w:tcPr>
          <w:p>
            <w:pPr>
              <w:ind w:left="60"/>
              <w:spacing w:after="0"/>
              <w:rPr>
                <w:sz w:val="20"/>
                <w:szCs w:val="20"/>
                <w:color w:val="auto"/>
              </w:rPr>
            </w:pPr>
            <w:r>
              <w:rPr>
                <w:rFonts w:ascii="Arial" w:cs="Arial" w:eastAsia="Arial" w:hAnsi="Arial"/>
                <w:sz w:val="16"/>
                <w:szCs w:val="16"/>
                <w:color w:val="auto"/>
              </w:rPr>
              <w:t>Combustion Turbine</w:t>
            </w:r>
          </w:p>
        </w:tc>
      </w:tr>
      <w:tr>
        <w:trPr>
          <w:trHeight w:val="189"/>
        </w:trPr>
        <w:tc>
          <w:tcPr>
            <w:tcW w:w="3660" w:type="dxa"/>
            <w:vAlign w:val="bottom"/>
          </w:tcPr>
          <w:p>
            <w:pPr>
              <w:spacing w:after="0"/>
              <w:rPr>
                <w:sz w:val="20"/>
                <w:szCs w:val="20"/>
                <w:color w:val="auto"/>
              </w:rPr>
            </w:pPr>
            <w:r>
              <w:rPr>
                <w:rFonts w:ascii="Arial" w:cs="Arial" w:eastAsia="Arial" w:hAnsi="Arial"/>
                <w:sz w:val="16"/>
                <w:szCs w:val="16"/>
                <w:color w:val="auto"/>
              </w:rPr>
              <w:t>Dth</w:t>
            </w:r>
          </w:p>
        </w:tc>
        <w:tc>
          <w:tcPr>
            <w:tcW w:w="7580" w:type="dxa"/>
            <w:vAlign w:val="bottom"/>
          </w:tcPr>
          <w:p>
            <w:pPr>
              <w:ind w:left="60"/>
              <w:spacing w:after="0"/>
              <w:rPr>
                <w:sz w:val="20"/>
                <w:szCs w:val="20"/>
                <w:color w:val="auto"/>
              </w:rPr>
            </w:pPr>
            <w:r>
              <w:rPr>
                <w:rFonts w:ascii="Arial" w:cs="Arial" w:eastAsia="Arial" w:hAnsi="Arial"/>
                <w:sz w:val="16"/>
                <w:szCs w:val="16"/>
                <w:color w:val="auto"/>
              </w:rPr>
              <w:t>Dekatherm. A unit of energy equal to 10 therms or one million British thermal units (MMBtu)</w:t>
            </w:r>
          </w:p>
        </w:tc>
      </w:tr>
      <w:tr>
        <w:trPr>
          <w:trHeight w:val="175"/>
        </w:trPr>
        <w:tc>
          <w:tcPr>
            <w:tcW w:w="3660" w:type="dxa"/>
            <w:vAlign w:val="bottom"/>
            <w:shd w:val="clear" w:color="auto" w:fill="CFF0FC"/>
          </w:tcPr>
          <w:p>
            <w:pPr>
              <w:spacing w:after="0" w:line="175" w:lineRule="exact"/>
              <w:rPr>
                <w:sz w:val="20"/>
                <w:szCs w:val="20"/>
                <w:color w:val="auto"/>
              </w:rPr>
            </w:pPr>
            <w:r>
              <w:rPr>
                <w:rFonts w:ascii="Arial" w:cs="Arial" w:eastAsia="Arial" w:hAnsi="Arial"/>
                <w:sz w:val="16"/>
                <w:szCs w:val="16"/>
                <w:color w:val="auto"/>
              </w:rPr>
              <w:t>Emergency PSPS</w:t>
            </w:r>
          </w:p>
        </w:tc>
        <w:tc>
          <w:tcPr>
            <w:tcW w:w="7580" w:type="dxa"/>
            <w:vAlign w:val="bottom"/>
            <w:shd w:val="clear" w:color="auto" w:fill="CFF0FC"/>
          </w:tcPr>
          <w:p>
            <w:pPr>
              <w:ind w:left="60"/>
              <w:spacing w:after="0" w:line="175" w:lineRule="exact"/>
              <w:rPr>
                <w:sz w:val="20"/>
                <w:szCs w:val="20"/>
                <w:color w:val="auto"/>
              </w:rPr>
            </w:pPr>
            <w:r>
              <w:rPr>
                <w:rFonts w:ascii="Arial" w:cs="Arial" w:eastAsia="Arial" w:hAnsi="Arial"/>
                <w:sz w:val="16"/>
                <w:szCs w:val="16"/>
                <w:color w:val="auto"/>
              </w:rPr>
              <w:t>Emergency Public Safety Power Shutoff is a safety measure to prevent the</w:t>
            </w:r>
          </w:p>
        </w:tc>
      </w:tr>
      <w:tr>
        <w:trPr>
          <w:trHeight w:val="189"/>
        </w:trPr>
        <w:tc>
          <w:tcPr>
            <w:tcW w:w="3660" w:type="dxa"/>
            <w:vAlign w:val="bottom"/>
            <w:shd w:val="clear" w:color="auto" w:fill="CFF0FC"/>
          </w:tcPr>
          <w:p>
            <w:pPr>
              <w:spacing w:after="0"/>
              <w:rPr>
                <w:sz w:val="16"/>
                <w:szCs w:val="16"/>
                <w:color w:val="auto"/>
              </w:rPr>
            </w:pPr>
          </w:p>
        </w:tc>
        <w:tc>
          <w:tcPr>
            <w:tcW w:w="7580" w:type="dxa"/>
            <w:vAlign w:val="bottom"/>
            <w:shd w:val="clear" w:color="auto" w:fill="CFF0FC"/>
          </w:tcPr>
          <w:p>
            <w:pPr>
              <w:ind w:left="60"/>
              <w:spacing w:after="0"/>
              <w:rPr>
                <w:sz w:val="20"/>
                <w:szCs w:val="20"/>
                <w:color w:val="auto"/>
              </w:rPr>
            </w:pPr>
            <w:r>
              <w:rPr>
                <w:rFonts w:ascii="Arial" w:cs="Arial" w:eastAsia="Arial" w:hAnsi="Arial"/>
                <w:sz w:val="16"/>
                <w:szCs w:val="16"/>
                <w:color w:val="auto"/>
              </w:rPr>
              <w:t>electric system from becoming a potential source of ignition during extreme weather conditions/events. It</w:t>
            </w:r>
          </w:p>
        </w:tc>
      </w:tr>
      <w:tr>
        <w:trPr>
          <w:trHeight w:val="189"/>
        </w:trPr>
        <w:tc>
          <w:tcPr>
            <w:tcW w:w="3660" w:type="dxa"/>
            <w:vAlign w:val="bottom"/>
            <w:shd w:val="clear" w:color="auto" w:fill="CFF0FC"/>
          </w:tcPr>
          <w:p>
            <w:pPr>
              <w:spacing w:after="0"/>
              <w:rPr>
                <w:sz w:val="16"/>
                <w:szCs w:val="16"/>
                <w:color w:val="auto"/>
              </w:rPr>
            </w:pPr>
          </w:p>
        </w:tc>
        <w:tc>
          <w:tcPr>
            <w:tcW w:w="7580" w:type="dxa"/>
            <w:vAlign w:val="bottom"/>
            <w:shd w:val="clear" w:color="auto" w:fill="CFF0FC"/>
          </w:tcPr>
          <w:p>
            <w:pPr>
              <w:ind w:left="60"/>
              <w:spacing w:after="0"/>
              <w:rPr>
                <w:sz w:val="20"/>
                <w:szCs w:val="20"/>
                <w:color w:val="auto"/>
              </w:rPr>
            </w:pPr>
            <w:r>
              <w:rPr>
                <w:rFonts w:ascii="Arial" w:cs="Arial" w:eastAsia="Arial" w:hAnsi="Arial"/>
                <w:sz w:val="16"/>
                <w:szCs w:val="16"/>
                <w:color w:val="auto"/>
              </w:rPr>
              <w:t>entails selectively and intentionally turning off power to a portion of a service area when high-fire-risk</w:t>
            </w:r>
          </w:p>
        </w:tc>
      </w:tr>
      <w:tr>
        <w:trPr>
          <w:trHeight w:val="203"/>
        </w:trPr>
        <w:tc>
          <w:tcPr>
            <w:tcW w:w="3660" w:type="dxa"/>
            <w:vAlign w:val="bottom"/>
            <w:shd w:val="clear" w:color="auto" w:fill="CFF0FC"/>
          </w:tcPr>
          <w:p>
            <w:pPr>
              <w:spacing w:after="0"/>
              <w:rPr>
                <w:sz w:val="17"/>
                <w:szCs w:val="17"/>
                <w:color w:val="auto"/>
              </w:rPr>
            </w:pPr>
          </w:p>
        </w:tc>
        <w:tc>
          <w:tcPr>
            <w:tcW w:w="7580" w:type="dxa"/>
            <w:vAlign w:val="bottom"/>
            <w:shd w:val="clear" w:color="auto" w:fill="CFF0FC"/>
          </w:tcPr>
          <w:p>
            <w:pPr>
              <w:ind w:left="60"/>
              <w:spacing w:after="0"/>
              <w:rPr>
                <w:sz w:val="20"/>
                <w:szCs w:val="20"/>
                <w:color w:val="auto"/>
              </w:rPr>
            </w:pPr>
            <w:r>
              <w:rPr>
                <w:rFonts w:ascii="Arial" w:cs="Arial" w:eastAsia="Arial" w:hAnsi="Arial"/>
                <w:sz w:val="16"/>
                <w:szCs w:val="16"/>
                <w:color w:val="auto"/>
              </w:rPr>
              <w:t>weather and fuel conditions occur.</w:t>
            </w:r>
          </w:p>
        </w:tc>
      </w:tr>
      <w:tr>
        <w:trPr>
          <w:trHeight w:val="189"/>
        </w:trPr>
        <w:tc>
          <w:tcPr>
            <w:tcW w:w="3660" w:type="dxa"/>
            <w:vAlign w:val="bottom"/>
          </w:tcPr>
          <w:p>
            <w:pPr>
              <w:spacing w:after="0"/>
              <w:rPr>
                <w:sz w:val="20"/>
                <w:szCs w:val="20"/>
                <w:color w:val="auto"/>
              </w:rPr>
            </w:pPr>
            <w:r>
              <w:rPr>
                <w:rFonts w:ascii="Arial" w:cs="Arial" w:eastAsia="Arial" w:hAnsi="Arial"/>
                <w:sz w:val="16"/>
                <w:szCs w:val="16"/>
                <w:color w:val="auto"/>
              </w:rPr>
              <w:t>FASB</w:t>
            </w:r>
          </w:p>
        </w:tc>
        <w:tc>
          <w:tcPr>
            <w:tcW w:w="7580" w:type="dxa"/>
            <w:vAlign w:val="bottom"/>
          </w:tcPr>
          <w:p>
            <w:pPr>
              <w:ind w:left="60"/>
              <w:spacing w:after="0"/>
              <w:rPr>
                <w:sz w:val="20"/>
                <w:szCs w:val="20"/>
                <w:color w:val="auto"/>
              </w:rPr>
            </w:pPr>
            <w:r>
              <w:rPr>
                <w:rFonts w:ascii="Arial" w:cs="Arial" w:eastAsia="Arial" w:hAnsi="Arial"/>
                <w:sz w:val="16"/>
                <w:szCs w:val="16"/>
                <w:color w:val="auto"/>
              </w:rPr>
              <w:t>Financial Accounting Standards Board</w:t>
            </w:r>
          </w:p>
        </w:tc>
      </w:tr>
      <w:tr>
        <w:trPr>
          <w:trHeight w:val="189"/>
        </w:trPr>
        <w:tc>
          <w:tcPr>
            <w:tcW w:w="3660" w:type="dxa"/>
            <w:vAlign w:val="bottom"/>
            <w:shd w:val="clear" w:color="auto" w:fill="CFF0FC"/>
          </w:tcPr>
          <w:p>
            <w:pPr>
              <w:spacing w:after="0"/>
              <w:rPr>
                <w:sz w:val="20"/>
                <w:szCs w:val="20"/>
                <w:color w:val="auto"/>
              </w:rPr>
            </w:pPr>
            <w:r>
              <w:rPr>
                <w:rFonts w:ascii="Arial" w:cs="Arial" w:eastAsia="Arial" w:hAnsi="Arial"/>
                <w:sz w:val="16"/>
                <w:szCs w:val="16"/>
                <w:color w:val="auto"/>
              </w:rPr>
              <w:t>Fitch</w:t>
            </w:r>
          </w:p>
        </w:tc>
        <w:tc>
          <w:tcPr>
            <w:tcW w:w="7580" w:type="dxa"/>
            <w:vAlign w:val="bottom"/>
            <w:shd w:val="clear" w:color="auto" w:fill="CFF0FC"/>
          </w:tcPr>
          <w:p>
            <w:pPr>
              <w:ind w:left="60"/>
              <w:spacing w:after="0"/>
              <w:rPr>
                <w:sz w:val="20"/>
                <w:szCs w:val="20"/>
                <w:color w:val="auto"/>
              </w:rPr>
            </w:pPr>
            <w:r>
              <w:rPr>
                <w:rFonts w:ascii="Arial" w:cs="Arial" w:eastAsia="Arial" w:hAnsi="Arial"/>
                <w:sz w:val="16"/>
                <w:szCs w:val="16"/>
                <w:color w:val="auto"/>
              </w:rPr>
              <w:t>Fitch Ratings Inc.</w:t>
            </w:r>
          </w:p>
        </w:tc>
      </w:tr>
      <w:tr>
        <w:trPr>
          <w:trHeight w:val="189"/>
        </w:trPr>
        <w:tc>
          <w:tcPr>
            <w:tcW w:w="3660" w:type="dxa"/>
            <w:vAlign w:val="bottom"/>
          </w:tcPr>
          <w:p>
            <w:pPr>
              <w:spacing w:after="0"/>
              <w:rPr>
                <w:sz w:val="20"/>
                <w:szCs w:val="20"/>
                <w:color w:val="auto"/>
              </w:rPr>
            </w:pPr>
            <w:r>
              <w:rPr>
                <w:rFonts w:ascii="Arial" w:cs="Arial" w:eastAsia="Arial" w:hAnsi="Arial"/>
                <w:sz w:val="16"/>
                <w:szCs w:val="16"/>
                <w:color w:val="auto"/>
              </w:rPr>
              <w:t>GAAP</w:t>
            </w:r>
          </w:p>
        </w:tc>
        <w:tc>
          <w:tcPr>
            <w:tcW w:w="7580" w:type="dxa"/>
            <w:vAlign w:val="bottom"/>
          </w:tcPr>
          <w:p>
            <w:pPr>
              <w:ind w:left="60"/>
              <w:spacing w:after="0"/>
              <w:rPr>
                <w:sz w:val="20"/>
                <w:szCs w:val="20"/>
                <w:color w:val="auto"/>
              </w:rPr>
            </w:pPr>
            <w:r>
              <w:rPr>
                <w:rFonts w:ascii="Arial" w:cs="Arial" w:eastAsia="Arial" w:hAnsi="Arial"/>
                <w:sz w:val="16"/>
                <w:szCs w:val="16"/>
                <w:color w:val="auto"/>
              </w:rPr>
              <w:t>Accounting principles generally accepted in the United States of America</w:t>
            </w:r>
          </w:p>
        </w:tc>
      </w:tr>
      <w:tr>
        <w:trPr>
          <w:trHeight w:val="175"/>
        </w:trPr>
        <w:tc>
          <w:tcPr>
            <w:tcW w:w="3660" w:type="dxa"/>
            <w:vAlign w:val="bottom"/>
            <w:shd w:val="clear" w:color="auto" w:fill="CFF0FC"/>
          </w:tcPr>
          <w:p>
            <w:pPr>
              <w:spacing w:after="0" w:line="175" w:lineRule="exact"/>
              <w:rPr>
                <w:sz w:val="20"/>
                <w:szCs w:val="20"/>
                <w:color w:val="auto"/>
              </w:rPr>
            </w:pPr>
            <w:r>
              <w:rPr>
                <w:rFonts w:ascii="Arial" w:cs="Arial" w:eastAsia="Arial" w:hAnsi="Arial"/>
                <w:sz w:val="16"/>
                <w:szCs w:val="16"/>
                <w:color w:val="auto"/>
              </w:rPr>
              <w:t>GSRS</w:t>
            </w:r>
          </w:p>
        </w:tc>
        <w:tc>
          <w:tcPr>
            <w:tcW w:w="7580" w:type="dxa"/>
            <w:vAlign w:val="bottom"/>
            <w:shd w:val="clear" w:color="auto" w:fill="CFF0FC"/>
          </w:tcPr>
          <w:p>
            <w:pPr>
              <w:ind w:left="60"/>
              <w:spacing w:after="0" w:line="175" w:lineRule="exact"/>
              <w:rPr>
                <w:sz w:val="20"/>
                <w:szCs w:val="20"/>
                <w:color w:val="auto"/>
              </w:rPr>
            </w:pPr>
            <w:r>
              <w:rPr>
                <w:rFonts w:ascii="Arial" w:cs="Arial" w:eastAsia="Arial" w:hAnsi="Arial"/>
                <w:sz w:val="16"/>
                <w:szCs w:val="16"/>
                <w:color w:val="auto"/>
              </w:rPr>
              <w:t>Gas System Reliability Surcharge is a monthly charge that recovers Kansas Gas's costs associated with</w:t>
            </w:r>
          </w:p>
        </w:tc>
      </w:tr>
      <w:tr>
        <w:trPr>
          <w:trHeight w:val="203"/>
        </w:trPr>
        <w:tc>
          <w:tcPr>
            <w:tcW w:w="3660" w:type="dxa"/>
            <w:vAlign w:val="bottom"/>
            <w:shd w:val="clear" w:color="auto" w:fill="CFF0FC"/>
          </w:tcPr>
          <w:p>
            <w:pPr>
              <w:spacing w:after="0"/>
              <w:rPr>
                <w:sz w:val="17"/>
                <w:szCs w:val="17"/>
                <w:color w:val="auto"/>
              </w:rPr>
            </w:pPr>
          </w:p>
        </w:tc>
        <w:tc>
          <w:tcPr>
            <w:tcW w:w="7580" w:type="dxa"/>
            <w:vAlign w:val="bottom"/>
            <w:shd w:val="clear" w:color="auto" w:fill="CFF0FC"/>
          </w:tcPr>
          <w:p>
            <w:pPr>
              <w:ind w:left="60"/>
              <w:spacing w:after="0"/>
              <w:rPr>
                <w:sz w:val="20"/>
                <w:szCs w:val="20"/>
                <w:color w:val="auto"/>
              </w:rPr>
            </w:pPr>
            <w:r>
              <w:rPr>
                <w:rFonts w:ascii="Arial" w:cs="Arial" w:eastAsia="Arial" w:hAnsi="Arial"/>
                <w:sz w:val="16"/>
                <w:szCs w:val="16"/>
                <w:color w:val="auto"/>
              </w:rPr>
              <w:t>pipeline safety and government-mandated projects.</w:t>
            </w:r>
          </w:p>
        </w:tc>
      </w:tr>
      <w:tr>
        <w:trPr>
          <w:trHeight w:val="175"/>
        </w:trPr>
        <w:tc>
          <w:tcPr>
            <w:tcW w:w="3660" w:type="dxa"/>
            <w:vAlign w:val="bottom"/>
          </w:tcPr>
          <w:p>
            <w:pPr>
              <w:spacing w:after="0" w:line="175" w:lineRule="exact"/>
              <w:rPr>
                <w:sz w:val="20"/>
                <w:szCs w:val="20"/>
                <w:color w:val="auto"/>
              </w:rPr>
            </w:pPr>
            <w:r>
              <w:rPr>
                <w:rFonts w:ascii="Arial" w:cs="Arial" w:eastAsia="Arial" w:hAnsi="Arial"/>
                <w:sz w:val="16"/>
                <w:szCs w:val="16"/>
                <w:color w:val="auto"/>
              </w:rPr>
              <w:t>Heating Degree Day</w:t>
            </w:r>
          </w:p>
        </w:tc>
        <w:tc>
          <w:tcPr>
            <w:tcW w:w="7580" w:type="dxa"/>
            <w:vAlign w:val="bottom"/>
          </w:tcPr>
          <w:p>
            <w:pPr>
              <w:ind w:left="60"/>
              <w:spacing w:after="0" w:line="175" w:lineRule="exact"/>
              <w:rPr>
                <w:sz w:val="20"/>
                <w:szCs w:val="20"/>
                <w:color w:val="auto"/>
              </w:rPr>
            </w:pPr>
            <w:r>
              <w:rPr>
                <w:rFonts w:ascii="Arial" w:cs="Arial" w:eastAsia="Arial" w:hAnsi="Arial"/>
                <w:sz w:val="16"/>
                <w:szCs w:val="16"/>
                <w:color w:val="auto"/>
              </w:rPr>
              <w:t>A heating degree day is equivalent to each degree that the average of the high and the low temperatures</w:t>
            </w:r>
          </w:p>
        </w:tc>
      </w:tr>
      <w:tr>
        <w:trPr>
          <w:trHeight w:val="189"/>
        </w:trPr>
        <w:tc>
          <w:tcPr>
            <w:tcW w:w="3660" w:type="dxa"/>
            <w:vAlign w:val="bottom"/>
          </w:tcPr>
          <w:p>
            <w:pPr>
              <w:spacing w:after="0"/>
              <w:rPr>
                <w:sz w:val="16"/>
                <w:szCs w:val="16"/>
                <w:color w:val="auto"/>
              </w:rPr>
            </w:pPr>
          </w:p>
        </w:tc>
        <w:tc>
          <w:tcPr>
            <w:tcW w:w="7580" w:type="dxa"/>
            <w:vAlign w:val="bottom"/>
          </w:tcPr>
          <w:p>
            <w:pPr>
              <w:ind w:left="60"/>
              <w:spacing w:after="0"/>
              <w:rPr>
                <w:sz w:val="20"/>
                <w:szCs w:val="20"/>
                <w:color w:val="auto"/>
              </w:rPr>
            </w:pPr>
            <w:r>
              <w:rPr>
                <w:rFonts w:ascii="Arial" w:cs="Arial" w:eastAsia="Arial" w:hAnsi="Arial"/>
                <w:sz w:val="16"/>
                <w:szCs w:val="16"/>
                <w:color w:val="auto"/>
              </w:rPr>
              <w:t>for a day is below 65 degrees. The colder the climate, the greater the number of heating degree days.</w:t>
            </w:r>
          </w:p>
        </w:tc>
      </w:tr>
      <w:tr>
        <w:trPr>
          <w:trHeight w:val="189"/>
        </w:trPr>
        <w:tc>
          <w:tcPr>
            <w:tcW w:w="3660" w:type="dxa"/>
            <w:vAlign w:val="bottom"/>
          </w:tcPr>
          <w:p>
            <w:pPr>
              <w:spacing w:after="0"/>
              <w:rPr>
                <w:sz w:val="16"/>
                <w:szCs w:val="16"/>
                <w:color w:val="auto"/>
              </w:rPr>
            </w:pPr>
          </w:p>
        </w:tc>
        <w:tc>
          <w:tcPr>
            <w:tcW w:w="7580" w:type="dxa"/>
            <w:vAlign w:val="bottom"/>
          </w:tcPr>
          <w:p>
            <w:pPr>
              <w:ind w:left="60"/>
              <w:spacing w:after="0"/>
              <w:rPr>
                <w:sz w:val="20"/>
                <w:szCs w:val="20"/>
                <w:color w:val="auto"/>
              </w:rPr>
            </w:pPr>
            <w:r>
              <w:rPr>
                <w:rFonts w:ascii="Arial" w:cs="Arial" w:eastAsia="Arial" w:hAnsi="Arial"/>
                <w:sz w:val="16"/>
                <w:szCs w:val="16"/>
                <w:color w:val="auto"/>
              </w:rPr>
              <w:t>Heating degree days are used in the utility industry to measure the relative coldness of weather and to</w:t>
            </w:r>
          </w:p>
        </w:tc>
      </w:tr>
      <w:tr>
        <w:trPr>
          <w:trHeight w:val="189"/>
        </w:trPr>
        <w:tc>
          <w:tcPr>
            <w:tcW w:w="3660" w:type="dxa"/>
            <w:vAlign w:val="bottom"/>
          </w:tcPr>
          <w:p>
            <w:pPr>
              <w:spacing w:after="0"/>
              <w:rPr>
                <w:sz w:val="16"/>
                <w:szCs w:val="16"/>
                <w:color w:val="auto"/>
              </w:rPr>
            </w:pPr>
          </w:p>
        </w:tc>
        <w:tc>
          <w:tcPr>
            <w:tcW w:w="7580" w:type="dxa"/>
            <w:vAlign w:val="bottom"/>
          </w:tcPr>
          <w:p>
            <w:pPr>
              <w:ind w:left="60"/>
              <w:spacing w:after="0"/>
              <w:rPr>
                <w:sz w:val="20"/>
                <w:szCs w:val="20"/>
                <w:color w:val="auto"/>
              </w:rPr>
            </w:pPr>
            <w:r>
              <w:rPr>
                <w:rFonts w:ascii="Arial" w:cs="Arial" w:eastAsia="Arial" w:hAnsi="Arial"/>
                <w:sz w:val="16"/>
                <w:szCs w:val="16"/>
                <w:color w:val="auto"/>
              </w:rPr>
              <w:t>compare relative temperatures between one geographic area and another. Normal degree days are</w:t>
            </w:r>
          </w:p>
        </w:tc>
      </w:tr>
      <w:tr>
        <w:trPr>
          <w:trHeight w:val="203"/>
        </w:trPr>
        <w:tc>
          <w:tcPr>
            <w:tcW w:w="3660" w:type="dxa"/>
            <w:vAlign w:val="bottom"/>
          </w:tcPr>
          <w:p>
            <w:pPr>
              <w:spacing w:after="0"/>
              <w:rPr>
                <w:sz w:val="17"/>
                <w:szCs w:val="17"/>
                <w:color w:val="auto"/>
              </w:rPr>
            </w:pPr>
          </w:p>
        </w:tc>
        <w:tc>
          <w:tcPr>
            <w:tcW w:w="7580" w:type="dxa"/>
            <w:vAlign w:val="bottom"/>
          </w:tcPr>
          <w:p>
            <w:pPr>
              <w:ind w:left="60"/>
              <w:spacing w:after="0"/>
              <w:rPr>
                <w:sz w:val="20"/>
                <w:szCs w:val="20"/>
                <w:color w:val="auto"/>
              </w:rPr>
            </w:pPr>
            <w:r>
              <w:rPr>
                <w:rFonts w:ascii="Arial" w:cs="Arial" w:eastAsia="Arial" w:hAnsi="Arial"/>
                <w:sz w:val="16"/>
                <w:szCs w:val="16"/>
                <w:color w:val="auto"/>
              </w:rPr>
              <w:t>based on the National Weather Service data for selected locations.</w:t>
            </w:r>
          </w:p>
        </w:tc>
      </w:tr>
      <w:tr>
        <w:trPr>
          <w:trHeight w:val="175"/>
        </w:trPr>
        <w:tc>
          <w:tcPr>
            <w:tcW w:w="3660" w:type="dxa"/>
            <w:vAlign w:val="bottom"/>
            <w:shd w:val="clear" w:color="auto" w:fill="CFF0FC"/>
          </w:tcPr>
          <w:p>
            <w:pPr>
              <w:spacing w:after="0" w:line="175" w:lineRule="exact"/>
              <w:rPr>
                <w:sz w:val="20"/>
                <w:szCs w:val="20"/>
                <w:color w:val="auto"/>
              </w:rPr>
            </w:pPr>
            <w:r>
              <w:rPr>
                <w:rFonts w:ascii="Arial" w:cs="Arial" w:eastAsia="Arial" w:hAnsi="Arial"/>
                <w:sz w:val="16"/>
                <w:szCs w:val="16"/>
                <w:color w:val="auto"/>
              </w:rPr>
              <w:t>HomeServe</w:t>
            </w:r>
          </w:p>
        </w:tc>
        <w:tc>
          <w:tcPr>
            <w:tcW w:w="7580" w:type="dxa"/>
            <w:vAlign w:val="bottom"/>
            <w:shd w:val="clear" w:color="auto" w:fill="CFF0FC"/>
          </w:tcPr>
          <w:p>
            <w:pPr>
              <w:ind w:left="60"/>
              <w:spacing w:after="0" w:line="175" w:lineRule="exact"/>
              <w:rPr>
                <w:sz w:val="20"/>
                <w:szCs w:val="20"/>
                <w:color w:val="auto"/>
              </w:rPr>
            </w:pPr>
            <w:r>
              <w:rPr>
                <w:rFonts w:ascii="Arial" w:cs="Arial" w:eastAsia="Arial" w:hAnsi="Arial"/>
                <w:sz w:val="16"/>
                <w:szCs w:val="16"/>
                <w:color w:val="auto"/>
              </w:rPr>
              <w:t>We offer HomeServe products to our natural gas residential customers interested in purchasing</w:t>
            </w:r>
          </w:p>
        </w:tc>
      </w:tr>
      <w:tr>
        <w:trPr>
          <w:trHeight w:val="203"/>
        </w:trPr>
        <w:tc>
          <w:tcPr>
            <w:tcW w:w="3660" w:type="dxa"/>
            <w:vAlign w:val="bottom"/>
            <w:shd w:val="clear" w:color="auto" w:fill="CFF0FC"/>
          </w:tcPr>
          <w:p>
            <w:pPr>
              <w:spacing w:after="0"/>
              <w:rPr>
                <w:sz w:val="17"/>
                <w:szCs w:val="17"/>
                <w:color w:val="auto"/>
              </w:rPr>
            </w:pPr>
          </w:p>
        </w:tc>
        <w:tc>
          <w:tcPr>
            <w:tcW w:w="7580" w:type="dxa"/>
            <w:vAlign w:val="bottom"/>
            <w:shd w:val="clear" w:color="auto" w:fill="CFF0FC"/>
          </w:tcPr>
          <w:p>
            <w:pPr>
              <w:ind w:left="60"/>
              <w:spacing w:after="0"/>
              <w:rPr>
                <w:sz w:val="20"/>
                <w:szCs w:val="20"/>
                <w:color w:val="auto"/>
              </w:rPr>
            </w:pPr>
            <w:r>
              <w:rPr>
                <w:rFonts w:ascii="Arial" w:cs="Arial" w:eastAsia="Arial" w:hAnsi="Arial"/>
                <w:sz w:val="16"/>
                <w:szCs w:val="16"/>
                <w:color w:val="auto"/>
              </w:rPr>
              <w:t>additional home repair service plans.</w:t>
            </w:r>
          </w:p>
        </w:tc>
      </w:tr>
      <w:tr>
        <w:trPr>
          <w:trHeight w:val="175"/>
        </w:trPr>
        <w:tc>
          <w:tcPr>
            <w:tcW w:w="3660" w:type="dxa"/>
            <w:vAlign w:val="bottom"/>
          </w:tcPr>
          <w:p>
            <w:pPr>
              <w:spacing w:after="0" w:line="175" w:lineRule="exact"/>
              <w:rPr>
                <w:sz w:val="20"/>
                <w:szCs w:val="20"/>
                <w:color w:val="auto"/>
              </w:rPr>
            </w:pPr>
            <w:r>
              <w:rPr>
                <w:rFonts w:ascii="Arial" w:cs="Arial" w:eastAsia="Arial" w:hAnsi="Arial"/>
                <w:sz w:val="16"/>
                <w:szCs w:val="16"/>
                <w:color w:val="auto"/>
              </w:rPr>
              <w:t>Integrated Generation</w:t>
            </w:r>
          </w:p>
        </w:tc>
        <w:tc>
          <w:tcPr>
            <w:tcW w:w="7580" w:type="dxa"/>
            <w:vAlign w:val="bottom"/>
          </w:tcPr>
          <w:p>
            <w:pPr>
              <w:ind w:left="60"/>
              <w:spacing w:after="0" w:line="175" w:lineRule="exact"/>
              <w:rPr>
                <w:sz w:val="20"/>
                <w:szCs w:val="20"/>
                <w:color w:val="auto"/>
              </w:rPr>
            </w:pPr>
            <w:r>
              <w:rPr>
                <w:rFonts w:ascii="Arial" w:cs="Arial" w:eastAsia="Arial" w:hAnsi="Arial"/>
                <w:sz w:val="16"/>
                <w:szCs w:val="16"/>
                <w:color w:val="auto"/>
              </w:rPr>
              <w:t>Non-regulated power generation and mining businesses (Black Hills Electric Generation and WRDC)</w:t>
            </w:r>
          </w:p>
        </w:tc>
      </w:tr>
      <w:tr>
        <w:trPr>
          <w:trHeight w:val="203"/>
        </w:trPr>
        <w:tc>
          <w:tcPr>
            <w:tcW w:w="3660" w:type="dxa"/>
            <w:vAlign w:val="bottom"/>
          </w:tcPr>
          <w:p>
            <w:pPr>
              <w:spacing w:after="0"/>
              <w:rPr>
                <w:sz w:val="17"/>
                <w:szCs w:val="17"/>
                <w:color w:val="auto"/>
              </w:rPr>
            </w:pPr>
          </w:p>
        </w:tc>
        <w:tc>
          <w:tcPr>
            <w:tcW w:w="7580" w:type="dxa"/>
            <w:vAlign w:val="bottom"/>
          </w:tcPr>
          <w:p>
            <w:pPr>
              <w:ind w:left="60"/>
              <w:spacing w:after="0"/>
              <w:rPr>
                <w:sz w:val="20"/>
                <w:szCs w:val="20"/>
                <w:color w:val="auto"/>
              </w:rPr>
            </w:pPr>
            <w:r>
              <w:rPr>
                <w:rFonts w:ascii="Arial" w:cs="Arial" w:eastAsia="Arial" w:hAnsi="Arial"/>
                <w:sz w:val="16"/>
                <w:szCs w:val="16"/>
                <w:color w:val="auto"/>
              </w:rPr>
              <w:t>that are vertically integrated within our Electric Utilities segment.</w:t>
            </w:r>
          </w:p>
        </w:tc>
      </w:tr>
      <w:tr>
        <w:trPr>
          <w:trHeight w:val="175"/>
        </w:trPr>
        <w:tc>
          <w:tcPr>
            <w:tcW w:w="3660" w:type="dxa"/>
            <w:vAlign w:val="bottom"/>
            <w:shd w:val="clear" w:color="auto" w:fill="CFF0FC"/>
          </w:tcPr>
          <w:p>
            <w:pPr>
              <w:spacing w:after="0" w:line="175" w:lineRule="exact"/>
              <w:rPr>
                <w:sz w:val="20"/>
                <w:szCs w:val="20"/>
                <w:color w:val="auto"/>
              </w:rPr>
            </w:pPr>
            <w:r>
              <w:rPr>
                <w:rFonts w:ascii="Arial" w:cs="Arial" w:eastAsia="Arial" w:hAnsi="Arial"/>
                <w:sz w:val="16"/>
                <w:szCs w:val="16"/>
                <w:color w:val="auto"/>
              </w:rPr>
              <w:t>Iowa Gas</w:t>
            </w:r>
          </w:p>
        </w:tc>
        <w:tc>
          <w:tcPr>
            <w:tcW w:w="7580" w:type="dxa"/>
            <w:vAlign w:val="bottom"/>
            <w:shd w:val="clear" w:color="auto" w:fill="CFF0FC"/>
          </w:tcPr>
          <w:p>
            <w:pPr>
              <w:ind w:left="60"/>
              <w:spacing w:after="0" w:line="175" w:lineRule="exact"/>
              <w:rPr>
                <w:sz w:val="20"/>
                <w:szCs w:val="20"/>
                <w:color w:val="auto"/>
              </w:rPr>
            </w:pPr>
            <w:r>
              <w:rPr>
                <w:rFonts w:ascii="Arial" w:cs="Arial" w:eastAsia="Arial" w:hAnsi="Arial"/>
                <w:sz w:val="16"/>
                <w:szCs w:val="16"/>
                <w:color w:val="auto"/>
              </w:rPr>
              <w:t>Black Hills Iowa Gas Utility Company, LLC, a direct, wholly-owned subsidiary of Black Hills Utility</w:t>
            </w:r>
          </w:p>
        </w:tc>
      </w:tr>
      <w:tr>
        <w:trPr>
          <w:trHeight w:val="203"/>
        </w:trPr>
        <w:tc>
          <w:tcPr>
            <w:tcW w:w="3660" w:type="dxa"/>
            <w:vAlign w:val="bottom"/>
            <w:shd w:val="clear" w:color="auto" w:fill="CFF0FC"/>
          </w:tcPr>
          <w:p>
            <w:pPr>
              <w:spacing w:after="0"/>
              <w:rPr>
                <w:sz w:val="17"/>
                <w:szCs w:val="17"/>
                <w:color w:val="auto"/>
              </w:rPr>
            </w:pPr>
          </w:p>
        </w:tc>
        <w:tc>
          <w:tcPr>
            <w:tcW w:w="7580" w:type="dxa"/>
            <w:vAlign w:val="bottom"/>
            <w:shd w:val="clear" w:color="auto" w:fill="CFF0FC"/>
          </w:tcPr>
          <w:p>
            <w:pPr>
              <w:ind w:left="60"/>
              <w:spacing w:after="0"/>
              <w:rPr>
                <w:sz w:val="20"/>
                <w:szCs w:val="20"/>
                <w:color w:val="auto"/>
              </w:rPr>
            </w:pPr>
            <w:r>
              <w:rPr>
                <w:rFonts w:ascii="Arial" w:cs="Arial" w:eastAsia="Arial" w:hAnsi="Arial"/>
                <w:sz w:val="16"/>
                <w:szCs w:val="16"/>
                <w:color w:val="auto"/>
              </w:rPr>
              <w:t>Holdings, providing natural gas services to customers in Iowa (doing business as Black Hills Energy).</w:t>
            </w:r>
          </w:p>
        </w:tc>
      </w:tr>
      <w:tr>
        <w:trPr>
          <w:trHeight w:val="189"/>
        </w:trPr>
        <w:tc>
          <w:tcPr>
            <w:tcW w:w="3660" w:type="dxa"/>
            <w:vAlign w:val="bottom"/>
          </w:tcPr>
          <w:p>
            <w:pPr>
              <w:spacing w:after="0"/>
              <w:rPr>
                <w:sz w:val="20"/>
                <w:szCs w:val="20"/>
                <w:color w:val="auto"/>
              </w:rPr>
            </w:pPr>
            <w:r>
              <w:rPr>
                <w:rFonts w:ascii="Arial" w:cs="Arial" w:eastAsia="Arial" w:hAnsi="Arial"/>
                <w:sz w:val="16"/>
                <w:szCs w:val="16"/>
                <w:color w:val="auto"/>
              </w:rPr>
              <w:t>IPP</w:t>
            </w:r>
          </w:p>
        </w:tc>
        <w:tc>
          <w:tcPr>
            <w:tcW w:w="7580" w:type="dxa"/>
            <w:vAlign w:val="bottom"/>
          </w:tcPr>
          <w:p>
            <w:pPr>
              <w:ind w:left="60"/>
              <w:spacing w:after="0"/>
              <w:rPr>
                <w:sz w:val="20"/>
                <w:szCs w:val="20"/>
                <w:color w:val="auto"/>
              </w:rPr>
            </w:pPr>
            <w:r>
              <w:rPr>
                <w:rFonts w:ascii="Arial" w:cs="Arial" w:eastAsia="Arial" w:hAnsi="Arial"/>
                <w:sz w:val="16"/>
                <w:szCs w:val="16"/>
                <w:color w:val="auto"/>
              </w:rPr>
              <w:t>Independent Power Producer</w:t>
            </w:r>
          </w:p>
        </w:tc>
      </w:tr>
      <w:tr>
        <w:trPr>
          <w:trHeight w:val="189"/>
        </w:trPr>
        <w:tc>
          <w:tcPr>
            <w:tcW w:w="3660" w:type="dxa"/>
            <w:vAlign w:val="bottom"/>
            <w:shd w:val="clear" w:color="auto" w:fill="CFF0FC"/>
          </w:tcPr>
          <w:p>
            <w:pPr>
              <w:spacing w:after="0"/>
              <w:rPr>
                <w:sz w:val="20"/>
                <w:szCs w:val="20"/>
                <w:color w:val="auto"/>
              </w:rPr>
            </w:pPr>
            <w:r>
              <w:rPr>
                <w:rFonts w:ascii="Arial" w:cs="Arial" w:eastAsia="Arial" w:hAnsi="Arial"/>
                <w:sz w:val="16"/>
                <w:szCs w:val="16"/>
                <w:color w:val="auto"/>
              </w:rPr>
              <w:t>IRA</w:t>
            </w:r>
          </w:p>
        </w:tc>
        <w:tc>
          <w:tcPr>
            <w:tcW w:w="7580" w:type="dxa"/>
            <w:vAlign w:val="bottom"/>
            <w:shd w:val="clear" w:color="auto" w:fill="CFF0FC"/>
          </w:tcPr>
          <w:p>
            <w:pPr>
              <w:ind w:left="60"/>
              <w:spacing w:after="0"/>
              <w:rPr>
                <w:sz w:val="20"/>
                <w:szCs w:val="20"/>
                <w:color w:val="auto"/>
              </w:rPr>
            </w:pPr>
            <w:r>
              <w:rPr>
                <w:rFonts w:ascii="Arial" w:cs="Arial" w:eastAsia="Arial" w:hAnsi="Arial"/>
                <w:sz w:val="16"/>
                <w:szCs w:val="16"/>
                <w:color w:val="auto"/>
              </w:rPr>
              <w:t>Inflation Reduction Act of 2022</w:t>
            </w:r>
          </w:p>
        </w:tc>
      </w:tr>
      <w:tr>
        <w:trPr>
          <w:trHeight w:val="189"/>
        </w:trPr>
        <w:tc>
          <w:tcPr>
            <w:tcW w:w="3660" w:type="dxa"/>
            <w:vAlign w:val="bottom"/>
          </w:tcPr>
          <w:p>
            <w:pPr>
              <w:spacing w:after="0"/>
              <w:rPr>
                <w:sz w:val="20"/>
                <w:szCs w:val="20"/>
                <w:color w:val="auto"/>
              </w:rPr>
            </w:pPr>
            <w:r>
              <w:rPr>
                <w:rFonts w:ascii="Arial" w:cs="Arial" w:eastAsia="Arial" w:hAnsi="Arial"/>
                <w:sz w:val="16"/>
                <w:szCs w:val="16"/>
                <w:color w:val="auto"/>
              </w:rPr>
              <w:t>IRS</w:t>
            </w:r>
          </w:p>
        </w:tc>
        <w:tc>
          <w:tcPr>
            <w:tcW w:w="7580" w:type="dxa"/>
            <w:vAlign w:val="bottom"/>
          </w:tcPr>
          <w:p>
            <w:pPr>
              <w:ind w:left="60"/>
              <w:spacing w:after="0"/>
              <w:rPr>
                <w:sz w:val="20"/>
                <w:szCs w:val="20"/>
                <w:color w:val="auto"/>
              </w:rPr>
            </w:pPr>
            <w:r>
              <w:rPr>
                <w:rFonts w:ascii="Arial" w:cs="Arial" w:eastAsia="Arial" w:hAnsi="Arial"/>
                <w:sz w:val="16"/>
                <w:szCs w:val="16"/>
                <w:color w:val="auto"/>
              </w:rPr>
              <w:t>United States Internal Revenue Service</w:t>
            </w:r>
          </w:p>
        </w:tc>
      </w:tr>
      <w:tr>
        <w:trPr>
          <w:trHeight w:val="189"/>
        </w:trPr>
        <w:tc>
          <w:tcPr>
            <w:tcW w:w="3660" w:type="dxa"/>
            <w:vAlign w:val="bottom"/>
            <w:shd w:val="clear" w:color="auto" w:fill="CFF0FC"/>
          </w:tcPr>
          <w:p>
            <w:pPr>
              <w:spacing w:after="0"/>
              <w:rPr>
                <w:sz w:val="20"/>
                <w:szCs w:val="20"/>
                <w:color w:val="auto"/>
              </w:rPr>
            </w:pPr>
            <w:r>
              <w:rPr>
                <w:rFonts w:ascii="Arial" w:cs="Arial" w:eastAsia="Arial" w:hAnsi="Arial"/>
                <w:sz w:val="16"/>
                <w:szCs w:val="16"/>
                <w:color w:val="auto"/>
              </w:rPr>
              <w:t>IUC</w:t>
            </w:r>
          </w:p>
        </w:tc>
        <w:tc>
          <w:tcPr>
            <w:tcW w:w="7580" w:type="dxa"/>
            <w:vAlign w:val="bottom"/>
            <w:shd w:val="clear" w:color="auto" w:fill="CFF0FC"/>
          </w:tcPr>
          <w:p>
            <w:pPr>
              <w:ind w:left="60"/>
              <w:spacing w:after="0"/>
              <w:rPr>
                <w:sz w:val="20"/>
                <w:szCs w:val="20"/>
                <w:color w:val="auto"/>
              </w:rPr>
            </w:pPr>
            <w:r>
              <w:rPr>
                <w:rFonts w:ascii="Arial" w:cs="Arial" w:eastAsia="Arial" w:hAnsi="Arial"/>
                <w:sz w:val="16"/>
                <w:szCs w:val="16"/>
                <w:color w:val="auto"/>
              </w:rPr>
              <w:t>Iowa Utilities Commission</w:t>
            </w:r>
          </w:p>
        </w:tc>
      </w:tr>
      <w:tr>
        <w:trPr>
          <w:trHeight w:val="175"/>
        </w:trPr>
        <w:tc>
          <w:tcPr>
            <w:tcW w:w="3660" w:type="dxa"/>
            <w:vAlign w:val="bottom"/>
          </w:tcPr>
          <w:p>
            <w:pPr>
              <w:spacing w:after="0" w:line="175" w:lineRule="exact"/>
              <w:rPr>
                <w:sz w:val="20"/>
                <w:szCs w:val="20"/>
                <w:color w:val="auto"/>
              </w:rPr>
            </w:pPr>
            <w:r>
              <w:rPr>
                <w:rFonts w:ascii="Arial" w:cs="Arial" w:eastAsia="Arial" w:hAnsi="Arial"/>
                <w:sz w:val="16"/>
                <w:szCs w:val="16"/>
                <w:color w:val="auto"/>
              </w:rPr>
              <w:t>Kansas Gas</w:t>
            </w:r>
          </w:p>
        </w:tc>
        <w:tc>
          <w:tcPr>
            <w:tcW w:w="7580" w:type="dxa"/>
            <w:vAlign w:val="bottom"/>
          </w:tcPr>
          <w:p>
            <w:pPr>
              <w:ind w:left="60"/>
              <w:spacing w:after="0" w:line="175" w:lineRule="exact"/>
              <w:rPr>
                <w:sz w:val="20"/>
                <w:szCs w:val="20"/>
                <w:color w:val="auto"/>
              </w:rPr>
            </w:pPr>
            <w:r>
              <w:rPr>
                <w:rFonts w:ascii="Arial" w:cs="Arial" w:eastAsia="Arial" w:hAnsi="Arial"/>
                <w:sz w:val="16"/>
                <w:szCs w:val="16"/>
                <w:color w:val="auto"/>
              </w:rPr>
              <w:t>Black Hills Kansas Gas Utility Company, LLC, a direct, wholly-owned subsidiary of Black Hills Utility</w:t>
            </w:r>
          </w:p>
        </w:tc>
      </w:tr>
      <w:tr>
        <w:trPr>
          <w:trHeight w:val="203"/>
        </w:trPr>
        <w:tc>
          <w:tcPr>
            <w:tcW w:w="3660" w:type="dxa"/>
            <w:vAlign w:val="bottom"/>
          </w:tcPr>
          <w:p>
            <w:pPr>
              <w:spacing w:after="0"/>
              <w:rPr>
                <w:sz w:val="17"/>
                <w:szCs w:val="17"/>
                <w:color w:val="auto"/>
              </w:rPr>
            </w:pPr>
          </w:p>
        </w:tc>
        <w:tc>
          <w:tcPr>
            <w:tcW w:w="7580" w:type="dxa"/>
            <w:vAlign w:val="bottom"/>
          </w:tcPr>
          <w:p>
            <w:pPr>
              <w:ind w:left="60"/>
              <w:spacing w:after="0"/>
              <w:rPr>
                <w:sz w:val="20"/>
                <w:szCs w:val="20"/>
                <w:color w:val="auto"/>
              </w:rPr>
            </w:pPr>
            <w:r>
              <w:rPr>
                <w:rFonts w:ascii="Arial" w:cs="Arial" w:eastAsia="Arial" w:hAnsi="Arial"/>
                <w:sz w:val="16"/>
                <w:szCs w:val="16"/>
                <w:color w:val="auto"/>
              </w:rPr>
              <w:t>Holdings, providing natural gas services to customers in Kansas (doing business as Black Hills Energy).</w:t>
            </w:r>
          </w:p>
        </w:tc>
      </w:tr>
      <w:tr>
        <w:trPr>
          <w:trHeight w:val="189"/>
        </w:trPr>
        <w:tc>
          <w:tcPr>
            <w:tcW w:w="3660" w:type="dxa"/>
            <w:vAlign w:val="bottom"/>
            <w:shd w:val="clear" w:color="auto" w:fill="CFF0FC"/>
          </w:tcPr>
          <w:p>
            <w:pPr>
              <w:spacing w:after="0"/>
              <w:rPr>
                <w:sz w:val="20"/>
                <w:szCs w:val="20"/>
                <w:color w:val="auto"/>
              </w:rPr>
            </w:pPr>
            <w:r>
              <w:rPr>
                <w:rFonts w:ascii="Arial" w:cs="Arial" w:eastAsia="Arial" w:hAnsi="Arial"/>
                <w:sz w:val="16"/>
                <w:szCs w:val="16"/>
                <w:color w:val="auto"/>
              </w:rPr>
              <w:t>KCC</w:t>
            </w:r>
          </w:p>
        </w:tc>
        <w:tc>
          <w:tcPr>
            <w:tcW w:w="7580" w:type="dxa"/>
            <w:vAlign w:val="bottom"/>
            <w:shd w:val="clear" w:color="auto" w:fill="CFF0FC"/>
          </w:tcPr>
          <w:p>
            <w:pPr>
              <w:ind w:left="60"/>
              <w:spacing w:after="0"/>
              <w:rPr>
                <w:sz w:val="20"/>
                <w:szCs w:val="20"/>
                <w:color w:val="auto"/>
              </w:rPr>
            </w:pPr>
            <w:r>
              <w:rPr>
                <w:rFonts w:ascii="Arial" w:cs="Arial" w:eastAsia="Arial" w:hAnsi="Arial"/>
                <w:sz w:val="16"/>
                <w:szCs w:val="16"/>
                <w:color w:val="auto"/>
              </w:rPr>
              <w:t>Kansas Corporation Commission</w:t>
            </w:r>
          </w:p>
        </w:tc>
      </w:tr>
      <w:tr>
        <w:trPr>
          <w:trHeight w:val="215"/>
        </w:trPr>
        <w:tc>
          <w:tcPr>
            <w:tcW w:w="3660" w:type="dxa"/>
            <w:vAlign w:val="bottom"/>
          </w:tcPr>
          <w:p>
            <w:pPr>
              <w:spacing w:after="0"/>
              <w:rPr>
                <w:sz w:val="18"/>
                <w:szCs w:val="18"/>
                <w:color w:val="auto"/>
              </w:rPr>
            </w:pPr>
          </w:p>
        </w:tc>
        <w:tc>
          <w:tcPr>
            <w:tcW w:w="7580" w:type="dxa"/>
            <w:vAlign w:val="bottom"/>
          </w:tcPr>
          <w:p>
            <w:pPr>
              <w:ind w:left="1920"/>
              <w:spacing w:after="0"/>
              <w:rPr>
                <w:sz w:val="20"/>
                <w:szCs w:val="20"/>
                <w:color w:val="auto"/>
              </w:rPr>
            </w:pPr>
            <w:r>
              <w:rPr>
                <w:rFonts w:ascii="Arial" w:cs="Arial" w:eastAsia="Arial" w:hAnsi="Arial"/>
                <w:sz w:val="16"/>
                <w:szCs w:val="16"/>
                <w:color w:val="auto"/>
              </w:rPr>
              <w:t>4</w:t>
            </w:r>
          </w:p>
        </w:tc>
      </w:tr>
      <w:tr>
        <w:trPr>
          <w:trHeight w:val="737"/>
        </w:trPr>
        <w:tc>
          <w:tcPr>
            <w:tcW w:w="3660" w:type="dxa"/>
            <w:vAlign w:val="bottom"/>
            <w:tcBorders>
              <w:bottom w:val="single" w:sz="8" w:color="9A9A9A"/>
            </w:tcBorders>
          </w:tcPr>
          <w:p>
            <w:pPr>
              <w:spacing w:after="0"/>
              <w:rPr>
                <w:sz w:val="24"/>
                <w:szCs w:val="24"/>
                <w:color w:val="auto"/>
              </w:rPr>
            </w:pPr>
          </w:p>
        </w:tc>
        <w:tc>
          <w:tcPr>
            <w:tcW w:w="7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440" w:type="dxa"/>
            <w:vAlign w:val="bottom"/>
          </w:tcPr>
          <w:p>
            <w:pPr>
              <w:spacing w:after="0"/>
              <w:rPr>
                <w:sz w:val="20"/>
                <w:szCs w:val="20"/>
                <w:color w:val="auto"/>
              </w:rPr>
            </w:pPr>
            <w:r>
              <w:rPr>
                <w:rFonts w:ascii="Arial" w:cs="Arial" w:eastAsia="Arial" w:hAnsi="Arial"/>
                <w:sz w:val="16"/>
                <w:szCs w:val="16"/>
                <w:color w:val="auto"/>
              </w:rPr>
              <w:t>Lange II</w:t>
            </w:r>
          </w:p>
        </w:tc>
        <w:tc>
          <w:tcPr>
            <w:tcW w:w="7800" w:type="dxa"/>
            <w:vAlign w:val="bottom"/>
          </w:tcPr>
          <w:p>
            <w:pPr>
              <w:ind w:left="280"/>
              <w:spacing w:after="0"/>
              <w:rPr>
                <w:sz w:val="20"/>
                <w:szCs w:val="20"/>
                <w:color w:val="auto"/>
              </w:rPr>
            </w:pPr>
            <w:r>
              <w:rPr>
                <w:rFonts w:ascii="Arial" w:cs="Arial" w:eastAsia="Arial" w:hAnsi="Arial"/>
                <w:sz w:val="16"/>
                <w:szCs w:val="16"/>
                <w:color w:val="auto"/>
              </w:rPr>
              <w:t>A dual fuel (natural gas and diesel oil) electric generation project in Rapid City, South Dakota with an</w:t>
            </w:r>
          </w:p>
        </w:tc>
      </w:tr>
      <w:tr>
        <w:trPr>
          <w:trHeight w:val="189"/>
        </w:trPr>
        <w:tc>
          <w:tcPr>
            <w:tcW w:w="3440" w:type="dxa"/>
            <w:vAlign w:val="bottom"/>
          </w:tcPr>
          <w:p>
            <w:pPr>
              <w:spacing w:after="0"/>
              <w:rPr>
                <w:sz w:val="16"/>
                <w:szCs w:val="16"/>
                <w:color w:val="auto"/>
              </w:rPr>
            </w:pPr>
          </w:p>
        </w:tc>
        <w:tc>
          <w:tcPr>
            <w:tcW w:w="7800" w:type="dxa"/>
            <w:vAlign w:val="bottom"/>
          </w:tcPr>
          <w:p>
            <w:pPr>
              <w:ind w:left="280"/>
              <w:spacing w:after="0"/>
              <w:rPr>
                <w:sz w:val="20"/>
                <w:szCs w:val="20"/>
                <w:color w:val="auto"/>
              </w:rPr>
            </w:pPr>
            <w:r>
              <w:rPr>
                <w:rFonts w:ascii="Arial" w:cs="Arial" w:eastAsia="Arial" w:hAnsi="Arial"/>
                <w:sz w:val="16"/>
                <w:szCs w:val="16"/>
                <w:color w:val="auto"/>
              </w:rPr>
              <w:t>estimated total capacity of 99 MW. This facility will be owned and operated by South Dakota Electric and</w:t>
            </w:r>
          </w:p>
        </w:tc>
      </w:tr>
      <w:tr>
        <w:trPr>
          <w:trHeight w:val="189"/>
        </w:trPr>
        <w:tc>
          <w:tcPr>
            <w:tcW w:w="3440" w:type="dxa"/>
            <w:vAlign w:val="bottom"/>
          </w:tcPr>
          <w:p>
            <w:pPr>
              <w:spacing w:after="0"/>
              <w:rPr>
                <w:sz w:val="16"/>
                <w:szCs w:val="16"/>
                <w:color w:val="auto"/>
              </w:rPr>
            </w:pPr>
          </w:p>
        </w:tc>
        <w:tc>
          <w:tcPr>
            <w:tcW w:w="7800" w:type="dxa"/>
            <w:vAlign w:val="bottom"/>
          </w:tcPr>
          <w:p>
            <w:pPr>
              <w:ind w:left="280"/>
              <w:spacing w:after="0"/>
              <w:rPr>
                <w:sz w:val="20"/>
                <w:szCs w:val="20"/>
                <w:color w:val="auto"/>
              </w:rPr>
            </w:pPr>
            <w:r>
              <w:rPr>
                <w:rFonts w:ascii="Arial" w:cs="Arial" w:eastAsia="Arial" w:hAnsi="Arial"/>
                <w:sz w:val="16"/>
                <w:szCs w:val="16"/>
                <w:color w:val="auto"/>
              </w:rPr>
              <w:t>will be located adjacent to the Lange CT generation facility. This project is expected to begin</w:t>
            </w:r>
          </w:p>
        </w:tc>
      </w:tr>
      <w:tr>
        <w:trPr>
          <w:trHeight w:val="189"/>
        </w:trPr>
        <w:tc>
          <w:tcPr>
            <w:tcW w:w="3440" w:type="dxa"/>
            <w:vAlign w:val="bottom"/>
          </w:tcPr>
          <w:p>
            <w:pPr>
              <w:spacing w:after="0"/>
              <w:rPr>
                <w:sz w:val="16"/>
                <w:szCs w:val="16"/>
                <w:color w:val="auto"/>
              </w:rPr>
            </w:pPr>
          </w:p>
        </w:tc>
        <w:tc>
          <w:tcPr>
            <w:tcW w:w="7800" w:type="dxa"/>
            <w:vAlign w:val="bottom"/>
          </w:tcPr>
          <w:p>
            <w:pPr>
              <w:ind w:left="280"/>
              <w:spacing w:after="0"/>
              <w:rPr>
                <w:sz w:val="20"/>
                <w:szCs w:val="20"/>
                <w:color w:val="auto"/>
              </w:rPr>
            </w:pPr>
            <w:r>
              <w:rPr>
                <w:rFonts w:ascii="Arial" w:cs="Arial" w:eastAsia="Arial" w:hAnsi="Arial"/>
                <w:sz w:val="16"/>
                <w:szCs w:val="16"/>
                <w:color w:val="auto"/>
              </w:rPr>
              <w:t>construction in third quarter of 2025 and in service during the the second half of 2026. The addition of</w:t>
            </w:r>
          </w:p>
        </w:tc>
      </w:tr>
      <w:tr>
        <w:trPr>
          <w:trHeight w:val="189"/>
        </w:trPr>
        <w:tc>
          <w:tcPr>
            <w:tcW w:w="3440" w:type="dxa"/>
            <w:vAlign w:val="bottom"/>
          </w:tcPr>
          <w:p>
            <w:pPr>
              <w:spacing w:after="0"/>
              <w:rPr>
                <w:sz w:val="16"/>
                <w:szCs w:val="16"/>
                <w:color w:val="auto"/>
              </w:rPr>
            </w:pPr>
          </w:p>
        </w:tc>
        <w:tc>
          <w:tcPr>
            <w:tcW w:w="7800" w:type="dxa"/>
            <w:vAlign w:val="bottom"/>
          </w:tcPr>
          <w:p>
            <w:pPr>
              <w:ind w:left="280"/>
              <w:spacing w:after="0"/>
              <w:rPr>
                <w:sz w:val="20"/>
                <w:szCs w:val="20"/>
                <w:color w:val="auto"/>
              </w:rPr>
            </w:pPr>
            <w:r>
              <w:rPr>
                <w:rFonts w:ascii="Arial" w:cs="Arial" w:eastAsia="Arial" w:hAnsi="Arial"/>
                <w:sz w:val="16"/>
                <w:szCs w:val="16"/>
                <w:color w:val="auto"/>
              </w:rPr>
              <w:t>these resources will replace generation facilities planned for retirement and support updated planning</w:t>
            </w:r>
          </w:p>
        </w:tc>
      </w:tr>
      <w:tr>
        <w:trPr>
          <w:trHeight w:val="203"/>
        </w:trPr>
        <w:tc>
          <w:tcPr>
            <w:tcW w:w="3440" w:type="dxa"/>
            <w:vAlign w:val="bottom"/>
          </w:tcPr>
          <w:p>
            <w:pPr>
              <w:spacing w:after="0"/>
              <w:rPr>
                <w:sz w:val="17"/>
                <w:szCs w:val="17"/>
                <w:color w:val="auto"/>
              </w:rPr>
            </w:pPr>
          </w:p>
        </w:tc>
        <w:tc>
          <w:tcPr>
            <w:tcW w:w="7800" w:type="dxa"/>
            <w:vAlign w:val="bottom"/>
          </w:tcPr>
          <w:p>
            <w:pPr>
              <w:ind w:left="280"/>
              <w:spacing w:after="0"/>
              <w:rPr>
                <w:sz w:val="20"/>
                <w:szCs w:val="20"/>
                <w:color w:val="auto"/>
              </w:rPr>
            </w:pPr>
            <w:r>
              <w:rPr>
                <w:rFonts w:ascii="Arial" w:cs="Arial" w:eastAsia="Arial" w:hAnsi="Arial"/>
                <w:sz w:val="16"/>
                <w:szCs w:val="16"/>
                <w:color w:val="auto"/>
              </w:rPr>
              <w:t>reserve margin requirements.</w:t>
            </w:r>
          </w:p>
        </w:tc>
      </w:tr>
      <w:tr>
        <w:trPr>
          <w:trHeight w:val="175"/>
        </w:trPr>
        <w:tc>
          <w:tcPr>
            <w:tcW w:w="3440" w:type="dxa"/>
            <w:vAlign w:val="bottom"/>
            <w:shd w:val="clear" w:color="auto" w:fill="CFF0FC"/>
          </w:tcPr>
          <w:p>
            <w:pPr>
              <w:spacing w:after="0" w:line="175" w:lineRule="exact"/>
              <w:rPr>
                <w:sz w:val="20"/>
                <w:szCs w:val="20"/>
                <w:color w:val="auto"/>
              </w:rPr>
            </w:pPr>
            <w:r>
              <w:rPr>
                <w:rFonts w:ascii="Arial" w:cs="Arial" w:eastAsia="Arial" w:hAnsi="Arial"/>
                <w:sz w:val="16"/>
                <w:szCs w:val="16"/>
                <w:color w:val="auto"/>
              </w:rPr>
              <w:t>Large Power Contract Service (LPCS) Tariff</w:t>
            </w:r>
          </w:p>
        </w:tc>
        <w:tc>
          <w:tcPr>
            <w:tcW w:w="7800" w:type="dxa"/>
            <w:vAlign w:val="bottom"/>
            <w:shd w:val="clear" w:color="auto" w:fill="CFF0FC"/>
          </w:tcPr>
          <w:p>
            <w:pPr>
              <w:ind w:left="280"/>
              <w:spacing w:after="0" w:line="175" w:lineRule="exact"/>
              <w:rPr>
                <w:sz w:val="20"/>
                <w:szCs w:val="20"/>
                <w:color w:val="auto"/>
              </w:rPr>
            </w:pPr>
            <w:r>
              <w:rPr>
                <w:rFonts w:ascii="Arial" w:cs="Arial" w:eastAsia="Arial" w:hAnsi="Arial"/>
                <w:sz w:val="16"/>
                <w:szCs w:val="16"/>
                <w:color w:val="auto"/>
              </w:rPr>
              <w:t>Innovative tariff solution developed in collaboration with Microsoft and approved by the WPSC in 2016.</w:t>
            </w:r>
          </w:p>
        </w:tc>
      </w:tr>
      <w:tr>
        <w:trPr>
          <w:trHeight w:val="189"/>
        </w:trPr>
        <w:tc>
          <w:tcPr>
            <w:tcW w:w="3440" w:type="dxa"/>
            <w:vAlign w:val="bottom"/>
            <w:shd w:val="clear" w:color="auto" w:fill="CFF0FC"/>
          </w:tcPr>
          <w:p>
            <w:pPr>
              <w:spacing w:after="0"/>
              <w:rPr>
                <w:sz w:val="16"/>
                <w:szCs w:val="16"/>
                <w:color w:val="auto"/>
              </w:rPr>
            </w:pPr>
          </w:p>
        </w:tc>
        <w:tc>
          <w:tcPr>
            <w:tcW w:w="7800" w:type="dxa"/>
            <w:vAlign w:val="bottom"/>
            <w:shd w:val="clear" w:color="auto" w:fill="CFF0FC"/>
          </w:tcPr>
          <w:p>
            <w:pPr>
              <w:ind w:left="280"/>
              <w:spacing w:after="0"/>
              <w:rPr>
                <w:sz w:val="20"/>
                <w:szCs w:val="20"/>
                <w:color w:val="auto"/>
              </w:rPr>
            </w:pPr>
            <w:r>
              <w:rPr>
                <w:rFonts w:ascii="Arial" w:cs="Arial" w:eastAsia="Arial" w:hAnsi="Arial"/>
                <w:sz w:val="16"/>
                <w:szCs w:val="16"/>
                <w:color w:val="auto"/>
              </w:rPr>
              <w:t>The LPSC is applicable to Wyoming Electric retail customers with new loads of 13 MW or greater who</w:t>
            </w:r>
          </w:p>
        </w:tc>
      </w:tr>
      <w:tr>
        <w:trPr>
          <w:trHeight w:val="189"/>
        </w:trPr>
        <w:tc>
          <w:tcPr>
            <w:tcW w:w="3440" w:type="dxa"/>
            <w:vAlign w:val="bottom"/>
            <w:shd w:val="clear" w:color="auto" w:fill="CFF0FC"/>
          </w:tcPr>
          <w:p>
            <w:pPr>
              <w:spacing w:after="0"/>
              <w:rPr>
                <w:sz w:val="16"/>
                <w:szCs w:val="16"/>
                <w:color w:val="auto"/>
              </w:rPr>
            </w:pPr>
          </w:p>
        </w:tc>
        <w:tc>
          <w:tcPr>
            <w:tcW w:w="7800" w:type="dxa"/>
            <w:vAlign w:val="bottom"/>
            <w:shd w:val="clear" w:color="auto" w:fill="CFF0FC"/>
          </w:tcPr>
          <w:p>
            <w:pPr>
              <w:ind w:left="280"/>
              <w:spacing w:after="0"/>
              <w:rPr>
                <w:sz w:val="20"/>
                <w:szCs w:val="20"/>
                <w:color w:val="auto"/>
              </w:rPr>
            </w:pPr>
            <w:r>
              <w:rPr>
                <w:rFonts w:ascii="Arial" w:cs="Arial" w:eastAsia="Arial" w:hAnsi="Arial"/>
                <w:sz w:val="16"/>
                <w:szCs w:val="16"/>
                <w:color w:val="auto"/>
              </w:rPr>
              <w:t>agree to Black Hills Energy-dispatched, customer-owned generation, on-site for the purpose of providing</w:t>
            </w:r>
          </w:p>
        </w:tc>
      </w:tr>
      <w:tr>
        <w:trPr>
          <w:trHeight w:val="189"/>
        </w:trPr>
        <w:tc>
          <w:tcPr>
            <w:tcW w:w="3440" w:type="dxa"/>
            <w:vAlign w:val="bottom"/>
            <w:shd w:val="clear" w:color="auto" w:fill="CFF0FC"/>
          </w:tcPr>
          <w:p>
            <w:pPr>
              <w:spacing w:after="0"/>
              <w:rPr>
                <w:sz w:val="16"/>
                <w:szCs w:val="16"/>
                <w:color w:val="auto"/>
              </w:rPr>
            </w:pPr>
          </w:p>
        </w:tc>
        <w:tc>
          <w:tcPr>
            <w:tcW w:w="7800" w:type="dxa"/>
            <w:vAlign w:val="bottom"/>
            <w:shd w:val="clear" w:color="auto" w:fill="CFF0FC"/>
          </w:tcPr>
          <w:p>
            <w:pPr>
              <w:ind w:left="280"/>
              <w:spacing w:after="0"/>
              <w:rPr>
                <w:sz w:val="20"/>
                <w:szCs w:val="20"/>
                <w:color w:val="auto"/>
              </w:rPr>
            </w:pPr>
            <w:r>
              <w:rPr>
                <w:rFonts w:ascii="Arial" w:cs="Arial" w:eastAsia="Arial" w:hAnsi="Arial"/>
                <w:sz w:val="16"/>
                <w:szCs w:val="16"/>
                <w:color w:val="auto"/>
              </w:rPr>
              <w:t>backup service for the customer’s load and maintaining reliability. If the parties agree through</w:t>
            </w:r>
          </w:p>
        </w:tc>
      </w:tr>
      <w:tr>
        <w:trPr>
          <w:trHeight w:val="189"/>
        </w:trPr>
        <w:tc>
          <w:tcPr>
            <w:tcW w:w="3440" w:type="dxa"/>
            <w:vAlign w:val="bottom"/>
            <w:shd w:val="clear" w:color="auto" w:fill="CFF0FC"/>
          </w:tcPr>
          <w:p>
            <w:pPr>
              <w:spacing w:after="0"/>
              <w:rPr>
                <w:sz w:val="16"/>
                <w:szCs w:val="16"/>
                <w:color w:val="auto"/>
              </w:rPr>
            </w:pPr>
          </w:p>
        </w:tc>
        <w:tc>
          <w:tcPr>
            <w:tcW w:w="7800" w:type="dxa"/>
            <w:vAlign w:val="bottom"/>
            <w:shd w:val="clear" w:color="auto" w:fill="CFF0FC"/>
          </w:tcPr>
          <w:p>
            <w:pPr>
              <w:ind w:left="280"/>
              <w:spacing w:after="0"/>
              <w:rPr>
                <w:sz w:val="20"/>
                <w:szCs w:val="20"/>
                <w:color w:val="auto"/>
              </w:rPr>
            </w:pPr>
            <w:r>
              <w:rPr>
                <w:rFonts w:ascii="Arial" w:cs="Arial" w:eastAsia="Arial" w:hAnsi="Arial"/>
                <w:sz w:val="16"/>
                <w:szCs w:val="16"/>
                <w:color w:val="auto"/>
              </w:rPr>
              <w:t>negotiations to electric service through this tariff, a Large Power Service Agreement will be executed.</w:t>
            </w:r>
          </w:p>
        </w:tc>
      </w:tr>
      <w:tr>
        <w:trPr>
          <w:trHeight w:val="189"/>
        </w:trPr>
        <w:tc>
          <w:tcPr>
            <w:tcW w:w="3440" w:type="dxa"/>
            <w:vAlign w:val="bottom"/>
            <w:shd w:val="clear" w:color="auto" w:fill="CFF0FC"/>
          </w:tcPr>
          <w:p>
            <w:pPr>
              <w:spacing w:after="0"/>
              <w:rPr>
                <w:sz w:val="16"/>
                <w:szCs w:val="16"/>
                <w:color w:val="auto"/>
              </w:rPr>
            </w:pPr>
          </w:p>
        </w:tc>
        <w:tc>
          <w:tcPr>
            <w:tcW w:w="7800" w:type="dxa"/>
            <w:vAlign w:val="bottom"/>
            <w:shd w:val="clear" w:color="auto" w:fill="CFF0FC"/>
          </w:tcPr>
          <w:p>
            <w:pPr>
              <w:ind w:left="280"/>
              <w:spacing w:after="0"/>
              <w:rPr>
                <w:sz w:val="20"/>
                <w:szCs w:val="20"/>
                <w:color w:val="auto"/>
              </w:rPr>
            </w:pPr>
            <w:r>
              <w:rPr>
                <w:rFonts w:ascii="Arial" w:cs="Arial" w:eastAsia="Arial" w:hAnsi="Arial"/>
                <w:sz w:val="16"/>
                <w:szCs w:val="16"/>
                <w:color w:val="auto"/>
              </w:rPr>
              <w:t>The associated service agreement provides qualifying customers with market-based energy rates and</w:t>
            </w:r>
          </w:p>
        </w:tc>
      </w:tr>
      <w:tr>
        <w:trPr>
          <w:trHeight w:val="189"/>
        </w:trPr>
        <w:tc>
          <w:tcPr>
            <w:tcW w:w="3440" w:type="dxa"/>
            <w:vAlign w:val="bottom"/>
            <w:shd w:val="clear" w:color="auto" w:fill="CFF0FC"/>
          </w:tcPr>
          <w:p>
            <w:pPr>
              <w:spacing w:after="0"/>
              <w:rPr>
                <w:sz w:val="16"/>
                <w:szCs w:val="16"/>
                <w:color w:val="auto"/>
              </w:rPr>
            </w:pPr>
          </w:p>
        </w:tc>
        <w:tc>
          <w:tcPr>
            <w:tcW w:w="7800" w:type="dxa"/>
            <w:vAlign w:val="bottom"/>
            <w:shd w:val="clear" w:color="auto" w:fill="CFF0FC"/>
          </w:tcPr>
          <w:p>
            <w:pPr>
              <w:ind w:left="280"/>
              <w:spacing w:after="0"/>
              <w:rPr>
                <w:sz w:val="20"/>
                <w:szCs w:val="20"/>
                <w:color w:val="auto"/>
              </w:rPr>
            </w:pPr>
            <w:r>
              <w:rPr>
                <w:rFonts w:ascii="Arial" w:cs="Arial" w:eastAsia="Arial" w:hAnsi="Arial"/>
                <w:sz w:val="16"/>
                <w:szCs w:val="16"/>
                <w:color w:val="auto"/>
              </w:rPr>
              <w:t>access to renewable energy resources that is not served from utility-owned generation (i.e. minimal</w:t>
            </w:r>
          </w:p>
        </w:tc>
      </w:tr>
      <w:tr>
        <w:trPr>
          <w:trHeight w:val="189"/>
        </w:trPr>
        <w:tc>
          <w:tcPr>
            <w:tcW w:w="3440" w:type="dxa"/>
            <w:vAlign w:val="bottom"/>
            <w:shd w:val="clear" w:color="auto" w:fill="CFF0FC"/>
          </w:tcPr>
          <w:p>
            <w:pPr>
              <w:spacing w:after="0"/>
              <w:rPr>
                <w:sz w:val="16"/>
                <w:szCs w:val="16"/>
                <w:color w:val="auto"/>
              </w:rPr>
            </w:pPr>
          </w:p>
        </w:tc>
        <w:tc>
          <w:tcPr>
            <w:tcW w:w="7800" w:type="dxa"/>
            <w:vAlign w:val="bottom"/>
            <w:shd w:val="clear" w:color="auto" w:fill="CFF0FC"/>
          </w:tcPr>
          <w:p>
            <w:pPr>
              <w:ind w:left="280"/>
              <w:spacing w:after="0"/>
              <w:rPr>
                <w:sz w:val="20"/>
                <w:szCs w:val="20"/>
                <w:color w:val="auto"/>
              </w:rPr>
            </w:pPr>
            <w:r>
              <w:rPr>
                <w:rFonts w:ascii="Arial" w:cs="Arial" w:eastAsia="Arial" w:hAnsi="Arial"/>
                <w:sz w:val="16"/>
                <w:szCs w:val="16"/>
                <w:color w:val="auto"/>
              </w:rPr>
              <w:t>capital model for Wyoming Electric). Customers shall not participate in the PCA or TCAM to the extent of</w:t>
            </w:r>
          </w:p>
        </w:tc>
      </w:tr>
      <w:tr>
        <w:trPr>
          <w:trHeight w:val="203"/>
        </w:trPr>
        <w:tc>
          <w:tcPr>
            <w:tcW w:w="3440" w:type="dxa"/>
            <w:vAlign w:val="bottom"/>
            <w:shd w:val="clear" w:color="auto" w:fill="CFF0FC"/>
          </w:tcPr>
          <w:p>
            <w:pPr>
              <w:spacing w:after="0"/>
              <w:rPr>
                <w:sz w:val="17"/>
                <w:szCs w:val="17"/>
                <w:color w:val="auto"/>
              </w:rPr>
            </w:pPr>
          </w:p>
        </w:tc>
        <w:tc>
          <w:tcPr>
            <w:tcW w:w="7800" w:type="dxa"/>
            <w:vAlign w:val="bottom"/>
            <w:shd w:val="clear" w:color="auto" w:fill="CFF0FC"/>
          </w:tcPr>
          <w:p>
            <w:pPr>
              <w:ind w:left="280"/>
              <w:spacing w:after="0"/>
              <w:rPr>
                <w:sz w:val="20"/>
                <w:szCs w:val="20"/>
                <w:color w:val="auto"/>
              </w:rPr>
            </w:pPr>
            <w:r>
              <w:rPr>
                <w:rFonts w:ascii="Arial" w:cs="Arial" w:eastAsia="Arial" w:hAnsi="Arial"/>
                <w:sz w:val="16"/>
                <w:szCs w:val="16"/>
                <w:color w:val="auto"/>
              </w:rPr>
              <w:t>service received under the tariff.</w:t>
            </w:r>
          </w:p>
        </w:tc>
      </w:tr>
      <w:tr>
        <w:trPr>
          <w:trHeight w:val="189"/>
        </w:trPr>
        <w:tc>
          <w:tcPr>
            <w:tcW w:w="3440" w:type="dxa"/>
            <w:vAlign w:val="bottom"/>
          </w:tcPr>
          <w:p>
            <w:pPr>
              <w:spacing w:after="0"/>
              <w:rPr>
                <w:sz w:val="20"/>
                <w:szCs w:val="20"/>
                <w:color w:val="auto"/>
              </w:rPr>
            </w:pPr>
            <w:r>
              <w:rPr>
                <w:rFonts w:ascii="Arial" w:cs="Arial" w:eastAsia="Arial" w:hAnsi="Arial"/>
                <w:sz w:val="16"/>
                <w:szCs w:val="16"/>
                <w:color w:val="auto"/>
              </w:rPr>
              <w:t>MMBtu</w:t>
            </w:r>
          </w:p>
        </w:tc>
        <w:tc>
          <w:tcPr>
            <w:tcW w:w="7800" w:type="dxa"/>
            <w:vAlign w:val="bottom"/>
          </w:tcPr>
          <w:p>
            <w:pPr>
              <w:ind w:left="280"/>
              <w:spacing w:after="0"/>
              <w:rPr>
                <w:sz w:val="20"/>
                <w:szCs w:val="20"/>
                <w:color w:val="auto"/>
              </w:rPr>
            </w:pPr>
            <w:r>
              <w:rPr>
                <w:rFonts w:ascii="Arial" w:cs="Arial" w:eastAsia="Arial" w:hAnsi="Arial"/>
                <w:sz w:val="16"/>
                <w:szCs w:val="16"/>
                <w:color w:val="auto"/>
              </w:rPr>
              <w:t>Million British thermal units</w:t>
            </w:r>
          </w:p>
        </w:tc>
      </w:tr>
      <w:tr>
        <w:trPr>
          <w:trHeight w:val="189"/>
        </w:trPr>
        <w:tc>
          <w:tcPr>
            <w:tcW w:w="3440" w:type="dxa"/>
            <w:vAlign w:val="bottom"/>
            <w:shd w:val="clear" w:color="auto" w:fill="CFF0FC"/>
          </w:tcPr>
          <w:p>
            <w:pPr>
              <w:spacing w:after="0"/>
              <w:rPr>
                <w:sz w:val="20"/>
                <w:szCs w:val="20"/>
                <w:color w:val="auto"/>
              </w:rPr>
            </w:pPr>
            <w:r>
              <w:rPr>
                <w:rFonts w:ascii="Arial" w:cs="Arial" w:eastAsia="Arial" w:hAnsi="Arial"/>
                <w:sz w:val="16"/>
                <w:szCs w:val="16"/>
                <w:color w:val="auto"/>
              </w:rPr>
              <w:t>Moody's</w:t>
            </w:r>
          </w:p>
        </w:tc>
        <w:tc>
          <w:tcPr>
            <w:tcW w:w="7800" w:type="dxa"/>
            <w:vAlign w:val="bottom"/>
            <w:shd w:val="clear" w:color="auto" w:fill="CFF0FC"/>
          </w:tcPr>
          <w:p>
            <w:pPr>
              <w:ind w:left="280"/>
              <w:spacing w:after="0"/>
              <w:rPr>
                <w:sz w:val="20"/>
                <w:szCs w:val="20"/>
                <w:color w:val="auto"/>
              </w:rPr>
            </w:pPr>
            <w:r>
              <w:rPr>
                <w:rFonts w:ascii="Arial" w:cs="Arial" w:eastAsia="Arial" w:hAnsi="Arial"/>
                <w:sz w:val="16"/>
                <w:szCs w:val="16"/>
                <w:color w:val="auto"/>
              </w:rPr>
              <w:t>Moody's Investors Service, Inc.</w:t>
            </w:r>
          </w:p>
        </w:tc>
      </w:tr>
      <w:tr>
        <w:trPr>
          <w:trHeight w:val="189"/>
        </w:trPr>
        <w:tc>
          <w:tcPr>
            <w:tcW w:w="3440" w:type="dxa"/>
            <w:vAlign w:val="bottom"/>
          </w:tcPr>
          <w:p>
            <w:pPr>
              <w:spacing w:after="0"/>
              <w:rPr>
                <w:sz w:val="20"/>
                <w:szCs w:val="20"/>
                <w:color w:val="auto"/>
              </w:rPr>
            </w:pPr>
            <w:r>
              <w:rPr>
                <w:rFonts w:ascii="Arial" w:cs="Arial" w:eastAsia="Arial" w:hAnsi="Arial"/>
                <w:sz w:val="16"/>
                <w:szCs w:val="16"/>
                <w:color w:val="auto"/>
              </w:rPr>
              <w:t>MW</w:t>
            </w:r>
          </w:p>
        </w:tc>
        <w:tc>
          <w:tcPr>
            <w:tcW w:w="7800" w:type="dxa"/>
            <w:vAlign w:val="bottom"/>
          </w:tcPr>
          <w:p>
            <w:pPr>
              <w:ind w:left="280"/>
              <w:spacing w:after="0"/>
              <w:rPr>
                <w:sz w:val="20"/>
                <w:szCs w:val="20"/>
                <w:color w:val="auto"/>
              </w:rPr>
            </w:pPr>
            <w:r>
              <w:rPr>
                <w:rFonts w:ascii="Arial" w:cs="Arial" w:eastAsia="Arial" w:hAnsi="Arial"/>
                <w:sz w:val="16"/>
                <w:szCs w:val="16"/>
                <w:color w:val="auto"/>
              </w:rPr>
              <w:t>Megawatts</w:t>
            </w:r>
          </w:p>
        </w:tc>
      </w:tr>
      <w:tr>
        <w:trPr>
          <w:trHeight w:val="189"/>
        </w:trPr>
        <w:tc>
          <w:tcPr>
            <w:tcW w:w="3440" w:type="dxa"/>
            <w:vAlign w:val="bottom"/>
            <w:shd w:val="clear" w:color="auto" w:fill="CFF0FC"/>
          </w:tcPr>
          <w:p>
            <w:pPr>
              <w:spacing w:after="0"/>
              <w:rPr>
                <w:sz w:val="20"/>
                <w:szCs w:val="20"/>
                <w:color w:val="auto"/>
              </w:rPr>
            </w:pPr>
            <w:r>
              <w:rPr>
                <w:rFonts w:ascii="Arial" w:cs="Arial" w:eastAsia="Arial" w:hAnsi="Arial"/>
                <w:sz w:val="16"/>
                <w:szCs w:val="16"/>
                <w:color w:val="auto"/>
              </w:rPr>
              <w:t>MWh</w:t>
            </w:r>
          </w:p>
        </w:tc>
        <w:tc>
          <w:tcPr>
            <w:tcW w:w="7800" w:type="dxa"/>
            <w:vAlign w:val="bottom"/>
            <w:shd w:val="clear" w:color="auto" w:fill="CFF0FC"/>
          </w:tcPr>
          <w:p>
            <w:pPr>
              <w:ind w:left="280"/>
              <w:spacing w:after="0"/>
              <w:rPr>
                <w:sz w:val="20"/>
                <w:szCs w:val="20"/>
                <w:color w:val="auto"/>
              </w:rPr>
            </w:pPr>
            <w:r>
              <w:rPr>
                <w:rFonts w:ascii="Arial" w:cs="Arial" w:eastAsia="Arial" w:hAnsi="Arial"/>
                <w:sz w:val="16"/>
                <w:szCs w:val="16"/>
                <w:color w:val="auto"/>
              </w:rPr>
              <w:t>Megawatt-hours</w:t>
            </w:r>
          </w:p>
        </w:tc>
      </w:tr>
      <w:tr>
        <w:trPr>
          <w:trHeight w:val="189"/>
        </w:trPr>
        <w:tc>
          <w:tcPr>
            <w:tcW w:w="3440" w:type="dxa"/>
            <w:vAlign w:val="bottom"/>
          </w:tcPr>
          <w:p>
            <w:pPr>
              <w:spacing w:after="0"/>
              <w:rPr>
                <w:sz w:val="20"/>
                <w:szCs w:val="20"/>
                <w:color w:val="auto"/>
              </w:rPr>
            </w:pPr>
            <w:r>
              <w:rPr>
                <w:rFonts w:ascii="Arial" w:cs="Arial" w:eastAsia="Arial" w:hAnsi="Arial"/>
                <w:sz w:val="16"/>
                <w:szCs w:val="16"/>
                <w:color w:val="auto"/>
              </w:rPr>
              <w:t>N/A</w:t>
            </w:r>
          </w:p>
        </w:tc>
        <w:tc>
          <w:tcPr>
            <w:tcW w:w="7800" w:type="dxa"/>
            <w:vAlign w:val="bottom"/>
          </w:tcPr>
          <w:p>
            <w:pPr>
              <w:ind w:left="280"/>
              <w:spacing w:after="0"/>
              <w:rPr>
                <w:sz w:val="20"/>
                <w:szCs w:val="20"/>
                <w:color w:val="auto"/>
              </w:rPr>
            </w:pPr>
            <w:r>
              <w:rPr>
                <w:rFonts w:ascii="Arial" w:cs="Arial" w:eastAsia="Arial" w:hAnsi="Arial"/>
                <w:sz w:val="16"/>
                <w:szCs w:val="16"/>
                <w:color w:val="auto"/>
              </w:rPr>
              <w:t>Not applicable</w:t>
            </w:r>
          </w:p>
        </w:tc>
      </w:tr>
      <w:tr>
        <w:trPr>
          <w:trHeight w:val="175"/>
        </w:trPr>
        <w:tc>
          <w:tcPr>
            <w:tcW w:w="3440" w:type="dxa"/>
            <w:vAlign w:val="bottom"/>
            <w:shd w:val="clear" w:color="auto" w:fill="CFF0FC"/>
          </w:tcPr>
          <w:p>
            <w:pPr>
              <w:spacing w:after="0" w:line="175" w:lineRule="exact"/>
              <w:rPr>
                <w:sz w:val="20"/>
                <w:szCs w:val="20"/>
                <w:color w:val="auto"/>
              </w:rPr>
            </w:pPr>
            <w:r>
              <w:rPr>
                <w:rFonts w:ascii="Arial" w:cs="Arial" w:eastAsia="Arial" w:hAnsi="Arial"/>
                <w:sz w:val="16"/>
                <w:szCs w:val="16"/>
                <w:color w:val="auto"/>
              </w:rPr>
              <w:t>Nebraska Gas</w:t>
            </w:r>
          </w:p>
        </w:tc>
        <w:tc>
          <w:tcPr>
            <w:tcW w:w="7800" w:type="dxa"/>
            <w:vAlign w:val="bottom"/>
            <w:shd w:val="clear" w:color="auto" w:fill="CFF0FC"/>
          </w:tcPr>
          <w:p>
            <w:pPr>
              <w:ind w:left="280"/>
              <w:spacing w:after="0" w:line="175" w:lineRule="exact"/>
              <w:rPr>
                <w:sz w:val="20"/>
                <w:szCs w:val="20"/>
                <w:color w:val="auto"/>
              </w:rPr>
            </w:pPr>
            <w:r>
              <w:rPr>
                <w:rFonts w:ascii="Arial" w:cs="Arial" w:eastAsia="Arial" w:hAnsi="Arial"/>
                <w:sz w:val="16"/>
                <w:szCs w:val="16"/>
                <w:color w:val="auto"/>
              </w:rPr>
              <w:t>Black Hills Nebraska Gas, LLC, an indirect, wholly-owned subsidiary of Black Hills Utility Holdings,</w:t>
            </w:r>
          </w:p>
        </w:tc>
      </w:tr>
      <w:tr>
        <w:trPr>
          <w:trHeight w:val="203"/>
        </w:trPr>
        <w:tc>
          <w:tcPr>
            <w:tcW w:w="3440" w:type="dxa"/>
            <w:vAlign w:val="bottom"/>
            <w:shd w:val="clear" w:color="auto" w:fill="CFF0FC"/>
          </w:tcPr>
          <w:p>
            <w:pPr>
              <w:spacing w:after="0"/>
              <w:rPr>
                <w:sz w:val="17"/>
                <w:szCs w:val="17"/>
                <w:color w:val="auto"/>
              </w:rPr>
            </w:pPr>
          </w:p>
        </w:tc>
        <w:tc>
          <w:tcPr>
            <w:tcW w:w="7800" w:type="dxa"/>
            <w:vAlign w:val="bottom"/>
            <w:shd w:val="clear" w:color="auto" w:fill="CFF0FC"/>
          </w:tcPr>
          <w:p>
            <w:pPr>
              <w:ind w:left="280"/>
              <w:spacing w:after="0"/>
              <w:rPr>
                <w:sz w:val="20"/>
                <w:szCs w:val="20"/>
                <w:color w:val="auto"/>
              </w:rPr>
            </w:pPr>
            <w:r>
              <w:rPr>
                <w:rFonts w:ascii="Arial" w:cs="Arial" w:eastAsia="Arial" w:hAnsi="Arial"/>
                <w:sz w:val="16"/>
                <w:szCs w:val="16"/>
                <w:color w:val="auto"/>
              </w:rPr>
              <w:t>providing natural gas services to customers in Nebraska (doing business as Black Hills Energy).</w:t>
            </w:r>
          </w:p>
        </w:tc>
      </w:tr>
      <w:tr>
        <w:trPr>
          <w:trHeight w:val="189"/>
        </w:trPr>
        <w:tc>
          <w:tcPr>
            <w:tcW w:w="3440" w:type="dxa"/>
            <w:vAlign w:val="bottom"/>
          </w:tcPr>
          <w:p>
            <w:pPr>
              <w:spacing w:after="0"/>
              <w:rPr>
                <w:sz w:val="20"/>
                <w:szCs w:val="20"/>
                <w:color w:val="auto"/>
              </w:rPr>
            </w:pPr>
            <w:r>
              <w:rPr>
                <w:rFonts w:ascii="Arial" w:cs="Arial" w:eastAsia="Arial" w:hAnsi="Arial"/>
                <w:sz w:val="16"/>
                <w:szCs w:val="16"/>
                <w:color w:val="auto"/>
              </w:rPr>
              <w:t>NPSC</w:t>
            </w:r>
          </w:p>
        </w:tc>
        <w:tc>
          <w:tcPr>
            <w:tcW w:w="7800" w:type="dxa"/>
            <w:vAlign w:val="bottom"/>
          </w:tcPr>
          <w:p>
            <w:pPr>
              <w:ind w:left="280"/>
              <w:spacing w:after="0"/>
              <w:rPr>
                <w:sz w:val="20"/>
                <w:szCs w:val="20"/>
                <w:color w:val="auto"/>
              </w:rPr>
            </w:pPr>
            <w:r>
              <w:rPr>
                <w:rFonts w:ascii="Arial" w:cs="Arial" w:eastAsia="Arial" w:hAnsi="Arial"/>
                <w:sz w:val="16"/>
                <w:szCs w:val="16"/>
                <w:color w:val="auto"/>
              </w:rPr>
              <w:t>Nebraska Public Service Commission</w:t>
            </w:r>
          </w:p>
        </w:tc>
      </w:tr>
      <w:tr>
        <w:trPr>
          <w:trHeight w:val="175"/>
        </w:trPr>
        <w:tc>
          <w:tcPr>
            <w:tcW w:w="3440" w:type="dxa"/>
            <w:vAlign w:val="bottom"/>
            <w:shd w:val="clear" w:color="auto" w:fill="CFF0FC"/>
          </w:tcPr>
          <w:p>
            <w:pPr>
              <w:spacing w:after="0" w:line="175" w:lineRule="exact"/>
              <w:rPr>
                <w:sz w:val="20"/>
                <w:szCs w:val="20"/>
                <w:color w:val="auto"/>
              </w:rPr>
            </w:pPr>
            <w:r>
              <w:rPr>
                <w:rFonts w:ascii="Arial" w:cs="Arial" w:eastAsia="Arial" w:hAnsi="Arial"/>
                <w:sz w:val="16"/>
                <w:szCs w:val="16"/>
                <w:color w:val="auto"/>
              </w:rPr>
              <w:t>OBBBA</w:t>
            </w:r>
          </w:p>
        </w:tc>
        <w:tc>
          <w:tcPr>
            <w:tcW w:w="7800" w:type="dxa"/>
            <w:vAlign w:val="bottom"/>
            <w:shd w:val="clear" w:color="auto" w:fill="CFF0FC"/>
          </w:tcPr>
          <w:p>
            <w:pPr>
              <w:ind w:left="280"/>
              <w:spacing w:after="0" w:line="175" w:lineRule="exact"/>
              <w:rPr>
                <w:sz w:val="20"/>
                <w:szCs w:val="20"/>
                <w:color w:val="auto"/>
              </w:rPr>
            </w:pPr>
            <w:r>
              <w:rPr>
                <w:rFonts w:ascii="Arial" w:cs="Arial" w:eastAsia="Arial" w:hAnsi="Arial"/>
                <w:sz w:val="16"/>
                <w:szCs w:val="16"/>
                <w:color w:val="auto"/>
              </w:rPr>
              <w:t>One Big Beautiful Bill Act enacted on July 4, 2025, which is a legislative package designed to</w:t>
            </w:r>
          </w:p>
        </w:tc>
      </w:tr>
      <w:tr>
        <w:trPr>
          <w:trHeight w:val="189"/>
        </w:trPr>
        <w:tc>
          <w:tcPr>
            <w:tcW w:w="3440" w:type="dxa"/>
            <w:vAlign w:val="bottom"/>
            <w:shd w:val="clear" w:color="auto" w:fill="CFF0FC"/>
          </w:tcPr>
          <w:p>
            <w:pPr>
              <w:spacing w:after="0"/>
              <w:rPr>
                <w:sz w:val="16"/>
                <w:szCs w:val="16"/>
                <w:color w:val="auto"/>
              </w:rPr>
            </w:pPr>
          </w:p>
        </w:tc>
        <w:tc>
          <w:tcPr>
            <w:tcW w:w="7800" w:type="dxa"/>
            <w:vAlign w:val="bottom"/>
            <w:shd w:val="clear" w:color="auto" w:fill="CFF0FC"/>
          </w:tcPr>
          <w:p>
            <w:pPr>
              <w:ind w:left="280"/>
              <w:spacing w:after="0"/>
              <w:rPr>
                <w:sz w:val="20"/>
                <w:szCs w:val="20"/>
                <w:color w:val="auto"/>
              </w:rPr>
            </w:pPr>
            <w:r>
              <w:rPr>
                <w:rFonts w:ascii="Arial" w:cs="Arial" w:eastAsia="Arial" w:hAnsi="Arial"/>
                <w:sz w:val="16"/>
                <w:szCs w:val="16"/>
                <w:color w:val="auto"/>
              </w:rPr>
              <w:t>permanently extend certain expiring provisions of the TCJA and deliver additional tax relief for</w:t>
            </w:r>
          </w:p>
        </w:tc>
      </w:tr>
      <w:tr>
        <w:trPr>
          <w:trHeight w:val="189"/>
        </w:trPr>
        <w:tc>
          <w:tcPr>
            <w:tcW w:w="3440" w:type="dxa"/>
            <w:vAlign w:val="bottom"/>
            <w:shd w:val="clear" w:color="auto" w:fill="CFF0FC"/>
          </w:tcPr>
          <w:p>
            <w:pPr>
              <w:spacing w:after="0"/>
              <w:rPr>
                <w:sz w:val="16"/>
                <w:szCs w:val="16"/>
                <w:color w:val="auto"/>
              </w:rPr>
            </w:pPr>
          </w:p>
        </w:tc>
        <w:tc>
          <w:tcPr>
            <w:tcW w:w="7800" w:type="dxa"/>
            <w:vAlign w:val="bottom"/>
            <w:shd w:val="clear" w:color="auto" w:fill="CFF0FC"/>
          </w:tcPr>
          <w:p>
            <w:pPr>
              <w:ind w:left="280"/>
              <w:spacing w:after="0"/>
              <w:rPr>
                <w:sz w:val="20"/>
                <w:szCs w:val="20"/>
                <w:color w:val="auto"/>
              </w:rPr>
            </w:pPr>
            <w:r>
              <w:rPr>
                <w:rFonts w:ascii="Arial" w:cs="Arial" w:eastAsia="Arial" w:hAnsi="Arial"/>
                <w:sz w:val="16"/>
                <w:szCs w:val="16"/>
                <w:color w:val="auto"/>
              </w:rPr>
              <w:t>individuals and businesses. The OBBBA introduced changes to federal energy policies by rolling back</w:t>
            </w:r>
          </w:p>
        </w:tc>
      </w:tr>
      <w:tr>
        <w:trPr>
          <w:trHeight w:val="189"/>
        </w:trPr>
        <w:tc>
          <w:tcPr>
            <w:tcW w:w="3440" w:type="dxa"/>
            <w:vAlign w:val="bottom"/>
            <w:shd w:val="clear" w:color="auto" w:fill="CFF0FC"/>
          </w:tcPr>
          <w:p>
            <w:pPr>
              <w:spacing w:after="0"/>
              <w:rPr>
                <w:sz w:val="16"/>
                <w:szCs w:val="16"/>
                <w:color w:val="auto"/>
              </w:rPr>
            </w:pPr>
          </w:p>
        </w:tc>
        <w:tc>
          <w:tcPr>
            <w:tcW w:w="7800" w:type="dxa"/>
            <w:vAlign w:val="bottom"/>
            <w:shd w:val="clear" w:color="auto" w:fill="CFF0FC"/>
          </w:tcPr>
          <w:p>
            <w:pPr>
              <w:ind w:left="280"/>
              <w:spacing w:after="0"/>
              <w:rPr>
                <w:sz w:val="20"/>
                <w:szCs w:val="20"/>
                <w:color w:val="auto"/>
              </w:rPr>
            </w:pPr>
            <w:r>
              <w:rPr>
                <w:rFonts w:ascii="Arial" w:cs="Arial" w:eastAsia="Arial" w:hAnsi="Arial"/>
                <w:sz w:val="16"/>
                <w:szCs w:val="16"/>
                <w:color w:val="auto"/>
              </w:rPr>
              <w:t>several clean energy provisions and codified restrictions related to prohibited foreign entities, termination</w:t>
            </w:r>
          </w:p>
        </w:tc>
      </w:tr>
      <w:tr>
        <w:trPr>
          <w:trHeight w:val="189"/>
        </w:trPr>
        <w:tc>
          <w:tcPr>
            <w:tcW w:w="3440" w:type="dxa"/>
            <w:vAlign w:val="bottom"/>
            <w:shd w:val="clear" w:color="auto" w:fill="CFF0FC"/>
          </w:tcPr>
          <w:p>
            <w:pPr>
              <w:spacing w:after="0"/>
              <w:rPr>
                <w:sz w:val="16"/>
                <w:szCs w:val="16"/>
                <w:color w:val="auto"/>
              </w:rPr>
            </w:pPr>
          </w:p>
        </w:tc>
        <w:tc>
          <w:tcPr>
            <w:tcW w:w="7800" w:type="dxa"/>
            <w:vAlign w:val="bottom"/>
            <w:shd w:val="clear" w:color="auto" w:fill="CFF0FC"/>
          </w:tcPr>
          <w:p>
            <w:pPr>
              <w:ind w:left="280"/>
              <w:spacing w:after="0"/>
              <w:rPr>
                <w:sz w:val="20"/>
                <w:szCs w:val="20"/>
                <w:color w:val="auto"/>
              </w:rPr>
            </w:pPr>
            <w:r>
              <w:rPr>
                <w:rFonts w:ascii="Arial" w:cs="Arial" w:eastAsia="Arial" w:hAnsi="Arial"/>
                <w:sz w:val="16"/>
                <w:szCs w:val="16"/>
                <w:color w:val="auto"/>
              </w:rPr>
              <w:t>and restrictions on clean energy PTCs, extension and modification of clean fuel production. The OBBBA</w:t>
            </w:r>
          </w:p>
        </w:tc>
      </w:tr>
      <w:tr>
        <w:trPr>
          <w:trHeight w:val="189"/>
        </w:trPr>
        <w:tc>
          <w:tcPr>
            <w:tcW w:w="3440" w:type="dxa"/>
            <w:vAlign w:val="bottom"/>
            <w:shd w:val="clear" w:color="auto" w:fill="CFF0FC"/>
          </w:tcPr>
          <w:p>
            <w:pPr>
              <w:spacing w:after="0"/>
              <w:rPr>
                <w:sz w:val="16"/>
                <w:szCs w:val="16"/>
                <w:color w:val="auto"/>
              </w:rPr>
            </w:pPr>
          </w:p>
        </w:tc>
        <w:tc>
          <w:tcPr>
            <w:tcW w:w="7800" w:type="dxa"/>
            <w:vAlign w:val="bottom"/>
            <w:shd w:val="clear" w:color="auto" w:fill="CFF0FC"/>
          </w:tcPr>
          <w:p>
            <w:pPr>
              <w:ind w:left="280"/>
              <w:spacing w:after="0"/>
              <w:rPr>
                <w:sz w:val="20"/>
                <w:szCs w:val="20"/>
                <w:color w:val="auto"/>
              </w:rPr>
            </w:pPr>
            <w:r>
              <w:rPr>
                <w:rFonts w:ascii="Arial" w:cs="Arial" w:eastAsia="Arial" w:hAnsi="Arial"/>
                <w:sz w:val="16"/>
                <w:szCs w:val="16"/>
                <w:color w:val="auto"/>
              </w:rPr>
              <w:t>does not repeal tax credit transferability provisions enacted under the IRA, but restricts credit transfers to</w:t>
            </w:r>
          </w:p>
        </w:tc>
      </w:tr>
      <w:tr>
        <w:trPr>
          <w:trHeight w:val="203"/>
        </w:trPr>
        <w:tc>
          <w:tcPr>
            <w:tcW w:w="3440" w:type="dxa"/>
            <w:vAlign w:val="bottom"/>
            <w:shd w:val="clear" w:color="auto" w:fill="CFF0FC"/>
          </w:tcPr>
          <w:p>
            <w:pPr>
              <w:spacing w:after="0"/>
              <w:rPr>
                <w:sz w:val="17"/>
                <w:szCs w:val="17"/>
                <w:color w:val="auto"/>
              </w:rPr>
            </w:pPr>
          </w:p>
        </w:tc>
        <w:tc>
          <w:tcPr>
            <w:tcW w:w="7800" w:type="dxa"/>
            <w:vAlign w:val="bottom"/>
            <w:shd w:val="clear" w:color="auto" w:fill="CFF0FC"/>
          </w:tcPr>
          <w:p>
            <w:pPr>
              <w:ind w:left="280"/>
              <w:spacing w:after="0"/>
              <w:rPr>
                <w:sz w:val="20"/>
                <w:szCs w:val="20"/>
                <w:color w:val="auto"/>
              </w:rPr>
            </w:pPr>
            <w:r>
              <w:rPr>
                <w:rFonts w:ascii="Arial" w:cs="Arial" w:eastAsia="Arial" w:hAnsi="Arial"/>
                <w:sz w:val="16"/>
                <w:szCs w:val="16"/>
                <w:color w:val="auto"/>
              </w:rPr>
              <w:t>prohibited foreign entities.</w:t>
            </w:r>
          </w:p>
        </w:tc>
      </w:tr>
      <w:tr>
        <w:trPr>
          <w:trHeight w:val="189"/>
        </w:trPr>
        <w:tc>
          <w:tcPr>
            <w:tcW w:w="3440" w:type="dxa"/>
            <w:vAlign w:val="bottom"/>
          </w:tcPr>
          <w:p>
            <w:pPr>
              <w:spacing w:after="0"/>
              <w:rPr>
                <w:sz w:val="20"/>
                <w:szCs w:val="20"/>
                <w:color w:val="auto"/>
              </w:rPr>
            </w:pPr>
            <w:r>
              <w:rPr>
                <w:rFonts w:ascii="Arial" w:cs="Arial" w:eastAsia="Arial" w:hAnsi="Arial"/>
                <w:sz w:val="16"/>
                <w:szCs w:val="16"/>
                <w:color w:val="auto"/>
              </w:rPr>
              <w:t>OCI</w:t>
            </w:r>
          </w:p>
        </w:tc>
        <w:tc>
          <w:tcPr>
            <w:tcW w:w="7800" w:type="dxa"/>
            <w:vAlign w:val="bottom"/>
          </w:tcPr>
          <w:p>
            <w:pPr>
              <w:ind w:left="280"/>
              <w:spacing w:after="0"/>
              <w:rPr>
                <w:sz w:val="20"/>
                <w:szCs w:val="20"/>
                <w:color w:val="auto"/>
              </w:rPr>
            </w:pPr>
            <w:r>
              <w:rPr>
                <w:rFonts w:ascii="Arial" w:cs="Arial" w:eastAsia="Arial" w:hAnsi="Arial"/>
                <w:sz w:val="16"/>
                <w:szCs w:val="16"/>
                <w:color w:val="auto"/>
              </w:rPr>
              <w:t>Other Comprehensive Income</w:t>
            </w:r>
          </w:p>
        </w:tc>
      </w:tr>
      <w:tr>
        <w:trPr>
          <w:trHeight w:val="189"/>
        </w:trPr>
        <w:tc>
          <w:tcPr>
            <w:tcW w:w="3440" w:type="dxa"/>
            <w:vAlign w:val="bottom"/>
            <w:shd w:val="clear" w:color="auto" w:fill="CFF0FC"/>
          </w:tcPr>
          <w:p>
            <w:pPr>
              <w:spacing w:after="0"/>
              <w:rPr>
                <w:sz w:val="20"/>
                <w:szCs w:val="20"/>
                <w:color w:val="auto"/>
              </w:rPr>
            </w:pPr>
            <w:r>
              <w:rPr>
                <w:rFonts w:ascii="Arial" w:cs="Arial" w:eastAsia="Arial" w:hAnsi="Arial"/>
                <w:sz w:val="16"/>
                <w:szCs w:val="16"/>
                <w:color w:val="auto"/>
              </w:rPr>
              <w:t>PPA</w:t>
            </w:r>
          </w:p>
        </w:tc>
        <w:tc>
          <w:tcPr>
            <w:tcW w:w="7800" w:type="dxa"/>
            <w:vAlign w:val="bottom"/>
            <w:shd w:val="clear" w:color="auto" w:fill="CFF0FC"/>
          </w:tcPr>
          <w:p>
            <w:pPr>
              <w:ind w:left="280"/>
              <w:spacing w:after="0"/>
              <w:rPr>
                <w:sz w:val="20"/>
                <w:szCs w:val="20"/>
                <w:color w:val="auto"/>
              </w:rPr>
            </w:pPr>
            <w:r>
              <w:rPr>
                <w:rFonts w:ascii="Arial" w:cs="Arial" w:eastAsia="Arial" w:hAnsi="Arial"/>
                <w:sz w:val="16"/>
                <w:szCs w:val="16"/>
                <w:color w:val="auto"/>
              </w:rPr>
              <w:t>Power Purchase Agreement</w:t>
            </w:r>
          </w:p>
        </w:tc>
      </w:tr>
      <w:tr>
        <w:trPr>
          <w:trHeight w:val="189"/>
        </w:trPr>
        <w:tc>
          <w:tcPr>
            <w:tcW w:w="3440" w:type="dxa"/>
            <w:vAlign w:val="bottom"/>
          </w:tcPr>
          <w:p>
            <w:pPr>
              <w:spacing w:after="0"/>
              <w:rPr>
                <w:sz w:val="20"/>
                <w:szCs w:val="20"/>
                <w:color w:val="auto"/>
              </w:rPr>
            </w:pPr>
            <w:r>
              <w:rPr>
                <w:rFonts w:ascii="Arial" w:cs="Arial" w:eastAsia="Arial" w:hAnsi="Arial"/>
                <w:sz w:val="16"/>
                <w:szCs w:val="16"/>
                <w:color w:val="auto"/>
              </w:rPr>
              <w:t>PTC</w:t>
            </w:r>
          </w:p>
        </w:tc>
        <w:tc>
          <w:tcPr>
            <w:tcW w:w="7800" w:type="dxa"/>
            <w:vAlign w:val="bottom"/>
          </w:tcPr>
          <w:p>
            <w:pPr>
              <w:ind w:left="280"/>
              <w:spacing w:after="0"/>
              <w:rPr>
                <w:sz w:val="20"/>
                <w:szCs w:val="20"/>
                <w:color w:val="auto"/>
              </w:rPr>
            </w:pPr>
            <w:r>
              <w:rPr>
                <w:rFonts w:ascii="Arial" w:cs="Arial" w:eastAsia="Arial" w:hAnsi="Arial"/>
                <w:sz w:val="16"/>
                <w:szCs w:val="16"/>
                <w:color w:val="auto"/>
              </w:rPr>
              <w:t>Production Tax Credit</w:t>
            </w:r>
          </w:p>
        </w:tc>
      </w:tr>
      <w:tr>
        <w:trPr>
          <w:trHeight w:val="175"/>
        </w:trPr>
        <w:tc>
          <w:tcPr>
            <w:tcW w:w="3440" w:type="dxa"/>
            <w:vAlign w:val="bottom"/>
            <w:shd w:val="clear" w:color="auto" w:fill="CFF0FC"/>
          </w:tcPr>
          <w:p>
            <w:pPr>
              <w:spacing w:after="0" w:line="175" w:lineRule="exact"/>
              <w:rPr>
                <w:sz w:val="20"/>
                <w:szCs w:val="20"/>
                <w:color w:val="auto"/>
              </w:rPr>
            </w:pPr>
            <w:r>
              <w:rPr>
                <w:rFonts w:ascii="Arial" w:cs="Arial" w:eastAsia="Arial" w:hAnsi="Arial"/>
                <w:sz w:val="16"/>
                <w:szCs w:val="16"/>
                <w:color w:val="auto"/>
              </w:rPr>
              <w:t>Pueblo Airport Generation</w:t>
            </w:r>
          </w:p>
        </w:tc>
        <w:tc>
          <w:tcPr>
            <w:tcW w:w="7800" w:type="dxa"/>
            <w:vAlign w:val="bottom"/>
            <w:shd w:val="clear" w:color="auto" w:fill="CFF0FC"/>
          </w:tcPr>
          <w:p>
            <w:pPr>
              <w:ind w:left="280"/>
              <w:spacing w:after="0" w:line="175" w:lineRule="exact"/>
              <w:rPr>
                <w:sz w:val="20"/>
                <w:szCs w:val="20"/>
                <w:color w:val="auto"/>
              </w:rPr>
            </w:pPr>
            <w:r>
              <w:rPr>
                <w:rFonts w:ascii="Arial" w:cs="Arial" w:eastAsia="Arial" w:hAnsi="Arial"/>
                <w:sz w:val="16"/>
                <w:szCs w:val="16"/>
                <w:color w:val="auto"/>
              </w:rPr>
              <w:t>Pueblo Airport Generating Station located in Pueblo, Colorado includes 440 MW of combined cycle gas-</w:t>
            </w:r>
          </w:p>
        </w:tc>
      </w:tr>
      <w:tr>
        <w:trPr>
          <w:trHeight w:val="189"/>
        </w:trPr>
        <w:tc>
          <w:tcPr>
            <w:tcW w:w="3440" w:type="dxa"/>
            <w:vAlign w:val="bottom"/>
            <w:shd w:val="clear" w:color="auto" w:fill="CFF0FC"/>
          </w:tcPr>
          <w:p>
            <w:pPr>
              <w:spacing w:after="0"/>
              <w:rPr>
                <w:sz w:val="16"/>
                <w:szCs w:val="16"/>
                <w:color w:val="auto"/>
              </w:rPr>
            </w:pPr>
          </w:p>
        </w:tc>
        <w:tc>
          <w:tcPr>
            <w:tcW w:w="7800" w:type="dxa"/>
            <w:vAlign w:val="bottom"/>
            <w:shd w:val="clear" w:color="auto" w:fill="CFF0FC"/>
          </w:tcPr>
          <w:p>
            <w:pPr>
              <w:ind w:left="280"/>
              <w:spacing w:after="0"/>
              <w:rPr>
                <w:sz w:val="20"/>
                <w:szCs w:val="20"/>
                <w:color w:val="auto"/>
              </w:rPr>
            </w:pPr>
            <w:r>
              <w:rPr>
                <w:rFonts w:ascii="Arial" w:cs="Arial" w:eastAsia="Arial" w:hAnsi="Arial"/>
                <w:sz w:val="16"/>
                <w:szCs w:val="16"/>
                <w:color w:val="auto"/>
              </w:rPr>
              <w:t>fired power generation plants jointly owned by Colorado Electric (240 MW) and Black Hills Colorado IPP</w:t>
            </w:r>
          </w:p>
        </w:tc>
      </w:tr>
      <w:tr>
        <w:trPr>
          <w:trHeight w:val="189"/>
        </w:trPr>
        <w:tc>
          <w:tcPr>
            <w:tcW w:w="3440" w:type="dxa"/>
            <w:vAlign w:val="bottom"/>
            <w:shd w:val="clear" w:color="auto" w:fill="CFF0FC"/>
          </w:tcPr>
          <w:p>
            <w:pPr>
              <w:spacing w:after="0"/>
              <w:rPr>
                <w:sz w:val="16"/>
                <w:szCs w:val="16"/>
                <w:color w:val="auto"/>
              </w:rPr>
            </w:pPr>
          </w:p>
        </w:tc>
        <w:tc>
          <w:tcPr>
            <w:tcW w:w="7800" w:type="dxa"/>
            <w:vAlign w:val="bottom"/>
            <w:shd w:val="clear" w:color="auto" w:fill="CFF0FC"/>
          </w:tcPr>
          <w:p>
            <w:pPr>
              <w:ind w:left="280"/>
              <w:spacing w:after="0"/>
              <w:rPr>
                <w:sz w:val="20"/>
                <w:szCs w:val="20"/>
                <w:color w:val="auto"/>
              </w:rPr>
            </w:pPr>
            <w:r>
              <w:rPr>
                <w:rFonts w:ascii="Arial" w:cs="Arial" w:eastAsia="Arial" w:hAnsi="Arial"/>
                <w:sz w:val="16"/>
                <w:szCs w:val="16"/>
                <w:color w:val="auto"/>
              </w:rPr>
              <w:t>(200 MW). Black Hills Colorado IPP operates this facility. The plants commenced operation on January</w:t>
            </w:r>
          </w:p>
        </w:tc>
      </w:tr>
      <w:tr>
        <w:trPr>
          <w:trHeight w:val="203"/>
        </w:trPr>
        <w:tc>
          <w:tcPr>
            <w:tcW w:w="3440" w:type="dxa"/>
            <w:vAlign w:val="bottom"/>
            <w:shd w:val="clear" w:color="auto" w:fill="CFF0FC"/>
          </w:tcPr>
          <w:p>
            <w:pPr>
              <w:spacing w:after="0"/>
              <w:rPr>
                <w:sz w:val="17"/>
                <w:szCs w:val="17"/>
                <w:color w:val="auto"/>
              </w:rPr>
            </w:pPr>
          </w:p>
        </w:tc>
        <w:tc>
          <w:tcPr>
            <w:tcW w:w="7800" w:type="dxa"/>
            <w:vAlign w:val="bottom"/>
            <w:shd w:val="clear" w:color="auto" w:fill="CFF0FC"/>
          </w:tcPr>
          <w:p>
            <w:pPr>
              <w:ind w:left="280"/>
              <w:spacing w:after="0"/>
              <w:rPr>
                <w:sz w:val="20"/>
                <w:szCs w:val="20"/>
                <w:color w:val="auto"/>
              </w:rPr>
            </w:pPr>
            <w:r>
              <w:rPr>
                <w:rFonts w:ascii="Arial" w:cs="Arial" w:eastAsia="Arial" w:hAnsi="Arial"/>
                <w:sz w:val="16"/>
                <w:szCs w:val="16"/>
                <w:color w:val="auto"/>
              </w:rPr>
              <w:t>1, 2012.</w:t>
            </w:r>
          </w:p>
        </w:tc>
      </w:tr>
      <w:tr>
        <w:trPr>
          <w:trHeight w:val="175"/>
        </w:trPr>
        <w:tc>
          <w:tcPr>
            <w:tcW w:w="3440" w:type="dxa"/>
            <w:vAlign w:val="bottom"/>
          </w:tcPr>
          <w:p>
            <w:pPr>
              <w:spacing w:after="0" w:line="175" w:lineRule="exact"/>
              <w:rPr>
                <w:sz w:val="20"/>
                <w:szCs w:val="20"/>
                <w:color w:val="auto"/>
              </w:rPr>
            </w:pPr>
            <w:r>
              <w:rPr>
                <w:rFonts w:ascii="Arial" w:cs="Arial" w:eastAsia="Arial" w:hAnsi="Arial"/>
                <w:sz w:val="16"/>
                <w:szCs w:val="16"/>
                <w:color w:val="auto"/>
              </w:rPr>
              <w:t>Ready Wyoming</w:t>
            </w:r>
          </w:p>
        </w:tc>
        <w:tc>
          <w:tcPr>
            <w:tcW w:w="7800" w:type="dxa"/>
            <w:vAlign w:val="bottom"/>
          </w:tcPr>
          <w:p>
            <w:pPr>
              <w:ind w:left="280"/>
              <w:spacing w:after="0" w:line="175" w:lineRule="exact"/>
              <w:rPr>
                <w:sz w:val="20"/>
                <w:szCs w:val="20"/>
                <w:color w:val="auto"/>
              </w:rPr>
            </w:pPr>
            <w:r>
              <w:rPr>
                <w:rFonts w:ascii="Arial" w:cs="Arial" w:eastAsia="Arial" w:hAnsi="Arial"/>
                <w:sz w:val="16"/>
                <w:szCs w:val="16"/>
                <w:color w:val="auto"/>
              </w:rPr>
              <w:t>A 260-mile, multi-phase transmission expansion project in Wyoming. This transmission project is</w:t>
            </w:r>
          </w:p>
        </w:tc>
      </w:tr>
      <w:tr>
        <w:trPr>
          <w:trHeight w:val="189"/>
        </w:trPr>
        <w:tc>
          <w:tcPr>
            <w:tcW w:w="3440" w:type="dxa"/>
            <w:vAlign w:val="bottom"/>
          </w:tcPr>
          <w:p>
            <w:pPr>
              <w:spacing w:after="0"/>
              <w:rPr>
                <w:sz w:val="16"/>
                <w:szCs w:val="16"/>
                <w:color w:val="auto"/>
              </w:rPr>
            </w:pPr>
          </w:p>
        </w:tc>
        <w:tc>
          <w:tcPr>
            <w:tcW w:w="7800" w:type="dxa"/>
            <w:vAlign w:val="bottom"/>
          </w:tcPr>
          <w:p>
            <w:pPr>
              <w:ind w:left="280"/>
              <w:spacing w:after="0"/>
              <w:rPr>
                <w:sz w:val="20"/>
                <w:szCs w:val="20"/>
                <w:color w:val="auto"/>
              </w:rPr>
            </w:pPr>
            <w:r>
              <w:rPr>
                <w:rFonts w:ascii="Arial" w:cs="Arial" w:eastAsia="Arial" w:hAnsi="Arial"/>
                <w:sz w:val="16"/>
                <w:szCs w:val="16"/>
                <w:color w:val="auto"/>
              </w:rPr>
              <w:t>expected to serve the growing needs of customers by enhancing resiliency of Wyoming Electric’s overall</w:t>
            </w:r>
          </w:p>
        </w:tc>
      </w:tr>
      <w:tr>
        <w:trPr>
          <w:trHeight w:val="189"/>
        </w:trPr>
        <w:tc>
          <w:tcPr>
            <w:tcW w:w="3440" w:type="dxa"/>
            <w:vAlign w:val="bottom"/>
          </w:tcPr>
          <w:p>
            <w:pPr>
              <w:spacing w:after="0"/>
              <w:rPr>
                <w:sz w:val="16"/>
                <w:szCs w:val="16"/>
                <w:color w:val="auto"/>
              </w:rPr>
            </w:pPr>
          </w:p>
        </w:tc>
        <w:tc>
          <w:tcPr>
            <w:tcW w:w="7800" w:type="dxa"/>
            <w:vAlign w:val="bottom"/>
          </w:tcPr>
          <w:p>
            <w:pPr>
              <w:ind w:left="280"/>
              <w:spacing w:after="0"/>
              <w:rPr>
                <w:sz w:val="20"/>
                <w:szCs w:val="20"/>
                <w:color w:val="auto"/>
              </w:rPr>
            </w:pPr>
            <w:r>
              <w:rPr>
                <w:rFonts w:ascii="Arial" w:cs="Arial" w:eastAsia="Arial" w:hAnsi="Arial"/>
                <w:sz w:val="16"/>
                <w:szCs w:val="16"/>
                <w:color w:val="auto"/>
              </w:rPr>
              <w:t>electric system and expanding access to power markets and renewable resources. The project is</w:t>
            </w:r>
          </w:p>
        </w:tc>
      </w:tr>
      <w:tr>
        <w:trPr>
          <w:trHeight w:val="189"/>
        </w:trPr>
        <w:tc>
          <w:tcPr>
            <w:tcW w:w="3440" w:type="dxa"/>
            <w:vAlign w:val="bottom"/>
          </w:tcPr>
          <w:p>
            <w:pPr>
              <w:spacing w:after="0"/>
              <w:rPr>
                <w:sz w:val="16"/>
                <w:szCs w:val="16"/>
                <w:color w:val="auto"/>
              </w:rPr>
            </w:pPr>
          </w:p>
        </w:tc>
        <w:tc>
          <w:tcPr>
            <w:tcW w:w="7800" w:type="dxa"/>
            <w:vAlign w:val="bottom"/>
          </w:tcPr>
          <w:p>
            <w:pPr>
              <w:ind w:left="280"/>
              <w:spacing w:after="0"/>
              <w:rPr>
                <w:sz w:val="20"/>
                <w:szCs w:val="20"/>
                <w:color w:val="auto"/>
              </w:rPr>
            </w:pPr>
            <w:r>
              <w:rPr>
                <w:rFonts w:ascii="Arial" w:cs="Arial" w:eastAsia="Arial" w:hAnsi="Arial"/>
                <w:sz w:val="16"/>
                <w:szCs w:val="16"/>
                <w:color w:val="auto"/>
              </w:rPr>
              <w:t>expected to help Wyoming Electric maintain top-quartile reliability and enable economic development in</w:t>
            </w:r>
          </w:p>
        </w:tc>
      </w:tr>
      <w:tr>
        <w:trPr>
          <w:trHeight w:val="203"/>
        </w:trPr>
        <w:tc>
          <w:tcPr>
            <w:tcW w:w="3440" w:type="dxa"/>
            <w:vAlign w:val="bottom"/>
          </w:tcPr>
          <w:p>
            <w:pPr>
              <w:spacing w:after="0"/>
              <w:rPr>
                <w:sz w:val="17"/>
                <w:szCs w:val="17"/>
                <w:color w:val="auto"/>
              </w:rPr>
            </w:pPr>
          </w:p>
        </w:tc>
        <w:tc>
          <w:tcPr>
            <w:tcW w:w="7800" w:type="dxa"/>
            <w:vAlign w:val="bottom"/>
          </w:tcPr>
          <w:p>
            <w:pPr>
              <w:ind w:left="280"/>
              <w:spacing w:after="0"/>
              <w:rPr>
                <w:sz w:val="20"/>
                <w:szCs w:val="20"/>
                <w:color w:val="auto"/>
              </w:rPr>
            </w:pPr>
            <w:r>
              <w:rPr>
                <w:rFonts w:ascii="Arial" w:cs="Arial" w:eastAsia="Arial" w:hAnsi="Arial"/>
                <w:sz w:val="16"/>
                <w:szCs w:val="16"/>
                <w:color w:val="auto"/>
              </w:rPr>
              <w:t>the Cheyenne, Wyoming region.</w:t>
            </w:r>
          </w:p>
        </w:tc>
      </w:tr>
      <w:tr>
        <w:trPr>
          <w:trHeight w:val="175"/>
        </w:trPr>
        <w:tc>
          <w:tcPr>
            <w:tcW w:w="3440" w:type="dxa"/>
            <w:vAlign w:val="bottom"/>
            <w:shd w:val="clear" w:color="auto" w:fill="CFF0FC"/>
          </w:tcPr>
          <w:p>
            <w:pPr>
              <w:spacing w:after="0" w:line="175" w:lineRule="exact"/>
              <w:rPr>
                <w:sz w:val="20"/>
                <w:szCs w:val="20"/>
                <w:color w:val="auto"/>
              </w:rPr>
            </w:pPr>
            <w:r>
              <w:rPr>
                <w:rFonts w:ascii="Arial" w:cs="Arial" w:eastAsia="Arial" w:hAnsi="Arial"/>
                <w:sz w:val="16"/>
                <w:szCs w:val="16"/>
                <w:color w:val="auto"/>
              </w:rPr>
              <w:t>RESA</w:t>
            </w:r>
          </w:p>
        </w:tc>
        <w:tc>
          <w:tcPr>
            <w:tcW w:w="7800" w:type="dxa"/>
            <w:vAlign w:val="bottom"/>
            <w:shd w:val="clear" w:color="auto" w:fill="CFF0FC"/>
          </w:tcPr>
          <w:p>
            <w:pPr>
              <w:ind w:left="280"/>
              <w:spacing w:after="0" w:line="175" w:lineRule="exact"/>
              <w:rPr>
                <w:sz w:val="20"/>
                <w:szCs w:val="20"/>
                <w:color w:val="auto"/>
              </w:rPr>
            </w:pPr>
            <w:r>
              <w:rPr>
                <w:rFonts w:ascii="Arial" w:cs="Arial" w:eastAsia="Arial" w:hAnsi="Arial"/>
                <w:sz w:val="16"/>
                <w:szCs w:val="16"/>
                <w:color w:val="auto"/>
              </w:rPr>
              <w:t>Renewable Energy Standard Adjustment is an incremental retail rate limited to 1.5% for Colorado</w:t>
            </w:r>
          </w:p>
        </w:tc>
      </w:tr>
      <w:tr>
        <w:trPr>
          <w:trHeight w:val="189"/>
        </w:trPr>
        <w:tc>
          <w:tcPr>
            <w:tcW w:w="3440" w:type="dxa"/>
            <w:vAlign w:val="bottom"/>
            <w:shd w:val="clear" w:color="auto" w:fill="CFF0FC"/>
          </w:tcPr>
          <w:p>
            <w:pPr>
              <w:spacing w:after="0"/>
              <w:rPr>
                <w:sz w:val="16"/>
                <w:szCs w:val="16"/>
                <w:color w:val="auto"/>
              </w:rPr>
            </w:pPr>
          </w:p>
        </w:tc>
        <w:tc>
          <w:tcPr>
            <w:tcW w:w="7800" w:type="dxa"/>
            <w:vAlign w:val="bottom"/>
            <w:shd w:val="clear" w:color="auto" w:fill="CFF0FC"/>
          </w:tcPr>
          <w:p>
            <w:pPr>
              <w:ind w:left="280"/>
              <w:spacing w:after="0"/>
              <w:rPr>
                <w:sz w:val="20"/>
                <w:szCs w:val="20"/>
                <w:color w:val="auto"/>
              </w:rPr>
            </w:pPr>
            <w:r>
              <w:rPr>
                <w:rFonts w:ascii="Arial" w:cs="Arial" w:eastAsia="Arial" w:hAnsi="Arial"/>
                <w:sz w:val="16"/>
                <w:szCs w:val="16"/>
                <w:color w:val="auto"/>
              </w:rPr>
              <w:t>Electric customers that provides funding for renewable energy projects and programs to comply with</w:t>
            </w:r>
          </w:p>
        </w:tc>
      </w:tr>
      <w:tr>
        <w:trPr>
          <w:trHeight w:val="203"/>
        </w:trPr>
        <w:tc>
          <w:tcPr>
            <w:tcW w:w="3440" w:type="dxa"/>
            <w:vAlign w:val="bottom"/>
            <w:shd w:val="clear" w:color="auto" w:fill="CFF0FC"/>
          </w:tcPr>
          <w:p>
            <w:pPr>
              <w:spacing w:after="0"/>
              <w:rPr>
                <w:sz w:val="17"/>
                <w:szCs w:val="17"/>
                <w:color w:val="auto"/>
              </w:rPr>
            </w:pPr>
          </w:p>
        </w:tc>
        <w:tc>
          <w:tcPr>
            <w:tcW w:w="7800" w:type="dxa"/>
            <w:vAlign w:val="bottom"/>
            <w:shd w:val="clear" w:color="auto" w:fill="CFF0FC"/>
          </w:tcPr>
          <w:p>
            <w:pPr>
              <w:ind w:left="280"/>
              <w:spacing w:after="0"/>
              <w:rPr>
                <w:sz w:val="20"/>
                <w:szCs w:val="20"/>
                <w:color w:val="auto"/>
              </w:rPr>
            </w:pPr>
            <w:r>
              <w:rPr>
                <w:rFonts w:ascii="Arial" w:cs="Arial" w:eastAsia="Arial" w:hAnsi="Arial"/>
                <w:sz w:val="16"/>
                <w:szCs w:val="16"/>
                <w:color w:val="auto"/>
              </w:rPr>
              <w:t>Colorado’s Renewable Energy Standard.</w:t>
            </w:r>
          </w:p>
        </w:tc>
      </w:tr>
      <w:tr>
        <w:trPr>
          <w:trHeight w:val="175"/>
        </w:trPr>
        <w:tc>
          <w:tcPr>
            <w:tcW w:w="3440" w:type="dxa"/>
            <w:vAlign w:val="bottom"/>
          </w:tcPr>
          <w:p>
            <w:pPr>
              <w:spacing w:after="0" w:line="175" w:lineRule="exact"/>
              <w:rPr>
                <w:sz w:val="20"/>
                <w:szCs w:val="20"/>
                <w:color w:val="auto"/>
              </w:rPr>
            </w:pPr>
            <w:r>
              <w:rPr>
                <w:rFonts w:ascii="Arial" w:cs="Arial" w:eastAsia="Arial" w:hAnsi="Arial"/>
                <w:sz w:val="16"/>
                <w:szCs w:val="16"/>
                <w:color w:val="auto"/>
              </w:rPr>
              <w:t>Revolving Credit Facility</w:t>
            </w:r>
          </w:p>
        </w:tc>
        <w:tc>
          <w:tcPr>
            <w:tcW w:w="7800" w:type="dxa"/>
            <w:vAlign w:val="bottom"/>
          </w:tcPr>
          <w:p>
            <w:pPr>
              <w:ind w:left="280"/>
              <w:spacing w:after="0" w:line="175" w:lineRule="exact"/>
              <w:rPr>
                <w:sz w:val="20"/>
                <w:szCs w:val="20"/>
                <w:color w:val="auto"/>
              </w:rPr>
            </w:pPr>
            <w:r>
              <w:rPr>
                <w:rFonts w:ascii="Arial" w:cs="Arial" w:eastAsia="Arial" w:hAnsi="Arial"/>
                <w:sz w:val="16"/>
                <w:szCs w:val="16"/>
                <w:color w:val="auto"/>
              </w:rPr>
              <w:t>Our $750 million credit facility used to fund working capital needs, letters of credit and other corporate</w:t>
            </w:r>
          </w:p>
        </w:tc>
      </w:tr>
      <w:tr>
        <w:trPr>
          <w:trHeight w:val="189"/>
        </w:trPr>
        <w:tc>
          <w:tcPr>
            <w:tcW w:w="3440" w:type="dxa"/>
            <w:vAlign w:val="bottom"/>
          </w:tcPr>
          <w:p>
            <w:pPr>
              <w:spacing w:after="0"/>
              <w:rPr>
                <w:sz w:val="16"/>
                <w:szCs w:val="16"/>
                <w:color w:val="auto"/>
              </w:rPr>
            </w:pPr>
          </w:p>
        </w:tc>
        <w:tc>
          <w:tcPr>
            <w:tcW w:w="7800" w:type="dxa"/>
            <w:vAlign w:val="bottom"/>
          </w:tcPr>
          <w:p>
            <w:pPr>
              <w:ind w:left="280"/>
              <w:spacing w:after="0"/>
              <w:rPr>
                <w:sz w:val="20"/>
                <w:szCs w:val="20"/>
                <w:color w:val="auto"/>
              </w:rPr>
            </w:pPr>
            <w:r>
              <w:rPr>
                <w:rFonts w:ascii="Arial" w:cs="Arial" w:eastAsia="Arial" w:hAnsi="Arial"/>
                <w:sz w:val="16"/>
                <w:szCs w:val="16"/>
                <w:color w:val="auto"/>
              </w:rPr>
              <w:t>purposes, which was amended on May 31, 2024, and will terminate on May 31, 2030. This facility</w:t>
            </w:r>
          </w:p>
        </w:tc>
      </w:tr>
      <w:tr>
        <w:trPr>
          <w:trHeight w:val="189"/>
        </w:trPr>
        <w:tc>
          <w:tcPr>
            <w:tcW w:w="3440" w:type="dxa"/>
            <w:vAlign w:val="bottom"/>
          </w:tcPr>
          <w:p>
            <w:pPr>
              <w:spacing w:after="0"/>
              <w:rPr>
                <w:sz w:val="16"/>
                <w:szCs w:val="16"/>
                <w:color w:val="auto"/>
              </w:rPr>
            </w:pPr>
          </w:p>
        </w:tc>
        <w:tc>
          <w:tcPr>
            <w:tcW w:w="7800" w:type="dxa"/>
            <w:vAlign w:val="bottom"/>
          </w:tcPr>
          <w:p>
            <w:pPr>
              <w:ind w:left="280"/>
              <w:spacing w:after="0"/>
              <w:rPr>
                <w:sz w:val="20"/>
                <w:szCs w:val="20"/>
                <w:color w:val="auto"/>
              </w:rPr>
            </w:pPr>
            <w:r>
              <w:rPr>
                <w:rFonts w:ascii="Arial" w:cs="Arial" w:eastAsia="Arial" w:hAnsi="Arial"/>
                <w:sz w:val="16"/>
                <w:szCs w:val="16"/>
                <w:color w:val="auto"/>
              </w:rPr>
              <w:t>includes an accordion feature that allows us to increase total commitments up to $1.0 billion with the</w:t>
            </w:r>
          </w:p>
        </w:tc>
      </w:tr>
      <w:tr>
        <w:trPr>
          <w:trHeight w:val="189"/>
        </w:trPr>
        <w:tc>
          <w:tcPr>
            <w:tcW w:w="3440" w:type="dxa"/>
            <w:vAlign w:val="bottom"/>
          </w:tcPr>
          <w:p>
            <w:pPr>
              <w:spacing w:after="0"/>
              <w:rPr>
                <w:sz w:val="16"/>
                <w:szCs w:val="16"/>
                <w:color w:val="auto"/>
              </w:rPr>
            </w:pPr>
          </w:p>
        </w:tc>
        <w:tc>
          <w:tcPr>
            <w:tcW w:w="7800" w:type="dxa"/>
            <w:vAlign w:val="bottom"/>
          </w:tcPr>
          <w:p>
            <w:pPr>
              <w:ind w:left="280"/>
              <w:spacing w:after="0"/>
              <w:rPr>
                <w:sz w:val="20"/>
                <w:szCs w:val="20"/>
                <w:color w:val="auto"/>
              </w:rPr>
            </w:pPr>
            <w:r>
              <w:rPr>
                <w:rFonts w:ascii="Arial" w:cs="Arial" w:eastAsia="Arial" w:hAnsi="Arial"/>
                <w:sz w:val="16"/>
                <w:szCs w:val="16"/>
                <w:color w:val="auto"/>
              </w:rPr>
              <w:t>consent of the administrative agent, the issuing agents and each bank increasing or providing a new</w:t>
            </w:r>
          </w:p>
        </w:tc>
      </w:tr>
      <w:tr>
        <w:trPr>
          <w:trHeight w:val="203"/>
        </w:trPr>
        <w:tc>
          <w:tcPr>
            <w:tcW w:w="3440" w:type="dxa"/>
            <w:vAlign w:val="bottom"/>
          </w:tcPr>
          <w:p>
            <w:pPr>
              <w:spacing w:after="0"/>
              <w:rPr>
                <w:sz w:val="17"/>
                <w:szCs w:val="17"/>
                <w:color w:val="auto"/>
              </w:rPr>
            </w:pPr>
          </w:p>
        </w:tc>
        <w:tc>
          <w:tcPr>
            <w:tcW w:w="7800" w:type="dxa"/>
            <w:vAlign w:val="bottom"/>
          </w:tcPr>
          <w:p>
            <w:pPr>
              <w:ind w:left="280"/>
              <w:spacing w:after="0"/>
              <w:rPr>
                <w:sz w:val="20"/>
                <w:szCs w:val="20"/>
                <w:color w:val="auto"/>
              </w:rPr>
            </w:pPr>
            <w:r>
              <w:rPr>
                <w:rFonts w:ascii="Arial" w:cs="Arial" w:eastAsia="Arial" w:hAnsi="Arial"/>
                <w:sz w:val="16"/>
                <w:szCs w:val="16"/>
                <w:color w:val="auto"/>
              </w:rPr>
              <w:t>commitment.</w:t>
            </w:r>
          </w:p>
        </w:tc>
      </w:tr>
      <w:tr>
        <w:trPr>
          <w:trHeight w:val="189"/>
        </w:trPr>
        <w:tc>
          <w:tcPr>
            <w:tcW w:w="3440" w:type="dxa"/>
            <w:vAlign w:val="bottom"/>
            <w:shd w:val="clear" w:color="auto" w:fill="CFF0FC"/>
          </w:tcPr>
          <w:p>
            <w:pPr>
              <w:spacing w:after="0"/>
              <w:rPr>
                <w:sz w:val="20"/>
                <w:szCs w:val="20"/>
                <w:color w:val="auto"/>
              </w:rPr>
            </w:pPr>
            <w:r>
              <w:rPr>
                <w:rFonts w:ascii="Arial" w:cs="Arial" w:eastAsia="Arial" w:hAnsi="Arial"/>
                <w:sz w:val="16"/>
                <w:szCs w:val="16"/>
                <w:color w:val="auto"/>
              </w:rPr>
              <w:t>RNG</w:t>
            </w:r>
          </w:p>
        </w:tc>
        <w:tc>
          <w:tcPr>
            <w:tcW w:w="7800" w:type="dxa"/>
            <w:vAlign w:val="bottom"/>
            <w:shd w:val="clear" w:color="auto" w:fill="CFF0FC"/>
          </w:tcPr>
          <w:p>
            <w:pPr>
              <w:ind w:left="280"/>
              <w:spacing w:after="0"/>
              <w:rPr>
                <w:sz w:val="20"/>
                <w:szCs w:val="20"/>
                <w:color w:val="auto"/>
              </w:rPr>
            </w:pPr>
            <w:r>
              <w:rPr>
                <w:rFonts w:ascii="Arial" w:cs="Arial" w:eastAsia="Arial" w:hAnsi="Arial"/>
                <w:sz w:val="16"/>
                <w:szCs w:val="16"/>
                <w:color w:val="auto"/>
              </w:rPr>
              <w:t>Renewable natural gas</w:t>
            </w:r>
          </w:p>
        </w:tc>
      </w:tr>
      <w:tr>
        <w:trPr>
          <w:trHeight w:val="189"/>
        </w:trPr>
        <w:tc>
          <w:tcPr>
            <w:tcW w:w="3440" w:type="dxa"/>
            <w:vAlign w:val="bottom"/>
          </w:tcPr>
          <w:p>
            <w:pPr>
              <w:spacing w:after="0"/>
              <w:rPr>
                <w:sz w:val="20"/>
                <w:szCs w:val="20"/>
                <w:color w:val="auto"/>
              </w:rPr>
            </w:pPr>
            <w:r>
              <w:rPr>
                <w:rFonts w:ascii="Arial" w:cs="Arial" w:eastAsia="Arial" w:hAnsi="Arial"/>
                <w:sz w:val="16"/>
                <w:szCs w:val="16"/>
                <w:color w:val="auto"/>
              </w:rPr>
              <w:t>SEC</w:t>
            </w:r>
          </w:p>
        </w:tc>
        <w:tc>
          <w:tcPr>
            <w:tcW w:w="7800" w:type="dxa"/>
            <w:vAlign w:val="bottom"/>
          </w:tcPr>
          <w:p>
            <w:pPr>
              <w:ind w:left="280"/>
              <w:spacing w:after="0"/>
              <w:rPr>
                <w:sz w:val="20"/>
                <w:szCs w:val="20"/>
                <w:color w:val="auto"/>
              </w:rPr>
            </w:pPr>
            <w:r>
              <w:rPr>
                <w:rFonts w:ascii="Arial" w:cs="Arial" w:eastAsia="Arial" w:hAnsi="Arial"/>
                <w:sz w:val="16"/>
                <w:szCs w:val="16"/>
                <w:color w:val="auto"/>
              </w:rPr>
              <w:t>United States Securities and Exchange Commission</w:t>
            </w:r>
          </w:p>
        </w:tc>
      </w:tr>
      <w:tr>
        <w:trPr>
          <w:trHeight w:val="175"/>
        </w:trPr>
        <w:tc>
          <w:tcPr>
            <w:tcW w:w="3440" w:type="dxa"/>
            <w:vAlign w:val="bottom"/>
            <w:shd w:val="clear" w:color="auto" w:fill="CFF0FC"/>
          </w:tcPr>
          <w:p>
            <w:pPr>
              <w:spacing w:after="0" w:line="175" w:lineRule="exact"/>
              <w:rPr>
                <w:sz w:val="20"/>
                <w:szCs w:val="20"/>
                <w:color w:val="auto"/>
              </w:rPr>
            </w:pPr>
            <w:r>
              <w:rPr>
                <w:rFonts w:ascii="Arial" w:cs="Arial" w:eastAsia="Arial" w:hAnsi="Arial"/>
                <w:sz w:val="16"/>
                <w:szCs w:val="16"/>
                <w:color w:val="auto"/>
              </w:rPr>
              <w:t>Service Guard Comfort Plan</w:t>
            </w:r>
          </w:p>
        </w:tc>
        <w:tc>
          <w:tcPr>
            <w:tcW w:w="7800" w:type="dxa"/>
            <w:vAlign w:val="bottom"/>
            <w:shd w:val="clear" w:color="auto" w:fill="CFF0FC"/>
          </w:tcPr>
          <w:p>
            <w:pPr>
              <w:ind w:left="280"/>
              <w:spacing w:after="0" w:line="175" w:lineRule="exact"/>
              <w:rPr>
                <w:sz w:val="20"/>
                <w:szCs w:val="20"/>
                <w:color w:val="auto"/>
              </w:rPr>
            </w:pPr>
            <w:r>
              <w:rPr>
                <w:rFonts w:ascii="Arial" w:cs="Arial" w:eastAsia="Arial" w:hAnsi="Arial"/>
                <w:sz w:val="16"/>
                <w:szCs w:val="16"/>
                <w:color w:val="auto"/>
              </w:rPr>
              <w:t>Appliance protection plan that provides home appliance repair services through on-going monthly</w:t>
            </w:r>
          </w:p>
        </w:tc>
      </w:tr>
      <w:tr>
        <w:trPr>
          <w:trHeight w:val="203"/>
        </w:trPr>
        <w:tc>
          <w:tcPr>
            <w:tcW w:w="3440" w:type="dxa"/>
            <w:vAlign w:val="bottom"/>
            <w:shd w:val="clear" w:color="auto" w:fill="CFF0FC"/>
          </w:tcPr>
          <w:p>
            <w:pPr>
              <w:spacing w:after="0"/>
              <w:rPr>
                <w:sz w:val="17"/>
                <w:szCs w:val="17"/>
                <w:color w:val="auto"/>
              </w:rPr>
            </w:pPr>
          </w:p>
        </w:tc>
        <w:tc>
          <w:tcPr>
            <w:tcW w:w="7800" w:type="dxa"/>
            <w:vAlign w:val="bottom"/>
            <w:shd w:val="clear" w:color="auto" w:fill="CFF0FC"/>
          </w:tcPr>
          <w:p>
            <w:pPr>
              <w:ind w:left="280"/>
              <w:spacing w:after="0"/>
              <w:rPr>
                <w:sz w:val="20"/>
                <w:szCs w:val="20"/>
                <w:color w:val="auto"/>
              </w:rPr>
            </w:pPr>
            <w:r>
              <w:rPr>
                <w:rFonts w:ascii="Arial" w:cs="Arial" w:eastAsia="Arial" w:hAnsi="Arial"/>
                <w:sz w:val="16"/>
                <w:szCs w:val="16"/>
                <w:color w:val="auto"/>
              </w:rPr>
              <w:t>service agreements to residential utility customers.</w:t>
            </w:r>
          </w:p>
        </w:tc>
      </w:tr>
      <w:tr>
        <w:trPr>
          <w:trHeight w:val="189"/>
        </w:trPr>
        <w:tc>
          <w:tcPr>
            <w:tcW w:w="3440" w:type="dxa"/>
            <w:vAlign w:val="bottom"/>
          </w:tcPr>
          <w:p>
            <w:pPr>
              <w:spacing w:after="0"/>
              <w:rPr>
                <w:sz w:val="20"/>
                <w:szCs w:val="20"/>
                <w:color w:val="auto"/>
              </w:rPr>
            </w:pPr>
            <w:r>
              <w:rPr>
                <w:rFonts w:ascii="Arial" w:cs="Arial" w:eastAsia="Arial" w:hAnsi="Arial"/>
                <w:sz w:val="16"/>
                <w:szCs w:val="16"/>
                <w:color w:val="auto"/>
              </w:rPr>
              <w:t>S&amp;P</w:t>
            </w:r>
          </w:p>
        </w:tc>
        <w:tc>
          <w:tcPr>
            <w:tcW w:w="7800" w:type="dxa"/>
            <w:vAlign w:val="bottom"/>
          </w:tcPr>
          <w:p>
            <w:pPr>
              <w:ind w:left="280"/>
              <w:spacing w:after="0"/>
              <w:rPr>
                <w:sz w:val="20"/>
                <w:szCs w:val="20"/>
                <w:color w:val="auto"/>
              </w:rPr>
            </w:pPr>
            <w:r>
              <w:rPr>
                <w:rFonts w:ascii="Arial" w:cs="Arial" w:eastAsia="Arial" w:hAnsi="Arial"/>
                <w:sz w:val="16"/>
                <w:szCs w:val="16"/>
                <w:color w:val="auto"/>
              </w:rPr>
              <w:t>S&amp;P Global Ratings, a division of S&amp;P Global Inc.</w:t>
            </w:r>
          </w:p>
        </w:tc>
      </w:tr>
      <w:tr>
        <w:trPr>
          <w:trHeight w:val="175"/>
        </w:trPr>
        <w:tc>
          <w:tcPr>
            <w:tcW w:w="3440" w:type="dxa"/>
            <w:vAlign w:val="bottom"/>
            <w:shd w:val="clear" w:color="auto" w:fill="CFF0FC"/>
          </w:tcPr>
          <w:p>
            <w:pPr>
              <w:spacing w:after="0" w:line="175" w:lineRule="exact"/>
              <w:rPr>
                <w:sz w:val="20"/>
                <w:szCs w:val="20"/>
                <w:color w:val="auto"/>
              </w:rPr>
            </w:pPr>
            <w:r>
              <w:rPr>
                <w:rFonts w:ascii="Arial" w:cs="Arial" w:eastAsia="Arial" w:hAnsi="Arial"/>
                <w:sz w:val="16"/>
                <w:szCs w:val="16"/>
                <w:color w:val="auto"/>
              </w:rPr>
              <w:t>South Dakota Electric</w:t>
            </w:r>
          </w:p>
        </w:tc>
        <w:tc>
          <w:tcPr>
            <w:tcW w:w="7800" w:type="dxa"/>
            <w:vAlign w:val="bottom"/>
            <w:shd w:val="clear" w:color="auto" w:fill="CFF0FC"/>
          </w:tcPr>
          <w:p>
            <w:pPr>
              <w:ind w:left="280"/>
              <w:spacing w:after="0" w:line="175" w:lineRule="exact"/>
              <w:rPr>
                <w:sz w:val="20"/>
                <w:szCs w:val="20"/>
                <w:color w:val="auto"/>
              </w:rPr>
            </w:pPr>
            <w:r>
              <w:rPr>
                <w:rFonts w:ascii="Arial" w:cs="Arial" w:eastAsia="Arial" w:hAnsi="Arial"/>
                <w:sz w:val="16"/>
                <w:szCs w:val="16"/>
                <w:color w:val="auto"/>
              </w:rPr>
              <w:t>Black Hills Power, Inc., a direct, wholly-owned subsidiary of Black Hills Corporation, providing electric</w:t>
            </w:r>
          </w:p>
        </w:tc>
      </w:tr>
      <w:tr>
        <w:trPr>
          <w:trHeight w:val="203"/>
        </w:trPr>
        <w:tc>
          <w:tcPr>
            <w:tcW w:w="3440" w:type="dxa"/>
            <w:vAlign w:val="bottom"/>
            <w:shd w:val="clear" w:color="auto" w:fill="CFF0FC"/>
          </w:tcPr>
          <w:p>
            <w:pPr>
              <w:spacing w:after="0"/>
              <w:rPr>
                <w:sz w:val="17"/>
                <w:szCs w:val="17"/>
                <w:color w:val="auto"/>
              </w:rPr>
            </w:pPr>
          </w:p>
        </w:tc>
        <w:tc>
          <w:tcPr>
            <w:tcW w:w="7800" w:type="dxa"/>
            <w:vAlign w:val="bottom"/>
            <w:shd w:val="clear" w:color="auto" w:fill="CFF0FC"/>
          </w:tcPr>
          <w:p>
            <w:pPr>
              <w:ind w:left="280"/>
              <w:spacing w:after="0"/>
              <w:rPr>
                <w:sz w:val="20"/>
                <w:szCs w:val="20"/>
                <w:color w:val="auto"/>
              </w:rPr>
            </w:pPr>
            <w:r>
              <w:rPr>
                <w:rFonts w:ascii="Arial" w:cs="Arial" w:eastAsia="Arial" w:hAnsi="Arial"/>
                <w:sz w:val="16"/>
                <w:szCs w:val="16"/>
                <w:color w:val="auto"/>
              </w:rPr>
              <w:t>service to customers in Montana, South Dakota and Wyoming (doing business as Black Hills Energy).</w:t>
            </w:r>
          </w:p>
        </w:tc>
      </w:tr>
      <w:tr>
        <w:trPr>
          <w:trHeight w:val="215"/>
        </w:trPr>
        <w:tc>
          <w:tcPr>
            <w:tcW w:w="3440" w:type="dxa"/>
            <w:vAlign w:val="bottom"/>
          </w:tcPr>
          <w:p>
            <w:pPr>
              <w:spacing w:after="0"/>
              <w:rPr>
                <w:sz w:val="18"/>
                <w:szCs w:val="18"/>
                <w:color w:val="auto"/>
              </w:rPr>
            </w:pPr>
          </w:p>
        </w:tc>
        <w:tc>
          <w:tcPr>
            <w:tcW w:w="7800" w:type="dxa"/>
            <w:vAlign w:val="bottom"/>
          </w:tcPr>
          <w:p>
            <w:pPr>
              <w:ind w:left="2140"/>
              <w:spacing w:after="0"/>
              <w:rPr>
                <w:sz w:val="20"/>
                <w:szCs w:val="20"/>
                <w:color w:val="auto"/>
              </w:rPr>
            </w:pPr>
            <w:r>
              <w:rPr>
                <w:rFonts w:ascii="Arial" w:cs="Arial" w:eastAsia="Arial" w:hAnsi="Arial"/>
                <w:sz w:val="16"/>
                <w:szCs w:val="16"/>
                <w:color w:val="auto"/>
              </w:rPr>
              <w:t>5</w:t>
            </w:r>
          </w:p>
        </w:tc>
      </w:tr>
      <w:tr>
        <w:trPr>
          <w:trHeight w:val="737"/>
        </w:trPr>
        <w:tc>
          <w:tcPr>
            <w:tcW w:w="3440" w:type="dxa"/>
            <w:vAlign w:val="bottom"/>
            <w:tcBorders>
              <w:bottom w:val="single" w:sz="8" w:color="9A9A9A"/>
            </w:tcBorders>
          </w:tcPr>
          <w:p>
            <w:pPr>
              <w:spacing w:after="0"/>
              <w:rPr>
                <w:sz w:val="24"/>
                <w:szCs w:val="24"/>
                <w:color w:val="auto"/>
              </w:rPr>
            </w:pPr>
          </w:p>
        </w:tc>
        <w:tc>
          <w:tcPr>
            <w:tcW w:w="7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640" w:type="dxa"/>
            <w:vAlign w:val="bottom"/>
          </w:tcPr>
          <w:p>
            <w:pPr>
              <w:spacing w:after="0"/>
              <w:rPr>
                <w:sz w:val="20"/>
                <w:szCs w:val="20"/>
                <w:color w:val="auto"/>
              </w:rPr>
            </w:pPr>
            <w:r>
              <w:rPr>
                <w:rFonts w:ascii="Arial" w:cs="Arial" w:eastAsia="Arial" w:hAnsi="Arial"/>
                <w:sz w:val="16"/>
                <w:szCs w:val="16"/>
                <w:color w:val="auto"/>
              </w:rPr>
              <w:t>TCAM</w:t>
            </w:r>
          </w:p>
        </w:tc>
        <w:tc>
          <w:tcPr>
            <w:tcW w:w="8600" w:type="dxa"/>
            <w:vAlign w:val="bottom"/>
          </w:tcPr>
          <w:p>
            <w:pPr>
              <w:ind w:left="1080"/>
              <w:spacing w:after="0"/>
              <w:rPr>
                <w:sz w:val="20"/>
                <w:szCs w:val="20"/>
                <w:color w:val="auto"/>
              </w:rPr>
            </w:pPr>
            <w:r>
              <w:rPr>
                <w:rFonts w:ascii="Arial" w:cs="Arial" w:eastAsia="Arial" w:hAnsi="Arial"/>
                <w:sz w:val="16"/>
                <w:szCs w:val="16"/>
                <w:color w:val="auto"/>
              </w:rPr>
              <w:t>Transmission Cost Adjustment Mechanism is a WPSC-approved tariff based on a formulaic approach</w:t>
            </w:r>
          </w:p>
        </w:tc>
      </w:tr>
      <w:tr>
        <w:trPr>
          <w:trHeight w:val="203"/>
        </w:trPr>
        <w:tc>
          <w:tcPr>
            <w:tcW w:w="2640" w:type="dxa"/>
            <w:vAlign w:val="bottom"/>
          </w:tcPr>
          <w:p>
            <w:pPr>
              <w:spacing w:after="0"/>
              <w:rPr>
                <w:sz w:val="17"/>
                <w:szCs w:val="17"/>
                <w:color w:val="auto"/>
              </w:rPr>
            </w:pPr>
          </w:p>
        </w:tc>
        <w:tc>
          <w:tcPr>
            <w:tcW w:w="8600" w:type="dxa"/>
            <w:vAlign w:val="bottom"/>
          </w:tcPr>
          <w:p>
            <w:pPr>
              <w:ind w:left="1080"/>
              <w:spacing w:after="0"/>
              <w:rPr>
                <w:sz w:val="20"/>
                <w:szCs w:val="20"/>
                <w:color w:val="auto"/>
              </w:rPr>
            </w:pPr>
            <w:r>
              <w:rPr>
                <w:rFonts w:ascii="Arial" w:cs="Arial" w:eastAsia="Arial" w:hAnsi="Arial"/>
                <w:sz w:val="16"/>
                <w:szCs w:val="16"/>
                <w:color w:val="auto"/>
              </w:rPr>
              <w:t>that determines the recovery of Wyoming Electric's transmission costs.</w:t>
            </w:r>
          </w:p>
        </w:tc>
      </w:tr>
      <w:tr>
        <w:trPr>
          <w:trHeight w:val="175"/>
        </w:trPr>
        <w:tc>
          <w:tcPr>
            <w:tcW w:w="2640" w:type="dxa"/>
            <w:vAlign w:val="bottom"/>
            <w:shd w:val="clear" w:color="auto" w:fill="CFF0FC"/>
          </w:tcPr>
          <w:p>
            <w:pPr>
              <w:spacing w:after="0" w:line="175" w:lineRule="exact"/>
              <w:rPr>
                <w:sz w:val="20"/>
                <w:szCs w:val="20"/>
                <w:color w:val="auto"/>
              </w:rPr>
            </w:pPr>
            <w:r>
              <w:rPr>
                <w:rFonts w:ascii="Arial" w:cs="Arial" w:eastAsia="Arial" w:hAnsi="Arial"/>
                <w:sz w:val="16"/>
                <w:szCs w:val="16"/>
                <w:color w:val="auto"/>
              </w:rPr>
              <w:t>TCJA</w:t>
            </w:r>
          </w:p>
        </w:tc>
        <w:tc>
          <w:tcPr>
            <w:tcW w:w="8600" w:type="dxa"/>
            <w:vAlign w:val="bottom"/>
            <w:shd w:val="clear" w:color="auto" w:fill="CFF0FC"/>
          </w:tcPr>
          <w:p>
            <w:pPr>
              <w:ind w:left="1080"/>
              <w:spacing w:after="0" w:line="175" w:lineRule="exact"/>
              <w:rPr>
                <w:sz w:val="20"/>
                <w:szCs w:val="20"/>
                <w:color w:val="auto"/>
              </w:rPr>
            </w:pPr>
            <w:r>
              <w:rPr>
                <w:rFonts w:ascii="Arial" w:cs="Arial" w:eastAsia="Arial" w:hAnsi="Arial"/>
                <w:sz w:val="16"/>
                <w:szCs w:val="16"/>
                <w:color w:val="auto"/>
              </w:rPr>
              <w:t>Tax Cuts and Jobs Act enacted on December 22, 2017, which reduced the U.S. federal corporate tax</w:t>
            </w:r>
          </w:p>
        </w:tc>
      </w:tr>
      <w:tr>
        <w:trPr>
          <w:trHeight w:val="189"/>
        </w:trPr>
        <w:tc>
          <w:tcPr>
            <w:tcW w:w="2640" w:type="dxa"/>
            <w:vAlign w:val="bottom"/>
            <w:shd w:val="clear" w:color="auto" w:fill="CFF0FC"/>
          </w:tcPr>
          <w:p>
            <w:pPr>
              <w:spacing w:after="0"/>
              <w:rPr>
                <w:sz w:val="16"/>
                <w:szCs w:val="16"/>
                <w:color w:val="auto"/>
              </w:rPr>
            </w:pPr>
          </w:p>
        </w:tc>
        <w:tc>
          <w:tcPr>
            <w:tcW w:w="8600" w:type="dxa"/>
            <w:vAlign w:val="bottom"/>
            <w:shd w:val="clear" w:color="auto" w:fill="CFF0FC"/>
          </w:tcPr>
          <w:p>
            <w:pPr>
              <w:ind w:left="1080"/>
              <w:spacing w:after="0"/>
              <w:rPr>
                <w:sz w:val="20"/>
                <w:szCs w:val="20"/>
                <w:color w:val="auto"/>
              </w:rPr>
            </w:pPr>
            <w:r>
              <w:rPr>
                <w:rFonts w:ascii="Arial" w:cs="Arial" w:eastAsia="Arial" w:hAnsi="Arial"/>
                <w:sz w:val="16"/>
                <w:szCs w:val="16"/>
                <w:color w:val="auto"/>
              </w:rPr>
              <w:t>rate from 35% to 21%. As such, we remeasured our deferred income taxes at the 21% federal tax rate</w:t>
            </w:r>
          </w:p>
        </w:tc>
      </w:tr>
      <w:tr>
        <w:trPr>
          <w:trHeight w:val="203"/>
        </w:trPr>
        <w:tc>
          <w:tcPr>
            <w:tcW w:w="2640" w:type="dxa"/>
            <w:vAlign w:val="bottom"/>
            <w:shd w:val="clear" w:color="auto" w:fill="CFF0FC"/>
          </w:tcPr>
          <w:p>
            <w:pPr>
              <w:spacing w:after="0"/>
              <w:rPr>
                <w:sz w:val="17"/>
                <w:szCs w:val="17"/>
                <w:color w:val="auto"/>
              </w:rPr>
            </w:pPr>
          </w:p>
        </w:tc>
        <w:tc>
          <w:tcPr>
            <w:tcW w:w="8600" w:type="dxa"/>
            <w:vAlign w:val="bottom"/>
            <w:shd w:val="clear" w:color="auto" w:fill="CFF0FC"/>
          </w:tcPr>
          <w:p>
            <w:pPr>
              <w:ind w:left="1080"/>
              <w:spacing w:after="0"/>
              <w:rPr>
                <w:sz w:val="20"/>
                <w:szCs w:val="20"/>
                <w:color w:val="auto"/>
              </w:rPr>
            </w:pPr>
            <w:r>
              <w:rPr>
                <w:rFonts w:ascii="Arial" w:cs="Arial" w:eastAsia="Arial" w:hAnsi="Arial"/>
                <w:sz w:val="16"/>
                <w:szCs w:val="16"/>
                <w:color w:val="auto"/>
              </w:rPr>
              <w:t>as of December 31, 2017.</w:t>
            </w:r>
          </w:p>
        </w:tc>
      </w:tr>
      <w:tr>
        <w:trPr>
          <w:trHeight w:val="175"/>
        </w:trPr>
        <w:tc>
          <w:tcPr>
            <w:tcW w:w="2640" w:type="dxa"/>
            <w:vAlign w:val="bottom"/>
          </w:tcPr>
          <w:p>
            <w:pPr>
              <w:spacing w:after="0" w:line="175" w:lineRule="exact"/>
              <w:rPr>
                <w:sz w:val="20"/>
                <w:szCs w:val="20"/>
                <w:color w:val="auto"/>
              </w:rPr>
            </w:pPr>
            <w:r>
              <w:rPr>
                <w:rFonts w:ascii="Arial" w:cs="Arial" w:eastAsia="Arial" w:hAnsi="Arial"/>
                <w:sz w:val="16"/>
                <w:szCs w:val="16"/>
                <w:color w:val="auto"/>
              </w:rPr>
              <w:t>Tech Services</w:t>
            </w:r>
          </w:p>
        </w:tc>
        <w:tc>
          <w:tcPr>
            <w:tcW w:w="8600" w:type="dxa"/>
            <w:vAlign w:val="bottom"/>
          </w:tcPr>
          <w:p>
            <w:pPr>
              <w:ind w:left="1080"/>
              <w:spacing w:after="0" w:line="175" w:lineRule="exact"/>
              <w:rPr>
                <w:sz w:val="20"/>
                <w:szCs w:val="20"/>
                <w:color w:val="auto"/>
              </w:rPr>
            </w:pPr>
            <w:r>
              <w:rPr>
                <w:rFonts w:ascii="Arial" w:cs="Arial" w:eastAsia="Arial" w:hAnsi="Arial"/>
                <w:sz w:val="16"/>
                <w:szCs w:val="16"/>
                <w:color w:val="auto"/>
              </w:rPr>
              <w:t>Non-regulated product lines delivered by our Utilities that 1) provide electrical system construction</w:t>
            </w:r>
          </w:p>
        </w:tc>
      </w:tr>
      <w:tr>
        <w:trPr>
          <w:trHeight w:val="189"/>
        </w:trPr>
        <w:tc>
          <w:tcPr>
            <w:tcW w:w="2640" w:type="dxa"/>
            <w:vAlign w:val="bottom"/>
          </w:tcPr>
          <w:p>
            <w:pPr>
              <w:spacing w:after="0"/>
              <w:rPr>
                <w:sz w:val="16"/>
                <w:szCs w:val="16"/>
                <w:color w:val="auto"/>
              </w:rPr>
            </w:pPr>
          </w:p>
        </w:tc>
        <w:tc>
          <w:tcPr>
            <w:tcW w:w="8600" w:type="dxa"/>
            <w:vAlign w:val="bottom"/>
          </w:tcPr>
          <w:p>
            <w:pPr>
              <w:ind w:left="1080"/>
              <w:spacing w:after="0"/>
              <w:rPr>
                <w:sz w:val="20"/>
                <w:szCs w:val="20"/>
                <w:color w:val="auto"/>
              </w:rPr>
            </w:pPr>
            <w:r>
              <w:rPr>
                <w:rFonts w:ascii="Arial" w:cs="Arial" w:eastAsia="Arial" w:hAnsi="Arial"/>
                <w:sz w:val="16"/>
                <w:szCs w:val="16"/>
                <w:color w:val="auto"/>
              </w:rPr>
              <w:t>services to large industrial customers of our Electric Utilities, and 2) serve gas transportation customers</w:t>
            </w:r>
          </w:p>
        </w:tc>
      </w:tr>
      <w:tr>
        <w:trPr>
          <w:trHeight w:val="189"/>
        </w:trPr>
        <w:tc>
          <w:tcPr>
            <w:tcW w:w="2640" w:type="dxa"/>
            <w:vAlign w:val="bottom"/>
          </w:tcPr>
          <w:p>
            <w:pPr>
              <w:spacing w:after="0"/>
              <w:rPr>
                <w:sz w:val="16"/>
                <w:szCs w:val="16"/>
                <w:color w:val="auto"/>
              </w:rPr>
            </w:pPr>
          </w:p>
        </w:tc>
        <w:tc>
          <w:tcPr>
            <w:tcW w:w="8600" w:type="dxa"/>
            <w:vAlign w:val="bottom"/>
          </w:tcPr>
          <w:p>
            <w:pPr>
              <w:ind w:left="1080"/>
              <w:spacing w:after="0"/>
              <w:rPr>
                <w:sz w:val="20"/>
                <w:szCs w:val="20"/>
                <w:color w:val="auto"/>
              </w:rPr>
            </w:pPr>
            <w:r>
              <w:rPr>
                <w:rFonts w:ascii="Arial" w:cs="Arial" w:eastAsia="Arial" w:hAnsi="Arial"/>
                <w:sz w:val="16"/>
                <w:szCs w:val="16"/>
                <w:color w:val="auto"/>
              </w:rPr>
              <w:t>throughout its service territory by constructing and maintaining customer-owned gas infrastructure</w:t>
            </w:r>
          </w:p>
        </w:tc>
      </w:tr>
      <w:tr>
        <w:trPr>
          <w:trHeight w:val="203"/>
        </w:trPr>
        <w:tc>
          <w:tcPr>
            <w:tcW w:w="2640" w:type="dxa"/>
            <w:vAlign w:val="bottom"/>
          </w:tcPr>
          <w:p>
            <w:pPr>
              <w:spacing w:after="0"/>
              <w:rPr>
                <w:sz w:val="17"/>
                <w:szCs w:val="17"/>
                <w:color w:val="auto"/>
              </w:rPr>
            </w:pPr>
          </w:p>
        </w:tc>
        <w:tc>
          <w:tcPr>
            <w:tcW w:w="8600" w:type="dxa"/>
            <w:vAlign w:val="bottom"/>
          </w:tcPr>
          <w:p>
            <w:pPr>
              <w:ind w:left="1080"/>
              <w:spacing w:after="0"/>
              <w:rPr>
                <w:sz w:val="20"/>
                <w:szCs w:val="20"/>
                <w:color w:val="auto"/>
              </w:rPr>
            </w:pPr>
            <w:r>
              <w:rPr>
                <w:rFonts w:ascii="Arial" w:cs="Arial" w:eastAsia="Arial" w:hAnsi="Arial"/>
                <w:sz w:val="16"/>
                <w:szCs w:val="16"/>
                <w:color w:val="auto"/>
              </w:rPr>
              <w:t>facilities, typically through one-time contracts.</w:t>
            </w:r>
          </w:p>
        </w:tc>
      </w:tr>
      <w:tr>
        <w:trPr>
          <w:trHeight w:val="189"/>
        </w:trPr>
        <w:tc>
          <w:tcPr>
            <w:tcW w:w="2640" w:type="dxa"/>
            <w:vAlign w:val="bottom"/>
            <w:shd w:val="clear" w:color="auto" w:fill="CFF0FC"/>
          </w:tcPr>
          <w:p>
            <w:pPr>
              <w:spacing w:after="0"/>
              <w:rPr>
                <w:sz w:val="20"/>
                <w:szCs w:val="20"/>
                <w:color w:val="auto"/>
              </w:rPr>
            </w:pPr>
            <w:r>
              <w:rPr>
                <w:rFonts w:ascii="Arial" w:cs="Arial" w:eastAsia="Arial" w:hAnsi="Arial"/>
                <w:sz w:val="16"/>
                <w:szCs w:val="16"/>
                <w:color w:val="auto"/>
              </w:rPr>
              <w:t>Utilities</w:t>
            </w:r>
          </w:p>
        </w:tc>
        <w:tc>
          <w:tcPr>
            <w:tcW w:w="8600" w:type="dxa"/>
            <w:vAlign w:val="bottom"/>
            <w:shd w:val="clear" w:color="auto" w:fill="CFF0FC"/>
          </w:tcPr>
          <w:p>
            <w:pPr>
              <w:ind w:left="1080"/>
              <w:spacing w:after="0"/>
              <w:rPr>
                <w:sz w:val="20"/>
                <w:szCs w:val="20"/>
                <w:color w:val="auto"/>
              </w:rPr>
            </w:pPr>
            <w:r>
              <w:rPr>
                <w:rFonts w:ascii="Arial" w:cs="Arial" w:eastAsia="Arial" w:hAnsi="Arial"/>
                <w:sz w:val="16"/>
                <w:szCs w:val="16"/>
                <w:color w:val="auto"/>
              </w:rPr>
              <w:t>Black Hills' Electric and Gas Utilities</w:t>
            </w:r>
          </w:p>
        </w:tc>
      </w:tr>
      <w:tr>
        <w:trPr>
          <w:trHeight w:val="175"/>
        </w:trPr>
        <w:tc>
          <w:tcPr>
            <w:tcW w:w="2640" w:type="dxa"/>
            <w:vAlign w:val="bottom"/>
          </w:tcPr>
          <w:p>
            <w:pPr>
              <w:spacing w:after="0" w:line="175" w:lineRule="exact"/>
              <w:rPr>
                <w:sz w:val="20"/>
                <w:szCs w:val="20"/>
                <w:color w:val="auto"/>
              </w:rPr>
            </w:pPr>
            <w:r>
              <w:rPr>
                <w:rFonts w:ascii="Arial" w:cs="Arial" w:eastAsia="Arial" w:hAnsi="Arial"/>
                <w:sz w:val="16"/>
                <w:szCs w:val="16"/>
                <w:color w:val="auto"/>
              </w:rPr>
              <w:t>Wind Capacity Factor</w:t>
            </w:r>
          </w:p>
        </w:tc>
        <w:tc>
          <w:tcPr>
            <w:tcW w:w="8600" w:type="dxa"/>
            <w:vAlign w:val="bottom"/>
          </w:tcPr>
          <w:p>
            <w:pPr>
              <w:ind w:left="1080"/>
              <w:spacing w:after="0" w:line="175" w:lineRule="exact"/>
              <w:rPr>
                <w:sz w:val="20"/>
                <w:szCs w:val="20"/>
                <w:color w:val="auto"/>
              </w:rPr>
            </w:pPr>
            <w:r>
              <w:rPr>
                <w:rFonts w:ascii="Arial" w:cs="Arial" w:eastAsia="Arial" w:hAnsi="Arial"/>
                <w:sz w:val="16"/>
                <w:szCs w:val="16"/>
                <w:color w:val="auto"/>
              </w:rPr>
              <w:t>Measures the amount of electricity a wind turbine produces in a given time period relative to its</w:t>
            </w:r>
          </w:p>
        </w:tc>
      </w:tr>
      <w:tr>
        <w:trPr>
          <w:trHeight w:val="203"/>
        </w:trPr>
        <w:tc>
          <w:tcPr>
            <w:tcW w:w="2640" w:type="dxa"/>
            <w:vAlign w:val="bottom"/>
          </w:tcPr>
          <w:p>
            <w:pPr>
              <w:spacing w:after="0"/>
              <w:rPr>
                <w:sz w:val="17"/>
                <w:szCs w:val="17"/>
                <w:color w:val="auto"/>
              </w:rPr>
            </w:pPr>
          </w:p>
        </w:tc>
        <w:tc>
          <w:tcPr>
            <w:tcW w:w="8600" w:type="dxa"/>
            <w:vAlign w:val="bottom"/>
          </w:tcPr>
          <w:p>
            <w:pPr>
              <w:ind w:left="1080"/>
              <w:spacing w:after="0"/>
              <w:rPr>
                <w:sz w:val="20"/>
                <w:szCs w:val="20"/>
                <w:color w:val="auto"/>
              </w:rPr>
            </w:pPr>
            <w:r>
              <w:rPr>
                <w:rFonts w:ascii="Arial" w:cs="Arial" w:eastAsia="Arial" w:hAnsi="Arial"/>
                <w:sz w:val="16"/>
                <w:szCs w:val="16"/>
                <w:color w:val="auto"/>
              </w:rPr>
              <w:t>maximum potential.</w:t>
            </w:r>
          </w:p>
        </w:tc>
      </w:tr>
      <w:tr>
        <w:trPr>
          <w:trHeight w:val="175"/>
        </w:trPr>
        <w:tc>
          <w:tcPr>
            <w:tcW w:w="2640" w:type="dxa"/>
            <w:vAlign w:val="bottom"/>
            <w:shd w:val="clear" w:color="auto" w:fill="CFF0FC"/>
          </w:tcPr>
          <w:p>
            <w:pPr>
              <w:spacing w:after="0" w:line="175" w:lineRule="exact"/>
              <w:rPr>
                <w:sz w:val="20"/>
                <w:szCs w:val="20"/>
                <w:color w:val="auto"/>
              </w:rPr>
            </w:pPr>
            <w:r>
              <w:rPr>
                <w:rFonts w:ascii="Arial" w:cs="Arial" w:eastAsia="Arial" w:hAnsi="Arial"/>
                <w:sz w:val="16"/>
                <w:szCs w:val="16"/>
                <w:color w:val="auto"/>
              </w:rPr>
              <w:t>Winter Storm Uri</w:t>
            </w:r>
          </w:p>
        </w:tc>
        <w:tc>
          <w:tcPr>
            <w:tcW w:w="8600" w:type="dxa"/>
            <w:vAlign w:val="bottom"/>
            <w:shd w:val="clear" w:color="auto" w:fill="CFF0FC"/>
          </w:tcPr>
          <w:p>
            <w:pPr>
              <w:ind w:left="1080"/>
              <w:spacing w:after="0" w:line="175" w:lineRule="exact"/>
              <w:rPr>
                <w:sz w:val="20"/>
                <w:szCs w:val="20"/>
                <w:color w:val="auto"/>
              </w:rPr>
            </w:pPr>
            <w:r>
              <w:rPr>
                <w:rFonts w:ascii="Arial" w:cs="Arial" w:eastAsia="Arial" w:hAnsi="Arial"/>
                <w:sz w:val="16"/>
                <w:szCs w:val="16"/>
                <w:color w:val="auto"/>
              </w:rPr>
              <w:t>February 2021 winter weather event that caused extreme cold temperatures in the central United States</w:t>
            </w:r>
          </w:p>
        </w:tc>
      </w:tr>
      <w:tr>
        <w:trPr>
          <w:trHeight w:val="189"/>
        </w:trPr>
        <w:tc>
          <w:tcPr>
            <w:tcW w:w="2640" w:type="dxa"/>
            <w:vAlign w:val="bottom"/>
            <w:shd w:val="clear" w:color="auto" w:fill="CFF0FC"/>
          </w:tcPr>
          <w:p>
            <w:pPr>
              <w:spacing w:after="0"/>
              <w:rPr>
                <w:sz w:val="16"/>
                <w:szCs w:val="16"/>
                <w:color w:val="auto"/>
              </w:rPr>
            </w:pPr>
          </w:p>
        </w:tc>
        <w:tc>
          <w:tcPr>
            <w:tcW w:w="8600" w:type="dxa"/>
            <w:vAlign w:val="bottom"/>
            <w:shd w:val="clear" w:color="auto" w:fill="CFF0FC"/>
          </w:tcPr>
          <w:p>
            <w:pPr>
              <w:ind w:left="1080"/>
              <w:spacing w:after="0"/>
              <w:rPr>
                <w:sz w:val="20"/>
                <w:szCs w:val="20"/>
                <w:color w:val="auto"/>
              </w:rPr>
            </w:pPr>
            <w:r>
              <w:rPr>
                <w:rFonts w:ascii="Arial" w:cs="Arial" w:eastAsia="Arial" w:hAnsi="Arial"/>
                <w:sz w:val="16"/>
                <w:szCs w:val="16"/>
                <w:color w:val="auto"/>
              </w:rPr>
              <w:t>and led to unprecedented fluctuations in customer demand and market pricing for natural gas and</w:t>
            </w:r>
          </w:p>
        </w:tc>
      </w:tr>
      <w:tr>
        <w:trPr>
          <w:trHeight w:val="203"/>
        </w:trPr>
        <w:tc>
          <w:tcPr>
            <w:tcW w:w="2640" w:type="dxa"/>
            <w:vAlign w:val="bottom"/>
            <w:shd w:val="clear" w:color="auto" w:fill="CFF0FC"/>
          </w:tcPr>
          <w:p>
            <w:pPr>
              <w:spacing w:after="0"/>
              <w:rPr>
                <w:sz w:val="17"/>
                <w:szCs w:val="17"/>
                <w:color w:val="auto"/>
              </w:rPr>
            </w:pPr>
          </w:p>
        </w:tc>
        <w:tc>
          <w:tcPr>
            <w:tcW w:w="8600" w:type="dxa"/>
            <w:vAlign w:val="bottom"/>
            <w:shd w:val="clear" w:color="auto" w:fill="CFF0FC"/>
          </w:tcPr>
          <w:p>
            <w:pPr>
              <w:ind w:left="1080"/>
              <w:spacing w:after="0"/>
              <w:rPr>
                <w:sz w:val="20"/>
                <w:szCs w:val="20"/>
                <w:color w:val="auto"/>
              </w:rPr>
            </w:pPr>
            <w:r>
              <w:rPr>
                <w:rFonts w:ascii="Arial" w:cs="Arial" w:eastAsia="Arial" w:hAnsi="Arial"/>
                <w:sz w:val="16"/>
                <w:szCs w:val="16"/>
                <w:color w:val="auto"/>
              </w:rPr>
              <w:t>energy.</w:t>
            </w:r>
          </w:p>
        </w:tc>
      </w:tr>
      <w:tr>
        <w:trPr>
          <w:trHeight w:val="189"/>
        </w:trPr>
        <w:tc>
          <w:tcPr>
            <w:tcW w:w="2640" w:type="dxa"/>
            <w:vAlign w:val="bottom"/>
          </w:tcPr>
          <w:p>
            <w:pPr>
              <w:spacing w:after="0"/>
              <w:rPr>
                <w:sz w:val="20"/>
                <w:szCs w:val="20"/>
                <w:color w:val="auto"/>
              </w:rPr>
            </w:pPr>
            <w:r>
              <w:rPr>
                <w:rFonts w:ascii="Arial" w:cs="Arial" w:eastAsia="Arial" w:hAnsi="Arial"/>
                <w:sz w:val="16"/>
                <w:szCs w:val="16"/>
                <w:color w:val="auto"/>
              </w:rPr>
              <w:t>WPSC</w:t>
            </w:r>
          </w:p>
        </w:tc>
        <w:tc>
          <w:tcPr>
            <w:tcW w:w="8600" w:type="dxa"/>
            <w:vAlign w:val="bottom"/>
          </w:tcPr>
          <w:p>
            <w:pPr>
              <w:ind w:left="1080"/>
              <w:spacing w:after="0"/>
              <w:rPr>
                <w:sz w:val="20"/>
                <w:szCs w:val="20"/>
                <w:color w:val="auto"/>
              </w:rPr>
            </w:pPr>
            <w:r>
              <w:rPr>
                <w:rFonts w:ascii="Arial" w:cs="Arial" w:eastAsia="Arial" w:hAnsi="Arial"/>
                <w:sz w:val="16"/>
                <w:szCs w:val="16"/>
                <w:color w:val="auto"/>
              </w:rPr>
              <w:t>Wyoming Public Service Commission</w:t>
            </w:r>
          </w:p>
        </w:tc>
      </w:tr>
      <w:tr>
        <w:trPr>
          <w:trHeight w:val="175"/>
        </w:trPr>
        <w:tc>
          <w:tcPr>
            <w:tcW w:w="2640" w:type="dxa"/>
            <w:vAlign w:val="bottom"/>
            <w:shd w:val="clear" w:color="auto" w:fill="CFF0FC"/>
          </w:tcPr>
          <w:p>
            <w:pPr>
              <w:spacing w:after="0" w:line="175" w:lineRule="exact"/>
              <w:rPr>
                <w:sz w:val="20"/>
                <w:szCs w:val="20"/>
                <w:color w:val="auto"/>
              </w:rPr>
            </w:pPr>
            <w:r>
              <w:rPr>
                <w:rFonts w:ascii="Arial" w:cs="Arial" w:eastAsia="Arial" w:hAnsi="Arial"/>
                <w:sz w:val="16"/>
                <w:szCs w:val="16"/>
                <w:color w:val="auto"/>
              </w:rPr>
              <w:t>WRDC</w:t>
            </w:r>
          </w:p>
        </w:tc>
        <w:tc>
          <w:tcPr>
            <w:tcW w:w="8600" w:type="dxa"/>
            <w:vAlign w:val="bottom"/>
            <w:shd w:val="clear" w:color="auto" w:fill="CFF0FC"/>
          </w:tcPr>
          <w:p>
            <w:pPr>
              <w:ind w:left="1080"/>
              <w:spacing w:after="0" w:line="175" w:lineRule="exact"/>
              <w:rPr>
                <w:sz w:val="20"/>
                <w:szCs w:val="20"/>
                <w:color w:val="auto"/>
              </w:rPr>
            </w:pPr>
            <w:r>
              <w:rPr>
                <w:rFonts w:ascii="Arial" w:cs="Arial" w:eastAsia="Arial" w:hAnsi="Arial"/>
                <w:sz w:val="16"/>
                <w:szCs w:val="16"/>
                <w:color w:val="auto"/>
              </w:rPr>
              <w:t>Wyodak Resources Development Corp., a coal mine which is a direct, wholly-owned subsidiary of Black</w:t>
            </w:r>
          </w:p>
        </w:tc>
      </w:tr>
      <w:tr>
        <w:trPr>
          <w:trHeight w:val="189"/>
        </w:trPr>
        <w:tc>
          <w:tcPr>
            <w:tcW w:w="2640" w:type="dxa"/>
            <w:vAlign w:val="bottom"/>
            <w:shd w:val="clear" w:color="auto" w:fill="CFF0FC"/>
          </w:tcPr>
          <w:p>
            <w:pPr>
              <w:spacing w:after="0"/>
              <w:rPr>
                <w:sz w:val="16"/>
                <w:szCs w:val="16"/>
                <w:color w:val="auto"/>
              </w:rPr>
            </w:pPr>
          </w:p>
        </w:tc>
        <w:tc>
          <w:tcPr>
            <w:tcW w:w="8600" w:type="dxa"/>
            <w:vAlign w:val="bottom"/>
            <w:shd w:val="clear" w:color="auto" w:fill="CFF0FC"/>
          </w:tcPr>
          <w:p>
            <w:pPr>
              <w:ind w:left="1080"/>
              <w:spacing w:after="0"/>
              <w:rPr>
                <w:sz w:val="20"/>
                <w:szCs w:val="20"/>
                <w:color w:val="auto"/>
              </w:rPr>
            </w:pPr>
            <w:r>
              <w:rPr>
                <w:rFonts w:ascii="Arial" w:cs="Arial" w:eastAsia="Arial" w:hAnsi="Arial"/>
                <w:sz w:val="16"/>
                <w:szCs w:val="16"/>
                <w:color w:val="auto"/>
              </w:rPr>
              <w:t>Hills Non-regulated Holdings, providing coal supply primarily to five on-site, mine-mouth generating</w:t>
            </w:r>
          </w:p>
        </w:tc>
      </w:tr>
      <w:tr>
        <w:trPr>
          <w:trHeight w:val="203"/>
        </w:trPr>
        <w:tc>
          <w:tcPr>
            <w:tcW w:w="2640" w:type="dxa"/>
            <w:vAlign w:val="bottom"/>
            <w:shd w:val="clear" w:color="auto" w:fill="CFF0FC"/>
          </w:tcPr>
          <w:p>
            <w:pPr>
              <w:spacing w:after="0"/>
              <w:rPr>
                <w:sz w:val="17"/>
                <w:szCs w:val="17"/>
                <w:color w:val="auto"/>
              </w:rPr>
            </w:pPr>
          </w:p>
        </w:tc>
        <w:tc>
          <w:tcPr>
            <w:tcW w:w="8600" w:type="dxa"/>
            <w:vAlign w:val="bottom"/>
            <w:shd w:val="clear" w:color="auto" w:fill="CFF0FC"/>
          </w:tcPr>
          <w:p>
            <w:pPr>
              <w:ind w:left="1080"/>
              <w:spacing w:after="0"/>
              <w:rPr>
                <w:sz w:val="20"/>
                <w:szCs w:val="20"/>
                <w:color w:val="auto"/>
              </w:rPr>
            </w:pPr>
            <w:r>
              <w:rPr>
                <w:rFonts w:ascii="Arial" w:cs="Arial" w:eastAsia="Arial" w:hAnsi="Arial"/>
                <w:sz w:val="16"/>
                <w:szCs w:val="16"/>
                <w:color w:val="auto"/>
              </w:rPr>
              <w:t>facilities at our Gillette Energy Complex (doing business as Black Hills Energy).</w:t>
            </w:r>
          </w:p>
        </w:tc>
      </w:tr>
      <w:tr>
        <w:trPr>
          <w:trHeight w:val="175"/>
        </w:trPr>
        <w:tc>
          <w:tcPr>
            <w:tcW w:w="2640" w:type="dxa"/>
            <w:vAlign w:val="bottom"/>
          </w:tcPr>
          <w:p>
            <w:pPr>
              <w:spacing w:after="0" w:line="175" w:lineRule="exact"/>
              <w:rPr>
                <w:sz w:val="20"/>
                <w:szCs w:val="20"/>
                <w:color w:val="auto"/>
              </w:rPr>
            </w:pPr>
            <w:r>
              <w:rPr>
                <w:rFonts w:ascii="Arial" w:cs="Arial" w:eastAsia="Arial" w:hAnsi="Arial"/>
                <w:sz w:val="16"/>
                <w:szCs w:val="16"/>
                <w:color w:val="auto"/>
              </w:rPr>
              <w:t>Wygen I</w:t>
            </w:r>
          </w:p>
        </w:tc>
        <w:tc>
          <w:tcPr>
            <w:tcW w:w="8600" w:type="dxa"/>
            <w:vAlign w:val="bottom"/>
          </w:tcPr>
          <w:p>
            <w:pPr>
              <w:ind w:left="1080"/>
              <w:spacing w:after="0" w:line="175" w:lineRule="exact"/>
              <w:rPr>
                <w:sz w:val="20"/>
                <w:szCs w:val="20"/>
                <w:color w:val="auto"/>
              </w:rPr>
            </w:pPr>
            <w:r>
              <w:rPr>
                <w:rFonts w:ascii="Arial" w:cs="Arial" w:eastAsia="Arial" w:hAnsi="Arial"/>
                <w:sz w:val="16"/>
                <w:szCs w:val="16"/>
                <w:color w:val="auto"/>
              </w:rPr>
              <w:t>A mine-mouth, coal-fired generating facility with a total capacity of 90 MW located at our Gillette Energy</w:t>
            </w:r>
          </w:p>
        </w:tc>
      </w:tr>
      <w:tr>
        <w:trPr>
          <w:trHeight w:val="189"/>
        </w:trPr>
        <w:tc>
          <w:tcPr>
            <w:tcW w:w="2640" w:type="dxa"/>
            <w:vAlign w:val="bottom"/>
          </w:tcPr>
          <w:p>
            <w:pPr>
              <w:spacing w:after="0"/>
              <w:rPr>
                <w:sz w:val="16"/>
                <w:szCs w:val="16"/>
                <w:color w:val="auto"/>
              </w:rPr>
            </w:pPr>
          </w:p>
        </w:tc>
        <w:tc>
          <w:tcPr>
            <w:tcW w:w="8600" w:type="dxa"/>
            <w:vAlign w:val="bottom"/>
          </w:tcPr>
          <w:p>
            <w:pPr>
              <w:ind w:left="1080"/>
              <w:spacing w:after="0"/>
              <w:rPr>
                <w:sz w:val="20"/>
                <w:szCs w:val="20"/>
                <w:color w:val="auto"/>
              </w:rPr>
            </w:pPr>
            <w:r>
              <w:rPr>
                <w:rFonts w:ascii="Arial" w:cs="Arial" w:eastAsia="Arial" w:hAnsi="Arial"/>
                <w:sz w:val="16"/>
                <w:szCs w:val="16"/>
                <w:color w:val="auto"/>
              </w:rPr>
              <w:t>Complex. Black Hills Wyoming owns 76.5% of the facility and Municipal Energy Agency of Nebraska</w:t>
            </w:r>
          </w:p>
        </w:tc>
      </w:tr>
      <w:tr>
        <w:trPr>
          <w:trHeight w:val="203"/>
        </w:trPr>
        <w:tc>
          <w:tcPr>
            <w:tcW w:w="2640" w:type="dxa"/>
            <w:vAlign w:val="bottom"/>
          </w:tcPr>
          <w:p>
            <w:pPr>
              <w:spacing w:after="0"/>
              <w:rPr>
                <w:sz w:val="17"/>
                <w:szCs w:val="17"/>
                <w:color w:val="auto"/>
              </w:rPr>
            </w:pPr>
          </w:p>
        </w:tc>
        <w:tc>
          <w:tcPr>
            <w:tcW w:w="8600" w:type="dxa"/>
            <w:vAlign w:val="bottom"/>
          </w:tcPr>
          <w:p>
            <w:pPr>
              <w:ind w:left="1080"/>
              <w:spacing w:after="0"/>
              <w:rPr>
                <w:sz w:val="20"/>
                <w:szCs w:val="20"/>
                <w:color w:val="auto"/>
              </w:rPr>
            </w:pPr>
            <w:r>
              <w:rPr>
                <w:rFonts w:ascii="Arial" w:cs="Arial" w:eastAsia="Arial" w:hAnsi="Arial"/>
                <w:sz w:val="16"/>
                <w:szCs w:val="16"/>
                <w:color w:val="auto"/>
              </w:rPr>
              <w:t>(MEAN) owns the remaining 23.5%.</w:t>
            </w:r>
          </w:p>
        </w:tc>
      </w:tr>
      <w:tr>
        <w:trPr>
          <w:trHeight w:val="175"/>
        </w:trPr>
        <w:tc>
          <w:tcPr>
            <w:tcW w:w="2640" w:type="dxa"/>
            <w:vAlign w:val="bottom"/>
            <w:shd w:val="clear" w:color="auto" w:fill="CFF0FC"/>
          </w:tcPr>
          <w:p>
            <w:pPr>
              <w:spacing w:after="0" w:line="175" w:lineRule="exact"/>
              <w:rPr>
                <w:sz w:val="20"/>
                <w:szCs w:val="20"/>
                <w:color w:val="auto"/>
              </w:rPr>
            </w:pPr>
            <w:r>
              <w:rPr>
                <w:rFonts w:ascii="Arial" w:cs="Arial" w:eastAsia="Arial" w:hAnsi="Arial"/>
                <w:sz w:val="16"/>
                <w:szCs w:val="16"/>
                <w:color w:val="auto"/>
              </w:rPr>
              <w:t>Wygen III</w:t>
            </w:r>
          </w:p>
        </w:tc>
        <w:tc>
          <w:tcPr>
            <w:tcW w:w="8600" w:type="dxa"/>
            <w:vAlign w:val="bottom"/>
            <w:shd w:val="clear" w:color="auto" w:fill="CFF0FC"/>
          </w:tcPr>
          <w:p>
            <w:pPr>
              <w:ind w:left="1080"/>
              <w:spacing w:after="0" w:line="175" w:lineRule="exact"/>
              <w:rPr>
                <w:sz w:val="20"/>
                <w:szCs w:val="20"/>
                <w:color w:val="auto"/>
              </w:rPr>
            </w:pPr>
            <w:r>
              <w:rPr>
                <w:rFonts w:ascii="Arial" w:cs="Arial" w:eastAsia="Arial" w:hAnsi="Arial"/>
                <w:sz w:val="16"/>
                <w:szCs w:val="16"/>
                <w:color w:val="auto"/>
              </w:rPr>
              <w:t>A mine-mouth, coal-fired power plant operated by South Dakota Electric with a total capacity of 116 MW</w:t>
            </w:r>
          </w:p>
        </w:tc>
      </w:tr>
      <w:tr>
        <w:trPr>
          <w:trHeight w:val="189"/>
        </w:trPr>
        <w:tc>
          <w:tcPr>
            <w:tcW w:w="2640" w:type="dxa"/>
            <w:vAlign w:val="bottom"/>
            <w:shd w:val="clear" w:color="auto" w:fill="CFF0FC"/>
          </w:tcPr>
          <w:p>
            <w:pPr>
              <w:spacing w:after="0"/>
              <w:rPr>
                <w:sz w:val="16"/>
                <w:szCs w:val="16"/>
                <w:color w:val="auto"/>
              </w:rPr>
            </w:pPr>
          </w:p>
        </w:tc>
        <w:tc>
          <w:tcPr>
            <w:tcW w:w="8600" w:type="dxa"/>
            <w:vAlign w:val="bottom"/>
            <w:shd w:val="clear" w:color="auto" w:fill="CFF0FC"/>
          </w:tcPr>
          <w:p>
            <w:pPr>
              <w:ind w:left="1080"/>
              <w:spacing w:after="0"/>
              <w:rPr>
                <w:sz w:val="20"/>
                <w:szCs w:val="20"/>
                <w:color w:val="auto"/>
              </w:rPr>
            </w:pPr>
            <w:r>
              <w:rPr>
                <w:rFonts w:ascii="Arial" w:cs="Arial" w:eastAsia="Arial" w:hAnsi="Arial"/>
                <w:sz w:val="16"/>
                <w:szCs w:val="16"/>
                <w:color w:val="auto"/>
              </w:rPr>
              <w:t>located at our Gillette Energy Complex. South Dakota Electric owns 52% of the power plant, MDU owns</w:t>
            </w:r>
          </w:p>
        </w:tc>
      </w:tr>
      <w:tr>
        <w:trPr>
          <w:trHeight w:val="203"/>
        </w:trPr>
        <w:tc>
          <w:tcPr>
            <w:tcW w:w="2640" w:type="dxa"/>
            <w:vAlign w:val="bottom"/>
            <w:shd w:val="clear" w:color="auto" w:fill="CFF0FC"/>
          </w:tcPr>
          <w:p>
            <w:pPr>
              <w:spacing w:after="0"/>
              <w:rPr>
                <w:sz w:val="17"/>
                <w:szCs w:val="17"/>
                <w:color w:val="auto"/>
              </w:rPr>
            </w:pPr>
          </w:p>
        </w:tc>
        <w:tc>
          <w:tcPr>
            <w:tcW w:w="8600" w:type="dxa"/>
            <w:vAlign w:val="bottom"/>
            <w:shd w:val="clear" w:color="auto" w:fill="CFF0FC"/>
          </w:tcPr>
          <w:p>
            <w:pPr>
              <w:ind w:left="1080"/>
              <w:spacing w:after="0"/>
              <w:rPr>
                <w:sz w:val="20"/>
                <w:szCs w:val="20"/>
                <w:color w:val="auto"/>
              </w:rPr>
            </w:pPr>
            <w:r>
              <w:rPr>
                <w:rFonts w:ascii="Arial" w:cs="Arial" w:eastAsia="Arial" w:hAnsi="Arial"/>
                <w:sz w:val="16"/>
                <w:szCs w:val="16"/>
                <w:color w:val="auto"/>
              </w:rPr>
              <w:t>25%, and the City of Gillette owns the remaining 23%.</w:t>
            </w:r>
          </w:p>
        </w:tc>
      </w:tr>
      <w:tr>
        <w:trPr>
          <w:trHeight w:val="175"/>
        </w:trPr>
        <w:tc>
          <w:tcPr>
            <w:tcW w:w="2640" w:type="dxa"/>
            <w:vAlign w:val="bottom"/>
          </w:tcPr>
          <w:p>
            <w:pPr>
              <w:spacing w:after="0" w:line="175" w:lineRule="exact"/>
              <w:rPr>
                <w:sz w:val="20"/>
                <w:szCs w:val="20"/>
                <w:color w:val="auto"/>
              </w:rPr>
            </w:pPr>
            <w:r>
              <w:rPr>
                <w:rFonts w:ascii="Arial" w:cs="Arial" w:eastAsia="Arial" w:hAnsi="Arial"/>
                <w:sz w:val="16"/>
                <w:szCs w:val="16"/>
                <w:color w:val="auto"/>
              </w:rPr>
              <w:t>Wyoming Electric</w:t>
            </w:r>
          </w:p>
        </w:tc>
        <w:tc>
          <w:tcPr>
            <w:tcW w:w="8600" w:type="dxa"/>
            <w:vAlign w:val="bottom"/>
          </w:tcPr>
          <w:p>
            <w:pPr>
              <w:ind w:left="1080"/>
              <w:spacing w:after="0" w:line="175" w:lineRule="exact"/>
              <w:rPr>
                <w:sz w:val="20"/>
                <w:szCs w:val="20"/>
                <w:color w:val="auto"/>
              </w:rPr>
            </w:pPr>
            <w:r>
              <w:rPr>
                <w:rFonts w:ascii="Arial" w:cs="Arial" w:eastAsia="Arial" w:hAnsi="Arial"/>
                <w:sz w:val="16"/>
                <w:szCs w:val="16"/>
                <w:color w:val="auto"/>
              </w:rPr>
              <w:t>Cheyenne Light, Fuel and Power Company, a direct, wholly-owned subsidiary of Black Hills Corporation,</w:t>
            </w:r>
          </w:p>
        </w:tc>
      </w:tr>
      <w:tr>
        <w:trPr>
          <w:trHeight w:val="189"/>
        </w:trPr>
        <w:tc>
          <w:tcPr>
            <w:tcW w:w="2640" w:type="dxa"/>
            <w:vAlign w:val="bottom"/>
          </w:tcPr>
          <w:p>
            <w:pPr>
              <w:spacing w:after="0"/>
              <w:rPr>
                <w:sz w:val="16"/>
                <w:szCs w:val="16"/>
                <w:color w:val="auto"/>
              </w:rPr>
            </w:pPr>
          </w:p>
        </w:tc>
        <w:tc>
          <w:tcPr>
            <w:tcW w:w="8600" w:type="dxa"/>
            <w:vAlign w:val="bottom"/>
          </w:tcPr>
          <w:p>
            <w:pPr>
              <w:ind w:left="1080"/>
              <w:spacing w:after="0"/>
              <w:rPr>
                <w:sz w:val="20"/>
                <w:szCs w:val="20"/>
                <w:color w:val="auto"/>
              </w:rPr>
            </w:pPr>
            <w:r>
              <w:rPr>
                <w:rFonts w:ascii="Arial" w:cs="Arial" w:eastAsia="Arial" w:hAnsi="Arial"/>
                <w:sz w:val="16"/>
                <w:szCs w:val="16"/>
                <w:color w:val="auto"/>
              </w:rPr>
              <w:t>providing electric service to customers in the Cheyenne, Wyoming area (doing business as Black Hills</w:t>
            </w:r>
          </w:p>
        </w:tc>
      </w:tr>
      <w:tr>
        <w:trPr>
          <w:trHeight w:val="203"/>
        </w:trPr>
        <w:tc>
          <w:tcPr>
            <w:tcW w:w="2640" w:type="dxa"/>
            <w:vAlign w:val="bottom"/>
          </w:tcPr>
          <w:p>
            <w:pPr>
              <w:spacing w:after="0"/>
              <w:rPr>
                <w:sz w:val="17"/>
                <w:szCs w:val="17"/>
                <w:color w:val="auto"/>
              </w:rPr>
            </w:pPr>
          </w:p>
        </w:tc>
        <w:tc>
          <w:tcPr>
            <w:tcW w:w="8600" w:type="dxa"/>
            <w:vAlign w:val="bottom"/>
          </w:tcPr>
          <w:p>
            <w:pPr>
              <w:ind w:left="1080"/>
              <w:spacing w:after="0"/>
              <w:rPr>
                <w:sz w:val="20"/>
                <w:szCs w:val="20"/>
                <w:color w:val="auto"/>
              </w:rPr>
            </w:pPr>
            <w:r>
              <w:rPr>
                <w:rFonts w:ascii="Arial" w:cs="Arial" w:eastAsia="Arial" w:hAnsi="Arial"/>
                <w:sz w:val="16"/>
                <w:szCs w:val="16"/>
                <w:color w:val="auto"/>
              </w:rPr>
              <w:t>Energy).</w:t>
            </w:r>
          </w:p>
        </w:tc>
      </w:tr>
      <w:tr>
        <w:trPr>
          <w:trHeight w:val="175"/>
        </w:trPr>
        <w:tc>
          <w:tcPr>
            <w:tcW w:w="2640" w:type="dxa"/>
            <w:vAlign w:val="bottom"/>
            <w:shd w:val="clear" w:color="auto" w:fill="CFF0FC"/>
          </w:tcPr>
          <w:p>
            <w:pPr>
              <w:spacing w:after="0" w:line="175" w:lineRule="exact"/>
              <w:rPr>
                <w:sz w:val="20"/>
                <w:szCs w:val="20"/>
                <w:color w:val="auto"/>
              </w:rPr>
            </w:pPr>
            <w:r>
              <w:rPr>
                <w:rFonts w:ascii="Arial" w:cs="Arial" w:eastAsia="Arial" w:hAnsi="Arial"/>
                <w:sz w:val="16"/>
                <w:szCs w:val="16"/>
                <w:color w:val="auto"/>
              </w:rPr>
              <w:t>Wyoming Gas</w:t>
            </w:r>
          </w:p>
        </w:tc>
        <w:tc>
          <w:tcPr>
            <w:tcW w:w="8600" w:type="dxa"/>
            <w:vAlign w:val="bottom"/>
            <w:shd w:val="clear" w:color="auto" w:fill="CFF0FC"/>
          </w:tcPr>
          <w:p>
            <w:pPr>
              <w:ind w:left="1080"/>
              <w:spacing w:after="0" w:line="175" w:lineRule="exact"/>
              <w:rPr>
                <w:sz w:val="20"/>
                <w:szCs w:val="20"/>
                <w:color w:val="auto"/>
              </w:rPr>
            </w:pPr>
            <w:r>
              <w:rPr>
                <w:rFonts w:ascii="Arial" w:cs="Arial" w:eastAsia="Arial" w:hAnsi="Arial"/>
                <w:sz w:val="16"/>
                <w:szCs w:val="16"/>
                <w:color w:val="auto"/>
              </w:rPr>
              <w:t>Black Hills Wyoming Gas, LLC, an indirect, wholly-owned subsidiary of Black Hills Utility Holdings,</w:t>
            </w:r>
          </w:p>
        </w:tc>
      </w:tr>
      <w:tr>
        <w:trPr>
          <w:trHeight w:val="203"/>
        </w:trPr>
        <w:tc>
          <w:tcPr>
            <w:tcW w:w="2640" w:type="dxa"/>
            <w:vAlign w:val="bottom"/>
            <w:shd w:val="clear" w:color="auto" w:fill="CFF0FC"/>
          </w:tcPr>
          <w:p>
            <w:pPr>
              <w:spacing w:after="0"/>
              <w:rPr>
                <w:sz w:val="17"/>
                <w:szCs w:val="17"/>
                <w:color w:val="auto"/>
              </w:rPr>
            </w:pPr>
          </w:p>
        </w:tc>
        <w:tc>
          <w:tcPr>
            <w:tcW w:w="8600" w:type="dxa"/>
            <w:vAlign w:val="bottom"/>
            <w:shd w:val="clear" w:color="auto" w:fill="CFF0FC"/>
          </w:tcPr>
          <w:p>
            <w:pPr>
              <w:ind w:left="1080"/>
              <w:spacing w:after="0"/>
              <w:rPr>
                <w:sz w:val="20"/>
                <w:szCs w:val="20"/>
                <w:color w:val="auto"/>
              </w:rPr>
            </w:pPr>
            <w:r>
              <w:rPr>
                <w:rFonts w:ascii="Arial" w:cs="Arial" w:eastAsia="Arial" w:hAnsi="Arial"/>
                <w:sz w:val="16"/>
                <w:szCs w:val="16"/>
                <w:color w:val="auto"/>
              </w:rPr>
              <w:t>providing natural gas services to customers in Wyoming (doing business as Black Hills Energy).</w:t>
            </w:r>
          </w:p>
        </w:tc>
      </w:tr>
      <w:tr>
        <w:trPr>
          <w:trHeight w:val="215"/>
        </w:trPr>
        <w:tc>
          <w:tcPr>
            <w:tcW w:w="2640" w:type="dxa"/>
            <w:vAlign w:val="bottom"/>
          </w:tcPr>
          <w:p>
            <w:pPr>
              <w:spacing w:after="0"/>
              <w:rPr>
                <w:sz w:val="18"/>
                <w:szCs w:val="18"/>
                <w:color w:val="auto"/>
              </w:rPr>
            </w:pPr>
          </w:p>
        </w:tc>
        <w:tc>
          <w:tcPr>
            <w:tcW w:w="8600" w:type="dxa"/>
            <w:vAlign w:val="bottom"/>
          </w:tcPr>
          <w:p>
            <w:pPr>
              <w:ind w:left="2940"/>
              <w:spacing w:after="0"/>
              <w:rPr>
                <w:sz w:val="20"/>
                <w:szCs w:val="20"/>
                <w:color w:val="auto"/>
              </w:rPr>
            </w:pPr>
            <w:r>
              <w:rPr>
                <w:rFonts w:ascii="Arial" w:cs="Arial" w:eastAsia="Arial" w:hAnsi="Arial"/>
                <w:sz w:val="16"/>
                <w:szCs w:val="16"/>
                <w:color w:val="auto"/>
              </w:rPr>
              <w:t>6</w:t>
            </w:r>
          </w:p>
        </w:tc>
      </w:tr>
      <w:tr>
        <w:trPr>
          <w:trHeight w:val="737"/>
        </w:trPr>
        <w:tc>
          <w:tcPr>
            <w:tcW w:w="2640" w:type="dxa"/>
            <w:vAlign w:val="bottom"/>
            <w:tcBorders>
              <w:bottom w:val="single" w:sz="8" w:color="9A9A9A"/>
            </w:tcBorders>
          </w:tcPr>
          <w:p>
            <w:pPr>
              <w:spacing w:after="0"/>
              <w:rPr>
                <w:sz w:val="24"/>
                <w:szCs w:val="24"/>
                <w:color w:val="auto"/>
              </w:rPr>
            </w:pPr>
          </w:p>
        </w:tc>
        <w:tc>
          <w:tcPr>
            <w:tcW w:w="8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FORWARD-LOOKING INFORMATION</w:t>
      </w:r>
    </w:p>
    <w:p>
      <w:pPr>
        <w:spacing w:after="0" w:line="194"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 xml:space="preserve">This Quarterly Report on Form 10-Q includes “forward-looking statements” as defined by the SEC. Forward-looking statements are all statements other than statements of historical fact, including without limitation those statements that are identified by the words “anticipates,” “estimates,” “expects,” “intends,” “plans,” “predicts” and similar expressions, and include statements concerning plans, objectives, goals, strategies, future events or performance, and underlying assumptions and other statements that are other than statements of historical facts. We make these forward-looking statements in reliance on the safe harbor protections provided under the Private Securities Litigation Reform Act of 1995. These forward-looking statements are based on assumptions which we believe are reasonable based on current expectations and projections about future events and industry conditions and trends affecting our business. However, whether actual results and developments will conform to our expectations and predictions is subject to a number of risks and uncertainties that, among other things, could cause actual results to differ materially from those contained in the forward-looking statements, including without limitation, the risk factors described in Item 1A of Part I of our 2024 Annual Report on Form 10-K, Part II, </w:t>
      </w:r>
      <w:r>
        <w:rPr>
          <w:rFonts w:ascii="Arial" w:cs="Arial" w:eastAsia="Arial" w:hAnsi="Arial"/>
          <w:sz w:val="16"/>
          <w:szCs w:val="16"/>
          <w:u w:val="single" w:color="auto"/>
          <w:color w:val="0000FF"/>
        </w:rPr>
        <w:t>Item 1A</w:t>
      </w:r>
      <w:r>
        <w:rPr>
          <w:rFonts w:ascii="Arial" w:cs="Arial" w:eastAsia="Arial" w:hAnsi="Arial"/>
          <w:sz w:val="16"/>
          <w:szCs w:val="16"/>
          <w:color w:val="auto"/>
        </w:rPr>
        <w:t xml:space="preserve"> of this Quarterly Report on Form 10-Q and other reports that we file with the SEC from time to time, and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5128260</wp:posOffset>
            </wp:positionH>
            <wp:positionV relativeFrom="paragraph">
              <wp:posOffset>-144145</wp:posOffset>
            </wp:positionV>
            <wp:extent cx="3543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54330" cy="8890"/>
                    </a:xfrm>
                    <a:prstGeom prst="rect">
                      <a:avLst/>
                    </a:prstGeom>
                    <a:noFill/>
                  </pic:spPr>
                </pic:pic>
              </a:graphicData>
            </a:graphic>
          </wp:anchor>
        </w:drawing>
      </w:r>
    </w:p>
    <w:p>
      <w:pPr>
        <w:spacing w:after="0" w:line="142" w:lineRule="exact"/>
        <w:rPr>
          <w:sz w:val="20"/>
          <w:szCs w:val="20"/>
          <w:color w:val="auto"/>
        </w:rPr>
      </w:pPr>
    </w:p>
    <w:p>
      <w:pPr>
        <w:ind w:left="380" w:right="240" w:hanging="372"/>
        <w:spacing w:after="0" w:line="266" w:lineRule="auto"/>
        <w:tabs>
          <w:tab w:leader="none" w:pos="38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obtain adequate cost recovery for our utility operations through regulatory proceedings and favorable rulings on periodic applications to recover costs for capital additions, plant retirements and decommissioning, fuel, transmission, purchased power and other operating costs, and the timing in which new rates would go into effect;</w:t>
      </w:r>
    </w:p>
    <w:p>
      <w:pPr>
        <w:spacing w:after="0" w:line="143"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complete our capital program in a cost-effective and timely manner;</w:t>
      </w:r>
    </w:p>
    <w:p>
      <w:pPr>
        <w:spacing w:after="0" w:line="206"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execute on our strategy;</w:t>
      </w:r>
    </w:p>
    <w:p>
      <w:pPr>
        <w:spacing w:after="0" w:line="206"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successfully execute our financing plans;</w:t>
      </w:r>
    </w:p>
    <w:p>
      <w:pPr>
        <w:spacing w:after="0" w:line="206"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The effects of changing interest rates;</w:t>
      </w:r>
    </w:p>
    <w:p>
      <w:pPr>
        <w:spacing w:after="0" w:line="206"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achieve our greenhouse gas emissions intensity reduction goals;</w:t>
      </w:r>
    </w:p>
    <w:p>
      <w:pPr>
        <w:spacing w:after="0" w:line="206"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The impact of future governmental regulation;</w:t>
      </w:r>
    </w:p>
    <w:p>
      <w:pPr>
        <w:spacing w:after="0" w:line="206"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overcome the impacts of supply chain disruptions on availability and cost of materials;</w:t>
      </w:r>
    </w:p>
    <w:p>
      <w:pPr>
        <w:spacing w:after="0" w:line="206"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The effects of inflation, tariffs and volatile energy prices;</w:t>
      </w:r>
    </w:p>
    <w:p>
      <w:pPr>
        <w:spacing w:after="0" w:line="206"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obtain sufficient insurance coverage at reasonable costs and whether such coverage will protect us against significant losses; and</w:t>
      </w:r>
    </w:p>
    <w:p>
      <w:pPr>
        <w:spacing w:after="0" w:line="206"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Other factors discussed from time to time in our filings with the SEC.</w:t>
      </w:r>
    </w:p>
    <w:p>
      <w:pPr>
        <w:spacing w:after="0" w:line="207" w:lineRule="exact"/>
        <w:rPr>
          <w:sz w:val="20"/>
          <w:szCs w:val="20"/>
          <w:color w:val="auto"/>
        </w:rPr>
      </w:pPr>
    </w:p>
    <w:p>
      <w:pPr>
        <w:ind w:right="240"/>
        <w:spacing w:after="0" w:line="259" w:lineRule="auto"/>
        <w:rPr>
          <w:sz w:val="20"/>
          <w:szCs w:val="20"/>
          <w:color w:val="auto"/>
        </w:rPr>
      </w:pPr>
      <w:r>
        <w:rPr>
          <w:rFonts w:ascii="Arial" w:cs="Arial" w:eastAsia="Arial" w:hAnsi="Arial"/>
          <w:sz w:val="16"/>
          <w:szCs w:val="16"/>
          <w:color w:val="auto"/>
        </w:rPr>
        <w:t>New factors that could cause actual results to differ materially from those described in forward-looking statements emerge from time-to-time, and it is not possible for us to predict all such factors, or the extent to which any such factor or combination of factors may cause actual results to differ from those contained in any forward-looking statement. We assume no obligation to update publicly any such forward-looking statements, whether as a result of new information, future events or otherwise.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80" w:type="dxa"/>
            <w:vAlign w:val="bottom"/>
          </w:tcPr>
          <w:p>
            <w:pPr>
              <w:spacing w:after="0"/>
              <w:rPr>
                <w:sz w:val="20"/>
                <w:szCs w:val="20"/>
                <w:color w:val="auto"/>
              </w:rPr>
            </w:pPr>
            <w:r>
              <w:rPr>
                <w:rFonts w:ascii="Arial" w:cs="Arial" w:eastAsia="Arial" w:hAnsi="Arial"/>
                <w:sz w:val="16"/>
                <w:szCs w:val="16"/>
                <w:b w:val="1"/>
                <w:bCs w:val="1"/>
                <w:color w:val="auto"/>
              </w:rPr>
              <w:t>PART I.</w:t>
            </w:r>
          </w:p>
        </w:tc>
        <w:tc>
          <w:tcPr>
            <w:tcW w:w="2860" w:type="dxa"/>
            <w:vAlign w:val="bottom"/>
          </w:tcPr>
          <w:p>
            <w:pPr>
              <w:ind w:left="100"/>
              <w:spacing w:after="0"/>
              <w:rPr>
                <w:sz w:val="20"/>
                <w:szCs w:val="20"/>
                <w:color w:val="auto"/>
              </w:rPr>
            </w:pPr>
            <w:r>
              <w:rPr>
                <w:rFonts w:ascii="Arial" w:cs="Arial" w:eastAsia="Arial" w:hAnsi="Arial"/>
                <w:sz w:val="16"/>
                <w:szCs w:val="16"/>
                <w:b w:val="1"/>
                <w:bCs w:val="1"/>
                <w:color w:val="auto"/>
              </w:rPr>
              <w:t>FINANCIAL INFORMATION</w:t>
            </w:r>
          </w:p>
        </w:tc>
        <w:tc>
          <w:tcPr>
            <w:tcW w:w="1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378"/>
        </w:trPr>
        <w:tc>
          <w:tcPr>
            <w:tcW w:w="980" w:type="dxa"/>
            <w:vAlign w:val="bottom"/>
          </w:tcPr>
          <w:p>
            <w:pPr>
              <w:spacing w:after="0"/>
              <w:rPr>
                <w:sz w:val="20"/>
                <w:szCs w:val="20"/>
                <w:color w:val="auto"/>
              </w:rPr>
            </w:pPr>
            <w:r>
              <w:rPr>
                <w:rFonts w:ascii="Arial" w:cs="Arial" w:eastAsia="Arial" w:hAnsi="Arial"/>
                <w:sz w:val="16"/>
                <w:szCs w:val="16"/>
                <w:b w:val="1"/>
                <w:bCs w:val="1"/>
                <w:color w:val="auto"/>
              </w:rPr>
              <w:t>ITEM 1.</w:t>
            </w:r>
          </w:p>
        </w:tc>
        <w:tc>
          <w:tcPr>
            <w:tcW w:w="2860" w:type="dxa"/>
            <w:vAlign w:val="bottom"/>
          </w:tcPr>
          <w:p>
            <w:pPr>
              <w:ind w:left="100"/>
              <w:spacing w:after="0"/>
              <w:rPr>
                <w:sz w:val="20"/>
                <w:szCs w:val="20"/>
                <w:color w:val="auto"/>
              </w:rPr>
            </w:pPr>
            <w:r>
              <w:rPr>
                <w:rFonts w:ascii="Arial" w:cs="Arial" w:eastAsia="Arial" w:hAnsi="Arial"/>
                <w:sz w:val="16"/>
                <w:szCs w:val="16"/>
                <w:b w:val="1"/>
                <w:bCs w:val="1"/>
                <w:color w:val="auto"/>
              </w:rPr>
              <w:t>FINANCIAL STATEMENTS</w:t>
            </w:r>
          </w:p>
        </w:tc>
        <w:tc>
          <w:tcPr>
            <w:tcW w:w="1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44"/>
        </w:trPr>
        <w:tc>
          <w:tcPr>
            <w:tcW w:w="9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980" w:type="dxa"/>
            <w:vAlign w:val="bottom"/>
            <w:gridSpan w:val="3"/>
          </w:tcPr>
          <w:p>
            <w:pPr>
              <w:jc w:val="center"/>
              <w:ind w:left="519"/>
              <w:spacing w:after="0"/>
              <w:rPr>
                <w:sz w:val="20"/>
                <w:szCs w:val="20"/>
                <w:color w:val="auto"/>
              </w:rPr>
            </w:pPr>
            <w:r>
              <w:rPr>
                <w:rFonts w:ascii="Arial" w:cs="Arial" w:eastAsia="Arial" w:hAnsi="Arial"/>
                <w:sz w:val="16"/>
                <w:szCs w:val="16"/>
                <w:b w:val="1"/>
                <w:bCs w:val="1"/>
                <w:color w:val="auto"/>
              </w:rPr>
              <w:t>BLACK HILLS CORPORATION</w:t>
            </w: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23"/>
        </w:trPr>
        <w:tc>
          <w:tcPr>
            <w:tcW w:w="98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3920" w:type="dxa"/>
            <w:vAlign w:val="bottom"/>
            <w:gridSpan w:val="4"/>
          </w:tcPr>
          <w:p>
            <w:pPr>
              <w:jc w:val="center"/>
              <w:ind w:right="279"/>
              <w:spacing w:after="0"/>
              <w:rPr>
                <w:sz w:val="20"/>
                <w:szCs w:val="20"/>
                <w:color w:val="auto"/>
              </w:rPr>
            </w:pPr>
            <w:r>
              <w:rPr>
                <w:rFonts w:ascii="Arial" w:cs="Arial" w:eastAsia="Arial" w:hAnsi="Arial"/>
                <w:sz w:val="16"/>
                <w:szCs w:val="16"/>
                <w:b w:val="1"/>
                <w:bCs w:val="1"/>
                <w:color w:val="auto"/>
              </w:rPr>
              <w:t>CONSOLIDATED STATEMENTS OF INCOME</w:t>
            </w: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344"/>
        </w:trPr>
        <w:tc>
          <w:tcPr>
            <w:tcW w:w="9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420" w:type="dxa"/>
            <w:vAlign w:val="bottom"/>
            <w:gridSpan w:val="3"/>
          </w:tcPr>
          <w:p>
            <w:pPr>
              <w:jc w:val="center"/>
              <w:ind w:left="379"/>
              <w:spacing w:after="0"/>
              <w:rPr>
                <w:sz w:val="20"/>
                <w:szCs w:val="20"/>
                <w:color w:val="auto"/>
              </w:rPr>
            </w:pPr>
            <w:r>
              <w:rPr>
                <w:rFonts w:ascii="Arial" w:cs="Arial" w:eastAsia="Arial" w:hAnsi="Arial"/>
                <w:sz w:val="16"/>
                <w:szCs w:val="16"/>
                <w:b w:val="1"/>
                <w:bCs w:val="1"/>
                <w:color w:val="auto"/>
              </w:rPr>
              <w:t>Three Months Ended</w:t>
            </w: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0" w:type="dxa"/>
            <w:vAlign w:val="bottom"/>
            <w:gridSpan w:val="3"/>
          </w:tcPr>
          <w:p>
            <w:pPr>
              <w:jc w:val="right"/>
              <w:ind w:right="719"/>
              <w:spacing w:after="0"/>
              <w:rPr>
                <w:sz w:val="20"/>
                <w:szCs w:val="20"/>
                <w:color w:val="auto"/>
              </w:rPr>
            </w:pPr>
            <w:r>
              <w:rPr>
                <w:rFonts w:ascii="Arial" w:cs="Arial" w:eastAsia="Arial" w:hAnsi="Arial"/>
                <w:sz w:val="16"/>
                <w:szCs w:val="16"/>
                <w:b w:val="1"/>
                <w:bCs w:val="1"/>
                <w:color w:val="auto"/>
              </w:rPr>
              <w:t>Six Months Ended</w:t>
            </w:r>
          </w:p>
        </w:tc>
      </w:tr>
      <w:tr>
        <w:trPr>
          <w:trHeight w:val="189"/>
        </w:trPr>
        <w:tc>
          <w:tcPr>
            <w:tcW w:w="980" w:type="dxa"/>
            <w:vAlign w:val="bottom"/>
          </w:tcPr>
          <w:p>
            <w:pPr>
              <w:spacing w:after="0"/>
              <w:rPr>
                <w:sz w:val="20"/>
                <w:szCs w:val="20"/>
                <w:color w:val="auto"/>
              </w:rPr>
            </w:pPr>
            <w:r>
              <w:rPr>
                <w:rFonts w:ascii="Arial" w:cs="Arial" w:eastAsia="Arial" w:hAnsi="Arial"/>
                <w:sz w:val="16"/>
                <w:szCs w:val="16"/>
                <w:color w:val="auto"/>
              </w:rPr>
              <w:t>(unaudited)</w:t>
            </w:r>
          </w:p>
        </w:tc>
        <w:tc>
          <w:tcPr>
            <w:tcW w:w="28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500" w:type="dxa"/>
            <w:vAlign w:val="bottom"/>
            <w:gridSpan w:val="2"/>
          </w:tcPr>
          <w:p>
            <w:pPr>
              <w:jc w:val="center"/>
              <w:ind w:right="379"/>
              <w:spacing w:after="0"/>
              <w:rPr>
                <w:sz w:val="20"/>
                <w:szCs w:val="20"/>
                <w:color w:val="auto"/>
              </w:rPr>
            </w:pPr>
            <w:r>
              <w:rPr>
                <w:rFonts w:ascii="Arial" w:cs="Arial" w:eastAsia="Arial" w:hAnsi="Arial"/>
                <w:sz w:val="16"/>
                <w:szCs w:val="16"/>
                <w:b w:val="1"/>
                <w:bCs w:val="1"/>
                <w:color w:val="auto"/>
                <w:w w:val="99"/>
              </w:rPr>
              <w:t>June 30,</w:t>
            </w: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2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June 30,</w:t>
            </w:r>
          </w:p>
        </w:tc>
        <w:tc>
          <w:tcPr>
            <w:tcW w:w="1080" w:type="dxa"/>
            <w:vAlign w:val="bottom"/>
          </w:tcPr>
          <w:p>
            <w:pPr>
              <w:spacing w:after="0"/>
              <w:rPr>
                <w:sz w:val="16"/>
                <w:szCs w:val="16"/>
                <w:color w:val="auto"/>
              </w:rPr>
            </w:pPr>
          </w:p>
        </w:tc>
      </w:tr>
      <w:tr>
        <w:trPr>
          <w:trHeight w:val="203"/>
        </w:trPr>
        <w:tc>
          <w:tcPr>
            <w:tcW w:w="98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2420" w:type="dxa"/>
            <w:vAlign w:val="bottom"/>
            <w:gridSpan w:val="2"/>
          </w:tcPr>
          <w:p>
            <w:pPr>
              <w:jc w:val="right"/>
              <w:spacing w:after="0"/>
              <w:rPr>
                <w:sz w:val="20"/>
                <w:szCs w:val="20"/>
                <w:color w:val="auto"/>
              </w:rPr>
            </w:pPr>
            <w:r>
              <w:rPr>
                <w:rFonts w:ascii="Arial" w:cs="Arial" w:eastAsia="Arial" w:hAnsi="Arial"/>
                <w:sz w:val="16"/>
                <w:szCs w:val="16"/>
                <w:b w:val="1"/>
                <w:bCs w:val="1"/>
                <w:color w:val="auto"/>
              </w:rPr>
              <w:t>2025</w:t>
            </w:r>
          </w:p>
        </w:tc>
        <w:tc>
          <w:tcPr>
            <w:tcW w:w="560" w:type="dxa"/>
            <w:vAlign w:val="bottom"/>
          </w:tcPr>
          <w:p>
            <w:pPr>
              <w:spacing w:after="0"/>
              <w:rPr>
                <w:sz w:val="17"/>
                <w:szCs w:val="17"/>
                <w:color w:val="auto"/>
              </w:rPr>
            </w:pPr>
          </w:p>
        </w:tc>
        <w:tc>
          <w:tcPr>
            <w:tcW w:w="940" w:type="dxa"/>
            <w:vAlign w:val="bottom"/>
          </w:tcPr>
          <w:p>
            <w:pPr>
              <w:ind w:left="540"/>
              <w:spacing w:after="0"/>
              <w:rPr>
                <w:sz w:val="20"/>
                <w:szCs w:val="20"/>
                <w:color w:val="auto"/>
              </w:rPr>
            </w:pPr>
            <w:r>
              <w:rPr>
                <w:rFonts w:ascii="Arial" w:cs="Arial" w:eastAsia="Arial" w:hAnsi="Arial"/>
                <w:sz w:val="16"/>
                <w:szCs w:val="16"/>
                <w:b w:val="1"/>
                <w:bCs w:val="1"/>
                <w:color w:val="auto"/>
              </w:rPr>
              <w:t>2024</w:t>
            </w: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ind w:right="499"/>
              <w:spacing w:after="0"/>
              <w:rPr>
                <w:sz w:val="20"/>
                <w:szCs w:val="20"/>
                <w:color w:val="auto"/>
              </w:rPr>
            </w:pPr>
            <w:r>
              <w:rPr>
                <w:rFonts w:ascii="Arial" w:cs="Arial" w:eastAsia="Arial" w:hAnsi="Arial"/>
                <w:sz w:val="16"/>
                <w:szCs w:val="16"/>
                <w:b w:val="1"/>
                <w:bCs w:val="1"/>
                <w:color w:val="auto"/>
              </w:rPr>
              <w:t>2025</w:t>
            </w:r>
          </w:p>
        </w:tc>
        <w:tc>
          <w:tcPr>
            <w:tcW w:w="380" w:type="dxa"/>
            <w:vAlign w:val="bottom"/>
          </w:tcPr>
          <w:p>
            <w:pPr>
              <w:spacing w:after="0"/>
              <w:rPr>
                <w:sz w:val="17"/>
                <w:szCs w:val="17"/>
                <w:color w:val="auto"/>
              </w:rPr>
            </w:pPr>
          </w:p>
        </w:tc>
        <w:tc>
          <w:tcPr>
            <w:tcW w:w="1080" w:type="dxa"/>
            <w:vAlign w:val="bottom"/>
          </w:tcPr>
          <w:p>
            <w:pPr>
              <w:jc w:val="right"/>
              <w:ind w:right="519"/>
              <w:spacing w:after="0"/>
              <w:rPr>
                <w:sz w:val="20"/>
                <w:szCs w:val="20"/>
                <w:color w:val="auto"/>
              </w:rPr>
            </w:pPr>
            <w:r>
              <w:rPr>
                <w:rFonts w:ascii="Arial" w:cs="Arial" w:eastAsia="Arial" w:hAnsi="Arial"/>
                <w:sz w:val="16"/>
                <w:szCs w:val="16"/>
                <w:b w:val="1"/>
                <w:bCs w:val="1"/>
                <w:color w:val="auto"/>
              </w:rPr>
              <w:t>2024</w:t>
            </w:r>
          </w:p>
        </w:tc>
      </w:tr>
      <w:tr>
        <w:trPr>
          <w:trHeight w:val="183"/>
        </w:trPr>
        <w:tc>
          <w:tcPr>
            <w:tcW w:w="98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92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spacing w:after="0"/>
              <w:rPr>
                <w:sz w:val="15"/>
                <w:szCs w:val="15"/>
                <w:color w:val="auto"/>
              </w:rPr>
            </w:pPr>
          </w:p>
        </w:tc>
        <w:tc>
          <w:tcPr>
            <w:tcW w:w="2960" w:type="dxa"/>
            <w:vAlign w:val="bottom"/>
            <w:tcBorders>
              <w:top w:val="single" w:sz="8" w:color="auto"/>
              <w:bottom w:val="single" w:sz="8" w:color="auto"/>
            </w:tcBorders>
            <w:gridSpan w:val="4"/>
          </w:tcPr>
          <w:p>
            <w:pPr>
              <w:ind w:left="20"/>
              <w:spacing w:after="0" w:line="183" w:lineRule="exact"/>
              <w:rPr>
                <w:sz w:val="20"/>
                <w:szCs w:val="20"/>
                <w:color w:val="auto"/>
              </w:rPr>
            </w:pPr>
            <w:r>
              <w:rPr>
                <w:rFonts w:ascii="Arial" w:cs="Arial" w:eastAsia="Arial" w:hAnsi="Arial"/>
                <w:sz w:val="16"/>
                <w:szCs w:val="16"/>
                <w:color w:val="auto"/>
              </w:rPr>
              <w:t>(in millions, except per share amounts)</w:t>
            </w:r>
          </w:p>
        </w:tc>
        <w:tc>
          <w:tcPr>
            <w:tcW w:w="38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spacing w:after="0"/>
              <w:rPr>
                <w:sz w:val="15"/>
                <w:szCs w:val="15"/>
                <w:color w:val="auto"/>
              </w:rPr>
            </w:pPr>
          </w:p>
        </w:tc>
      </w:tr>
      <w:tr>
        <w:trPr>
          <w:trHeight w:val="183"/>
        </w:trPr>
        <w:tc>
          <w:tcPr>
            <w:tcW w:w="9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Revenue</w:t>
            </w:r>
          </w:p>
        </w:tc>
        <w:tc>
          <w:tcPr>
            <w:tcW w:w="2860" w:type="dxa"/>
            <w:vAlign w:val="bottom"/>
            <w:shd w:val="clear" w:color="auto" w:fill="CFF0FC"/>
          </w:tcPr>
          <w:p>
            <w:pPr>
              <w:spacing w:after="0"/>
              <w:rPr>
                <w:sz w:val="15"/>
                <w:szCs w:val="15"/>
                <w:color w:val="auto"/>
              </w:rPr>
            </w:pPr>
          </w:p>
        </w:tc>
        <w:tc>
          <w:tcPr>
            <w:tcW w:w="2420" w:type="dxa"/>
            <w:vAlign w:val="bottom"/>
            <w:gridSpan w:val="2"/>
            <w:shd w:val="clear" w:color="auto" w:fill="CFF0FC"/>
          </w:tcPr>
          <w:p>
            <w:pPr>
              <w:jc w:val="right"/>
              <w:ind w:right="739"/>
              <w:spacing w:after="0" w:line="183" w:lineRule="exact"/>
              <w:rPr>
                <w:sz w:val="20"/>
                <w:szCs w:val="20"/>
                <w:color w:val="auto"/>
              </w:rPr>
            </w:pPr>
            <w:r>
              <w:rPr>
                <w:rFonts w:ascii="Arial" w:cs="Arial" w:eastAsia="Arial" w:hAnsi="Arial"/>
                <w:sz w:val="16"/>
                <w:szCs w:val="16"/>
                <w:color w:val="auto"/>
              </w:rPr>
              <w:t>$</w:t>
            </w:r>
          </w:p>
        </w:tc>
        <w:tc>
          <w:tcPr>
            <w:tcW w:w="56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439.0</w:t>
            </w:r>
          </w:p>
        </w:tc>
        <w:tc>
          <w:tcPr>
            <w:tcW w:w="940" w:type="dxa"/>
            <w:vAlign w:val="bottom"/>
            <w:shd w:val="clear" w:color="auto" w:fill="CFF0FC"/>
          </w:tcPr>
          <w:p>
            <w:pPr>
              <w:ind w:left="40"/>
              <w:spacing w:after="0" w:line="183" w:lineRule="exact"/>
              <w:rPr>
                <w:sz w:val="20"/>
                <w:szCs w:val="20"/>
                <w:color w:val="auto"/>
              </w:rPr>
            </w:pPr>
            <w:r>
              <w:rPr>
                <w:rFonts w:ascii="Arial" w:cs="Arial" w:eastAsia="Arial" w:hAnsi="Arial"/>
                <w:sz w:val="16"/>
                <w:szCs w:val="16"/>
                <w:color w:val="auto"/>
              </w:rPr>
              <w:t>$</w:t>
            </w:r>
          </w:p>
        </w:tc>
        <w:tc>
          <w:tcPr>
            <w:tcW w:w="56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402.6</w:t>
            </w:r>
          </w:p>
        </w:tc>
        <w:tc>
          <w:tcPr>
            <w:tcW w:w="320" w:type="dxa"/>
            <w:vAlign w:val="bottom"/>
            <w:shd w:val="clear" w:color="auto" w:fill="CFF0FC"/>
          </w:tcPr>
          <w:p>
            <w:pPr>
              <w:jc w:val="right"/>
              <w:ind w:right="139"/>
              <w:spacing w:after="0" w:line="183" w:lineRule="exact"/>
              <w:rPr>
                <w:sz w:val="20"/>
                <w:szCs w:val="20"/>
                <w:color w:val="auto"/>
              </w:rPr>
            </w:pPr>
            <w:r>
              <w:rPr>
                <w:rFonts w:ascii="Arial" w:cs="Arial" w:eastAsia="Arial" w:hAnsi="Arial"/>
                <w:sz w:val="16"/>
                <w:szCs w:val="16"/>
                <w:color w:val="auto"/>
                <w:w w:val="89"/>
              </w:rPr>
              <w:t>$</w:t>
            </w:r>
          </w:p>
        </w:tc>
        <w:tc>
          <w:tcPr>
            <w:tcW w:w="114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1,244.2</w:t>
            </w:r>
          </w:p>
        </w:tc>
        <w:tc>
          <w:tcPr>
            <w:tcW w:w="380" w:type="dxa"/>
            <w:vAlign w:val="bottom"/>
            <w:shd w:val="clear" w:color="auto" w:fill="CFF0FC"/>
          </w:tcPr>
          <w:p>
            <w:pPr>
              <w:jc w:val="right"/>
              <w:ind w:right="179"/>
              <w:spacing w:after="0" w:line="183" w:lineRule="exact"/>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1,129.0</w:t>
            </w:r>
          </w:p>
        </w:tc>
      </w:tr>
      <w:tr>
        <w:trPr>
          <w:trHeight w:val="183"/>
        </w:trPr>
        <w:tc>
          <w:tcPr>
            <w:tcW w:w="3840" w:type="dxa"/>
            <w:vAlign w:val="bottom"/>
            <w:tcBorders>
              <w:top w:val="single" w:sz="8" w:color="CFF0FC"/>
            </w:tcBorders>
            <w:gridSpan w:val="2"/>
          </w:tcPr>
          <w:p>
            <w:pPr>
              <w:spacing w:after="0"/>
              <w:rPr>
                <w:sz w:val="15"/>
                <w:szCs w:val="15"/>
                <w:color w:val="auto"/>
              </w:rPr>
            </w:pPr>
          </w:p>
        </w:tc>
        <w:tc>
          <w:tcPr>
            <w:tcW w:w="1500" w:type="dxa"/>
            <w:vAlign w:val="bottom"/>
            <w:tcBorders>
              <w:top w:val="single" w:sz="8" w:color="CFF0FC"/>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r>
      <w:tr>
        <w:trPr>
          <w:trHeight w:val="189"/>
        </w:trPr>
        <w:tc>
          <w:tcPr>
            <w:tcW w:w="38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Operating expenses:</w:t>
            </w:r>
          </w:p>
        </w:tc>
        <w:tc>
          <w:tcPr>
            <w:tcW w:w="15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r>
      <w:tr>
        <w:trPr>
          <w:trHeight w:val="189"/>
        </w:trPr>
        <w:tc>
          <w:tcPr>
            <w:tcW w:w="3840" w:type="dxa"/>
            <w:vAlign w:val="bottom"/>
            <w:gridSpan w:val="2"/>
          </w:tcPr>
          <w:p>
            <w:pPr>
              <w:spacing w:after="0"/>
              <w:rPr>
                <w:sz w:val="20"/>
                <w:szCs w:val="20"/>
                <w:color w:val="auto"/>
              </w:rPr>
            </w:pPr>
            <w:r>
              <w:rPr>
                <w:rFonts w:ascii="Arial" w:cs="Arial" w:eastAsia="Arial" w:hAnsi="Arial"/>
                <w:sz w:val="16"/>
                <w:szCs w:val="16"/>
                <w:color w:val="auto"/>
              </w:rPr>
              <w:t>Fuel, purchased power and cost of natural gas sold</w:t>
            </w:r>
          </w:p>
        </w:tc>
        <w:tc>
          <w:tcPr>
            <w:tcW w:w="15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124.0</w:t>
            </w:r>
          </w:p>
        </w:tc>
        <w:tc>
          <w:tcPr>
            <w:tcW w:w="940" w:type="dxa"/>
            <w:vAlign w:val="bottom"/>
          </w:tcPr>
          <w:p>
            <w:pPr>
              <w:spacing w:after="0"/>
              <w:rPr>
                <w:sz w:val="16"/>
                <w:szCs w:val="16"/>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107.1</w:t>
            </w:r>
          </w:p>
        </w:tc>
        <w:tc>
          <w:tcPr>
            <w:tcW w:w="320" w:type="dxa"/>
            <w:vAlign w:val="bottom"/>
          </w:tcPr>
          <w:p>
            <w:pPr>
              <w:spacing w:after="0"/>
              <w:rPr>
                <w:sz w:val="16"/>
                <w:szCs w:val="16"/>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483.8</w:t>
            </w:r>
          </w:p>
        </w:tc>
        <w:tc>
          <w:tcPr>
            <w:tcW w:w="380" w:type="dxa"/>
            <w:vAlign w:val="bottom"/>
          </w:tcPr>
          <w:p>
            <w:pPr>
              <w:spacing w:after="0"/>
              <w:rPr>
                <w:sz w:val="16"/>
                <w:szCs w:val="16"/>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423.7</w:t>
            </w:r>
          </w:p>
        </w:tc>
      </w:tr>
      <w:tr>
        <w:trPr>
          <w:trHeight w:val="189"/>
        </w:trPr>
        <w:tc>
          <w:tcPr>
            <w:tcW w:w="38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Operations and maintenance</w:t>
            </w:r>
          </w:p>
        </w:tc>
        <w:tc>
          <w:tcPr>
            <w:tcW w:w="15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5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147.6</w:t>
            </w:r>
          </w:p>
        </w:tc>
        <w:tc>
          <w:tcPr>
            <w:tcW w:w="940" w:type="dxa"/>
            <w:vAlign w:val="bottom"/>
            <w:shd w:val="clear" w:color="auto" w:fill="CFF0FC"/>
          </w:tcPr>
          <w:p>
            <w:pPr>
              <w:spacing w:after="0"/>
              <w:rPr>
                <w:sz w:val="16"/>
                <w:szCs w:val="16"/>
                <w:color w:val="auto"/>
              </w:rPr>
            </w:pPr>
          </w:p>
        </w:tc>
        <w:tc>
          <w:tcPr>
            <w:tcW w:w="5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141.7</w:t>
            </w:r>
          </w:p>
        </w:tc>
        <w:tc>
          <w:tcPr>
            <w:tcW w:w="32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301.3</w:t>
            </w:r>
          </w:p>
        </w:tc>
        <w:tc>
          <w:tcPr>
            <w:tcW w:w="38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275.2</w:t>
            </w:r>
          </w:p>
        </w:tc>
      </w:tr>
      <w:tr>
        <w:trPr>
          <w:trHeight w:val="189"/>
        </w:trPr>
        <w:tc>
          <w:tcPr>
            <w:tcW w:w="3840" w:type="dxa"/>
            <w:vAlign w:val="bottom"/>
            <w:gridSpan w:val="2"/>
          </w:tcPr>
          <w:p>
            <w:pPr>
              <w:spacing w:after="0"/>
              <w:rPr>
                <w:sz w:val="20"/>
                <w:szCs w:val="20"/>
                <w:color w:val="auto"/>
              </w:rPr>
            </w:pPr>
            <w:r>
              <w:rPr>
                <w:rFonts w:ascii="Arial" w:cs="Arial" w:eastAsia="Arial" w:hAnsi="Arial"/>
                <w:sz w:val="16"/>
                <w:szCs w:val="16"/>
                <w:color w:val="auto"/>
              </w:rPr>
              <w:t>Depreciation and amortization</w:t>
            </w:r>
          </w:p>
        </w:tc>
        <w:tc>
          <w:tcPr>
            <w:tcW w:w="15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69.8</w:t>
            </w:r>
          </w:p>
        </w:tc>
        <w:tc>
          <w:tcPr>
            <w:tcW w:w="940" w:type="dxa"/>
            <w:vAlign w:val="bottom"/>
          </w:tcPr>
          <w:p>
            <w:pPr>
              <w:spacing w:after="0"/>
              <w:rPr>
                <w:sz w:val="16"/>
                <w:szCs w:val="16"/>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66.6</w:t>
            </w:r>
          </w:p>
        </w:tc>
        <w:tc>
          <w:tcPr>
            <w:tcW w:w="320" w:type="dxa"/>
            <w:vAlign w:val="bottom"/>
          </w:tcPr>
          <w:p>
            <w:pPr>
              <w:spacing w:after="0"/>
              <w:rPr>
                <w:sz w:val="16"/>
                <w:szCs w:val="16"/>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139.0</w:t>
            </w:r>
          </w:p>
        </w:tc>
        <w:tc>
          <w:tcPr>
            <w:tcW w:w="380" w:type="dxa"/>
            <w:vAlign w:val="bottom"/>
          </w:tcPr>
          <w:p>
            <w:pPr>
              <w:spacing w:after="0"/>
              <w:rPr>
                <w:sz w:val="16"/>
                <w:szCs w:val="16"/>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132.5</w:t>
            </w:r>
          </w:p>
        </w:tc>
      </w:tr>
      <w:tr>
        <w:trPr>
          <w:trHeight w:val="189"/>
        </w:trPr>
        <w:tc>
          <w:tcPr>
            <w:tcW w:w="38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Taxes other than income taxes</w:t>
            </w:r>
          </w:p>
        </w:tc>
        <w:tc>
          <w:tcPr>
            <w:tcW w:w="1500" w:type="dxa"/>
            <w:vAlign w:val="bottom"/>
            <w:tcBorders>
              <w:bottom w:val="single" w:sz="8" w:color="CFF0FC"/>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spacing w:after="0"/>
              <w:rPr>
                <w:sz w:val="16"/>
                <w:szCs w:val="16"/>
                <w:color w:val="auto"/>
              </w:rPr>
            </w:pPr>
          </w:p>
        </w:tc>
        <w:tc>
          <w:tcPr>
            <w:tcW w:w="56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15.1</w:t>
            </w:r>
          </w:p>
        </w:tc>
        <w:tc>
          <w:tcPr>
            <w:tcW w:w="940" w:type="dxa"/>
            <w:vAlign w:val="bottom"/>
            <w:tcBorders>
              <w:bottom w:val="single" w:sz="8" w:color="auto"/>
            </w:tcBorders>
            <w:shd w:val="clear" w:color="auto" w:fill="CFF0FC"/>
          </w:tcPr>
          <w:p>
            <w:pPr>
              <w:spacing w:after="0"/>
              <w:rPr>
                <w:sz w:val="16"/>
                <w:szCs w:val="16"/>
                <w:color w:val="auto"/>
              </w:rPr>
            </w:pPr>
          </w:p>
        </w:tc>
        <w:tc>
          <w:tcPr>
            <w:tcW w:w="56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16.6</w:t>
            </w:r>
          </w:p>
        </w:tc>
        <w:tc>
          <w:tcPr>
            <w:tcW w:w="32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32.7</w:t>
            </w:r>
          </w:p>
        </w:tc>
        <w:tc>
          <w:tcPr>
            <w:tcW w:w="380" w:type="dxa"/>
            <w:vAlign w:val="bottom"/>
            <w:tcBorders>
              <w:bottom w:val="single" w:sz="8" w:color="auto"/>
            </w:tcBorders>
            <w:shd w:val="clear" w:color="auto" w:fill="CFF0FC"/>
          </w:tcPr>
          <w:p>
            <w:pPr>
              <w:spacing w:after="0"/>
              <w:rPr>
                <w:sz w:val="16"/>
                <w:szCs w:val="16"/>
                <w:color w:val="auto"/>
              </w:rPr>
            </w:pPr>
          </w:p>
        </w:tc>
        <w:tc>
          <w:tcPr>
            <w:tcW w:w="10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33.6</w:t>
            </w:r>
          </w:p>
        </w:tc>
      </w:tr>
      <w:tr>
        <w:trPr>
          <w:trHeight w:val="183"/>
        </w:trPr>
        <w:tc>
          <w:tcPr>
            <w:tcW w:w="3840" w:type="dxa"/>
            <w:vAlign w:val="bottom"/>
            <w:gridSpan w:val="2"/>
          </w:tcPr>
          <w:p>
            <w:pPr>
              <w:ind w:left="100"/>
              <w:spacing w:after="0" w:line="183" w:lineRule="exact"/>
              <w:rPr>
                <w:sz w:val="20"/>
                <w:szCs w:val="20"/>
                <w:color w:val="auto"/>
              </w:rPr>
            </w:pPr>
            <w:r>
              <w:rPr>
                <w:rFonts w:ascii="Arial" w:cs="Arial" w:eastAsia="Arial" w:hAnsi="Arial"/>
                <w:sz w:val="16"/>
                <w:szCs w:val="16"/>
                <w:color w:val="auto"/>
              </w:rPr>
              <w:t>Total operating expenses</w:t>
            </w:r>
          </w:p>
        </w:tc>
        <w:tc>
          <w:tcPr>
            <w:tcW w:w="15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Pr>
          <w:p>
            <w:pPr>
              <w:jc w:val="right"/>
              <w:ind w:right="19"/>
              <w:spacing w:after="0" w:line="183" w:lineRule="exact"/>
              <w:rPr>
                <w:sz w:val="20"/>
                <w:szCs w:val="20"/>
                <w:color w:val="auto"/>
              </w:rPr>
            </w:pPr>
            <w:r>
              <w:rPr>
                <w:rFonts w:ascii="Arial" w:cs="Arial" w:eastAsia="Arial" w:hAnsi="Arial"/>
                <w:sz w:val="16"/>
                <w:szCs w:val="16"/>
                <w:color w:val="auto"/>
              </w:rPr>
              <w:t>356.5</w:t>
            </w:r>
          </w:p>
        </w:tc>
        <w:tc>
          <w:tcPr>
            <w:tcW w:w="940" w:type="dxa"/>
            <w:vAlign w:val="bottom"/>
          </w:tcPr>
          <w:p>
            <w:pPr>
              <w:spacing w:after="0"/>
              <w:rPr>
                <w:sz w:val="15"/>
                <w:szCs w:val="15"/>
                <w:color w:val="auto"/>
              </w:rPr>
            </w:pPr>
          </w:p>
        </w:tc>
        <w:tc>
          <w:tcPr>
            <w:tcW w:w="560" w:type="dxa"/>
            <w:vAlign w:val="bottom"/>
          </w:tcPr>
          <w:p>
            <w:pPr>
              <w:jc w:val="right"/>
              <w:ind w:right="19"/>
              <w:spacing w:after="0" w:line="183" w:lineRule="exact"/>
              <w:rPr>
                <w:sz w:val="20"/>
                <w:szCs w:val="20"/>
                <w:color w:val="auto"/>
              </w:rPr>
            </w:pPr>
            <w:r>
              <w:rPr>
                <w:rFonts w:ascii="Arial" w:cs="Arial" w:eastAsia="Arial" w:hAnsi="Arial"/>
                <w:sz w:val="16"/>
                <w:szCs w:val="16"/>
                <w:color w:val="auto"/>
              </w:rPr>
              <w:t>332.0</w:t>
            </w:r>
          </w:p>
        </w:tc>
        <w:tc>
          <w:tcPr>
            <w:tcW w:w="320" w:type="dxa"/>
            <w:vAlign w:val="bottom"/>
          </w:tcPr>
          <w:p>
            <w:pPr>
              <w:spacing w:after="0"/>
              <w:rPr>
                <w:sz w:val="15"/>
                <w:szCs w:val="15"/>
                <w:color w:val="auto"/>
              </w:rPr>
            </w:pPr>
          </w:p>
        </w:tc>
        <w:tc>
          <w:tcPr>
            <w:tcW w:w="1140" w:type="dxa"/>
            <w:vAlign w:val="bottom"/>
          </w:tcPr>
          <w:p>
            <w:pPr>
              <w:jc w:val="right"/>
              <w:ind w:right="19"/>
              <w:spacing w:after="0" w:line="183" w:lineRule="exact"/>
              <w:rPr>
                <w:sz w:val="20"/>
                <w:szCs w:val="20"/>
                <w:color w:val="auto"/>
              </w:rPr>
            </w:pPr>
            <w:r>
              <w:rPr>
                <w:rFonts w:ascii="Arial" w:cs="Arial" w:eastAsia="Arial" w:hAnsi="Arial"/>
                <w:sz w:val="16"/>
                <w:szCs w:val="16"/>
                <w:color w:val="auto"/>
              </w:rPr>
              <w:t>956.8</w:t>
            </w:r>
          </w:p>
        </w:tc>
        <w:tc>
          <w:tcPr>
            <w:tcW w:w="380" w:type="dxa"/>
            <w:vAlign w:val="bottom"/>
          </w:tcPr>
          <w:p>
            <w:pPr>
              <w:spacing w:after="0"/>
              <w:rPr>
                <w:sz w:val="15"/>
                <w:szCs w:val="15"/>
                <w:color w:val="auto"/>
              </w:rPr>
            </w:pPr>
          </w:p>
        </w:tc>
        <w:tc>
          <w:tcPr>
            <w:tcW w:w="1080" w:type="dxa"/>
            <w:vAlign w:val="bottom"/>
          </w:tcPr>
          <w:p>
            <w:pPr>
              <w:jc w:val="right"/>
              <w:ind w:right="39"/>
              <w:spacing w:after="0" w:line="183" w:lineRule="exact"/>
              <w:rPr>
                <w:sz w:val="20"/>
                <w:szCs w:val="20"/>
                <w:color w:val="auto"/>
              </w:rPr>
            </w:pPr>
            <w:r>
              <w:rPr>
                <w:rFonts w:ascii="Arial" w:cs="Arial" w:eastAsia="Arial" w:hAnsi="Arial"/>
                <w:sz w:val="16"/>
                <w:szCs w:val="16"/>
                <w:color w:val="auto"/>
              </w:rPr>
              <w:t>865.0</w:t>
            </w:r>
          </w:p>
        </w:tc>
      </w:tr>
      <w:tr>
        <w:trPr>
          <w:trHeight w:val="189"/>
        </w:trPr>
        <w:tc>
          <w:tcPr>
            <w:tcW w:w="3840" w:type="dxa"/>
            <w:vAlign w:val="bottom"/>
            <w:gridSpan w:val="2"/>
            <w:shd w:val="clear" w:color="auto" w:fill="CFF0FC"/>
          </w:tcPr>
          <w:p>
            <w:pPr>
              <w:spacing w:after="0"/>
              <w:rPr>
                <w:sz w:val="16"/>
                <w:szCs w:val="16"/>
                <w:color w:val="auto"/>
              </w:rPr>
            </w:pPr>
          </w:p>
        </w:tc>
        <w:tc>
          <w:tcPr>
            <w:tcW w:w="15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r>
      <w:tr>
        <w:trPr>
          <w:trHeight w:val="189"/>
        </w:trPr>
        <w:tc>
          <w:tcPr>
            <w:tcW w:w="3840" w:type="dxa"/>
            <w:vAlign w:val="bottom"/>
            <w:gridSpan w:val="2"/>
          </w:tcPr>
          <w:p>
            <w:pPr>
              <w:spacing w:after="0"/>
              <w:rPr>
                <w:sz w:val="20"/>
                <w:szCs w:val="20"/>
                <w:color w:val="auto"/>
              </w:rPr>
            </w:pPr>
            <w:r>
              <w:rPr>
                <w:rFonts w:ascii="Arial" w:cs="Arial" w:eastAsia="Arial" w:hAnsi="Arial"/>
                <w:sz w:val="16"/>
                <w:szCs w:val="16"/>
                <w:color w:val="auto"/>
              </w:rPr>
              <w:t>Operating income</w:t>
            </w:r>
          </w:p>
        </w:tc>
        <w:tc>
          <w:tcPr>
            <w:tcW w:w="15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82.5</w:t>
            </w:r>
          </w:p>
        </w:tc>
        <w:tc>
          <w:tcPr>
            <w:tcW w:w="940" w:type="dxa"/>
            <w:vAlign w:val="bottom"/>
          </w:tcPr>
          <w:p>
            <w:pPr>
              <w:spacing w:after="0"/>
              <w:rPr>
                <w:sz w:val="16"/>
                <w:szCs w:val="16"/>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70.6</w:t>
            </w:r>
          </w:p>
        </w:tc>
        <w:tc>
          <w:tcPr>
            <w:tcW w:w="320" w:type="dxa"/>
            <w:vAlign w:val="bottom"/>
          </w:tcPr>
          <w:p>
            <w:pPr>
              <w:spacing w:after="0"/>
              <w:rPr>
                <w:sz w:val="16"/>
                <w:szCs w:val="16"/>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287.4</w:t>
            </w:r>
          </w:p>
        </w:tc>
        <w:tc>
          <w:tcPr>
            <w:tcW w:w="380" w:type="dxa"/>
            <w:vAlign w:val="bottom"/>
          </w:tcPr>
          <w:p>
            <w:pPr>
              <w:spacing w:after="0"/>
              <w:rPr>
                <w:sz w:val="16"/>
                <w:szCs w:val="16"/>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264.0</w:t>
            </w:r>
          </w:p>
        </w:tc>
      </w:tr>
      <w:tr>
        <w:trPr>
          <w:trHeight w:val="189"/>
        </w:trPr>
        <w:tc>
          <w:tcPr>
            <w:tcW w:w="3840" w:type="dxa"/>
            <w:vAlign w:val="bottom"/>
            <w:gridSpan w:val="2"/>
            <w:shd w:val="clear" w:color="auto" w:fill="CFF0FC"/>
          </w:tcPr>
          <w:p>
            <w:pPr>
              <w:spacing w:after="0"/>
              <w:rPr>
                <w:sz w:val="16"/>
                <w:szCs w:val="16"/>
                <w:color w:val="auto"/>
              </w:rPr>
            </w:pPr>
          </w:p>
        </w:tc>
        <w:tc>
          <w:tcPr>
            <w:tcW w:w="15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r>
      <w:tr>
        <w:trPr>
          <w:trHeight w:val="189"/>
        </w:trPr>
        <w:tc>
          <w:tcPr>
            <w:tcW w:w="3840" w:type="dxa"/>
            <w:vAlign w:val="bottom"/>
            <w:gridSpan w:val="2"/>
          </w:tcPr>
          <w:p>
            <w:pPr>
              <w:spacing w:after="0"/>
              <w:rPr>
                <w:sz w:val="20"/>
                <w:szCs w:val="20"/>
                <w:color w:val="auto"/>
              </w:rPr>
            </w:pPr>
            <w:r>
              <w:rPr>
                <w:rFonts w:ascii="Arial" w:cs="Arial" w:eastAsia="Arial" w:hAnsi="Arial"/>
                <w:sz w:val="16"/>
                <w:szCs w:val="16"/>
                <w:color w:val="auto"/>
              </w:rPr>
              <w:t>Other income (expense):</w:t>
            </w:r>
          </w:p>
        </w:tc>
        <w:tc>
          <w:tcPr>
            <w:tcW w:w="15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9"/>
        </w:trPr>
        <w:tc>
          <w:tcPr>
            <w:tcW w:w="38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Interest expense incurred net of amounts capitalized</w:t>
            </w:r>
          </w:p>
        </w:tc>
        <w:tc>
          <w:tcPr>
            <w:tcW w:w="15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(49.8)</w:t>
            </w:r>
          </w:p>
        </w:tc>
        <w:tc>
          <w:tcPr>
            <w:tcW w:w="94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(48.2)</w:t>
            </w:r>
          </w:p>
        </w:tc>
        <w:tc>
          <w:tcPr>
            <w:tcW w:w="32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(101.6)</w:t>
            </w:r>
          </w:p>
        </w:tc>
        <w:tc>
          <w:tcPr>
            <w:tcW w:w="38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(94.2)</w:t>
            </w:r>
          </w:p>
        </w:tc>
      </w:tr>
      <w:tr>
        <w:trPr>
          <w:trHeight w:val="189"/>
        </w:trPr>
        <w:tc>
          <w:tcPr>
            <w:tcW w:w="3840" w:type="dxa"/>
            <w:vAlign w:val="bottom"/>
            <w:gridSpan w:val="2"/>
          </w:tcPr>
          <w:p>
            <w:pPr>
              <w:spacing w:after="0"/>
              <w:rPr>
                <w:sz w:val="20"/>
                <w:szCs w:val="20"/>
                <w:color w:val="auto"/>
              </w:rPr>
            </w:pPr>
            <w:r>
              <w:rPr>
                <w:rFonts w:ascii="Arial" w:cs="Arial" w:eastAsia="Arial" w:hAnsi="Arial"/>
                <w:sz w:val="16"/>
                <w:szCs w:val="16"/>
                <w:color w:val="auto"/>
              </w:rPr>
              <w:t>Interest income</w:t>
            </w:r>
          </w:p>
        </w:tc>
        <w:tc>
          <w:tcPr>
            <w:tcW w:w="15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0.9</w:t>
            </w:r>
          </w:p>
        </w:tc>
        <w:tc>
          <w:tcPr>
            <w:tcW w:w="940" w:type="dxa"/>
            <w:vAlign w:val="bottom"/>
          </w:tcPr>
          <w:p>
            <w:pPr>
              <w:spacing w:after="0"/>
              <w:rPr>
                <w:sz w:val="16"/>
                <w:szCs w:val="16"/>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5.6</w:t>
            </w:r>
          </w:p>
        </w:tc>
        <w:tc>
          <w:tcPr>
            <w:tcW w:w="320" w:type="dxa"/>
            <w:vAlign w:val="bottom"/>
          </w:tcPr>
          <w:p>
            <w:pPr>
              <w:spacing w:after="0"/>
              <w:rPr>
                <w:sz w:val="16"/>
                <w:szCs w:val="16"/>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1.3</w:t>
            </w:r>
          </w:p>
        </w:tc>
        <w:tc>
          <w:tcPr>
            <w:tcW w:w="380" w:type="dxa"/>
            <w:vAlign w:val="bottom"/>
          </w:tcPr>
          <w:p>
            <w:pPr>
              <w:spacing w:after="0"/>
              <w:rPr>
                <w:sz w:val="16"/>
                <w:szCs w:val="16"/>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7.5</w:t>
            </w:r>
          </w:p>
        </w:tc>
      </w:tr>
      <w:tr>
        <w:trPr>
          <w:trHeight w:val="189"/>
        </w:trPr>
        <w:tc>
          <w:tcPr>
            <w:tcW w:w="38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Other income (expense), net</w:t>
            </w:r>
          </w:p>
        </w:tc>
        <w:tc>
          <w:tcPr>
            <w:tcW w:w="1500" w:type="dxa"/>
            <w:vAlign w:val="bottom"/>
            <w:tcBorders>
              <w:bottom w:val="single" w:sz="8" w:color="CFF0FC"/>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spacing w:after="0"/>
              <w:rPr>
                <w:sz w:val="16"/>
                <w:szCs w:val="16"/>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(0.4)</w:t>
            </w:r>
          </w:p>
        </w:tc>
        <w:tc>
          <w:tcPr>
            <w:tcW w:w="940" w:type="dxa"/>
            <w:vAlign w:val="bottom"/>
            <w:tcBorders>
              <w:bottom w:val="single" w:sz="8" w:color="auto"/>
            </w:tcBorders>
            <w:shd w:val="clear" w:color="auto" w:fill="CFF0FC"/>
          </w:tcPr>
          <w:p>
            <w:pPr>
              <w:spacing w:after="0"/>
              <w:rPr>
                <w:sz w:val="16"/>
                <w:szCs w:val="16"/>
                <w:color w:val="auto"/>
              </w:rPr>
            </w:pPr>
          </w:p>
        </w:tc>
        <w:tc>
          <w:tcPr>
            <w:tcW w:w="56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0.4</w:t>
            </w:r>
          </w:p>
        </w:tc>
        <w:tc>
          <w:tcPr>
            <w:tcW w:w="32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0.6</w:t>
            </w:r>
          </w:p>
        </w:tc>
        <w:tc>
          <w:tcPr>
            <w:tcW w:w="380" w:type="dxa"/>
            <w:vAlign w:val="bottom"/>
            <w:tcBorders>
              <w:bottom w:val="single" w:sz="8" w:color="auto"/>
            </w:tcBorders>
            <w:shd w:val="clear" w:color="auto" w:fill="CFF0FC"/>
          </w:tcPr>
          <w:p>
            <w:pPr>
              <w:spacing w:after="0"/>
              <w:rPr>
                <w:sz w:val="16"/>
                <w:szCs w:val="16"/>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(0.5)</w:t>
            </w:r>
          </w:p>
        </w:tc>
      </w:tr>
      <w:tr>
        <w:trPr>
          <w:trHeight w:val="183"/>
        </w:trPr>
        <w:tc>
          <w:tcPr>
            <w:tcW w:w="3840" w:type="dxa"/>
            <w:vAlign w:val="bottom"/>
            <w:gridSpan w:val="2"/>
          </w:tcPr>
          <w:p>
            <w:pPr>
              <w:ind w:left="100"/>
              <w:spacing w:after="0" w:line="183" w:lineRule="exact"/>
              <w:rPr>
                <w:sz w:val="20"/>
                <w:szCs w:val="20"/>
                <w:color w:val="auto"/>
              </w:rPr>
            </w:pPr>
            <w:r>
              <w:rPr>
                <w:rFonts w:ascii="Arial" w:cs="Arial" w:eastAsia="Arial" w:hAnsi="Arial"/>
                <w:sz w:val="16"/>
                <w:szCs w:val="16"/>
                <w:color w:val="auto"/>
              </w:rPr>
              <w:t>Total other (expense)</w:t>
            </w:r>
          </w:p>
        </w:tc>
        <w:tc>
          <w:tcPr>
            <w:tcW w:w="150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(49.3)</w:t>
            </w:r>
          </w:p>
        </w:tc>
        <w:tc>
          <w:tcPr>
            <w:tcW w:w="9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(42.2)</w:t>
            </w: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(99.7)</w:t>
            </w:r>
          </w:p>
        </w:tc>
        <w:tc>
          <w:tcPr>
            <w:tcW w:w="3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(87.2)</w:t>
            </w:r>
          </w:p>
        </w:tc>
      </w:tr>
      <w:tr>
        <w:trPr>
          <w:trHeight w:val="183"/>
        </w:trPr>
        <w:tc>
          <w:tcPr>
            <w:tcW w:w="3840" w:type="dxa"/>
            <w:vAlign w:val="bottom"/>
            <w:gridSpan w:val="2"/>
            <w:shd w:val="clear" w:color="auto" w:fill="CFF0FC"/>
          </w:tcPr>
          <w:p>
            <w:pPr>
              <w:spacing w:after="0"/>
              <w:rPr>
                <w:sz w:val="15"/>
                <w:szCs w:val="15"/>
                <w:color w:val="auto"/>
              </w:rPr>
            </w:pPr>
          </w:p>
        </w:tc>
        <w:tc>
          <w:tcPr>
            <w:tcW w:w="150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r>
      <w:tr>
        <w:trPr>
          <w:trHeight w:val="189"/>
        </w:trPr>
        <w:tc>
          <w:tcPr>
            <w:tcW w:w="3840" w:type="dxa"/>
            <w:vAlign w:val="bottom"/>
            <w:gridSpan w:val="2"/>
          </w:tcPr>
          <w:p>
            <w:pPr>
              <w:spacing w:after="0"/>
              <w:rPr>
                <w:sz w:val="20"/>
                <w:szCs w:val="20"/>
                <w:color w:val="auto"/>
              </w:rPr>
            </w:pPr>
            <w:r>
              <w:rPr>
                <w:rFonts w:ascii="Arial" w:cs="Arial" w:eastAsia="Arial" w:hAnsi="Arial"/>
                <w:sz w:val="16"/>
                <w:szCs w:val="16"/>
                <w:color w:val="auto"/>
              </w:rPr>
              <w:t>Income before income taxes</w:t>
            </w:r>
          </w:p>
        </w:tc>
        <w:tc>
          <w:tcPr>
            <w:tcW w:w="15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33.2</w:t>
            </w:r>
          </w:p>
        </w:tc>
        <w:tc>
          <w:tcPr>
            <w:tcW w:w="940" w:type="dxa"/>
            <w:vAlign w:val="bottom"/>
          </w:tcPr>
          <w:p>
            <w:pPr>
              <w:spacing w:after="0"/>
              <w:rPr>
                <w:sz w:val="16"/>
                <w:szCs w:val="16"/>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28.4</w:t>
            </w:r>
          </w:p>
        </w:tc>
        <w:tc>
          <w:tcPr>
            <w:tcW w:w="320" w:type="dxa"/>
            <w:vAlign w:val="bottom"/>
          </w:tcPr>
          <w:p>
            <w:pPr>
              <w:spacing w:after="0"/>
              <w:rPr>
                <w:sz w:val="16"/>
                <w:szCs w:val="16"/>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187.7</w:t>
            </w:r>
          </w:p>
        </w:tc>
        <w:tc>
          <w:tcPr>
            <w:tcW w:w="380" w:type="dxa"/>
            <w:vAlign w:val="bottom"/>
          </w:tcPr>
          <w:p>
            <w:pPr>
              <w:spacing w:after="0"/>
              <w:rPr>
                <w:sz w:val="16"/>
                <w:szCs w:val="16"/>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176.8</w:t>
            </w:r>
          </w:p>
        </w:tc>
      </w:tr>
      <w:tr>
        <w:trPr>
          <w:trHeight w:val="189"/>
        </w:trPr>
        <w:tc>
          <w:tcPr>
            <w:tcW w:w="38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Income tax (expense)</w:t>
            </w:r>
          </w:p>
        </w:tc>
        <w:tc>
          <w:tcPr>
            <w:tcW w:w="1500" w:type="dxa"/>
            <w:vAlign w:val="bottom"/>
            <w:tcBorders>
              <w:bottom w:val="single" w:sz="8" w:color="CFF0FC"/>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spacing w:after="0"/>
              <w:rPr>
                <w:sz w:val="16"/>
                <w:szCs w:val="16"/>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(4.4)</w:t>
            </w:r>
          </w:p>
        </w:tc>
        <w:tc>
          <w:tcPr>
            <w:tcW w:w="940" w:type="dxa"/>
            <w:vAlign w:val="bottom"/>
            <w:tcBorders>
              <w:bottom w:val="single" w:sz="8" w:color="auto"/>
            </w:tcBorders>
            <w:shd w:val="clear" w:color="auto" w:fill="CFF0FC"/>
          </w:tcPr>
          <w:p>
            <w:pPr>
              <w:spacing w:after="0"/>
              <w:rPr>
                <w:sz w:val="16"/>
                <w:szCs w:val="16"/>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w:t>
            </w:r>
          </w:p>
        </w:tc>
        <w:tc>
          <w:tcPr>
            <w:tcW w:w="32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(22.5)</w:t>
            </w:r>
          </w:p>
        </w:tc>
        <w:tc>
          <w:tcPr>
            <w:tcW w:w="380" w:type="dxa"/>
            <w:vAlign w:val="bottom"/>
            <w:tcBorders>
              <w:bottom w:val="single" w:sz="8" w:color="auto"/>
            </w:tcBorders>
            <w:shd w:val="clear" w:color="auto" w:fill="CFF0FC"/>
          </w:tcPr>
          <w:p>
            <w:pPr>
              <w:spacing w:after="0"/>
              <w:rPr>
                <w:sz w:val="16"/>
                <w:szCs w:val="16"/>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(20.6)</w:t>
            </w:r>
          </w:p>
        </w:tc>
      </w:tr>
      <w:tr>
        <w:trPr>
          <w:trHeight w:val="183"/>
        </w:trPr>
        <w:tc>
          <w:tcPr>
            <w:tcW w:w="980" w:type="dxa"/>
            <w:vAlign w:val="bottom"/>
          </w:tcPr>
          <w:p>
            <w:pPr>
              <w:ind w:left="60"/>
              <w:spacing w:after="0" w:line="183" w:lineRule="exact"/>
              <w:rPr>
                <w:sz w:val="20"/>
                <w:szCs w:val="20"/>
                <w:color w:val="auto"/>
              </w:rPr>
            </w:pPr>
            <w:r>
              <w:rPr>
                <w:rFonts w:ascii="Arial" w:cs="Arial" w:eastAsia="Arial" w:hAnsi="Arial"/>
                <w:sz w:val="16"/>
                <w:szCs w:val="16"/>
                <w:color w:val="auto"/>
              </w:rPr>
              <w:t>Net income</w:t>
            </w:r>
          </w:p>
        </w:tc>
        <w:tc>
          <w:tcPr>
            <w:tcW w:w="28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Pr>
          <w:p>
            <w:pPr>
              <w:jc w:val="right"/>
              <w:ind w:right="19"/>
              <w:spacing w:after="0" w:line="183" w:lineRule="exact"/>
              <w:rPr>
                <w:sz w:val="20"/>
                <w:szCs w:val="20"/>
                <w:color w:val="auto"/>
              </w:rPr>
            </w:pPr>
            <w:r>
              <w:rPr>
                <w:rFonts w:ascii="Arial" w:cs="Arial" w:eastAsia="Arial" w:hAnsi="Arial"/>
                <w:sz w:val="16"/>
                <w:szCs w:val="16"/>
                <w:color w:val="auto"/>
              </w:rPr>
              <w:t>28.8</w:t>
            </w:r>
          </w:p>
        </w:tc>
        <w:tc>
          <w:tcPr>
            <w:tcW w:w="940" w:type="dxa"/>
            <w:vAlign w:val="bottom"/>
          </w:tcPr>
          <w:p>
            <w:pPr>
              <w:spacing w:after="0"/>
              <w:rPr>
                <w:sz w:val="15"/>
                <w:szCs w:val="15"/>
                <w:color w:val="auto"/>
              </w:rPr>
            </w:pPr>
          </w:p>
        </w:tc>
        <w:tc>
          <w:tcPr>
            <w:tcW w:w="560" w:type="dxa"/>
            <w:vAlign w:val="bottom"/>
          </w:tcPr>
          <w:p>
            <w:pPr>
              <w:jc w:val="right"/>
              <w:ind w:right="19"/>
              <w:spacing w:after="0" w:line="183" w:lineRule="exact"/>
              <w:rPr>
                <w:sz w:val="20"/>
                <w:szCs w:val="20"/>
                <w:color w:val="auto"/>
              </w:rPr>
            </w:pPr>
            <w:r>
              <w:rPr>
                <w:rFonts w:ascii="Arial" w:cs="Arial" w:eastAsia="Arial" w:hAnsi="Arial"/>
                <w:sz w:val="16"/>
                <w:szCs w:val="16"/>
                <w:color w:val="auto"/>
              </w:rPr>
              <w:t>24.7</w:t>
            </w:r>
          </w:p>
        </w:tc>
        <w:tc>
          <w:tcPr>
            <w:tcW w:w="320" w:type="dxa"/>
            <w:vAlign w:val="bottom"/>
          </w:tcPr>
          <w:p>
            <w:pPr>
              <w:spacing w:after="0"/>
              <w:rPr>
                <w:sz w:val="15"/>
                <w:szCs w:val="15"/>
                <w:color w:val="auto"/>
              </w:rPr>
            </w:pPr>
          </w:p>
        </w:tc>
        <w:tc>
          <w:tcPr>
            <w:tcW w:w="1140" w:type="dxa"/>
            <w:vAlign w:val="bottom"/>
          </w:tcPr>
          <w:p>
            <w:pPr>
              <w:jc w:val="right"/>
              <w:ind w:right="19"/>
              <w:spacing w:after="0" w:line="183" w:lineRule="exact"/>
              <w:rPr>
                <w:sz w:val="20"/>
                <w:szCs w:val="20"/>
                <w:color w:val="auto"/>
              </w:rPr>
            </w:pPr>
            <w:r>
              <w:rPr>
                <w:rFonts w:ascii="Arial" w:cs="Arial" w:eastAsia="Arial" w:hAnsi="Arial"/>
                <w:sz w:val="16"/>
                <w:szCs w:val="16"/>
                <w:color w:val="auto"/>
              </w:rPr>
              <w:t>165.2</w:t>
            </w:r>
          </w:p>
        </w:tc>
        <w:tc>
          <w:tcPr>
            <w:tcW w:w="380" w:type="dxa"/>
            <w:vAlign w:val="bottom"/>
          </w:tcPr>
          <w:p>
            <w:pPr>
              <w:spacing w:after="0"/>
              <w:rPr>
                <w:sz w:val="15"/>
                <w:szCs w:val="15"/>
                <w:color w:val="auto"/>
              </w:rPr>
            </w:pPr>
          </w:p>
        </w:tc>
        <w:tc>
          <w:tcPr>
            <w:tcW w:w="1080" w:type="dxa"/>
            <w:vAlign w:val="bottom"/>
          </w:tcPr>
          <w:p>
            <w:pPr>
              <w:jc w:val="right"/>
              <w:ind w:right="39"/>
              <w:spacing w:after="0" w:line="183" w:lineRule="exact"/>
              <w:rPr>
                <w:sz w:val="20"/>
                <w:szCs w:val="20"/>
                <w:color w:val="auto"/>
              </w:rPr>
            </w:pPr>
            <w:r>
              <w:rPr>
                <w:rFonts w:ascii="Arial" w:cs="Arial" w:eastAsia="Arial" w:hAnsi="Arial"/>
                <w:sz w:val="16"/>
                <w:szCs w:val="16"/>
                <w:color w:val="auto"/>
              </w:rPr>
              <w:t>156.2</w:t>
            </w:r>
          </w:p>
        </w:tc>
      </w:tr>
      <w:tr>
        <w:trPr>
          <w:trHeight w:val="189"/>
        </w:trPr>
        <w:tc>
          <w:tcPr>
            <w:tcW w:w="38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Net income attributable to non-controlling interest</w:t>
            </w:r>
          </w:p>
        </w:tc>
        <w:tc>
          <w:tcPr>
            <w:tcW w:w="1500" w:type="dxa"/>
            <w:vAlign w:val="bottom"/>
            <w:tcBorders>
              <w:bottom w:val="single" w:sz="8" w:color="CFF0FC"/>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spacing w:after="0"/>
              <w:rPr>
                <w:sz w:val="16"/>
                <w:szCs w:val="16"/>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w:t>
            </w:r>
          </w:p>
        </w:tc>
        <w:tc>
          <w:tcPr>
            <w:tcW w:w="940" w:type="dxa"/>
            <w:vAlign w:val="bottom"/>
            <w:tcBorders>
              <w:bottom w:val="single" w:sz="8" w:color="auto"/>
            </w:tcBorders>
            <w:shd w:val="clear" w:color="auto" w:fill="CFF0FC"/>
          </w:tcPr>
          <w:p>
            <w:pPr>
              <w:spacing w:after="0"/>
              <w:rPr>
                <w:sz w:val="16"/>
                <w:szCs w:val="16"/>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w:t>
            </w:r>
          </w:p>
        </w:tc>
        <w:tc>
          <w:tcPr>
            <w:tcW w:w="32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w:t>
            </w:r>
          </w:p>
        </w:tc>
        <w:tc>
          <w:tcPr>
            <w:tcW w:w="380" w:type="dxa"/>
            <w:vAlign w:val="bottom"/>
            <w:tcBorders>
              <w:bottom w:val="single" w:sz="8" w:color="auto"/>
            </w:tcBorders>
            <w:shd w:val="clear" w:color="auto" w:fill="CFF0FC"/>
          </w:tcPr>
          <w:p>
            <w:pPr>
              <w:spacing w:after="0"/>
              <w:rPr>
                <w:sz w:val="16"/>
                <w:szCs w:val="16"/>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(5.6)</w:t>
            </w:r>
          </w:p>
        </w:tc>
      </w:tr>
      <w:tr>
        <w:trPr>
          <w:trHeight w:val="183"/>
        </w:trPr>
        <w:tc>
          <w:tcPr>
            <w:tcW w:w="3840" w:type="dxa"/>
            <w:vAlign w:val="bottom"/>
            <w:gridSpan w:val="2"/>
          </w:tcPr>
          <w:p>
            <w:pPr>
              <w:spacing w:after="0" w:line="169" w:lineRule="exact"/>
              <w:rPr>
                <w:sz w:val="20"/>
                <w:szCs w:val="20"/>
                <w:color w:val="auto"/>
              </w:rPr>
            </w:pPr>
            <w:r>
              <w:rPr>
                <w:rFonts w:ascii="Arial" w:cs="Arial" w:eastAsia="Arial" w:hAnsi="Arial"/>
                <w:sz w:val="16"/>
                <w:szCs w:val="16"/>
                <w:color w:val="auto"/>
              </w:rPr>
              <w:t>Net income available for common stock</w:t>
            </w:r>
          </w:p>
        </w:tc>
        <w:tc>
          <w:tcPr>
            <w:tcW w:w="2420" w:type="dxa"/>
            <w:vAlign w:val="bottom"/>
            <w:gridSpan w:val="2"/>
          </w:tcPr>
          <w:p>
            <w:pPr>
              <w:jc w:val="right"/>
              <w:ind w:right="739"/>
              <w:spacing w:after="0" w:line="169" w:lineRule="exact"/>
              <w:rPr>
                <w:sz w:val="20"/>
                <w:szCs w:val="20"/>
                <w:color w:val="auto"/>
              </w:rPr>
            </w:pPr>
            <w:r>
              <w:rPr>
                <w:rFonts w:ascii="Arial" w:cs="Arial" w:eastAsia="Arial" w:hAnsi="Arial"/>
                <w:sz w:val="16"/>
                <w:szCs w:val="16"/>
                <w:color w:val="auto"/>
              </w:rPr>
              <w:t>$</w:t>
            </w:r>
          </w:p>
        </w:tc>
        <w:tc>
          <w:tcPr>
            <w:tcW w:w="560" w:type="dxa"/>
            <w:vAlign w:val="bottom"/>
          </w:tcPr>
          <w:p>
            <w:pPr>
              <w:jc w:val="right"/>
              <w:ind w:right="19"/>
              <w:spacing w:after="0" w:line="169" w:lineRule="exact"/>
              <w:rPr>
                <w:sz w:val="20"/>
                <w:szCs w:val="20"/>
                <w:color w:val="auto"/>
              </w:rPr>
            </w:pPr>
            <w:r>
              <w:rPr>
                <w:rFonts w:ascii="Arial" w:cs="Arial" w:eastAsia="Arial" w:hAnsi="Arial"/>
                <w:sz w:val="16"/>
                <w:szCs w:val="16"/>
                <w:color w:val="auto"/>
              </w:rPr>
              <w:t>27.5</w:t>
            </w:r>
          </w:p>
        </w:tc>
        <w:tc>
          <w:tcPr>
            <w:tcW w:w="940" w:type="dxa"/>
            <w:vAlign w:val="bottom"/>
          </w:tcPr>
          <w:p>
            <w:pPr>
              <w:ind w:left="40"/>
              <w:spacing w:after="0" w:line="169" w:lineRule="exact"/>
              <w:rPr>
                <w:sz w:val="20"/>
                <w:szCs w:val="20"/>
                <w:color w:val="auto"/>
              </w:rPr>
            </w:pPr>
            <w:r>
              <w:rPr>
                <w:rFonts w:ascii="Arial" w:cs="Arial" w:eastAsia="Arial" w:hAnsi="Arial"/>
                <w:sz w:val="16"/>
                <w:szCs w:val="16"/>
                <w:color w:val="auto"/>
              </w:rPr>
              <w:t>$</w:t>
            </w:r>
          </w:p>
        </w:tc>
        <w:tc>
          <w:tcPr>
            <w:tcW w:w="560" w:type="dxa"/>
            <w:vAlign w:val="bottom"/>
          </w:tcPr>
          <w:p>
            <w:pPr>
              <w:jc w:val="right"/>
              <w:ind w:right="19"/>
              <w:spacing w:after="0" w:line="169" w:lineRule="exact"/>
              <w:rPr>
                <w:sz w:val="20"/>
                <w:szCs w:val="20"/>
                <w:color w:val="auto"/>
              </w:rPr>
            </w:pPr>
            <w:r>
              <w:rPr>
                <w:rFonts w:ascii="Arial" w:cs="Arial" w:eastAsia="Arial" w:hAnsi="Arial"/>
                <w:sz w:val="16"/>
                <w:szCs w:val="16"/>
                <w:color w:val="auto"/>
              </w:rPr>
              <w:t>22.8</w:t>
            </w:r>
          </w:p>
        </w:tc>
        <w:tc>
          <w:tcPr>
            <w:tcW w:w="320" w:type="dxa"/>
            <w:vAlign w:val="bottom"/>
          </w:tcPr>
          <w:p>
            <w:pPr>
              <w:jc w:val="right"/>
              <w:ind w:right="139"/>
              <w:spacing w:after="0" w:line="169" w:lineRule="exact"/>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9"/>
              <w:spacing w:after="0" w:line="169" w:lineRule="exact"/>
              <w:rPr>
                <w:sz w:val="20"/>
                <w:szCs w:val="20"/>
                <w:color w:val="auto"/>
              </w:rPr>
            </w:pPr>
            <w:r>
              <w:rPr>
                <w:rFonts w:ascii="Arial" w:cs="Arial" w:eastAsia="Arial" w:hAnsi="Arial"/>
                <w:sz w:val="16"/>
                <w:szCs w:val="16"/>
                <w:color w:val="auto"/>
              </w:rPr>
              <w:t>161.7</w:t>
            </w:r>
          </w:p>
        </w:tc>
        <w:tc>
          <w:tcPr>
            <w:tcW w:w="380" w:type="dxa"/>
            <w:vAlign w:val="bottom"/>
          </w:tcPr>
          <w:p>
            <w:pPr>
              <w:jc w:val="right"/>
              <w:ind w:right="179"/>
              <w:spacing w:after="0" w:line="169" w:lineRule="exact"/>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line="169" w:lineRule="exact"/>
              <w:rPr>
                <w:sz w:val="20"/>
                <w:szCs w:val="20"/>
                <w:color w:val="auto"/>
              </w:rPr>
            </w:pPr>
            <w:r>
              <w:rPr>
                <w:rFonts w:ascii="Arial" w:cs="Arial" w:eastAsia="Arial" w:hAnsi="Arial"/>
                <w:sz w:val="16"/>
                <w:szCs w:val="16"/>
                <w:color w:val="auto"/>
              </w:rPr>
              <w:t>150.6</w:t>
            </w:r>
          </w:p>
        </w:tc>
      </w:tr>
      <w:tr>
        <w:trPr>
          <w:trHeight w:val="20"/>
        </w:trPr>
        <w:tc>
          <w:tcPr>
            <w:tcW w:w="9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170"/>
        </w:trPr>
        <w:tc>
          <w:tcPr>
            <w:tcW w:w="3840" w:type="dxa"/>
            <w:vAlign w:val="bottom"/>
            <w:gridSpan w:val="2"/>
            <w:shd w:val="clear" w:color="auto" w:fill="CFF0FC"/>
          </w:tcPr>
          <w:p>
            <w:pPr>
              <w:spacing w:after="0"/>
              <w:rPr>
                <w:sz w:val="14"/>
                <w:szCs w:val="14"/>
                <w:color w:val="auto"/>
              </w:rPr>
            </w:pPr>
          </w:p>
        </w:tc>
        <w:tc>
          <w:tcPr>
            <w:tcW w:w="15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r>
      <w:tr>
        <w:trPr>
          <w:trHeight w:val="189"/>
        </w:trPr>
        <w:tc>
          <w:tcPr>
            <w:tcW w:w="3840" w:type="dxa"/>
            <w:vAlign w:val="bottom"/>
            <w:gridSpan w:val="2"/>
          </w:tcPr>
          <w:p>
            <w:pPr>
              <w:spacing w:after="0"/>
              <w:rPr>
                <w:sz w:val="20"/>
                <w:szCs w:val="20"/>
                <w:color w:val="auto"/>
              </w:rPr>
            </w:pPr>
            <w:r>
              <w:rPr>
                <w:rFonts w:ascii="Arial" w:cs="Arial" w:eastAsia="Arial" w:hAnsi="Arial"/>
                <w:sz w:val="16"/>
                <w:szCs w:val="16"/>
                <w:color w:val="auto"/>
              </w:rPr>
              <w:t>Earnings per share of common stock:</w:t>
            </w:r>
          </w:p>
        </w:tc>
        <w:tc>
          <w:tcPr>
            <w:tcW w:w="15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29"/>
        </w:trPr>
        <w:tc>
          <w:tcPr>
            <w:tcW w:w="3840" w:type="dxa"/>
            <w:vAlign w:val="bottom"/>
            <w:tcBorders>
              <w:bottom w:val="single" w:sz="8" w:color="CFF0FC"/>
            </w:tcBorders>
            <w:gridSpan w:val="2"/>
            <w:shd w:val="clear" w:color="auto" w:fill="CFF0FC"/>
          </w:tcPr>
          <w:p>
            <w:pPr>
              <w:ind w:left="60"/>
              <w:spacing w:after="0" w:line="169" w:lineRule="exact"/>
              <w:rPr>
                <w:sz w:val="20"/>
                <w:szCs w:val="20"/>
                <w:color w:val="auto"/>
              </w:rPr>
            </w:pPr>
            <w:r>
              <w:rPr>
                <w:rFonts w:ascii="Arial" w:cs="Arial" w:eastAsia="Arial" w:hAnsi="Arial"/>
                <w:sz w:val="16"/>
                <w:szCs w:val="16"/>
                <w:color w:val="auto"/>
              </w:rPr>
              <w:t>Earnings per share, Basic</w:t>
            </w:r>
          </w:p>
        </w:tc>
        <w:tc>
          <w:tcPr>
            <w:tcW w:w="150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739"/>
              <w:spacing w:after="0" w:line="169" w:lineRule="exact"/>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FF0FC"/>
          </w:tcPr>
          <w:p>
            <w:pPr>
              <w:jc w:val="right"/>
              <w:ind w:right="19"/>
              <w:spacing w:after="0" w:line="169" w:lineRule="exact"/>
              <w:rPr>
                <w:sz w:val="20"/>
                <w:szCs w:val="20"/>
                <w:color w:val="auto"/>
              </w:rPr>
            </w:pPr>
            <w:r>
              <w:rPr>
                <w:rFonts w:ascii="Arial" w:cs="Arial" w:eastAsia="Arial" w:hAnsi="Arial"/>
                <w:sz w:val="16"/>
                <w:szCs w:val="16"/>
                <w:color w:val="auto"/>
              </w:rPr>
              <w:t>0.38</w:t>
            </w:r>
          </w:p>
        </w:tc>
        <w:tc>
          <w:tcPr>
            <w:tcW w:w="940" w:type="dxa"/>
            <w:vAlign w:val="bottom"/>
            <w:tcBorders>
              <w:bottom w:val="single" w:sz="8" w:color="auto"/>
            </w:tcBorders>
            <w:shd w:val="clear" w:color="auto" w:fill="CFF0FC"/>
          </w:tcPr>
          <w:p>
            <w:pPr>
              <w:ind w:left="40"/>
              <w:spacing w:after="0" w:line="169" w:lineRule="exact"/>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CFF0FC"/>
          </w:tcPr>
          <w:p>
            <w:pPr>
              <w:jc w:val="right"/>
              <w:ind w:right="19"/>
              <w:spacing w:after="0" w:line="169" w:lineRule="exact"/>
              <w:rPr>
                <w:sz w:val="20"/>
                <w:szCs w:val="20"/>
                <w:color w:val="auto"/>
              </w:rPr>
            </w:pPr>
            <w:r>
              <w:rPr>
                <w:rFonts w:ascii="Arial" w:cs="Arial" w:eastAsia="Arial" w:hAnsi="Arial"/>
                <w:sz w:val="16"/>
                <w:szCs w:val="16"/>
                <w:color w:val="auto"/>
              </w:rPr>
              <w:t>0.33</w:t>
            </w:r>
          </w:p>
        </w:tc>
        <w:tc>
          <w:tcPr>
            <w:tcW w:w="320" w:type="dxa"/>
            <w:vAlign w:val="bottom"/>
            <w:tcBorders>
              <w:bottom w:val="single" w:sz="8" w:color="auto"/>
            </w:tcBorders>
            <w:shd w:val="clear" w:color="auto" w:fill="CFF0FC"/>
          </w:tcPr>
          <w:p>
            <w:pPr>
              <w:jc w:val="right"/>
              <w:ind w:right="139"/>
              <w:spacing w:after="0" w:line="169" w:lineRule="exact"/>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FF0FC"/>
          </w:tcPr>
          <w:p>
            <w:pPr>
              <w:jc w:val="right"/>
              <w:ind w:right="19"/>
              <w:spacing w:after="0" w:line="169" w:lineRule="exact"/>
              <w:rPr>
                <w:sz w:val="20"/>
                <w:szCs w:val="20"/>
                <w:color w:val="auto"/>
              </w:rPr>
            </w:pPr>
            <w:r>
              <w:rPr>
                <w:rFonts w:ascii="Arial" w:cs="Arial" w:eastAsia="Arial" w:hAnsi="Arial"/>
                <w:sz w:val="16"/>
                <w:szCs w:val="16"/>
                <w:color w:val="auto"/>
              </w:rPr>
              <w:t>2.25</w:t>
            </w:r>
          </w:p>
        </w:tc>
        <w:tc>
          <w:tcPr>
            <w:tcW w:w="380" w:type="dxa"/>
            <w:vAlign w:val="bottom"/>
            <w:tcBorders>
              <w:bottom w:val="single" w:sz="8" w:color="auto"/>
            </w:tcBorders>
            <w:shd w:val="clear" w:color="auto" w:fill="CFF0FC"/>
          </w:tcPr>
          <w:p>
            <w:pPr>
              <w:jc w:val="right"/>
              <w:ind w:right="179"/>
              <w:spacing w:after="0" w:line="169" w:lineRule="exact"/>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rPr>
              <w:t>2.20</w:t>
            </w:r>
          </w:p>
        </w:tc>
      </w:tr>
      <w:tr>
        <w:trPr>
          <w:trHeight w:val="170"/>
        </w:trPr>
        <w:tc>
          <w:tcPr>
            <w:tcW w:w="3840" w:type="dxa"/>
            <w:vAlign w:val="bottom"/>
            <w:gridSpan w:val="2"/>
          </w:tcPr>
          <w:p>
            <w:pPr>
              <w:ind w:left="60"/>
              <w:spacing w:after="0" w:line="169" w:lineRule="exact"/>
              <w:rPr>
                <w:sz w:val="20"/>
                <w:szCs w:val="20"/>
                <w:color w:val="auto"/>
              </w:rPr>
            </w:pPr>
            <w:r>
              <w:rPr>
                <w:rFonts w:ascii="Arial" w:cs="Arial" w:eastAsia="Arial" w:hAnsi="Arial"/>
                <w:sz w:val="16"/>
                <w:szCs w:val="16"/>
                <w:color w:val="auto"/>
              </w:rPr>
              <w:t>Earnings per share, Diluted</w:t>
            </w:r>
          </w:p>
        </w:tc>
        <w:tc>
          <w:tcPr>
            <w:tcW w:w="2420" w:type="dxa"/>
            <w:vAlign w:val="bottom"/>
            <w:gridSpan w:val="2"/>
          </w:tcPr>
          <w:p>
            <w:pPr>
              <w:jc w:val="right"/>
              <w:ind w:right="739"/>
              <w:spacing w:after="0" w:line="169" w:lineRule="exact"/>
              <w:rPr>
                <w:sz w:val="20"/>
                <w:szCs w:val="20"/>
                <w:color w:val="auto"/>
              </w:rPr>
            </w:pPr>
            <w:r>
              <w:rPr>
                <w:rFonts w:ascii="Arial" w:cs="Arial" w:eastAsia="Arial" w:hAnsi="Arial"/>
                <w:sz w:val="16"/>
                <w:szCs w:val="16"/>
                <w:color w:val="auto"/>
              </w:rPr>
              <w:t>$</w:t>
            </w:r>
          </w:p>
        </w:tc>
        <w:tc>
          <w:tcPr>
            <w:tcW w:w="560" w:type="dxa"/>
            <w:vAlign w:val="bottom"/>
          </w:tcPr>
          <w:p>
            <w:pPr>
              <w:jc w:val="right"/>
              <w:ind w:right="19"/>
              <w:spacing w:after="0" w:line="169" w:lineRule="exact"/>
              <w:rPr>
                <w:sz w:val="20"/>
                <w:szCs w:val="20"/>
                <w:color w:val="auto"/>
              </w:rPr>
            </w:pPr>
            <w:r>
              <w:rPr>
                <w:rFonts w:ascii="Arial" w:cs="Arial" w:eastAsia="Arial" w:hAnsi="Arial"/>
                <w:sz w:val="16"/>
                <w:szCs w:val="16"/>
                <w:color w:val="auto"/>
              </w:rPr>
              <w:t>0.38</w:t>
            </w:r>
          </w:p>
        </w:tc>
        <w:tc>
          <w:tcPr>
            <w:tcW w:w="940" w:type="dxa"/>
            <w:vAlign w:val="bottom"/>
          </w:tcPr>
          <w:p>
            <w:pPr>
              <w:ind w:left="40"/>
              <w:spacing w:after="0" w:line="169" w:lineRule="exact"/>
              <w:rPr>
                <w:sz w:val="20"/>
                <w:szCs w:val="20"/>
                <w:color w:val="auto"/>
              </w:rPr>
            </w:pPr>
            <w:r>
              <w:rPr>
                <w:rFonts w:ascii="Arial" w:cs="Arial" w:eastAsia="Arial" w:hAnsi="Arial"/>
                <w:sz w:val="16"/>
                <w:szCs w:val="16"/>
                <w:color w:val="auto"/>
              </w:rPr>
              <w:t>$</w:t>
            </w:r>
          </w:p>
        </w:tc>
        <w:tc>
          <w:tcPr>
            <w:tcW w:w="560" w:type="dxa"/>
            <w:vAlign w:val="bottom"/>
          </w:tcPr>
          <w:p>
            <w:pPr>
              <w:jc w:val="right"/>
              <w:ind w:right="19"/>
              <w:spacing w:after="0" w:line="169" w:lineRule="exact"/>
              <w:rPr>
                <w:sz w:val="20"/>
                <w:szCs w:val="20"/>
                <w:color w:val="auto"/>
              </w:rPr>
            </w:pPr>
            <w:r>
              <w:rPr>
                <w:rFonts w:ascii="Arial" w:cs="Arial" w:eastAsia="Arial" w:hAnsi="Arial"/>
                <w:sz w:val="16"/>
                <w:szCs w:val="16"/>
                <w:color w:val="auto"/>
              </w:rPr>
              <w:t>0.33</w:t>
            </w:r>
          </w:p>
        </w:tc>
        <w:tc>
          <w:tcPr>
            <w:tcW w:w="320" w:type="dxa"/>
            <w:vAlign w:val="bottom"/>
          </w:tcPr>
          <w:p>
            <w:pPr>
              <w:jc w:val="right"/>
              <w:ind w:right="139"/>
              <w:spacing w:after="0" w:line="169" w:lineRule="exact"/>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9"/>
              <w:spacing w:after="0" w:line="169" w:lineRule="exact"/>
              <w:rPr>
                <w:sz w:val="20"/>
                <w:szCs w:val="20"/>
                <w:color w:val="auto"/>
              </w:rPr>
            </w:pPr>
            <w:r>
              <w:rPr>
                <w:rFonts w:ascii="Arial" w:cs="Arial" w:eastAsia="Arial" w:hAnsi="Arial"/>
                <w:sz w:val="16"/>
                <w:szCs w:val="16"/>
                <w:color w:val="auto"/>
              </w:rPr>
              <w:t>2.24</w:t>
            </w:r>
          </w:p>
        </w:tc>
        <w:tc>
          <w:tcPr>
            <w:tcW w:w="380" w:type="dxa"/>
            <w:vAlign w:val="bottom"/>
          </w:tcPr>
          <w:p>
            <w:pPr>
              <w:jc w:val="right"/>
              <w:ind w:right="179"/>
              <w:spacing w:after="0" w:line="169" w:lineRule="exact"/>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line="169" w:lineRule="exact"/>
              <w:rPr>
                <w:sz w:val="20"/>
                <w:szCs w:val="20"/>
                <w:color w:val="auto"/>
              </w:rPr>
            </w:pPr>
            <w:r>
              <w:rPr>
                <w:rFonts w:ascii="Arial" w:cs="Arial" w:eastAsia="Arial" w:hAnsi="Arial"/>
                <w:sz w:val="16"/>
                <w:szCs w:val="16"/>
                <w:color w:val="auto"/>
              </w:rPr>
              <w:t>2.19</w:t>
            </w:r>
          </w:p>
        </w:tc>
      </w:tr>
      <w:tr>
        <w:trPr>
          <w:trHeight w:val="20"/>
        </w:trPr>
        <w:tc>
          <w:tcPr>
            <w:tcW w:w="9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170"/>
        </w:trPr>
        <w:tc>
          <w:tcPr>
            <w:tcW w:w="3840" w:type="dxa"/>
            <w:vAlign w:val="bottom"/>
            <w:gridSpan w:val="2"/>
            <w:shd w:val="clear" w:color="auto" w:fill="CFF0FC"/>
          </w:tcPr>
          <w:p>
            <w:pPr>
              <w:spacing w:after="0"/>
              <w:rPr>
                <w:sz w:val="14"/>
                <w:szCs w:val="14"/>
                <w:color w:val="auto"/>
              </w:rPr>
            </w:pPr>
          </w:p>
        </w:tc>
        <w:tc>
          <w:tcPr>
            <w:tcW w:w="15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r>
      <w:tr>
        <w:trPr>
          <w:trHeight w:val="189"/>
        </w:trPr>
        <w:tc>
          <w:tcPr>
            <w:tcW w:w="3840" w:type="dxa"/>
            <w:vAlign w:val="bottom"/>
            <w:gridSpan w:val="2"/>
          </w:tcPr>
          <w:p>
            <w:pPr>
              <w:spacing w:after="0"/>
              <w:rPr>
                <w:sz w:val="20"/>
                <w:szCs w:val="20"/>
                <w:color w:val="auto"/>
              </w:rPr>
            </w:pPr>
            <w:r>
              <w:rPr>
                <w:rFonts w:ascii="Arial" w:cs="Arial" w:eastAsia="Arial" w:hAnsi="Arial"/>
                <w:sz w:val="16"/>
                <w:szCs w:val="16"/>
                <w:color w:val="auto"/>
              </w:rPr>
              <w:t>Weighted average common shares outstanding:</w:t>
            </w:r>
          </w:p>
        </w:tc>
        <w:tc>
          <w:tcPr>
            <w:tcW w:w="15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29"/>
        </w:trPr>
        <w:tc>
          <w:tcPr>
            <w:tcW w:w="980" w:type="dxa"/>
            <w:vAlign w:val="bottom"/>
            <w:tcBorders>
              <w:bottom w:val="single" w:sz="8" w:color="CFF0FC"/>
            </w:tcBorders>
            <w:shd w:val="clear" w:color="auto" w:fill="CFF0FC"/>
          </w:tcPr>
          <w:p>
            <w:pPr>
              <w:ind w:left="60"/>
              <w:spacing w:after="0" w:line="169" w:lineRule="exact"/>
              <w:rPr>
                <w:sz w:val="20"/>
                <w:szCs w:val="20"/>
                <w:color w:val="auto"/>
              </w:rPr>
            </w:pPr>
            <w:r>
              <w:rPr>
                <w:rFonts w:ascii="Arial" w:cs="Arial" w:eastAsia="Arial" w:hAnsi="Arial"/>
                <w:sz w:val="16"/>
                <w:szCs w:val="16"/>
                <w:color w:val="auto"/>
              </w:rPr>
              <w:t>Basic</w:t>
            </w:r>
          </w:p>
        </w:tc>
        <w:tc>
          <w:tcPr>
            <w:tcW w:w="2860" w:type="dxa"/>
            <w:vAlign w:val="bottom"/>
            <w:tcBorders>
              <w:bottom w:val="single" w:sz="8" w:color="CFF0FC"/>
            </w:tcBorders>
            <w:shd w:val="clear" w:color="auto" w:fill="CFF0FC"/>
          </w:tcPr>
          <w:p>
            <w:pPr>
              <w:spacing w:after="0"/>
              <w:rPr>
                <w:sz w:val="19"/>
                <w:szCs w:val="19"/>
                <w:color w:val="auto"/>
              </w:rPr>
            </w:pPr>
          </w:p>
        </w:tc>
        <w:tc>
          <w:tcPr>
            <w:tcW w:w="150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19"/>
              <w:spacing w:after="0" w:line="169" w:lineRule="exact"/>
              <w:rPr>
                <w:sz w:val="20"/>
                <w:szCs w:val="20"/>
                <w:color w:val="auto"/>
              </w:rPr>
            </w:pPr>
            <w:r>
              <w:rPr>
                <w:rFonts w:ascii="Arial" w:cs="Arial" w:eastAsia="Arial" w:hAnsi="Arial"/>
                <w:sz w:val="16"/>
                <w:szCs w:val="16"/>
                <w:color w:val="auto"/>
              </w:rPr>
              <w:t>72.4</w:t>
            </w:r>
          </w:p>
        </w:tc>
        <w:tc>
          <w:tcPr>
            <w:tcW w:w="94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19"/>
              <w:spacing w:after="0" w:line="169" w:lineRule="exact"/>
              <w:rPr>
                <w:sz w:val="20"/>
                <w:szCs w:val="20"/>
                <w:color w:val="auto"/>
              </w:rPr>
            </w:pPr>
            <w:r>
              <w:rPr>
                <w:rFonts w:ascii="Arial" w:cs="Arial" w:eastAsia="Arial" w:hAnsi="Arial"/>
                <w:sz w:val="16"/>
                <w:szCs w:val="16"/>
                <w:color w:val="auto"/>
              </w:rPr>
              <w:t>69.0</w:t>
            </w:r>
          </w:p>
        </w:tc>
        <w:tc>
          <w:tcPr>
            <w:tcW w:w="3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19"/>
              <w:spacing w:after="0" w:line="169" w:lineRule="exact"/>
              <w:rPr>
                <w:sz w:val="20"/>
                <w:szCs w:val="20"/>
                <w:color w:val="auto"/>
              </w:rPr>
            </w:pPr>
            <w:r>
              <w:rPr>
                <w:rFonts w:ascii="Arial" w:cs="Arial" w:eastAsia="Arial" w:hAnsi="Arial"/>
                <w:sz w:val="16"/>
                <w:szCs w:val="16"/>
                <w:color w:val="auto"/>
              </w:rPr>
              <w:t>72.0</w:t>
            </w:r>
          </w:p>
        </w:tc>
        <w:tc>
          <w:tcPr>
            <w:tcW w:w="3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rPr>
              <w:t>68.6</w:t>
            </w:r>
          </w:p>
        </w:tc>
      </w:tr>
      <w:tr>
        <w:trPr>
          <w:trHeight w:val="170"/>
        </w:trPr>
        <w:tc>
          <w:tcPr>
            <w:tcW w:w="980" w:type="dxa"/>
            <w:vAlign w:val="bottom"/>
          </w:tcPr>
          <w:p>
            <w:pPr>
              <w:ind w:left="60"/>
              <w:spacing w:after="0" w:line="169" w:lineRule="exact"/>
              <w:rPr>
                <w:sz w:val="20"/>
                <w:szCs w:val="20"/>
                <w:color w:val="auto"/>
              </w:rPr>
            </w:pPr>
            <w:r>
              <w:rPr>
                <w:rFonts w:ascii="Arial" w:cs="Arial" w:eastAsia="Arial" w:hAnsi="Arial"/>
                <w:sz w:val="16"/>
                <w:szCs w:val="16"/>
                <w:color w:val="auto"/>
              </w:rPr>
              <w:t>Diluted</w:t>
            </w:r>
          </w:p>
        </w:tc>
        <w:tc>
          <w:tcPr>
            <w:tcW w:w="28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9"/>
              <w:spacing w:after="0" w:line="169" w:lineRule="exact"/>
              <w:rPr>
                <w:sz w:val="20"/>
                <w:szCs w:val="20"/>
                <w:color w:val="auto"/>
              </w:rPr>
            </w:pPr>
            <w:r>
              <w:rPr>
                <w:rFonts w:ascii="Arial" w:cs="Arial" w:eastAsia="Arial" w:hAnsi="Arial"/>
                <w:sz w:val="16"/>
                <w:szCs w:val="16"/>
                <w:color w:val="auto"/>
              </w:rPr>
              <w:t>72.4</w:t>
            </w:r>
          </w:p>
        </w:tc>
        <w:tc>
          <w:tcPr>
            <w:tcW w:w="9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9"/>
              <w:spacing w:after="0" w:line="169" w:lineRule="exact"/>
              <w:rPr>
                <w:sz w:val="20"/>
                <w:szCs w:val="20"/>
                <w:color w:val="auto"/>
              </w:rPr>
            </w:pPr>
            <w:r>
              <w:rPr>
                <w:rFonts w:ascii="Arial" w:cs="Arial" w:eastAsia="Arial" w:hAnsi="Arial"/>
                <w:sz w:val="16"/>
                <w:szCs w:val="16"/>
                <w:color w:val="auto"/>
              </w:rPr>
              <w:t>69.0</w:t>
            </w: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19"/>
              <w:spacing w:after="0" w:line="169" w:lineRule="exact"/>
              <w:rPr>
                <w:sz w:val="20"/>
                <w:szCs w:val="20"/>
                <w:color w:val="auto"/>
              </w:rPr>
            </w:pPr>
            <w:r>
              <w:rPr>
                <w:rFonts w:ascii="Arial" w:cs="Arial" w:eastAsia="Arial" w:hAnsi="Arial"/>
                <w:sz w:val="16"/>
                <w:szCs w:val="16"/>
                <w:color w:val="auto"/>
              </w:rPr>
              <w:t>72.1</w:t>
            </w:r>
          </w:p>
        </w:tc>
        <w:tc>
          <w:tcPr>
            <w:tcW w:w="3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9"/>
              <w:spacing w:after="0" w:line="169" w:lineRule="exact"/>
              <w:rPr>
                <w:sz w:val="20"/>
                <w:szCs w:val="20"/>
                <w:color w:val="auto"/>
              </w:rPr>
            </w:pPr>
            <w:r>
              <w:rPr>
                <w:rFonts w:ascii="Arial" w:cs="Arial" w:eastAsia="Arial" w:hAnsi="Arial"/>
                <w:sz w:val="16"/>
                <w:szCs w:val="16"/>
                <w:color w:val="auto"/>
              </w:rPr>
              <w:t>68.7</w:t>
            </w:r>
          </w:p>
        </w:tc>
      </w:tr>
      <w:tr>
        <w:trPr>
          <w:trHeight w:val="20"/>
        </w:trPr>
        <w:tc>
          <w:tcPr>
            <w:tcW w:w="9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The accompanying </w:t>
      </w:r>
      <w:r>
        <w:rPr>
          <w:rFonts w:ascii="Arial" w:cs="Arial" w:eastAsia="Arial" w:hAnsi="Arial"/>
          <w:sz w:val="16"/>
          <w:szCs w:val="16"/>
          <w:u w:val="single" w:color="auto"/>
          <w:color w:val="0000FF"/>
        </w:rPr>
        <w:t>Condensed Notes to Consolidated Financial Statements</w:t>
      </w:r>
      <w:r>
        <w:rPr>
          <w:rFonts w:ascii="Arial" w:cs="Arial" w:eastAsia="Arial" w:hAnsi="Arial"/>
          <w:sz w:val="16"/>
          <w:szCs w:val="16"/>
          <w:color w:val="auto"/>
        </w:rPr>
        <w:t xml:space="preserve">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1275080</wp:posOffset>
            </wp:positionH>
            <wp:positionV relativeFrom="paragraph">
              <wp:posOffset>-4445</wp:posOffset>
            </wp:positionV>
            <wp:extent cx="25558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5587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BLACK HILLS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COMPREHENSIVE INCOME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18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2440" w:type="dxa"/>
            <w:vAlign w:val="bottom"/>
            <w:gridSpan w:val="4"/>
          </w:tcPr>
          <w:p>
            <w:pPr>
              <w:jc w:val="right"/>
              <w:ind w:right="399"/>
              <w:spacing w:after="0"/>
              <w:rPr>
                <w:sz w:val="20"/>
                <w:szCs w:val="20"/>
                <w:color w:val="auto"/>
              </w:rPr>
            </w:pPr>
            <w:r>
              <w:rPr>
                <w:rFonts w:ascii="Arial" w:cs="Arial" w:eastAsia="Arial" w:hAnsi="Arial"/>
                <w:sz w:val="16"/>
                <w:szCs w:val="16"/>
                <w:b w:val="1"/>
                <w:bCs w:val="1"/>
                <w:color w:val="auto"/>
              </w:rPr>
              <w:t>Three Months Ended</w:t>
            </w:r>
          </w:p>
        </w:tc>
        <w:tc>
          <w:tcPr>
            <w:tcW w:w="360" w:type="dxa"/>
            <w:vAlign w:val="bottom"/>
          </w:tcPr>
          <w:p>
            <w:pPr>
              <w:spacing w:after="0"/>
              <w:rPr>
                <w:sz w:val="16"/>
                <w:szCs w:val="16"/>
                <w:color w:val="auto"/>
              </w:rPr>
            </w:pPr>
          </w:p>
        </w:tc>
        <w:tc>
          <w:tcPr>
            <w:tcW w:w="2060" w:type="dxa"/>
            <w:vAlign w:val="bottom"/>
            <w:gridSpan w:val="3"/>
          </w:tcPr>
          <w:p>
            <w:pPr>
              <w:jc w:val="right"/>
              <w:ind w:right="479"/>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189"/>
        </w:trPr>
        <w:tc>
          <w:tcPr>
            <w:tcW w:w="1180" w:type="dxa"/>
            <w:vAlign w:val="bottom"/>
          </w:tcPr>
          <w:p>
            <w:pPr>
              <w:spacing w:after="0"/>
              <w:rPr>
                <w:sz w:val="20"/>
                <w:szCs w:val="20"/>
                <w:color w:val="auto"/>
              </w:rPr>
            </w:pPr>
            <w:r>
              <w:rPr>
                <w:rFonts w:ascii="Arial" w:cs="Arial" w:eastAsia="Arial" w:hAnsi="Arial"/>
                <w:sz w:val="16"/>
                <w:szCs w:val="16"/>
                <w:color w:val="auto"/>
              </w:rPr>
              <w:t>(unaudited)</w:t>
            </w:r>
          </w:p>
        </w:tc>
        <w:tc>
          <w:tcPr>
            <w:tcW w:w="5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b w:val="1"/>
                <w:bCs w:val="1"/>
                <w:color w:val="auto"/>
              </w:rPr>
              <w:t>June 30,</w:t>
            </w:r>
          </w:p>
        </w:tc>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gridSpan w:val="2"/>
          </w:tcPr>
          <w:p>
            <w:pPr>
              <w:jc w:val="right"/>
              <w:spacing w:after="0"/>
              <w:rPr>
                <w:sz w:val="20"/>
                <w:szCs w:val="20"/>
                <w:color w:val="auto"/>
              </w:rPr>
            </w:pPr>
            <w:r>
              <w:rPr>
                <w:rFonts w:ascii="Arial" w:cs="Arial" w:eastAsia="Arial" w:hAnsi="Arial"/>
                <w:sz w:val="16"/>
                <w:szCs w:val="16"/>
                <w:b w:val="1"/>
                <w:bCs w:val="1"/>
                <w:color w:val="auto"/>
              </w:rPr>
              <w:t>June 30,</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80" w:type="dxa"/>
            <w:vAlign w:val="bottom"/>
          </w:tcPr>
          <w:p>
            <w:pPr>
              <w:spacing w:after="0"/>
              <w:rPr>
                <w:sz w:val="17"/>
                <w:szCs w:val="17"/>
                <w:color w:val="auto"/>
              </w:rPr>
            </w:pPr>
          </w:p>
        </w:tc>
        <w:tc>
          <w:tcPr>
            <w:tcW w:w="5200" w:type="dxa"/>
            <w:vAlign w:val="bottom"/>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4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2024</w:t>
            </w:r>
          </w:p>
        </w:tc>
        <w:tc>
          <w:tcPr>
            <w:tcW w:w="3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2025</w:t>
            </w: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183"/>
        </w:trPr>
        <w:tc>
          <w:tcPr>
            <w:tcW w:w="118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jc w:val="right"/>
              <w:spacing w:after="0" w:line="183" w:lineRule="exact"/>
              <w:rPr>
                <w:sz w:val="20"/>
                <w:szCs w:val="20"/>
                <w:color w:val="auto"/>
              </w:rPr>
            </w:pPr>
            <w:r>
              <w:rPr>
                <w:rFonts w:ascii="Arial" w:cs="Arial" w:eastAsia="Arial" w:hAnsi="Arial"/>
                <w:sz w:val="16"/>
                <w:szCs w:val="16"/>
                <w:color w:val="auto"/>
              </w:rPr>
              <w:t>(in millions)</w:t>
            </w:r>
          </w:p>
        </w:tc>
        <w:tc>
          <w:tcPr>
            <w:tcW w:w="8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8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6"/>
                <w:szCs w:val="16"/>
                <w:color w:val="auto"/>
              </w:rPr>
              <w:t>Net income</w:t>
            </w:r>
          </w:p>
        </w:tc>
        <w:tc>
          <w:tcPr>
            <w:tcW w:w="5200" w:type="dxa"/>
            <w:vAlign w:val="bottom"/>
            <w:tcBorders>
              <w:bottom w:val="single" w:sz="8" w:color="CFF0FC"/>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right"/>
              <w:ind w:right="579"/>
              <w:spacing w:after="0" w:line="183" w:lineRule="exact"/>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28.8</w:t>
            </w:r>
          </w:p>
        </w:tc>
        <w:tc>
          <w:tcPr>
            <w:tcW w:w="360" w:type="dxa"/>
            <w:vAlign w:val="bottom"/>
            <w:tcBorders>
              <w:bottom w:val="single" w:sz="8" w:color="auto"/>
            </w:tcBorders>
            <w:shd w:val="clear" w:color="auto" w:fill="CFF0FC"/>
          </w:tcPr>
          <w:p>
            <w:pPr>
              <w:jc w:val="right"/>
              <w:ind w:right="139"/>
              <w:spacing w:after="0" w:line="183"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24.7</w:t>
            </w:r>
          </w:p>
        </w:tc>
        <w:tc>
          <w:tcPr>
            <w:tcW w:w="360" w:type="dxa"/>
            <w:vAlign w:val="bottom"/>
            <w:tcBorders>
              <w:bottom w:val="single" w:sz="8" w:color="auto"/>
            </w:tcBorders>
            <w:shd w:val="clear" w:color="auto" w:fill="CFF0FC"/>
          </w:tcPr>
          <w:p>
            <w:pPr>
              <w:jc w:val="right"/>
              <w:ind w:right="179"/>
              <w:spacing w:after="0" w:line="183" w:lineRule="exact"/>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165.2</w:t>
            </w:r>
          </w:p>
        </w:tc>
        <w:tc>
          <w:tcPr>
            <w:tcW w:w="340" w:type="dxa"/>
            <w:vAlign w:val="bottom"/>
            <w:tcBorders>
              <w:bottom w:val="single" w:sz="8" w:color="auto"/>
            </w:tcBorders>
            <w:shd w:val="clear" w:color="auto" w:fill="CFF0FC"/>
          </w:tcPr>
          <w:p>
            <w:pPr>
              <w:jc w:val="right"/>
              <w:ind w:right="159"/>
              <w:spacing w:after="0" w:line="183" w:lineRule="exact"/>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156.2</w:t>
            </w:r>
          </w:p>
        </w:tc>
        <w:tc>
          <w:tcPr>
            <w:tcW w:w="0" w:type="dxa"/>
            <w:vAlign w:val="bottom"/>
          </w:tcPr>
          <w:p>
            <w:pPr>
              <w:spacing w:after="0"/>
              <w:rPr>
                <w:sz w:val="1"/>
                <w:szCs w:val="1"/>
                <w:color w:val="auto"/>
              </w:rPr>
            </w:pPr>
          </w:p>
        </w:tc>
      </w:tr>
      <w:tr>
        <w:trPr>
          <w:trHeight w:val="183"/>
        </w:trPr>
        <w:tc>
          <w:tcPr>
            <w:tcW w:w="6380" w:type="dxa"/>
            <w:vAlign w:val="bottom"/>
            <w:gridSpan w:val="2"/>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3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Other comprehensive income (loss), net of tax;</w:t>
            </w:r>
          </w:p>
        </w:tc>
        <w:tc>
          <w:tcPr>
            <w:tcW w:w="76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6380" w:type="dxa"/>
            <w:vAlign w:val="bottom"/>
            <w:gridSpan w:val="2"/>
          </w:tcPr>
          <w:p>
            <w:pPr>
              <w:ind w:left="240"/>
              <w:spacing w:after="0" w:line="175" w:lineRule="exact"/>
              <w:rPr>
                <w:sz w:val="20"/>
                <w:szCs w:val="20"/>
                <w:color w:val="auto"/>
              </w:rPr>
            </w:pPr>
            <w:r>
              <w:rPr>
                <w:rFonts w:ascii="Arial" w:cs="Arial" w:eastAsia="Arial" w:hAnsi="Arial"/>
                <w:sz w:val="16"/>
                <w:szCs w:val="16"/>
                <w:color w:val="auto"/>
              </w:rPr>
              <w:t>Reclassification adjustments of benefit plan liability - net loss</w:t>
            </w: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180" w:type="dxa"/>
            <w:vAlign w:val="bottom"/>
          </w:tcPr>
          <w:p>
            <w:pPr>
              <w:ind w:left="240"/>
              <w:spacing w:after="0"/>
              <w:rPr>
                <w:sz w:val="20"/>
                <w:szCs w:val="20"/>
                <w:color w:val="auto"/>
              </w:rPr>
            </w:pPr>
            <w:r>
              <w:rPr>
                <w:rFonts w:ascii="Arial" w:cs="Arial" w:eastAsia="Arial" w:hAnsi="Arial"/>
                <w:sz w:val="16"/>
                <w:szCs w:val="16"/>
                <w:color w:val="auto"/>
              </w:rPr>
              <w:t>(net of tax of</w:t>
            </w:r>
          </w:p>
        </w:tc>
        <w:tc>
          <w:tcPr>
            <w:tcW w:w="5200" w:type="dxa"/>
            <w:vAlign w:val="bottom"/>
          </w:tcPr>
          <w:p>
            <w:pPr>
              <w:ind w:left="60"/>
              <w:spacing w:after="0"/>
              <w:rPr>
                <w:sz w:val="20"/>
                <w:szCs w:val="20"/>
                <w:color w:val="auto"/>
              </w:rPr>
            </w:pPr>
            <w:r>
              <w:rPr>
                <w:rFonts w:ascii="Arial" w:cs="Arial" w:eastAsia="Arial" w:hAnsi="Arial"/>
                <w:sz w:val="16"/>
                <w:szCs w:val="16"/>
                <w:color w:val="auto"/>
              </w:rPr>
              <w:t>$0.0, $0.0, $0.0 and $0.0, respectively)</w:t>
            </w:r>
          </w:p>
        </w:tc>
        <w:tc>
          <w:tcPr>
            <w:tcW w:w="760" w:type="dxa"/>
            <w:vAlign w:val="bottom"/>
          </w:tcPr>
          <w:p>
            <w:pPr>
              <w:spacing w:after="0"/>
              <w:rPr>
                <w:sz w:val="17"/>
                <w:szCs w:val="17"/>
                <w:color w:val="auto"/>
              </w:rPr>
            </w:pP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0.1</w:t>
            </w:r>
          </w:p>
        </w:tc>
        <w:tc>
          <w:tcPr>
            <w:tcW w:w="34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189"/>
        </w:trPr>
        <w:tc>
          <w:tcPr>
            <w:tcW w:w="638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Derivative instruments designated as cash flow hedges:</w:t>
            </w:r>
          </w:p>
        </w:tc>
        <w:tc>
          <w:tcPr>
            <w:tcW w:w="76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6380" w:type="dxa"/>
            <w:vAlign w:val="bottom"/>
            <w:gridSpan w:val="2"/>
          </w:tcPr>
          <w:p>
            <w:pPr>
              <w:ind w:left="240"/>
              <w:spacing w:after="0" w:line="175" w:lineRule="exact"/>
              <w:rPr>
                <w:sz w:val="20"/>
                <w:szCs w:val="20"/>
                <w:color w:val="auto"/>
              </w:rPr>
            </w:pPr>
            <w:r>
              <w:rPr>
                <w:rFonts w:ascii="Arial" w:cs="Arial" w:eastAsia="Arial" w:hAnsi="Arial"/>
                <w:sz w:val="16"/>
                <w:szCs w:val="16"/>
                <w:color w:val="auto"/>
              </w:rPr>
              <w:t>Reclassification of net realized (gains) losses on settled/amortized interest rate</w:t>
            </w: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380" w:type="dxa"/>
            <w:vAlign w:val="bottom"/>
            <w:gridSpan w:val="2"/>
          </w:tcPr>
          <w:p>
            <w:pPr>
              <w:ind w:left="240"/>
              <w:spacing w:after="0"/>
              <w:rPr>
                <w:sz w:val="20"/>
                <w:szCs w:val="20"/>
                <w:color w:val="auto"/>
              </w:rPr>
            </w:pPr>
            <w:r>
              <w:rPr>
                <w:rFonts w:ascii="Arial" w:cs="Arial" w:eastAsia="Arial" w:hAnsi="Arial"/>
                <w:sz w:val="16"/>
                <w:szCs w:val="16"/>
                <w:color w:val="auto"/>
              </w:rPr>
              <w:t>swaps (net of tax of $(0.2), $(0.2), $(0.3), and $(0.3), respectively)</w:t>
            </w:r>
          </w:p>
        </w:tc>
        <w:tc>
          <w:tcPr>
            <w:tcW w:w="760" w:type="dxa"/>
            <w:vAlign w:val="bottom"/>
          </w:tcPr>
          <w:p>
            <w:pPr>
              <w:spacing w:after="0"/>
              <w:rPr>
                <w:sz w:val="17"/>
                <w:szCs w:val="17"/>
                <w:color w:val="auto"/>
              </w:rPr>
            </w:pP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0.6</w:t>
            </w:r>
          </w:p>
        </w:tc>
        <w:tc>
          <w:tcPr>
            <w:tcW w:w="36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0.6</w:t>
            </w:r>
          </w:p>
        </w:tc>
        <w:tc>
          <w:tcPr>
            <w:tcW w:w="360" w:type="dxa"/>
            <w:vAlign w:val="bottom"/>
          </w:tcPr>
          <w:p>
            <w:pPr>
              <w:spacing w:after="0"/>
              <w:rPr>
                <w:sz w:val="17"/>
                <w:szCs w:val="17"/>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1.1</w:t>
            </w:r>
          </w:p>
        </w:tc>
        <w:tc>
          <w:tcPr>
            <w:tcW w:w="34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75"/>
        </w:trPr>
        <w:tc>
          <w:tcPr>
            <w:tcW w:w="6380" w:type="dxa"/>
            <w:vAlign w:val="bottom"/>
            <w:gridSpan w:val="2"/>
            <w:shd w:val="clear" w:color="auto" w:fill="CFF0FC"/>
          </w:tcPr>
          <w:p>
            <w:pPr>
              <w:ind w:left="240"/>
              <w:spacing w:after="0" w:line="175" w:lineRule="exact"/>
              <w:rPr>
                <w:sz w:val="20"/>
                <w:szCs w:val="20"/>
                <w:color w:val="auto"/>
              </w:rPr>
            </w:pPr>
            <w:r>
              <w:rPr>
                <w:rFonts w:ascii="Arial" w:cs="Arial" w:eastAsia="Arial" w:hAnsi="Arial"/>
                <w:sz w:val="16"/>
                <w:szCs w:val="16"/>
                <w:color w:val="auto"/>
              </w:rPr>
              <w:t>Net unrealized gains (losses) on commodity derivatives</w:t>
            </w:r>
          </w:p>
        </w:tc>
        <w:tc>
          <w:tcPr>
            <w:tcW w:w="76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1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(net of tax of</w:t>
            </w:r>
          </w:p>
        </w:tc>
        <w:tc>
          <w:tcPr>
            <w:tcW w:w="5200" w:type="dxa"/>
            <w:vAlign w:val="bottom"/>
            <w:shd w:val="clear" w:color="auto" w:fill="CFF0FC"/>
          </w:tcPr>
          <w:p>
            <w:pPr>
              <w:ind w:left="60"/>
              <w:spacing w:after="0"/>
              <w:rPr>
                <w:sz w:val="20"/>
                <w:szCs w:val="20"/>
                <w:color w:val="auto"/>
              </w:rPr>
            </w:pPr>
            <w:r>
              <w:rPr>
                <w:rFonts w:ascii="Arial" w:cs="Arial" w:eastAsia="Arial" w:hAnsi="Arial"/>
                <w:sz w:val="16"/>
                <w:szCs w:val="16"/>
                <w:color w:val="auto"/>
              </w:rPr>
              <w:t>$0.1, $0.0, $0.1, and $0.0, respectively)</w:t>
            </w:r>
          </w:p>
        </w:tc>
        <w:tc>
          <w:tcPr>
            <w:tcW w:w="76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(0.3)</w:t>
            </w:r>
          </w:p>
        </w:tc>
        <w:tc>
          <w:tcPr>
            <w:tcW w:w="36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(0.2)</w:t>
            </w:r>
          </w:p>
        </w:tc>
        <w:tc>
          <w:tcPr>
            <w:tcW w:w="3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175"/>
        </w:trPr>
        <w:tc>
          <w:tcPr>
            <w:tcW w:w="6380" w:type="dxa"/>
            <w:vAlign w:val="bottom"/>
            <w:gridSpan w:val="2"/>
          </w:tcPr>
          <w:p>
            <w:pPr>
              <w:ind w:left="240"/>
              <w:spacing w:after="0" w:line="175" w:lineRule="exact"/>
              <w:rPr>
                <w:sz w:val="20"/>
                <w:szCs w:val="20"/>
                <w:color w:val="auto"/>
              </w:rPr>
            </w:pPr>
            <w:r>
              <w:rPr>
                <w:rFonts w:ascii="Arial" w:cs="Arial" w:eastAsia="Arial" w:hAnsi="Arial"/>
                <w:sz w:val="16"/>
                <w:szCs w:val="16"/>
                <w:color w:val="auto"/>
              </w:rPr>
              <w:t>Reclassification of net realized (gains) losses on settled commodity derivatives (net</w:t>
            </w:r>
          </w:p>
        </w:tc>
        <w:tc>
          <w:tcPr>
            <w:tcW w:w="760" w:type="dxa"/>
            <w:vAlign w:val="bottom"/>
          </w:tcPr>
          <w:p>
            <w:pPr>
              <w:spacing w:after="0"/>
              <w:rPr>
                <w:sz w:val="15"/>
                <w:szCs w:val="15"/>
                <w:color w:val="auto"/>
              </w:rPr>
            </w:pPr>
          </w:p>
        </w:tc>
        <w:tc>
          <w:tcPr>
            <w:tcW w:w="440" w:type="dxa"/>
            <w:vAlign w:val="bottom"/>
            <w:vMerge w:val="restart"/>
          </w:tcPr>
          <w:p>
            <w:pPr>
              <w:jc w:val="right"/>
              <w:ind w:right="19"/>
              <w:spacing w:after="0"/>
              <w:rPr>
                <w:sz w:val="20"/>
                <w:szCs w:val="20"/>
                <w:color w:val="auto"/>
              </w:rPr>
            </w:pPr>
            <w:r>
              <w:rPr>
                <w:rFonts w:ascii="Arial" w:cs="Arial" w:eastAsia="Arial" w:hAnsi="Arial"/>
                <w:sz w:val="16"/>
                <w:szCs w:val="16"/>
                <w:color w:val="auto"/>
              </w:rPr>
              <w:t>0.1</w:t>
            </w:r>
          </w:p>
        </w:tc>
        <w:tc>
          <w:tcPr>
            <w:tcW w:w="360" w:type="dxa"/>
            <w:vAlign w:val="bottom"/>
          </w:tcPr>
          <w:p>
            <w:pPr>
              <w:spacing w:after="0"/>
              <w:rPr>
                <w:sz w:val="15"/>
                <w:szCs w:val="15"/>
                <w:color w:val="auto"/>
              </w:rPr>
            </w:pPr>
          </w:p>
        </w:tc>
        <w:tc>
          <w:tcPr>
            <w:tcW w:w="880" w:type="dxa"/>
            <w:vAlign w:val="bottom"/>
            <w:vMerge w:val="restart"/>
          </w:tcPr>
          <w:p>
            <w:pPr>
              <w:jc w:val="right"/>
              <w:ind w:right="19"/>
              <w:spacing w:after="0"/>
              <w:rPr>
                <w:sz w:val="20"/>
                <w:szCs w:val="20"/>
                <w:color w:val="auto"/>
              </w:rPr>
            </w:pPr>
            <w:r>
              <w:rPr>
                <w:rFonts w:ascii="Arial" w:cs="Arial" w:eastAsia="Arial" w:hAnsi="Arial"/>
                <w:sz w:val="16"/>
                <w:szCs w:val="16"/>
                <w:color w:val="auto"/>
              </w:rPr>
              <w:t>0.4</w:t>
            </w:r>
          </w:p>
        </w:tc>
        <w:tc>
          <w:tcPr>
            <w:tcW w:w="360" w:type="dxa"/>
            <w:vAlign w:val="bottom"/>
          </w:tcPr>
          <w:p>
            <w:pPr>
              <w:spacing w:after="0"/>
              <w:rPr>
                <w:sz w:val="15"/>
                <w:szCs w:val="15"/>
                <w:color w:val="auto"/>
              </w:rPr>
            </w:pPr>
          </w:p>
        </w:tc>
        <w:tc>
          <w:tcPr>
            <w:tcW w:w="840" w:type="dxa"/>
            <w:vAlign w:val="bottom"/>
            <w:vMerge w:val="restart"/>
          </w:tcPr>
          <w:p>
            <w:pPr>
              <w:jc w:val="right"/>
              <w:ind w:right="19"/>
              <w:spacing w:after="0"/>
              <w:rPr>
                <w:sz w:val="20"/>
                <w:szCs w:val="20"/>
                <w:color w:val="auto"/>
              </w:rPr>
            </w:pPr>
            <w:r>
              <w:rPr>
                <w:rFonts w:ascii="Arial" w:cs="Arial" w:eastAsia="Arial" w:hAnsi="Arial"/>
                <w:sz w:val="16"/>
                <w:szCs w:val="16"/>
                <w:color w:val="auto"/>
              </w:rPr>
              <w:t>0.4</w:t>
            </w:r>
          </w:p>
        </w:tc>
        <w:tc>
          <w:tcPr>
            <w:tcW w:w="340" w:type="dxa"/>
            <w:vAlign w:val="bottom"/>
          </w:tcPr>
          <w:p>
            <w:pPr>
              <w:spacing w:after="0"/>
              <w:rPr>
                <w:sz w:val="15"/>
                <w:szCs w:val="15"/>
                <w:color w:val="auto"/>
              </w:rPr>
            </w:pPr>
          </w:p>
        </w:tc>
        <w:tc>
          <w:tcPr>
            <w:tcW w:w="880" w:type="dxa"/>
            <w:vAlign w:val="bottom"/>
            <w:vMerge w:val="restart"/>
          </w:tcPr>
          <w:p>
            <w:pPr>
              <w:jc w:val="right"/>
              <w:ind w:right="39"/>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190"/>
        </w:trPr>
        <w:tc>
          <w:tcPr>
            <w:tcW w:w="6380" w:type="dxa"/>
            <w:vAlign w:val="bottom"/>
            <w:gridSpan w:val="2"/>
          </w:tcPr>
          <w:p>
            <w:pPr>
              <w:ind w:left="240"/>
              <w:spacing w:after="0"/>
              <w:rPr>
                <w:sz w:val="20"/>
                <w:szCs w:val="20"/>
                <w:color w:val="auto"/>
              </w:rPr>
            </w:pPr>
            <w:r>
              <w:rPr>
                <w:rFonts w:ascii="Arial" w:cs="Arial" w:eastAsia="Arial" w:hAnsi="Arial"/>
                <w:sz w:val="16"/>
                <w:szCs w:val="16"/>
                <w:color w:val="auto"/>
              </w:rPr>
              <w:t>of tax of $0.0, $(0.1), $(0.2), and $(0.8), respectively)</w:t>
            </w:r>
          </w:p>
        </w:tc>
        <w:tc>
          <w:tcPr>
            <w:tcW w:w="7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380" w:type="dxa"/>
            <w:vAlign w:val="bottom"/>
            <w:tcBorders>
              <w:bottom w:val="single" w:sz="8" w:color="CFF0FC"/>
            </w:tcBorders>
            <w:gridSpan w:val="2"/>
            <w:shd w:val="clear" w:color="auto" w:fill="CFF0FC"/>
          </w:tcPr>
          <w:p>
            <w:pPr>
              <w:spacing w:after="0" w:line="183" w:lineRule="exact"/>
              <w:rPr>
                <w:sz w:val="20"/>
                <w:szCs w:val="20"/>
                <w:color w:val="auto"/>
              </w:rPr>
            </w:pPr>
            <w:r>
              <w:rPr>
                <w:rFonts w:ascii="Arial" w:cs="Arial" w:eastAsia="Arial" w:hAnsi="Arial"/>
                <w:sz w:val="16"/>
                <w:szCs w:val="16"/>
                <w:color w:val="auto"/>
              </w:rPr>
              <w:t>Other comprehensive income, net of tax</w:t>
            </w:r>
          </w:p>
        </w:tc>
        <w:tc>
          <w:tcPr>
            <w:tcW w:w="760" w:type="dxa"/>
            <w:vAlign w:val="bottom"/>
            <w:tcBorders>
              <w:bottom w:val="single" w:sz="8" w:color="auto"/>
            </w:tcBorders>
            <w:shd w:val="clear" w:color="auto" w:fill="CFF0FC"/>
          </w:tcPr>
          <w:p>
            <w:pPr>
              <w:spacing w:after="0"/>
              <w:rPr>
                <w:sz w:val="15"/>
                <w:szCs w:val="15"/>
                <w:color w:val="auto"/>
              </w:rPr>
            </w:pPr>
          </w:p>
        </w:tc>
        <w:tc>
          <w:tcPr>
            <w:tcW w:w="440" w:type="dxa"/>
            <w:vAlign w:val="bottom"/>
            <w:tcBorders>
              <w:bottom w:val="single" w:sz="8" w:color="auto"/>
            </w:tcBorders>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0.4</w:t>
            </w:r>
          </w:p>
        </w:tc>
        <w:tc>
          <w:tcPr>
            <w:tcW w:w="36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1.0</w:t>
            </w:r>
          </w:p>
        </w:tc>
        <w:tc>
          <w:tcPr>
            <w:tcW w:w="360" w:type="dxa"/>
            <w:vAlign w:val="bottom"/>
            <w:tcBorders>
              <w:bottom w:val="single" w:sz="8" w:color="auto"/>
            </w:tcBorders>
            <w:shd w:val="clear" w:color="auto" w:fill="CFF0FC"/>
          </w:tcPr>
          <w:p>
            <w:pPr>
              <w:spacing w:after="0"/>
              <w:rPr>
                <w:sz w:val="15"/>
                <w:szCs w:val="15"/>
                <w:color w:val="auto"/>
              </w:rPr>
            </w:pPr>
          </w:p>
        </w:tc>
        <w:tc>
          <w:tcPr>
            <w:tcW w:w="840" w:type="dxa"/>
            <w:vAlign w:val="bottom"/>
            <w:tcBorders>
              <w:bottom w:val="single" w:sz="8" w:color="auto"/>
            </w:tcBorders>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1.4</w:t>
            </w:r>
          </w:p>
        </w:tc>
        <w:tc>
          <w:tcPr>
            <w:tcW w:w="34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183"/>
        </w:trPr>
        <w:tc>
          <w:tcPr>
            <w:tcW w:w="6380" w:type="dxa"/>
            <w:vAlign w:val="bottom"/>
            <w:gridSpan w:val="2"/>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3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Comprehensive income</w:t>
            </w:r>
          </w:p>
        </w:tc>
        <w:tc>
          <w:tcPr>
            <w:tcW w:w="760" w:type="dxa"/>
            <w:vAlign w:val="bottom"/>
            <w:shd w:val="clear" w:color="auto" w:fill="CFF0FC"/>
          </w:tcPr>
          <w:p>
            <w:pPr>
              <w:spacing w:after="0"/>
              <w:rPr>
                <w:sz w:val="16"/>
                <w:szCs w:val="16"/>
                <w:color w:val="auto"/>
              </w:rPr>
            </w:pPr>
          </w:p>
        </w:tc>
        <w:tc>
          <w:tcPr>
            <w:tcW w:w="4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29.2</w:t>
            </w:r>
          </w:p>
        </w:tc>
        <w:tc>
          <w:tcPr>
            <w:tcW w:w="36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25.7</w:t>
            </w:r>
          </w:p>
        </w:tc>
        <w:tc>
          <w:tcPr>
            <w:tcW w:w="36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166.6</w:t>
            </w:r>
          </w:p>
        </w:tc>
        <w:tc>
          <w:tcPr>
            <w:tcW w:w="34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159.7</w:t>
            </w:r>
          </w:p>
        </w:tc>
        <w:tc>
          <w:tcPr>
            <w:tcW w:w="0" w:type="dxa"/>
            <w:vAlign w:val="bottom"/>
          </w:tcPr>
          <w:p>
            <w:pPr>
              <w:spacing w:after="0"/>
              <w:rPr>
                <w:sz w:val="1"/>
                <w:szCs w:val="1"/>
                <w:color w:val="auto"/>
              </w:rPr>
            </w:pPr>
          </w:p>
        </w:tc>
      </w:tr>
      <w:tr>
        <w:trPr>
          <w:trHeight w:val="189"/>
        </w:trPr>
        <w:tc>
          <w:tcPr>
            <w:tcW w:w="6380" w:type="dxa"/>
            <w:vAlign w:val="bottom"/>
            <w:gridSpan w:val="2"/>
          </w:tcPr>
          <w:p>
            <w:pPr>
              <w:spacing w:after="0"/>
              <w:rPr>
                <w:sz w:val="20"/>
                <w:szCs w:val="20"/>
                <w:color w:val="auto"/>
              </w:rPr>
            </w:pPr>
            <w:r>
              <w:rPr>
                <w:rFonts w:ascii="Arial" w:cs="Arial" w:eastAsia="Arial" w:hAnsi="Arial"/>
                <w:sz w:val="16"/>
                <w:szCs w:val="16"/>
                <w:color w:val="auto"/>
              </w:rPr>
              <w:t>Less: comprehensive income attributable to non-controlling interest</w:t>
            </w:r>
          </w:p>
        </w:tc>
        <w:tc>
          <w:tcPr>
            <w:tcW w:w="7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3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23"/>
        </w:trPr>
        <w:tc>
          <w:tcPr>
            <w:tcW w:w="6380" w:type="dxa"/>
            <w:vAlign w:val="bottom"/>
            <w:tcBorders>
              <w:bottom w:val="single" w:sz="8" w:color="CFF0FC"/>
            </w:tcBorders>
            <w:gridSpan w:val="2"/>
            <w:shd w:val="clear" w:color="auto" w:fill="CFF0FC"/>
          </w:tcPr>
          <w:p>
            <w:pPr>
              <w:spacing w:after="0" w:line="169" w:lineRule="exact"/>
              <w:rPr>
                <w:sz w:val="20"/>
                <w:szCs w:val="20"/>
                <w:color w:val="auto"/>
              </w:rPr>
            </w:pPr>
            <w:r>
              <w:rPr>
                <w:rFonts w:ascii="Arial" w:cs="Arial" w:eastAsia="Arial" w:hAnsi="Arial"/>
                <w:sz w:val="16"/>
                <w:szCs w:val="16"/>
                <w:color w:val="auto"/>
              </w:rPr>
              <w:t>Comprehensive income available for common stock</w:t>
            </w:r>
          </w:p>
        </w:tc>
        <w:tc>
          <w:tcPr>
            <w:tcW w:w="760" w:type="dxa"/>
            <w:vAlign w:val="bottom"/>
            <w:tcBorders>
              <w:bottom w:val="single" w:sz="8" w:color="auto"/>
            </w:tcBorders>
            <w:shd w:val="clear" w:color="auto" w:fill="CFF0FC"/>
          </w:tcPr>
          <w:p>
            <w:pPr>
              <w:jc w:val="right"/>
              <w:ind w:right="579"/>
              <w:spacing w:after="0" w:line="169" w:lineRule="exact"/>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FF0FC"/>
          </w:tcPr>
          <w:p>
            <w:pPr>
              <w:jc w:val="right"/>
              <w:ind w:right="19"/>
              <w:spacing w:after="0" w:line="169" w:lineRule="exact"/>
              <w:rPr>
                <w:sz w:val="20"/>
                <w:szCs w:val="20"/>
                <w:color w:val="auto"/>
              </w:rPr>
            </w:pPr>
            <w:r>
              <w:rPr>
                <w:rFonts w:ascii="Arial" w:cs="Arial" w:eastAsia="Arial" w:hAnsi="Arial"/>
                <w:sz w:val="16"/>
                <w:szCs w:val="16"/>
                <w:color w:val="auto"/>
              </w:rPr>
              <w:t>27.9</w:t>
            </w:r>
          </w:p>
        </w:tc>
        <w:tc>
          <w:tcPr>
            <w:tcW w:w="360" w:type="dxa"/>
            <w:vAlign w:val="bottom"/>
            <w:tcBorders>
              <w:bottom w:val="single" w:sz="8" w:color="auto"/>
            </w:tcBorders>
            <w:shd w:val="clear" w:color="auto" w:fill="CFF0FC"/>
          </w:tcPr>
          <w:p>
            <w:pPr>
              <w:jc w:val="right"/>
              <w:ind w:right="139"/>
              <w:spacing w:after="0" w:line="169"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FF0FC"/>
          </w:tcPr>
          <w:p>
            <w:pPr>
              <w:jc w:val="right"/>
              <w:ind w:right="19"/>
              <w:spacing w:after="0" w:line="169" w:lineRule="exact"/>
              <w:rPr>
                <w:sz w:val="20"/>
                <w:szCs w:val="20"/>
                <w:color w:val="auto"/>
              </w:rPr>
            </w:pPr>
            <w:r>
              <w:rPr>
                <w:rFonts w:ascii="Arial" w:cs="Arial" w:eastAsia="Arial" w:hAnsi="Arial"/>
                <w:sz w:val="16"/>
                <w:szCs w:val="16"/>
                <w:color w:val="auto"/>
              </w:rPr>
              <w:t>23.8</w:t>
            </w:r>
          </w:p>
        </w:tc>
        <w:tc>
          <w:tcPr>
            <w:tcW w:w="360" w:type="dxa"/>
            <w:vAlign w:val="bottom"/>
            <w:tcBorders>
              <w:bottom w:val="single" w:sz="8" w:color="auto"/>
            </w:tcBorders>
            <w:shd w:val="clear" w:color="auto" w:fill="CFF0FC"/>
          </w:tcPr>
          <w:p>
            <w:pPr>
              <w:jc w:val="right"/>
              <w:ind w:right="179"/>
              <w:spacing w:after="0" w:line="169" w:lineRule="exact"/>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FF0FC"/>
          </w:tcPr>
          <w:p>
            <w:pPr>
              <w:jc w:val="right"/>
              <w:ind w:right="19"/>
              <w:spacing w:after="0" w:line="169" w:lineRule="exact"/>
              <w:rPr>
                <w:sz w:val="20"/>
                <w:szCs w:val="20"/>
                <w:color w:val="auto"/>
              </w:rPr>
            </w:pPr>
            <w:r>
              <w:rPr>
                <w:rFonts w:ascii="Arial" w:cs="Arial" w:eastAsia="Arial" w:hAnsi="Arial"/>
                <w:sz w:val="16"/>
                <w:szCs w:val="16"/>
                <w:color w:val="auto"/>
              </w:rPr>
              <w:t>163.1</w:t>
            </w:r>
          </w:p>
        </w:tc>
        <w:tc>
          <w:tcPr>
            <w:tcW w:w="340" w:type="dxa"/>
            <w:vAlign w:val="bottom"/>
            <w:tcBorders>
              <w:bottom w:val="single" w:sz="8" w:color="auto"/>
            </w:tcBorders>
            <w:shd w:val="clear" w:color="auto" w:fill="CFF0FC"/>
          </w:tcPr>
          <w:p>
            <w:pPr>
              <w:jc w:val="right"/>
              <w:ind w:right="159"/>
              <w:spacing w:after="0" w:line="169" w:lineRule="exact"/>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rPr>
              <w:t>154.1</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See </w:t>
      </w:r>
      <w:r>
        <w:rPr>
          <w:rFonts w:ascii="Arial" w:cs="Arial" w:eastAsia="Arial" w:hAnsi="Arial"/>
          <w:sz w:val="16"/>
          <w:szCs w:val="16"/>
          <w:u w:val="single" w:color="auto"/>
          <w:color w:val="0000FF"/>
        </w:rPr>
        <w:t>Note 9</w:t>
      </w:r>
      <w:r>
        <w:rPr>
          <w:rFonts w:ascii="Arial" w:cs="Arial" w:eastAsia="Arial" w:hAnsi="Arial"/>
          <w:sz w:val="16"/>
          <w:szCs w:val="16"/>
          <w:color w:val="auto"/>
        </w:rPr>
        <w:t xml:space="preserve"> for additional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2931160</wp:posOffset>
            </wp:positionH>
            <wp:positionV relativeFrom="paragraph">
              <wp:posOffset>-4445</wp:posOffset>
            </wp:positionV>
            <wp:extent cx="30289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02895" cy="8255"/>
                    </a:xfrm>
                    <a:prstGeom prst="rect">
                      <a:avLst/>
                    </a:prstGeom>
                    <a:noFill/>
                  </pic:spPr>
                </pic:pic>
              </a:graphicData>
            </a:graphic>
          </wp:anchor>
        </w:drawing>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The accompanying </w:t>
      </w:r>
      <w:r>
        <w:rPr>
          <w:rFonts w:ascii="Arial" w:cs="Arial" w:eastAsia="Arial" w:hAnsi="Arial"/>
          <w:sz w:val="16"/>
          <w:szCs w:val="16"/>
          <w:u w:val="single" w:color="auto"/>
          <w:color w:val="0000FF"/>
        </w:rPr>
        <w:t>Condensed Notes to Consolidated Financial Statements</w:t>
      </w:r>
      <w:r>
        <w:rPr>
          <w:rFonts w:ascii="Arial" w:cs="Arial" w:eastAsia="Arial" w:hAnsi="Arial"/>
          <w:sz w:val="16"/>
          <w:szCs w:val="16"/>
          <w:color w:val="auto"/>
        </w:rPr>
        <w:t xml:space="preserve">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1275080</wp:posOffset>
            </wp:positionH>
            <wp:positionV relativeFrom="paragraph">
              <wp:posOffset>-4445</wp:posOffset>
            </wp:positionV>
            <wp:extent cx="255587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5587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BLACK HILLS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80" w:type="dxa"/>
            <w:vAlign w:val="bottom"/>
          </w:tcPr>
          <w:p>
            <w:pPr>
              <w:spacing w:after="0"/>
              <w:rPr>
                <w:sz w:val="20"/>
                <w:szCs w:val="20"/>
                <w:color w:val="auto"/>
              </w:rPr>
            </w:pPr>
            <w:r>
              <w:rPr>
                <w:rFonts w:ascii="Arial" w:cs="Arial" w:eastAsia="Arial" w:hAnsi="Arial"/>
                <w:sz w:val="16"/>
                <w:szCs w:val="16"/>
                <w:color w:val="auto"/>
              </w:rPr>
              <w:t>(unaudited)</w:t>
            </w:r>
          </w:p>
        </w:tc>
        <w:tc>
          <w:tcPr>
            <w:tcW w:w="18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June 30, 2025</w:t>
            </w:r>
          </w:p>
        </w:tc>
        <w:tc>
          <w:tcPr>
            <w:tcW w:w="1240" w:type="dxa"/>
            <w:vAlign w:val="bottom"/>
            <w:gridSpan w:val="2"/>
          </w:tcPr>
          <w:p>
            <w:pPr>
              <w:jc w:val="right"/>
              <w:ind w:right="219"/>
              <w:spacing w:after="0"/>
              <w:rPr>
                <w:sz w:val="20"/>
                <w:szCs w:val="20"/>
                <w:color w:val="auto"/>
              </w:rPr>
            </w:pPr>
            <w:r>
              <w:rPr>
                <w:rFonts w:ascii="Arial" w:cs="Arial" w:eastAsia="Arial" w:hAnsi="Arial"/>
                <w:sz w:val="16"/>
                <w:szCs w:val="16"/>
                <w:b w:val="1"/>
                <w:bCs w:val="1"/>
                <w:color w:val="auto"/>
              </w:rPr>
              <w:t>As of</w:t>
            </w:r>
          </w:p>
        </w:tc>
        <w:tc>
          <w:tcPr>
            <w:tcW w:w="2200" w:type="dxa"/>
            <w:vAlign w:val="bottom"/>
            <w:vMerge w:val="restart"/>
          </w:tcPr>
          <w:p>
            <w:pPr>
              <w:jc w:val="right"/>
              <w:ind w:right="579"/>
              <w:spacing w:after="0"/>
              <w:rPr>
                <w:sz w:val="20"/>
                <w:szCs w:val="20"/>
                <w:color w:val="auto"/>
              </w:rPr>
            </w:pPr>
            <w:r>
              <w:rPr>
                <w:rFonts w:ascii="Arial" w:cs="Arial" w:eastAsia="Arial" w:hAnsi="Arial"/>
                <w:sz w:val="16"/>
                <w:szCs w:val="16"/>
                <w:b w:val="1"/>
                <w:bCs w:val="1"/>
                <w:color w:val="auto"/>
              </w:rPr>
              <w:t>December 31, 2024</w:t>
            </w:r>
          </w:p>
        </w:tc>
        <w:tc>
          <w:tcPr>
            <w:tcW w:w="0" w:type="dxa"/>
            <w:vAlign w:val="bottom"/>
          </w:tcPr>
          <w:p>
            <w:pPr>
              <w:spacing w:after="0"/>
              <w:rPr>
                <w:sz w:val="1"/>
                <w:szCs w:val="1"/>
                <w:color w:val="auto"/>
              </w:rPr>
            </w:pPr>
          </w:p>
        </w:tc>
      </w:tr>
      <w:tr>
        <w:trPr>
          <w:trHeight w:val="169"/>
        </w:trPr>
        <w:tc>
          <w:tcPr>
            <w:tcW w:w="5980" w:type="dxa"/>
            <w:vAlign w:val="bottom"/>
          </w:tcPr>
          <w:p>
            <w:pPr>
              <w:spacing w:after="0"/>
              <w:rPr>
                <w:sz w:val="14"/>
                <w:szCs w:val="14"/>
                <w:color w:val="auto"/>
              </w:rPr>
            </w:pPr>
          </w:p>
        </w:tc>
        <w:tc>
          <w:tcPr>
            <w:tcW w:w="1820" w:type="dxa"/>
            <w:vAlign w:val="bottom"/>
            <w:tcBorders>
              <w:bottom w:val="single" w:sz="8" w:color="auto"/>
            </w:tcBorders>
            <w:vMerge w:val="continue"/>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980" w:type="dxa"/>
            <w:vAlign w:val="bottom"/>
            <w:vMerge w:val="restart"/>
          </w:tcPr>
          <w:p>
            <w:pPr>
              <w:ind w:left="2660"/>
              <w:spacing w:after="0"/>
              <w:rPr>
                <w:sz w:val="20"/>
                <w:szCs w:val="20"/>
                <w:color w:val="auto"/>
              </w:rPr>
            </w:pPr>
            <w:r>
              <w:rPr>
                <w:rFonts w:ascii="Arial" w:cs="Arial" w:eastAsia="Arial" w:hAnsi="Arial"/>
                <w:sz w:val="16"/>
                <w:szCs w:val="16"/>
                <w:b w:val="1"/>
                <w:bCs w:val="1"/>
                <w:color w:val="auto"/>
              </w:rPr>
              <w:t>ASSETS</w:t>
            </w:r>
          </w:p>
        </w:tc>
        <w:tc>
          <w:tcPr>
            <w:tcW w:w="18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jc w:val="right"/>
              <w:ind w:right="19"/>
              <w:spacing w:after="0" w:line="183" w:lineRule="exact"/>
              <w:rPr>
                <w:sz w:val="20"/>
                <w:szCs w:val="20"/>
                <w:color w:val="auto"/>
              </w:rPr>
            </w:pPr>
            <w:r>
              <w:rPr>
                <w:rFonts w:ascii="Arial" w:cs="Arial" w:eastAsia="Arial" w:hAnsi="Arial"/>
                <w:sz w:val="16"/>
                <w:szCs w:val="16"/>
                <w:color w:val="auto"/>
              </w:rPr>
              <w:t>(in millions)</w:t>
            </w:r>
          </w:p>
        </w:tc>
        <w:tc>
          <w:tcPr>
            <w:tcW w:w="2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980" w:type="dxa"/>
            <w:vAlign w:val="bottom"/>
            <w:vMerge w:val="continue"/>
          </w:tcPr>
          <w:p>
            <w:pPr>
              <w:spacing w:after="0"/>
              <w:rPr>
                <w:sz w:val="15"/>
                <w:szCs w:val="15"/>
                <w:color w:val="auto"/>
              </w:rPr>
            </w:pPr>
          </w:p>
        </w:tc>
        <w:tc>
          <w:tcPr>
            <w:tcW w:w="1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980" w:type="dxa"/>
            <w:vAlign w:val="bottom"/>
            <w:shd w:val="clear" w:color="auto" w:fill="CFF0FC"/>
          </w:tcPr>
          <w:p>
            <w:pPr>
              <w:spacing w:after="0"/>
              <w:rPr>
                <w:sz w:val="20"/>
                <w:szCs w:val="20"/>
                <w:color w:val="auto"/>
              </w:rPr>
            </w:pPr>
            <w:r>
              <w:rPr>
                <w:rFonts w:ascii="Arial" w:cs="Arial" w:eastAsia="Arial" w:hAnsi="Arial"/>
                <w:sz w:val="16"/>
                <w:szCs w:val="16"/>
                <w:color w:val="auto"/>
              </w:rPr>
              <w:t>Current assets:</w:t>
            </w:r>
          </w:p>
        </w:tc>
        <w:tc>
          <w:tcPr>
            <w:tcW w:w="18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22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80" w:type="dxa"/>
            <w:vAlign w:val="bottom"/>
          </w:tcPr>
          <w:p>
            <w:pPr>
              <w:ind w:left="120"/>
              <w:spacing w:after="0"/>
              <w:rPr>
                <w:sz w:val="20"/>
                <w:szCs w:val="20"/>
                <w:color w:val="auto"/>
              </w:rPr>
            </w:pPr>
            <w:r>
              <w:rPr>
                <w:rFonts w:ascii="Arial" w:cs="Arial" w:eastAsia="Arial" w:hAnsi="Arial"/>
                <w:sz w:val="16"/>
                <w:szCs w:val="16"/>
                <w:color w:val="auto"/>
              </w:rPr>
              <w:t>Cash and cash equivalents</w:t>
            </w:r>
          </w:p>
        </w:tc>
        <w:tc>
          <w:tcPr>
            <w:tcW w:w="1820" w:type="dxa"/>
            <w:vAlign w:val="bottom"/>
          </w:tcPr>
          <w:p>
            <w:pPr>
              <w:jc w:val="right"/>
              <w:ind w:right="1662"/>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8.1</w:t>
            </w: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2200" w:type="dxa"/>
            <w:vAlign w:val="bottom"/>
          </w:tcPr>
          <w:p>
            <w:pPr>
              <w:jc w:val="right"/>
              <w:ind w:right="59"/>
              <w:spacing w:after="0"/>
              <w:rPr>
                <w:sz w:val="20"/>
                <w:szCs w:val="20"/>
                <w:color w:val="auto"/>
              </w:rPr>
            </w:pPr>
            <w:r>
              <w:rPr>
                <w:rFonts w:ascii="Arial" w:cs="Arial" w:eastAsia="Arial" w:hAnsi="Arial"/>
                <w:sz w:val="16"/>
                <w:szCs w:val="16"/>
                <w:color w:val="auto"/>
              </w:rPr>
              <w:t>16.1</w:t>
            </w:r>
          </w:p>
        </w:tc>
        <w:tc>
          <w:tcPr>
            <w:tcW w:w="0" w:type="dxa"/>
            <w:vAlign w:val="bottom"/>
          </w:tcPr>
          <w:p>
            <w:pPr>
              <w:spacing w:after="0"/>
              <w:rPr>
                <w:sz w:val="1"/>
                <w:szCs w:val="1"/>
                <w:color w:val="auto"/>
              </w:rPr>
            </w:pPr>
          </w:p>
        </w:tc>
      </w:tr>
      <w:tr>
        <w:trPr>
          <w:trHeight w:val="189"/>
        </w:trPr>
        <w:tc>
          <w:tcPr>
            <w:tcW w:w="59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Restricted cash and equivalents</w:t>
            </w:r>
          </w:p>
        </w:tc>
        <w:tc>
          <w:tcPr>
            <w:tcW w:w="182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w:t>
            </w:r>
          </w:p>
        </w:tc>
        <w:tc>
          <w:tcPr>
            <w:tcW w:w="480" w:type="dxa"/>
            <w:vAlign w:val="bottom"/>
            <w:shd w:val="clear" w:color="auto" w:fill="CFF0FC"/>
          </w:tcPr>
          <w:p>
            <w:pPr>
              <w:spacing w:after="0"/>
              <w:rPr>
                <w:sz w:val="16"/>
                <w:szCs w:val="16"/>
                <w:color w:val="auto"/>
              </w:rPr>
            </w:pPr>
          </w:p>
        </w:tc>
        <w:tc>
          <w:tcPr>
            <w:tcW w:w="22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189"/>
        </w:trPr>
        <w:tc>
          <w:tcPr>
            <w:tcW w:w="5980" w:type="dxa"/>
            <w:vAlign w:val="bottom"/>
          </w:tcPr>
          <w:p>
            <w:pPr>
              <w:ind w:left="120"/>
              <w:spacing w:after="0"/>
              <w:rPr>
                <w:sz w:val="20"/>
                <w:szCs w:val="20"/>
                <w:color w:val="auto"/>
              </w:rPr>
            </w:pPr>
            <w:r>
              <w:rPr>
                <w:rFonts w:ascii="Arial" w:cs="Arial" w:eastAsia="Arial" w:hAnsi="Arial"/>
                <w:sz w:val="16"/>
                <w:szCs w:val="16"/>
                <w:color w:val="auto"/>
              </w:rPr>
              <w:t>Accounts receivable, net</w:t>
            </w:r>
          </w:p>
        </w:tc>
        <w:tc>
          <w:tcPr>
            <w:tcW w:w="18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260.8</w:t>
            </w:r>
          </w:p>
        </w:tc>
        <w:tc>
          <w:tcPr>
            <w:tcW w:w="480" w:type="dxa"/>
            <w:vAlign w:val="bottom"/>
          </w:tcPr>
          <w:p>
            <w:pPr>
              <w:spacing w:after="0"/>
              <w:rPr>
                <w:sz w:val="16"/>
                <w:szCs w:val="16"/>
                <w:color w:val="auto"/>
              </w:rPr>
            </w:pPr>
          </w:p>
        </w:tc>
        <w:tc>
          <w:tcPr>
            <w:tcW w:w="2200" w:type="dxa"/>
            <w:vAlign w:val="bottom"/>
          </w:tcPr>
          <w:p>
            <w:pPr>
              <w:jc w:val="right"/>
              <w:ind w:right="59"/>
              <w:spacing w:after="0"/>
              <w:rPr>
                <w:sz w:val="20"/>
                <w:szCs w:val="20"/>
                <w:color w:val="auto"/>
              </w:rPr>
            </w:pPr>
            <w:r>
              <w:rPr>
                <w:rFonts w:ascii="Arial" w:cs="Arial" w:eastAsia="Arial" w:hAnsi="Arial"/>
                <w:sz w:val="16"/>
                <w:szCs w:val="16"/>
                <w:color w:val="auto"/>
              </w:rPr>
              <w:t>351.2</w:t>
            </w:r>
          </w:p>
        </w:tc>
        <w:tc>
          <w:tcPr>
            <w:tcW w:w="0" w:type="dxa"/>
            <w:vAlign w:val="bottom"/>
          </w:tcPr>
          <w:p>
            <w:pPr>
              <w:spacing w:after="0"/>
              <w:rPr>
                <w:sz w:val="1"/>
                <w:szCs w:val="1"/>
                <w:color w:val="auto"/>
              </w:rPr>
            </w:pPr>
          </w:p>
        </w:tc>
      </w:tr>
      <w:tr>
        <w:trPr>
          <w:trHeight w:val="189"/>
        </w:trPr>
        <w:tc>
          <w:tcPr>
            <w:tcW w:w="59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Materials, supplies and fuel</w:t>
            </w:r>
          </w:p>
        </w:tc>
        <w:tc>
          <w:tcPr>
            <w:tcW w:w="182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145.2</w:t>
            </w:r>
          </w:p>
        </w:tc>
        <w:tc>
          <w:tcPr>
            <w:tcW w:w="480" w:type="dxa"/>
            <w:vAlign w:val="bottom"/>
            <w:shd w:val="clear" w:color="auto" w:fill="CFF0FC"/>
          </w:tcPr>
          <w:p>
            <w:pPr>
              <w:spacing w:after="0"/>
              <w:rPr>
                <w:sz w:val="16"/>
                <w:szCs w:val="16"/>
                <w:color w:val="auto"/>
              </w:rPr>
            </w:pPr>
          </w:p>
        </w:tc>
        <w:tc>
          <w:tcPr>
            <w:tcW w:w="22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153.9</w:t>
            </w:r>
          </w:p>
        </w:tc>
        <w:tc>
          <w:tcPr>
            <w:tcW w:w="0" w:type="dxa"/>
            <w:vAlign w:val="bottom"/>
          </w:tcPr>
          <w:p>
            <w:pPr>
              <w:spacing w:after="0"/>
              <w:rPr>
                <w:sz w:val="1"/>
                <w:szCs w:val="1"/>
                <w:color w:val="auto"/>
              </w:rPr>
            </w:pPr>
          </w:p>
        </w:tc>
      </w:tr>
      <w:tr>
        <w:trPr>
          <w:trHeight w:val="189"/>
        </w:trPr>
        <w:tc>
          <w:tcPr>
            <w:tcW w:w="5980" w:type="dxa"/>
            <w:vAlign w:val="bottom"/>
          </w:tcPr>
          <w:p>
            <w:pPr>
              <w:ind w:left="120"/>
              <w:spacing w:after="0"/>
              <w:rPr>
                <w:sz w:val="20"/>
                <w:szCs w:val="20"/>
                <w:color w:val="auto"/>
              </w:rPr>
            </w:pPr>
            <w:r>
              <w:rPr>
                <w:rFonts w:ascii="Arial" w:cs="Arial" w:eastAsia="Arial" w:hAnsi="Arial"/>
                <w:sz w:val="16"/>
                <w:szCs w:val="16"/>
                <w:color w:val="auto"/>
              </w:rPr>
              <w:t>Income tax receivable, net</w:t>
            </w:r>
          </w:p>
        </w:tc>
        <w:tc>
          <w:tcPr>
            <w:tcW w:w="18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20.9</w:t>
            </w:r>
          </w:p>
        </w:tc>
        <w:tc>
          <w:tcPr>
            <w:tcW w:w="480" w:type="dxa"/>
            <w:vAlign w:val="bottom"/>
          </w:tcPr>
          <w:p>
            <w:pPr>
              <w:spacing w:after="0"/>
              <w:rPr>
                <w:sz w:val="16"/>
                <w:szCs w:val="16"/>
                <w:color w:val="auto"/>
              </w:rPr>
            </w:pPr>
          </w:p>
        </w:tc>
        <w:tc>
          <w:tcPr>
            <w:tcW w:w="2200" w:type="dxa"/>
            <w:vAlign w:val="bottom"/>
          </w:tcPr>
          <w:p>
            <w:pPr>
              <w:jc w:val="right"/>
              <w:ind w:right="59"/>
              <w:spacing w:after="0"/>
              <w:rPr>
                <w:sz w:val="20"/>
                <w:szCs w:val="20"/>
                <w:color w:val="auto"/>
              </w:rPr>
            </w:pPr>
            <w:r>
              <w:rPr>
                <w:rFonts w:ascii="Arial" w:cs="Arial" w:eastAsia="Arial" w:hAnsi="Arial"/>
                <w:sz w:val="16"/>
                <w:szCs w:val="16"/>
                <w:color w:val="auto"/>
              </w:rPr>
              <w:t>19.8</w:t>
            </w:r>
          </w:p>
        </w:tc>
        <w:tc>
          <w:tcPr>
            <w:tcW w:w="0" w:type="dxa"/>
            <w:vAlign w:val="bottom"/>
          </w:tcPr>
          <w:p>
            <w:pPr>
              <w:spacing w:after="0"/>
              <w:rPr>
                <w:sz w:val="1"/>
                <w:szCs w:val="1"/>
                <w:color w:val="auto"/>
              </w:rPr>
            </w:pPr>
          </w:p>
        </w:tc>
      </w:tr>
      <w:tr>
        <w:trPr>
          <w:trHeight w:val="189"/>
        </w:trPr>
        <w:tc>
          <w:tcPr>
            <w:tcW w:w="59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Regulatory assets, current</w:t>
            </w:r>
          </w:p>
        </w:tc>
        <w:tc>
          <w:tcPr>
            <w:tcW w:w="182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132.1</w:t>
            </w:r>
          </w:p>
        </w:tc>
        <w:tc>
          <w:tcPr>
            <w:tcW w:w="480" w:type="dxa"/>
            <w:vAlign w:val="bottom"/>
            <w:shd w:val="clear" w:color="auto" w:fill="CFF0FC"/>
          </w:tcPr>
          <w:p>
            <w:pPr>
              <w:spacing w:after="0"/>
              <w:rPr>
                <w:sz w:val="16"/>
                <w:szCs w:val="16"/>
                <w:color w:val="auto"/>
              </w:rPr>
            </w:pPr>
          </w:p>
        </w:tc>
        <w:tc>
          <w:tcPr>
            <w:tcW w:w="22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154.8</w:t>
            </w:r>
          </w:p>
        </w:tc>
        <w:tc>
          <w:tcPr>
            <w:tcW w:w="0" w:type="dxa"/>
            <w:vAlign w:val="bottom"/>
          </w:tcPr>
          <w:p>
            <w:pPr>
              <w:spacing w:after="0"/>
              <w:rPr>
                <w:sz w:val="1"/>
                <w:szCs w:val="1"/>
                <w:color w:val="auto"/>
              </w:rPr>
            </w:pPr>
          </w:p>
        </w:tc>
      </w:tr>
      <w:tr>
        <w:trPr>
          <w:trHeight w:val="189"/>
        </w:trPr>
        <w:tc>
          <w:tcPr>
            <w:tcW w:w="5980" w:type="dxa"/>
            <w:vAlign w:val="bottom"/>
          </w:tcPr>
          <w:p>
            <w:pPr>
              <w:ind w:left="120"/>
              <w:spacing w:after="0"/>
              <w:rPr>
                <w:sz w:val="20"/>
                <w:szCs w:val="20"/>
                <w:color w:val="auto"/>
              </w:rPr>
            </w:pPr>
            <w:r>
              <w:rPr>
                <w:rFonts w:ascii="Arial" w:cs="Arial" w:eastAsia="Arial" w:hAnsi="Arial"/>
                <w:sz w:val="16"/>
                <w:szCs w:val="16"/>
                <w:color w:val="auto"/>
              </w:rPr>
              <w:t>Other current assets</w:t>
            </w:r>
          </w:p>
        </w:tc>
        <w:tc>
          <w:tcPr>
            <w:tcW w:w="18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w:t>
            </w:r>
          </w:p>
        </w:tc>
        <w:tc>
          <w:tcPr>
            <w:tcW w:w="48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39.2</w:t>
            </w:r>
          </w:p>
        </w:tc>
        <w:tc>
          <w:tcPr>
            <w:tcW w:w="0" w:type="dxa"/>
            <w:vAlign w:val="bottom"/>
          </w:tcPr>
          <w:p>
            <w:pPr>
              <w:spacing w:after="0"/>
              <w:rPr>
                <w:sz w:val="1"/>
                <w:szCs w:val="1"/>
                <w:color w:val="auto"/>
              </w:rPr>
            </w:pPr>
          </w:p>
        </w:tc>
      </w:tr>
      <w:tr>
        <w:trPr>
          <w:trHeight w:val="183"/>
        </w:trPr>
        <w:tc>
          <w:tcPr>
            <w:tcW w:w="5980" w:type="dxa"/>
            <w:vAlign w:val="bottom"/>
            <w:shd w:val="clear" w:color="auto" w:fill="CFF0FC"/>
          </w:tcPr>
          <w:p>
            <w:pPr>
              <w:ind w:left="220"/>
              <w:spacing w:after="0" w:line="183" w:lineRule="exact"/>
              <w:rPr>
                <w:sz w:val="20"/>
                <w:szCs w:val="20"/>
                <w:color w:val="auto"/>
              </w:rPr>
            </w:pPr>
            <w:r>
              <w:rPr>
                <w:rFonts w:ascii="Arial" w:cs="Arial" w:eastAsia="Arial" w:hAnsi="Arial"/>
                <w:sz w:val="16"/>
                <w:szCs w:val="16"/>
                <w:color w:val="auto"/>
              </w:rPr>
              <w:t>Total current assets</w:t>
            </w:r>
          </w:p>
        </w:tc>
        <w:tc>
          <w:tcPr>
            <w:tcW w:w="18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608.4</w:t>
            </w:r>
          </w:p>
        </w:tc>
        <w:tc>
          <w:tcPr>
            <w:tcW w:w="480" w:type="dxa"/>
            <w:vAlign w:val="bottom"/>
            <w:shd w:val="clear" w:color="auto" w:fill="CFF0FC"/>
          </w:tcPr>
          <w:p>
            <w:pPr>
              <w:spacing w:after="0"/>
              <w:rPr>
                <w:sz w:val="15"/>
                <w:szCs w:val="15"/>
                <w:color w:val="auto"/>
              </w:rPr>
            </w:pPr>
          </w:p>
        </w:tc>
        <w:tc>
          <w:tcPr>
            <w:tcW w:w="220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742.3</w:t>
            </w:r>
          </w:p>
        </w:tc>
        <w:tc>
          <w:tcPr>
            <w:tcW w:w="0" w:type="dxa"/>
            <w:vAlign w:val="bottom"/>
          </w:tcPr>
          <w:p>
            <w:pPr>
              <w:spacing w:after="0"/>
              <w:rPr>
                <w:sz w:val="1"/>
                <w:szCs w:val="1"/>
                <w:color w:val="auto"/>
              </w:rPr>
            </w:pPr>
          </w:p>
        </w:tc>
      </w:tr>
      <w:tr>
        <w:trPr>
          <w:trHeight w:val="189"/>
        </w:trPr>
        <w:tc>
          <w:tcPr>
            <w:tcW w:w="59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80" w:type="dxa"/>
            <w:vAlign w:val="bottom"/>
            <w:shd w:val="clear" w:color="auto" w:fill="CFF0FC"/>
          </w:tcPr>
          <w:p>
            <w:pPr>
              <w:spacing w:after="0"/>
              <w:rPr>
                <w:sz w:val="20"/>
                <w:szCs w:val="20"/>
                <w:color w:val="auto"/>
              </w:rPr>
            </w:pPr>
            <w:r>
              <w:rPr>
                <w:rFonts w:ascii="Arial" w:cs="Arial" w:eastAsia="Arial" w:hAnsi="Arial"/>
                <w:sz w:val="16"/>
                <w:szCs w:val="16"/>
                <w:color w:val="auto"/>
              </w:rPr>
              <w:t>Property, plant and equipment</w:t>
            </w:r>
          </w:p>
        </w:tc>
        <w:tc>
          <w:tcPr>
            <w:tcW w:w="182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9,894.5</w:t>
            </w:r>
          </w:p>
        </w:tc>
        <w:tc>
          <w:tcPr>
            <w:tcW w:w="480" w:type="dxa"/>
            <w:vAlign w:val="bottom"/>
            <w:shd w:val="clear" w:color="auto" w:fill="CFF0FC"/>
          </w:tcPr>
          <w:p>
            <w:pPr>
              <w:spacing w:after="0"/>
              <w:rPr>
                <w:sz w:val="16"/>
                <w:szCs w:val="16"/>
                <w:color w:val="auto"/>
              </w:rPr>
            </w:pPr>
          </w:p>
        </w:tc>
        <w:tc>
          <w:tcPr>
            <w:tcW w:w="22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9,566.5</w:t>
            </w:r>
          </w:p>
        </w:tc>
        <w:tc>
          <w:tcPr>
            <w:tcW w:w="0" w:type="dxa"/>
            <w:vAlign w:val="bottom"/>
          </w:tcPr>
          <w:p>
            <w:pPr>
              <w:spacing w:after="0"/>
              <w:rPr>
                <w:sz w:val="1"/>
                <w:szCs w:val="1"/>
                <w:color w:val="auto"/>
              </w:rPr>
            </w:pPr>
          </w:p>
        </w:tc>
      </w:tr>
      <w:tr>
        <w:trPr>
          <w:trHeight w:val="189"/>
        </w:trPr>
        <w:tc>
          <w:tcPr>
            <w:tcW w:w="5980" w:type="dxa"/>
            <w:vAlign w:val="bottom"/>
          </w:tcPr>
          <w:p>
            <w:pPr>
              <w:ind w:left="120"/>
              <w:spacing w:after="0"/>
              <w:rPr>
                <w:sz w:val="20"/>
                <w:szCs w:val="20"/>
                <w:color w:val="auto"/>
              </w:rPr>
            </w:pPr>
            <w:r>
              <w:rPr>
                <w:rFonts w:ascii="Arial" w:cs="Arial" w:eastAsia="Arial" w:hAnsi="Arial"/>
                <w:sz w:val="16"/>
                <w:szCs w:val="16"/>
                <w:color w:val="auto"/>
              </w:rPr>
              <w:t>Less: accumulated depreciation</w:t>
            </w:r>
          </w:p>
        </w:tc>
        <w:tc>
          <w:tcPr>
            <w:tcW w:w="18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(2,034.1)</w:t>
            </w:r>
          </w:p>
        </w:tc>
        <w:tc>
          <w:tcPr>
            <w:tcW w:w="48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(1,936.6)</w:t>
            </w:r>
          </w:p>
        </w:tc>
        <w:tc>
          <w:tcPr>
            <w:tcW w:w="0" w:type="dxa"/>
            <w:vAlign w:val="bottom"/>
          </w:tcPr>
          <w:p>
            <w:pPr>
              <w:spacing w:after="0"/>
              <w:rPr>
                <w:sz w:val="1"/>
                <w:szCs w:val="1"/>
                <w:color w:val="auto"/>
              </w:rPr>
            </w:pPr>
          </w:p>
        </w:tc>
      </w:tr>
      <w:tr>
        <w:trPr>
          <w:trHeight w:val="183"/>
        </w:trPr>
        <w:tc>
          <w:tcPr>
            <w:tcW w:w="5980" w:type="dxa"/>
            <w:vAlign w:val="bottom"/>
            <w:tcBorders>
              <w:bottom w:val="single" w:sz="8" w:color="CFF0FC"/>
            </w:tcBorders>
            <w:shd w:val="clear" w:color="auto" w:fill="CFF0FC"/>
          </w:tcPr>
          <w:p>
            <w:pPr>
              <w:ind w:left="220"/>
              <w:spacing w:after="0" w:line="183" w:lineRule="exact"/>
              <w:rPr>
                <w:sz w:val="20"/>
                <w:szCs w:val="20"/>
                <w:color w:val="auto"/>
              </w:rPr>
            </w:pPr>
            <w:r>
              <w:rPr>
                <w:rFonts w:ascii="Arial" w:cs="Arial" w:eastAsia="Arial" w:hAnsi="Arial"/>
                <w:sz w:val="16"/>
                <w:szCs w:val="16"/>
                <w:color w:val="auto"/>
              </w:rPr>
              <w:t>Total property, plant and equipment, net</w:t>
            </w:r>
          </w:p>
        </w:tc>
        <w:tc>
          <w:tcPr>
            <w:tcW w:w="1820" w:type="dxa"/>
            <w:vAlign w:val="bottom"/>
            <w:tcBorders>
              <w:bottom w:val="single" w:sz="8" w:color="auto"/>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7,860.4</w:t>
            </w:r>
          </w:p>
        </w:tc>
        <w:tc>
          <w:tcPr>
            <w:tcW w:w="480" w:type="dxa"/>
            <w:vAlign w:val="bottom"/>
            <w:tcBorders>
              <w:bottom w:val="single" w:sz="8" w:color="auto"/>
            </w:tcBorders>
            <w:shd w:val="clear" w:color="auto" w:fill="CFF0FC"/>
          </w:tcPr>
          <w:p>
            <w:pPr>
              <w:spacing w:after="0"/>
              <w:rPr>
                <w:sz w:val="15"/>
                <w:szCs w:val="15"/>
                <w:color w:val="auto"/>
              </w:rPr>
            </w:pPr>
          </w:p>
        </w:tc>
        <w:tc>
          <w:tcPr>
            <w:tcW w:w="2200" w:type="dxa"/>
            <w:vAlign w:val="bottom"/>
            <w:tcBorders>
              <w:bottom w:val="single" w:sz="8" w:color="auto"/>
            </w:tcBorders>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7,629.9</w:t>
            </w:r>
          </w:p>
        </w:tc>
        <w:tc>
          <w:tcPr>
            <w:tcW w:w="0" w:type="dxa"/>
            <w:vAlign w:val="bottom"/>
          </w:tcPr>
          <w:p>
            <w:pPr>
              <w:spacing w:after="0"/>
              <w:rPr>
                <w:sz w:val="1"/>
                <w:szCs w:val="1"/>
                <w:color w:val="auto"/>
              </w:rPr>
            </w:pPr>
          </w:p>
        </w:tc>
      </w:tr>
      <w:tr>
        <w:trPr>
          <w:trHeight w:val="183"/>
        </w:trPr>
        <w:tc>
          <w:tcPr>
            <w:tcW w:w="59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980" w:type="dxa"/>
            <w:vAlign w:val="bottom"/>
            <w:shd w:val="clear" w:color="auto" w:fill="CFF0FC"/>
          </w:tcPr>
          <w:p>
            <w:pPr>
              <w:spacing w:after="0"/>
              <w:rPr>
                <w:sz w:val="20"/>
                <w:szCs w:val="20"/>
                <w:color w:val="auto"/>
              </w:rPr>
            </w:pPr>
            <w:r>
              <w:rPr>
                <w:rFonts w:ascii="Arial" w:cs="Arial" w:eastAsia="Arial" w:hAnsi="Arial"/>
                <w:sz w:val="16"/>
                <w:szCs w:val="16"/>
                <w:color w:val="auto"/>
              </w:rPr>
              <w:t>Other assets:</w:t>
            </w:r>
          </w:p>
        </w:tc>
        <w:tc>
          <w:tcPr>
            <w:tcW w:w="18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22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80" w:type="dxa"/>
            <w:vAlign w:val="bottom"/>
          </w:tcPr>
          <w:p>
            <w:pPr>
              <w:ind w:left="120"/>
              <w:spacing w:after="0"/>
              <w:rPr>
                <w:sz w:val="20"/>
                <w:szCs w:val="20"/>
                <w:color w:val="auto"/>
              </w:rPr>
            </w:pPr>
            <w:r>
              <w:rPr>
                <w:rFonts w:ascii="Arial" w:cs="Arial" w:eastAsia="Arial" w:hAnsi="Arial"/>
                <w:sz w:val="16"/>
                <w:szCs w:val="16"/>
                <w:color w:val="auto"/>
              </w:rPr>
              <w:t>Goodwill</w:t>
            </w:r>
          </w:p>
        </w:tc>
        <w:tc>
          <w:tcPr>
            <w:tcW w:w="18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1,299.5</w:t>
            </w:r>
          </w:p>
        </w:tc>
        <w:tc>
          <w:tcPr>
            <w:tcW w:w="480" w:type="dxa"/>
            <w:vAlign w:val="bottom"/>
          </w:tcPr>
          <w:p>
            <w:pPr>
              <w:spacing w:after="0"/>
              <w:rPr>
                <w:sz w:val="16"/>
                <w:szCs w:val="16"/>
                <w:color w:val="auto"/>
              </w:rPr>
            </w:pPr>
          </w:p>
        </w:tc>
        <w:tc>
          <w:tcPr>
            <w:tcW w:w="2200" w:type="dxa"/>
            <w:vAlign w:val="bottom"/>
          </w:tcPr>
          <w:p>
            <w:pPr>
              <w:jc w:val="right"/>
              <w:ind w:right="59"/>
              <w:spacing w:after="0"/>
              <w:rPr>
                <w:sz w:val="20"/>
                <w:szCs w:val="20"/>
                <w:color w:val="auto"/>
              </w:rPr>
            </w:pPr>
            <w:r>
              <w:rPr>
                <w:rFonts w:ascii="Arial" w:cs="Arial" w:eastAsia="Arial" w:hAnsi="Arial"/>
                <w:sz w:val="16"/>
                <w:szCs w:val="16"/>
                <w:color w:val="auto"/>
              </w:rPr>
              <w:t>1,299.5</w:t>
            </w:r>
          </w:p>
        </w:tc>
        <w:tc>
          <w:tcPr>
            <w:tcW w:w="0" w:type="dxa"/>
            <w:vAlign w:val="bottom"/>
          </w:tcPr>
          <w:p>
            <w:pPr>
              <w:spacing w:after="0"/>
              <w:rPr>
                <w:sz w:val="1"/>
                <w:szCs w:val="1"/>
                <w:color w:val="auto"/>
              </w:rPr>
            </w:pPr>
          </w:p>
        </w:tc>
      </w:tr>
      <w:tr>
        <w:trPr>
          <w:trHeight w:val="189"/>
        </w:trPr>
        <w:tc>
          <w:tcPr>
            <w:tcW w:w="59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Intangible assets, net</w:t>
            </w:r>
          </w:p>
        </w:tc>
        <w:tc>
          <w:tcPr>
            <w:tcW w:w="182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w:t>
            </w:r>
          </w:p>
        </w:tc>
        <w:tc>
          <w:tcPr>
            <w:tcW w:w="480" w:type="dxa"/>
            <w:vAlign w:val="bottom"/>
            <w:shd w:val="clear" w:color="auto" w:fill="CFF0FC"/>
          </w:tcPr>
          <w:p>
            <w:pPr>
              <w:spacing w:after="0"/>
              <w:rPr>
                <w:sz w:val="16"/>
                <w:szCs w:val="16"/>
                <w:color w:val="auto"/>
              </w:rPr>
            </w:pPr>
          </w:p>
        </w:tc>
        <w:tc>
          <w:tcPr>
            <w:tcW w:w="22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189"/>
        </w:trPr>
        <w:tc>
          <w:tcPr>
            <w:tcW w:w="5980" w:type="dxa"/>
            <w:vAlign w:val="bottom"/>
          </w:tcPr>
          <w:p>
            <w:pPr>
              <w:ind w:left="120"/>
              <w:spacing w:after="0"/>
              <w:rPr>
                <w:sz w:val="20"/>
                <w:szCs w:val="20"/>
                <w:color w:val="auto"/>
              </w:rPr>
            </w:pPr>
            <w:r>
              <w:rPr>
                <w:rFonts w:ascii="Arial" w:cs="Arial" w:eastAsia="Arial" w:hAnsi="Arial"/>
                <w:sz w:val="16"/>
                <w:szCs w:val="16"/>
                <w:color w:val="auto"/>
              </w:rPr>
              <w:t>Regulatory assets, non-current</w:t>
            </w:r>
          </w:p>
        </w:tc>
        <w:tc>
          <w:tcPr>
            <w:tcW w:w="18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247.8</w:t>
            </w:r>
          </w:p>
        </w:tc>
        <w:tc>
          <w:tcPr>
            <w:tcW w:w="480" w:type="dxa"/>
            <w:vAlign w:val="bottom"/>
          </w:tcPr>
          <w:p>
            <w:pPr>
              <w:spacing w:after="0"/>
              <w:rPr>
                <w:sz w:val="16"/>
                <w:szCs w:val="16"/>
                <w:color w:val="auto"/>
              </w:rPr>
            </w:pPr>
          </w:p>
        </w:tc>
        <w:tc>
          <w:tcPr>
            <w:tcW w:w="2200" w:type="dxa"/>
            <w:vAlign w:val="bottom"/>
          </w:tcPr>
          <w:p>
            <w:pPr>
              <w:jc w:val="right"/>
              <w:ind w:right="59"/>
              <w:spacing w:after="0"/>
              <w:rPr>
                <w:sz w:val="20"/>
                <w:szCs w:val="20"/>
                <w:color w:val="auto"/>
              </w:rPr>
            </w:pPr>
            <w:r>
              <w:rPr>
                <w:rFonts w:ascii="Arial" w:cs="Arial" w:eastAsia="Arial" w:hAnsi="Arial"/>
                <w:sz w:val="16"/>
                <w:szCs w:val="16"/>
                <w:color w:val="auto"/>
              </w:rPr>
              <w:t>272.9</w:t>
            </w:r>
          </w:p>
        </w:tc>
        <w:tc>
          <w:tcPr>
            <w:tcW w:w="0" w:type="dxa"/>
            <w:vAlign w:val="bottom"/>
          </w:tcPr>
          <w:p>
            <w:pPr>
              <w:spacing w:after="0"/>
              <w:rPr>
                <w:sz w:val="1"/>
                <w:szCs w:val="1"/>
                <w:color w:val="auto"/>
              </w:rPr>
            </w:pPr>
          </w:p>
        </w:tc>
      </w:tr>
      <w:tr>
        <w:trPr>
          <w:trHeight w:val="189"/>
        </w:trPr>
        <w:tc>
          <w:tcPr>
            <w:tcW w:w="59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Other assets, non-current</w:t>
            </w:r>
          </w:p>
        </w:tc>
        <w:tc>
          <w:tcPr>
            <w:tcW w:w="1820" w:type="dxa"/>
            <w:vAlign w:val="bottom"/>
            <w:tcBorders>
              <w:bottom w:val="single" w:sz="8" w:color="auto"/>
            </w:tcBorders>
            <w:shd w:val="clear" w:color="auto" w:fill="CFF0FC"/>
          </w:tcPr>
          <w:p>
            <w:pPr>
              <w:spacing w:after="0"/>
              <w:rPr>
                <w:sz w:val="16"/>
                <w:szCs w:val="16"/>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68.5</w:t>
            </w:r>
          </w:p>
        </w:tc>
        <w:tc>
          <w:tcPr>
            <w:tcW w:w="480" w:type="dxa"/>
            <w:vAlign w:val="bottom"/>
            <w:tcBorders>
              <w:bottom w:val="single" w:sz="8" w:color="auto"/>
            </w:tcBorders>
            <w:shd w:val="clear" w:color="auto" w:fill="CFF0FC"/>
          </w:tcPr>
          <w:p>
            <w:pPr>
              <w:spacing w:after="0"/>
              <w:rPr>
                <w:sz w:val="16"/>
                <w:szCs w:val="16"/>
                <w:color w:val="auto"/>
              </w:rPr>
            </w:pPr>
          </w:p>
        </w:tc>
        <w:tc>
          <w:tcPr>
            <w:tcW w:w="22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70.4</w:t>
            </w:r>
          </w:p>
        </w:tc>
        <w:tc>
          <w:tcPr>
            <w:tcW w:w="0" w:type="dxa"/>
            <w:vAlign w:val="bottom"/>
          </w:tcPr>
          <w:p>
            <w:pPr>
              <w:spacing w:after="0"/>
              <w:rPr>
                <w:sz w:val="1"/>
                <w:szCs w:val="1"/>
                <w:color w:val="auto"/>
              </w:rPr>
            </w:pPr>
          </w:p>
        </w:tc>
      </w:tr>
      <w:tr>
        <w:trPr>
          <w:trHeight w:val="182"/>
        </w:trPr>
        <w:tc>
          <w:tcPr>
            <w:tcW w:w="5980" w:type="dxa"/>
            <w:vAlign w:val="bottom"/>
          </w:tcPr>
          <w:p>
            <w:pPr>
              <w:ind w:left="220"/>
              <w:spacing w:after="0" w:line="183" w:lineRule="exact"/>
              <w:rPr>
                <w:sz w:val="20"/>
                <w:szCs w:val="20"/>
                <w:color w:val="auto"/>
              </w:rPr>
            </w:pPr>
            <w:r>
              <w:rPr>
                <w:rFonts w:ascii="Arial" w:cs="Arial" w:eastAsia="Arial" w:hAnsi="Arial"/>
                <w:sz w:val="16"/>
                <w:szCs w:val="16"/>
                <w:color w:val="auto"/>
              </w:rPr>
              <w:t>Total other assets, non-current</w:t>
            </w:r>
          </w:p>
        </w:tc>
        <w:tc>
          <w:tcPr>
            <w:tcW w:w="18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1,622.8</w:t>
            </w:r>
          </w:p>
        </w:tc>
        <w:tc>
          <w:tcPr>
            <w:tcW w:w="48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1,650.4</w:t>
            </w:r>
          </w:p>
        </w:tc>
        <w:tc>
          <w:tcPr>
            <w:tcW w:w="0" w:type="dxa"/>
            <w:vAlign w:val="bottom"/>
          </w:tcPr>
          <w:p>
            <w:pPr>
              <w:spacing w:after="0"/>
              <w:rPr>
                <w:sz w:val="1"/>
                <w:szCs w:val="1"/>
                <w:color w:val="auto"/>
              </w:rPr>
            </w:pPr>
          </w:p>
        </w:tc>
      </w:tr>
      <w:tr>
        <w:trPr>
          <w:trHeight w:val="183"/>
        </w:trPr>
        <w:tc>
          <w:tcPr>
            <w:tcW w:w="5980" w:type="dxa"/>
            <w:vAlign w:val="bottom"/>
            <w:shd w:val="clear" w:color="auto" w:fill="CFF0FC"/>
          </w:tcPr>
          <w:p>
            <w:pPr>
              <w:spacing w:after="0"/>
              <w:rPr>
                <w:sz w:val="15"/>
                <w:szCs w:val="15"/>
                <w:color w:val="auto"/>
              </w:rPr>
            </w:pPr>
          </w:p>
        </w:tc>
        <w:tc>
          <w:tcPr>
            <w:tcW w:w="18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2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980" w:type="dxa"/>
            <w:vAlign w:val="bottom"/>
          </w:tcPr>
          <w:p>
            <w:pPr>
              <w:spacing w:after="0" w:line="169" w:lineRule="exact"/>
              <w:rPr>
                <w:sz w:val="20"/>
                <w:szCs w:val="20"/>
                <w:color w:val="auto"/>
              </w:rPr>
            </w:pPr>
            <w:r>
              <w:rPr>
                <w:rFonts w:ascii="Arial" w:cs="Arial" w:eastAsia="Arial" w:hAnsi="Arial"/>
                <w:sz w:val="16"/>
                <w:szCs w:val="16"/>
                <w:color w:val="auto"/>
              </w:rPr>
              <w:t>TOTAL ASSETS</w:t>
            </w:r>
          </w:p>
        </w:tc>
        <w:tc>
          <w:tcPr>
            <w:tcW w:w="1820" w:type="dxa"/>
            <w:vAlign w:val="bottom"/>
            <w:tcBorders>
              <w:bottom w:val="single" w:sz="8" w:color="auto"/>
            </w:tcBorders>
          </w:tcPr>
          <w:p>
            <w:pPr>
              <w:jc w:val="right"/>
              <w:ind w:right="1662"/>
              <w:spacing w:after="0" w:line="169" w:lineRule="exact"/>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10,091.6</w:t>
            </w:r>
          </w:p>
        </w:tc>
        <w:tc>
          <w:tcPr>
            <w:tcW w:w="480" w:type="dxa"/>
            <w:vAlign w:val="bottom"/>
            <w:tcBorders>
              <w:bottom w:val="single" w:sz="8" w:color="auto"/>
            </w:tcBorders>
          </w:tcPr>
          <w:p>
            <w:pPr>
              <w:jc w:val="right"/>
              <w:ind w:right="279"/>
              <w:spacing w:after="0" w:line="169" w:lineRule="exact"/>
              <w:rPr>
                <w:sz w:val="20"/>
                <w:szCs w:val="20"/>
                <w:color w:val="auto"/>
              </w:rPr>
            </w:pPr>
            <w:r>
              <w:rPr>
                <w:rFonts w:ascii="Arial" w:cs="Arial" w:eastAsia="Arial" w:hAnsi="Arial"/>
                <w:sz w:val="16"/>
                <w:szCs w:val="16"/>
                <w:color w:val="auto"/>
              </w:rPr>
              <w:t>$</w:t>
            </w:r>
          </w:p>
        </w:tc>
        <w:tc>
          <w:tcPr>
            <w:tcW w:w="2200" w:type="dxa"/>
            <w:vAlign w:val="bottom"/>
            <w:tcBorders>
              <w:bottom w:val="single" w:sz="8" w:color="auto"/>
            </w:tcBorders>
          </w:tcPr>
          <w:p>
            <w:pPr>
              <w:jc w:val="right"/>
              <w:ind w:right="59"/>
              <w:spacing w:after="0" w:line="169" w:lineRule="exact"/>
              <w:rPr>
                <w:sz w:val="20"/>
                <w:szCs w:val="20"/>
                <w:color w:val="auto"/>
              </w:rPr>
            </w:pPr>
            <w:r>
              <w:rPr>
                <w:rFonts w:ascii="Arial" w:cs="Arial" w:eastAsia="Arial" w:hAnsi="Arial"/>
                <w:sz w:val="16"/>
                <w:szCs w:val="16"/>
                <w:color w:val="auto"/>
              </w:rPr>
              <w:t>10,022.6</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The accompanying </w:t>
      </w:r>
      <w:r>
        <w:rPr>
          <w:rFonts w:ascii="Arial" w:cs="Arial" w:eastAsia="Arial" w:hAnsi="Arial"/>
          <w:sz w:val="16"/>
          <w:szCs w:val="16"/>
          <w:u w:val="single" w:color="auto"/>
          <w:color w:val="0000FF"/>
        </w:rPr>
        <w:t>Condensed Notes to Consolidated Financial Statements</w:t>
      </w:r>
      <w:r>
        <w:rPr>
          <w:rFonts w:ascii="Arial" w:cs="Arial" w:eastAsia="Arial" w:hAnsi="Arial"/>
          <w:sz w:val="16"/>
          <w:szCs w:val="16"/>
          <w:color w:val="auto"/>
        </w:rPr>
        <w:t xml:space="preserve">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1275080</wp:posOffset>
            </wp:positionH>
            <wp:positionV relativeFrom="paragraph">
              <wp:posOffset>-4445</wp:posOffset>
            </wp:positionV>
            <wp:extent cx="25558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BLACK HILLS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(Continued)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80" w:type="dxa"/>
            <w:vAlign w:val="bottom"/>
          </w:tcPr>
          <w:p>
            <w:pPr>
              <w:spacing w:after="0"/>
              <w:rPr>
                <w:sz w:val="20"/>
                <w:szCs w:val="20"/>
                <w:color w:val="auto"/>
              </w:rPr>
            </w:pPr>
            <w:r>
              <w:rPr>
                <w:rFonts w:ascii="Arial" w:cs="Arial" w:eastAsia="Arial" w:hAnsi="Arial"/>
                <w:sz w:val="16"/>
                <w:szCs w:val="16"/>
                <w:color w:val="auto"/>
              </w:rPr>
              <w:t>(unaudited)</w:t>
            </w:r>
          </w:p>
        </w:tc>
        <w:tc>
          <w:tcPr>
            <w:tcW w:w="18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June 30, 2025</w:t>
            </w:r>
          </w:p>
        </w:tc>
        <w:tc>
          <w:tcPr>
            <w:tcW w:w="1240" w:type="dxa"/>
            <w:vAlign w:val="bottom"/>
            <w:gridSpan w:val="2"/>
          </w:tcPr>
          <w:p>
            <w:pPr>
              <w:jc w:val="right"/>
              <w:ind w:right="219"/>
              <w:spacing w:after="0"/>
              <w:rPr>
                <w:sz w:val="20"/>
                <w:szCs w:val="20"/>
                <w:color w:val="auto"/>
              </w:rPr>
            </w:pPr>
            <w:r>
              <w:rPr>
                <w:rFonts w:ascii="Arial" w:cs="Arial" w:eastAsia="Arial" w:hAnsi="Arial"/>
                <w:sz w:val="16"/>
                <w:szCs w:val="16"/>
                <w:b w:val="1"/>
                <w:bCs w:val="1"/>
                <w:color w:val="auto"/>
              </w:rPr>
              <w:t>As of</w:t>
            </w:r>
          </w:p>
        </w:tc>
        <w:tc>
          <w:tcPr>
            <w:tcW w:w="2200" w:type="dxa"/>
            <w:vAlign w:val="bottom"/>
            <w:vMerge w:val="restart"/>
          </w:tcPr>
          <w:p>
            <w:pPr>
              <w:jc w:val="right"/>
              <w:ind w:right="579"/>
              <w:spacing w:after="0"/>
              <w:rPr>
                <w:sz w:val="20"/>
                <w:szCs w:val="20"/>
                <w:color w:val="auto"/>
              </w:rPr>
            </w:pPr>
            <w:r>
              <w:rPr>
                <w:rFonts w:ascii="Arial" w:cs="Arial" w:eastAsia="Arial" w:hAnsi="Arial"/>
                <w:sz w:val="16"/>
                <w:szCs w:val="16"/>
                <w:b w:val="1"/>
                <w:bCs w:val="1"/>
                <w:color w:val="auto"/>
              </w:rPr>
              <w:t>December 31, 2024</w:t>
            </w:r>
          </w:p>
        </w:tc>
        <w:tc>
          <w:tcPr>
            <w:tcW w:w="0" w:type="dxa"/>
            <w:vAlign w:val="bottom"/>
          </w:tcPr>
          <w:p>
            <w:pPr>
              <w:spacing w:after="0"/>
              <w:rPr>
                <w:sz w:val="1"/>
                <w:szCs w:val="1"/>
                <w:color w:val="auto"/>
              </w:rPr>
            </w:pPr>
          </w:p>
        </w:tc>
      </w:tr>
      <w:tr>
        <w:trPr>
          <w:trHeight w:val="170"/>
        </w:trPr>
        <w:tc>
          <w:tcPr>
            <w:tcW w:w="5980" w:type="dxa"/>
            <w:vAlign w:val="bottom"/>
          </w:tcPr>
          <w:p>
            <w:pPr>
              <w:spacing w:after="0"/>
              <w:rPr>
                <w:sz w:val="14"/>
                <w:szCs w:val="14"/>
                <w:color w:val="auto"/>
              </w:rPr>
            </w:pPr>
          </w:p>
        </w:tc>
        <w:tc>
          <w:tcPr>
            <w:tcW w:w="1820" w:type="dxa"/>
            <w:vAlign w:val="bottom"/>
            <w:tcBorders>
              <w:bottom w:val="single" w:sz="8" w:color="auto"/>
            </w:tcBorders>
            <w:vMerge w:val="continue"/>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980" w:type="dxa"/>
            <w:vAlign w:val="bottom"/>
            <w:vMerge w:val="restart"/>
          </w:tcPr>
          <w:p>
            <w:pPr>
              <w:ind w:left="2000"/>
              <w:spacing w:after="0"/>
              <w:rPr>
                <w:sz w:val="20"/>
                <w:szCs w:val="20"/>
                <w:color w:val="auto"/>
              </w:rPr>
            </w:pPr>
            <w:r>
              <w:rPr>
                <w:rFonts w:ascii="Arial" w:cs="Arial" w:eastAsia="Arial" w:hAnsi="Arial"/>
                <w:sz w:val="16"/>
                <w:szCs w:val="16"/>
                <w:b w:val="1"/>
                <w:bCs w:val="1"/>
                <w:color w:val="auto"/>
              </w:rPr>
              <w:t>LIABILITIES AND EQUITY</w:t>
            </w:r>
          </w:p>
        </w:tc>
        <w:tc>
          <w:tcPr>
            <w:tcW w:w="18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jc w:val="right"/>
              <w:spacing w:after="0" w:line="183" w:lineRule="exact"/>
              <w:rPr>
                <w:sz w:val="20"/>
                <w:szCs w:val="20"/>
                <w:color w:val="auto"/>
              </w:rPr>
            </w:pPr>
            <w:r>
              <w:rPr>
                <w:rFonts w:ascii="Arial" w:cs="Arial" w:eastAsia="Arial" w:hAnsi="Arial"/>
                <w:sz w:val="16"/>
                <w:szCs w:val="16"/>
                <w:color w:val="auto"/>
              </w:rPr>
              <w:t>(in millions)</w:t>
            </w:r>
          </w:p>
        </w:tc>
        <w:tc>
          <w:tcPr>
            <w:tcW w:w="2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980" w:type="dxa"/>
            <w:vAlign w:val="bottom"/>
            <w:vMerge w:val="continue"/>
          </w:tcPr>
          <w:p>
            <w:pPr>
              <w:spacing w:after="0"/>
              <w:rPr>
                <w:sz w:val="15"/>
                <w:szCs w:val="15"/>
                <w:color w:val="auto"/>
              </w:rPr>
            </w:pPr>
          </w:p>
        </w:tc>
        <w:tc>
          <w:tcPr>
            <w:tcW w:w="1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980" w:type="dxa"/>
            <w:vAlign w:val="bottom"/>
            <w:shd w:val="clear" w:color="auto" w:fill="CFF0FC"/>
          </w:tcPr>
          <w:p>
            <w:pPr>
              <w:spacing w:after="0"/>
              <w:rPr>
                <w:sz w:val="20"/>
                <w:szCs w:val="20"/>
                <w:color w:val="auto"/>
              </w:rPr>
            </w:pPr>
            <w:r>
              <w:rPr>
                <w:rFonts w:ascii="Arial" w:cs="Arial" w:eastAsia="Arial" w:hAnsi="Arial"/>
                <w:sz w:val="16"/>
                <w:szCs w:val="16"/>
                <w:color w:val="auto"/>
              </w:rPr>
              <w:t>Current liabilities:</w:t>
            </w:r>
          </w:p>
        </w:tc>
        <w:tc>
          <w:tcPr>
            <w:tcW w:w="18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22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80" w:type="dxa"/>
            <w:vAlign w:val="bottom"/>
          </w:tcPr>
          <w:p>
            <w:pPr>
              <w:ind w:left="120"/>
              <w:spacing w:after="0"/>
              <w:rPr>
                <w:sz w:val="20"/>
                <w:szCs w:val="20"/>
                <w:color w:val="auto"/>
              </w:rPr>
            </w:pPr>
            <w:r>
              <w:rPr>
                <w:rFonts w:ascii="Arial" w:cs="Arial" w:eastAsia="Arial" w:hAnsi="Arial"/>
                <w:sz w:val="16"/>
                <w:szCs w:val="16"/>
                <w:color w:val="auto"/>
              </w:rPr>
              <w:t>Accounts payable</w:t>
            </w:r>
          </w:p>
        </w:tc>
        <w:tc>
          <w:tcPr>
            <w:tcW w:w="1820" w:type="dxa"/>
            <w:vAlign w:val="bottom"/>
          </w:tcPr>
          <w:p>
            <w:pPr>
              <w:jc w:val="right"/>
              <w:ind w:right="1662"/>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180.8</w:t>
            </w: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2200" w:type="dxa"/>
            <w:vAlign w:val="bottom"/>
          </w:tcPr>
          <w:p>
            <w:pPr>
              <w:jc w:val="right"/>
              <w:ind w:right="39"/>
              <w:spacing w:after="0"/>
              <w:rPr>
                <w:sz w:val="20"/>
                <w:szCs w:val="20"/>
                <w:color w:val="auto"/>
              </w:rPr>
            </w:pPr>
            <w:r>
              <w:rPr>
                <w:rFonts w:ascii="Arial" w:cs="Arial" w:eastAsia="Arial" w:hAnsi="Arial"/>
                <w:sz w:val="16"/>
                <w:szCs w:val="16"/>
                <w:color w:val="auto"/>
              </w:rPr>
              <w:t>229.1</w:t>
            </w:r>
          </w:p>
        </w:tc>
        <w:tc>
          <w:tcPr>
            <w:tcW w:w="0" w:type="dxa"/>
            <w:vAlign w:val="bottom"/>
          </w:tcPr>
          <w:p>
            <w:pPr>
              <w:spacing w:after="0"/>
              <w:rPr>
                <w:sz w:val="1"/>
                <w:szCs w:val="1"/>
                <w:color w:val="auto"/>
              </w:rPr>
            </w:pPr>
          </w:p>
        </w:tc>
      </w:tr>
      <w:tr>
        <w:trPr>
          <w:trHeight w:val="189"/>
        </w:trPr>
        <w:tc>
          <w:tcPr>
            <w:tcW w:w="59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Accrued liabilities</w:t>
            </w:r>
          </w:p>
        </w:tc>
        <w:tc>
          <w:tcPr>
            <w:tcW w:w="182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251.1</w:t>
            </w:r>
          </w:p>
        </w:tc>
        <w:tc>
          <w:tcPr>
            <w:tcW w:w="480" w:type="dxa"/>
            <w:vAlign w:val="bottom"/>
            <w:shd w:val="clear" w:color="auto" w:fill="CFF0FC"/>
          </w:tcPr>
          <w:p>
            <w:pPr>
              <w:spacing w:after="0"/>
              <w:rPr>
                <w:sz w:val="16"/>
                <w:szCs w:val="16"/>
                <w:color w:val="auto"/>
              </w:rPr>
            </w:pPr>
          </w:p>
        </w:tc>
        <w:tc>
          <w:tcPr>
            <w:tcW w:w="22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302.2</w:t>
            </w:r>
          </w:p>
        </w:tc>
        <w:tc>
          <w:tcPr>
            <w:tcW w:w="0" w:type="dxa"/>
            <w:vAlign w:val="bottom"/>
          </w:tcPr>
          <w:p>
            <w:pPr>
              <w:spacing w:after="0"/>
              <w:rPr>
                <w:sz w:val="1"/>
                <w:szCs w:val="1"/>
                <w:color w:val="auto"/>
              </w:rPr>
            </w:pPr>
          </w:p>
        </w:tc>
      </w:tr>
      <w:tr>
        <w:trPr>
          <w:trHeight w:val="189"/>
        </w:trPr>
        <w:tc>
          <w:tcPr>
            <w:tcW w:w="5980" w:type="dxa"/>
            <w:vAlign w:val="bottom"/>
          </w:tcPr>
          <w:p>
            <w:pPr>
              <w:ind w:left="120"/>
              <w:spacing w:after="0"/>
              <w:rPr>
                <w:sz w:val="20"/>
                <w:szCs w:val="20"/>
                <w:color w:val="auto"/>
              </w:rPr>
            </w:pPr>
            <w:r>
              <w:rPr>
                <w:rFonts w:ascii="Arial" w:cs="Arial" w:eastAsia="Arial" w:hAnsi="Arial"/>
                <w:sz w:val="16"/>
                <w:szCs w:val="16"/>
                <w:color w:val="auto"/>
              </w:rPr>
              <w:t>Derivative liabilities, current</w:t>
            </w:r>
          </w:p>
        </w:tc>
        <w:tc>
          <w:tcPr>
            <w:tcW w:w="18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w:t>
            </w:r>
          </w:p>
        </w:tc>
        <w:tc>
          <w:tcPr>
            <w:tcW w:w="480" w:type="dxa"/>
            <w:vAlign w:val="bottom"/>
          </w:tcPr>
          <w:p>
            <w:pPr>
              <w:spacing w:after="0"/>
              <w:rPr>
                <w:sz w:val="16"/>
                <w:szCs w:val="16"/>
                <w:color w:val="auto"/>
              </w:rPr>
            </w:pPr>
          </w:p>
        </w:tc>
        <w:tc>
          <w:tcPr>
            <w:tcW w:w="2200" w:type="dxa"/>
            <w:vAlign w:val="bottom"/>
          </w:tcPr>
          <w:p>
            <w:pPr>
              <w:jc w:val="right"/>
              <w:ind w:right="39"/>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189"/>
        </w:trPr>
        <w:tc>
          <w:tcPr>
            <w:tcW w:w="59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Regulatory liabilities, current</w:t>
            </w:r>
          </w:p>
        </w:tc>
        <w:tc>
          <w:tcPr>
            <w:tcW w:w="182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96.6</w:t>
            </w:r>
          </w:p>
        </w:tc>
        <w:tc>
          <w:tcPr>
            <w:tcW w:w="480" w:type="dxa"/>
            <w:vAlign w:val="bottom"/>
            <w:shd w:val="clear" w:color="auto" w:fill="CFF0FC"/>
          </w:tcPr>
          <w:p>
            <w:pPr>
              <w:spacing w:after="0"/>
              <w:rPr>
                <w:sz w:val="16"/>
                <w:szCs w:val="16"/>
                <w:color w:val="auto"/>
              </w:rPr>
            </w:pPr>
          </w:p>
        </w:tc>
        <w:tc>
          <w:tcPr>
            <w:tcW w:w="22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94.1</w:t>
            </w:r>
          </w:p>
        </w:tc>
        <w:tc>
          <w:tcPr>
            <w:tcW w:w="0" w:type="dxa"/>
            <w:vAlign w:val="bottom"/>
          </w:tcPr>
          <w:p>
            <w:pPr>
              <w:spacing w:after="0"/>
              <w:rPr>
                <w:sz w:val="1"/>
                <w:szCs w:val="1"/>
                <w:color w:val="auto"/>
              </w:rPr>
            </w:pPr>
          </w:p>
        </w:tc>
      </w:tr>
      <w:tr>
        <w:trPr>
          <w:trHeight w:val="189"/>
        </w:trPr>
        <w:tc>
          <w:tcPr>
            <w:tcW w:w="5980" w:type="dxa"/>
            <w:vAlign w:val="bottom"/>
          </w:tcPr>
          <w:p>
            <w:pPr>
              <w:ind w:left="120"/>
              <w:spacing w:after="0"/>
              <w:rPr>
                <w:sz w:val="20"/>
                <w:szCs w:val="20"/>
                <w:color w:val="auto"/>
              </w:rPr>
            </w:pPr>
            <w:r>
              <w:rPr>
                <w:rFonts w:ascii="Arial" w:cs="Arial" w:eastAsia="Arial" w:hAnsi="Arial"/>
                <w:sz w:val="16"/>
                <w:szCs w:val="16"/>
                <w:color w:val="auto"/>
              </w:rPr>
              <w:t>Notes payable</w:t>
            </w:r>
          </w:p>
        </w:tc>
        <w:tc>
          <w:tcPr>
            <w:tcW w:w="18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123.7</w:t>
            </w:r>
          </w:p>
        </w:tc>
        <w:tc>
          <w:tcPr>
            <w:tcW w:w="480" w:type="dxa"/>
            <w:vAlign w:val="bottom"/>
          </w:tcPr>
          <w:p>
            <w:pPr>
              <w:spacing w:after="0"/>
              <w:rPr>
                <w:sz w:val="16"/>
                <w:szCs w:val="16"/>
                <w:color w:val="auto"/>
              </w:rPr>
            </w:pPr>
          </w:p>
        </w:tc>
        <w:tc>
          <w:tcPr>
            <w:tcW w:w="2200" w:type="dxa"/>
            <w:vAlign w:val="bottom"/>
          </w:tcPr>
          <w:p>
            <w:pPr>
              <w:jc w:val="right"/>
              <w:ind w:right="39"/>
              <w:spacing w:after="0"/>
              <w:rPr>
                <w:sz w:val="20"/>
                <w:szCs w:val="20"/>
                <w:color w:val="auto"/>
              </w:rPr>
            </w:pPr>
            <w:r>
              <w:rPr>
                <w:rFonts w:ascii="Arial" w:cs="Arial" w:eastAsia="Arial" w:hAnsi="Arial"/>
                <w:sz w:val="16"/>
                <w:szCs w:val="16"/>
                <w:color w:val="auto"/>
              </w:rPr>
              <w:t>133.8</w:t>
            </w:r>
          </w:p>
        </w:tc>
        <w:tc>
          <w:tcPr>
            <w:tcW w:w="0" w:type="dxa"/>
            <w:vAlign w:val="bottom"/>
          </w:tcPr>
          <w:p>
            <w:pPr>
              <w:spacing w:after="0"/>
              <w:rPr>
                <w:sz w:val="1"/>
                <w:szCs w:val="1"/>
                <w:color w:val="auto"/>
              </w:rPr>
            </w:pPr>
          </w:p>
        </w:tc>
      </w:tr>
      <w:tr>
        <w:trPr>
          <w:trHeight w:val="189"/>
        </w:trPr>
        <w:tc>
          <w:tcPr>
            <w:tcW w:w="59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Current maturities of long-term debt</w:t>
            </w:r>
          </w:p>
        </w:tc>
        <w:tc>
          <w:tcPr>
            <w:tcW w:w="1820" w:type="dxa"/>
            <w:vAlign w:val="bottom"/>
            <w:tcBorders>
              <w:bottom w:val="single" w:sz="8" w:color="auto"/>
            </w:tcBorders>
            <w:shd w:val="clear" w:color="auto" w:fill="CFF0FC"/>
          </w:tcPr>
          <w:p>
            <w:pPr>
              <w:spacing w:after="0"/>
              <w:rPr>
                <w:sz w:val="16"/>
                <w:szCs w:val="16"/>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300.0</w:t>
            </w:r>
          </w:p>
        </w:tc>
        <w:tc>
          <w:tcPr>
            <w:tcW w:w="480" w:type="dxa"/>
            <w:vAlign w:val="bottom"/>
            <w:tcBorders>
              <w:bottom w:val="single" w:sz="8" w:color="auto"/>
            </w:tcBorders>
            <w:shd w:val="clear" w:color="auto" w:fill="CFF0FC"/>
          </w:tcPr>
          <w:p>
            <w:pPr>
              <w:spacing w:after="0"/>
              <w:rPr>
                <w:sz w:val="16"/>
                <w:szCs w:val="16"/>
                <w:color w:val="auto"/>
              </w:rPr>
            </w:pPr>
          </w:p>
        </w:tc>
        <w:tc>
          <w:tcPr>
            <w:tcW w:w="22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5980" w:type="dxa"/>
            <w:vAlign w:val="bottom"/>
          </w:tcPr>
          <w:p>
            <w:pPr>
              <w:ind w:left="220"/>
              <w:spacing w:after="0" w:line="183" w:lineRule="exact"/>
              <w:rPr>
                <w:sz w:val="20"/>
                <w:szCs w:val="20"/>
                <w:color w:val="auto"/>
              </w:rPr>
            </w:pPr>
            <w:r>
              <w:rPr>
                <w:rFonts w:ascii="Arial" w:cs="Arial" w:eastAsia="Arial" w:hAnsi="Arial"/>
                <w:sz w:val="16"/>
                <w:szCs w:val="16"/>
                <w:color w:val="auto"/>
              </w:rPr>
              <w:t>Total current liabilities</w:t>
            </w:r>
          </w:p>
        </w:tc>
        <w:tc>
          <w:tcPr>
            <w:tcW w:w="18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953.9</w:t>
            </w:r>
          </w:p>
        </w:tc>
        <w:tc>
          <w:tcPr>
            <w:tcW w:w="48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763.4</w:t>
            </w:r>
          </w:p>
        </w:tc>
        <w:tc>
          <w:tcPr>
            <w:tcW w:w="0" w:type="dxa"/>
            <w:vAlign w:val="bottom"/>
          </w:tcPr>
          <w:p>
            <w:pPr>
              <w:spacing w:after="0"/>
              <w:rPr>
                <w:sz w:val="1"/>
                <w:szCs w:val="1"/>
                <w:color w:val="auto"/>
              </w:rPr>
            </w:pPr>
          </w:p>
        </w:tc>
      </w:tr>
      <w:tr>
        <w:trPr>
          <w:trHeight w:val="183"/>
        </w:trPr>
        <w:tc>
          <w:tcPr>
            <w:tcW w:w="5980" w:type="dxa"/>
            <w:vAlign w:val="bottom"/>
            <w:shd w:val="clear" w:color="auto" w:fill="CFF0FC"/>
          </w:tcPr>
          <w:p>
            <w:pPr>
              <w:spacing w:after="0"/>
              <w:rPr>
                <w:sz w:val="15"/>
                <w:szCs w:val="15"/>
                <w:color w:val="auto"/>
              </w:rPr>
            </w:pPr>
          </w:p>
        </w:tc>
        <w:tc>
          <w:tcPr>
            <w:tcW w:w="18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2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980" w:type="dxa"/>
            <w:vAlign w:val="bottom"/>
          </w:tcPr>
          <w:p>
            <w:pPr>
              <w:spacing w:after="0"/>
              <w:rPr>
                <w:sz w:val="20"/>
                <w:szCs w:val="20"/>
                <w:color w:val="auto"/>
              </w:rPr>
            </w:pPr>
            <w:r>
              <w:rPr>
                <w:rFonts w:ascii="Arial" w:cs="Arial" w:eastAsia="Arial" w:hAnsi="Arial"/>
                <w:sz w:val="16"/>
                <w:szCs w:val="16"/>
                <w:color w:val="auto"/>
              </w:rPr>
              <w:t>Long-term debt, net of current maturities</w:t>
            </w:r>
          </w:p>
        </w:tc>
        <w:tc>
          <w:tcPr>
            <w:tcW w:w="18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3,952.4</w:t>
            </w:r>
          </w:p>
        </w:tc>
        <w:tc>
          <w:tcPr>
            <w:tcW w:w="48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4,250.2</w:t>
            </w:r>
          </w:p>
        </w:tc>
        <w:tc>
          <w:tcPr>
            <w:tcW w:w="0" w:type="dxa"/>
            <w:vAlign w:val="bottom"/>
          </w:tcPr>
          <w:p>
            <w:pPr>
              <w:spacing w:after="0"/>
              <w:rPr>
                <w:sz w:val="1"/>
                <w:szCs w:val="1"/>
                <w:color w:val="auto"/>
              </w:rPr>
            </w:pPr>
          </w:p>
        </w:tc>
      </w:tr>
      <w:tr>
        <w:trPr>
          <w:trHeight w:val="183"/>
        </w:trPr>
        <w:tc>
          <w:tcPr>
            <w:tcW w:w="5980" w:type="dxa"/>
            <w:vAlign w:val="bottom"/>
            <w:shd w:val="clear" w:color="auto" w:fill="CFF0FC"/>
          </w:tcPr>
          <w:p>
            <w:pPr>
              <w:spacing w:after="0"/>
              <w:rPr>
                <w:sz w:val="15"/>
                <w:szCs w:val="15"/>
                <w:color w:val="auto"/>
              </w:rPr>
            </w:pPr>
          </w:p>
        </w:tc>
        <w:tc>
          <w:tcPr>
            <w:tcW w:w="18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2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980" w:type="dxa"/>
            <w:vAlign w:val="bottom"/>
          </w:tcPr>
          <w:p>
            <w:pPr>
              <w:spacing w:after="0"/>
              <w:rPr>
                <w:sz w:val="20"/>
                <w:szCs w:val="20"/>
                <w:color w:val="auto"/>
              </w:rPr>
            </w:pPr>
            <w:r>
              <w:rPr>
                <w:rFonts w:ascii="Arial" w:cs="Arial" w:eastAsia="Arial" w:hAnsi="Arial"/>
                <w:sz w:val="16"/>
                <w:szCs w:val="16"/>
                <w:color w:val="auto"/>
              </w:rPr>
              <w:t>Deferred credits and other liabilities:</w:t>
            </w:r>
          </w:p>
        </w:tc>
        <w:tc>
          <w:tcPr>
            <w:tcW w:w="1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Deferred income tax liabilities, net</w:t>
            </w:r>
          </w:p>
        </w:tc>
        <w:tc>
          <w:tcPr>
            <w:tcW w:w="182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674.0</w:t>
            </w:r>
          </w:p>
        </w:tc>
        <w:tc>
          <w:tcPr>
            <w:tcW w:w="480" w:type="dxa"/>
            <w:vAlign w:val="bottom"/>
            <w:shd w:val="clear" w:color="auto" w:fill="CFF0FC"/>
          </w:tcPr>
          <w:p>
            <w:pPr>
              <w:spacing w:after="0"/>
              <w:rPr>
                <w:sz w:val="16"/>
                <w:szCs w:val="16"/>
                <w:color w:val="auto"/>
              </w:rPr>
            </w:pPr>
          </w:p>
        </w:tc>
        <w:tc>
          <w:tcPr>
            <w:tcW w:w="22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625.1</w:t>
            </w:r>
          </w:p>
        </w:tc>
        <w:tc>
          <w:tcPr>
            <w:tcW w:w="0" w:type="dxa"/>
            <w:vAlign w:val="bottom"/>
          </w:tcPr>
          <w:p>
            <w:pPr>
              <w:spacing w:after="0"/>
              <w:rPr>
                <w:sz w:val="1"/>
                <w:szCs w:val="1"/>
                <w:color w:val="auto"/>
              </w:rPr>
            </w:pPr>
          </w:p>
        </w:tc>
      </w:tr>
      <w:tr>
        <w:trPr>
          <w:trHeight w:val="189"/>
        </w:trPr>
        <w:tc>
          <w:tcPr>
            <w:tcW w:w="5980" w:type="dxa"/>
            <w:vAlign w:val="bottom"/>
          </w:tcPr>
          <w:p>
            <w:pPr>
              <w:ind w:left="120"/>
              <w:spacing w:after="0"/>
              <w:rPr>
                <w:sz w:val="20"/>
                <w:szCs w:val="20"/>
                <w:color w:val="auto"/>
              </w:rPr>
            </w:pPr>
            <w:r>
              <w:rPr>
                <w:rFonts w:ascii="Arial" w:cs="Arial" w:eastAsia="Arial" w:hAnsi="Arial"/>
                <w:sz w:val="16"/>
                <w:szCs w:val="16"/>
                <w:color w:val="auto"/>
              </w:rPr>
              <w:t>Regulatory liabilities, non-current</w:t>
            </w:r>
          </w:p>
        </w:tc>
        <w:tc>
          <w:tcPr>
            <w:tcW w:w="18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480.1</w:t>
            </w:r>
          </w:p>
        </w:tc>
        <w:tc>
          <w:tcPr>
            <w:tcW w:w="480" w:type="dxa"/>
            <w:vAlign w:val="bottom"/>
          </w:tcPr>
          <w:p>
            <w:pPr>
              <w:spacing w:after="0"/>
              <w:rPr>
                <w:sz w:val="16"/>
                <w:szCs w:val="16"/>
                <w:color w:val="auto"/>
              </w:rPr>
            </w:pPr>
          </w:p>
        </w:tc>
        <w:tc>
          <w:tcPr>
            <w:tcW w:w="2200" w:type="dxa"/>
            <w:vAlign w:val="bottom"/>
          </w:tcPr>
          <w:p>
            <w:pPr>
              <w:jc w:val="right"/>
              <w:ind w:right="39"/>
              <w:spacing w:after="0"/>
              <w:rPr>
                <w:sz w:val="20"/>
                <w:szCs w:val="20"/>
                <w:color w:val="auto"/>
              </w:rPr>
            </w:pPr>
            <w:r>
              <w:rPr>
                <w:rFonts w:ascii="Arial" w:cs="Arial" w:eastAsia="Arial" w:hAnsi="Arial"/>
                <w:sz w:val="16"/>
                <w:szCs w:val="16"/>
                <w:color w:val="auto"/>
              </w:rPr>
              <w:t>474.6</w:t>
            </w:r>
          </w:p>
        </w:tc>
        <w:tc>
          <w:tcPr>
            <w:tcW w:w="0" w:type="dxa"/>
            <w:vAlign w:val="bottom"/>
          </w:tcPr>
          <w:p>
            <w:pPr>
              <w:spacing w:after="0"/>
              <w:rPr>
                <w:sz w:val="1"/>
                <w:szCs w:val="1"/>
                <w:color w:val="auto"/>
              </w:rPr>
            </w:pPr>
          </w:p>
        </w:tc>
      </w:tr>
      <w:tr>
        <w:trPr>
          <w:trHeight w:val="189"/>
        </w:trPr>
        <w:tc>
          <w:tcPr>
            <w:tcW w:w="59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Benefit plan liabilities</w:t>
            </w:r>
          </w:p>
        </w:tc>
        <w:tc>
          <w:tcPr>
            <w:tcW w:w="182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119.9</w:t>
            </w:r>
          </w:p>
        </w:tc>
        <w:tc>
          <w:tcPr>
            <w:tcW w:w="480" w:type="dxa"/>
            <w:vAlign w:val="bottom"/>
            <w:shd w:val="clear" w:color="auto" w:fill="CFF0FC"/>
          </w:tcPr>
          <w:p>
            <w:pPr>
              <w:spacing w:after="0"/>
              <w:rPr>
                <w:sz w:val="16"/>
                <w:szCs w:val="16"/>
                <w:color w:val="auto"/>
              </w:rPr>
            </w:pPr>
          </w:p>
        </w:tc>
        <w:tc>
          <w:tcPr>
            <w:tcW w:w="22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122.9</w:t>
            </w:r>
          </w:p>
        </w:tc>
        <w:tc>
          <w:tcPr>
            <w:tcW w:w="0" w:type="dxa"/>
            <w:vAlign w:val="bottom"/>
          </w:tcPr>
          <w:p>
            <w:pPr>
              <w:spacing w:after="0"/>
              <w:rPr>
                <w:sz w:val="1"/>
                <w:szCs w:val="1"/>
                <w:color w:val="auto"/>
              </w:rPr>
            </w:pPr>
          </w:p>
        </w:tc>
      </w:tr>
      <w:tr>
        <w:trPr>
          <w:trHeight w:val="189"/>
        </w:trPr>
        <w:tc>
          <w:tcPr>
            <w:tcW w:w="5980" w:type="dxa"/>
            <w:vAlign w:val="bottom"/>
          </w:tcPr>
          <w:p>
            <w:pPr>
              <w:ind w:left="120"/>
              <w:spacing w:after="0"/>
              <w:rPr>
                <w:sz w:val="20"/>
                <w:szCs w:val="20"/>
                <w:color w:val="auto"/>
              </w:rPr>
            </w:pPr>
            <w:r>
              <w:rPr>
                <w:rFonts w:ascii="Arial" w:cs="Arial" w:eastAsia="Arial" w:hAnsi="Arial"/>
                <w:sz w:val="16"/>
                <w:szCs w:val="16"/>
                <w:color w:val="auto"/>
              </w:rPr>
              <w:t>Other deferred credits and other liabilities</w:t>
            </w:r>
          </w:p>
        </w:tc>
        <w:tc>
          <w:tcPr>
            <w:tcW w:w="18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191.9</w:t>
            </w:r>
          </w:p>
        </w:tc>
        <w:tc>
          <w:tcPr>
            <w:tcW w:w="48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201.2</w:t>
            </w:r>
          </w:p>
        </w:tc>
        <w:tc>
          <w:tcPr>
            <w:tcW w:w="0" w:type="dxa"/>
            <w:vAlign w:val="bottom"/>
          </w:tcPr>
          <w:p>
            <w:pPr>
              <w:spacing w:after="0"/>
              <w:rPr>
                <w:sz w:val="1"/>
                <w:szCs w:val="1"/>
                <w:color w:val="auto"/>
              </w:rPr>
            </w:pPr>
          </w:p>
        </w:tc>
      </w:tr>
      <w:tr>
        <w:trPr>
          <w:trHeight w:val="183"/>
        </w:trPr>
        <w:tc>
          <w:tcPr>
            <w:tcW w:w="5980" w:type="dxa"/>
            <w:vAlign w:val="bottom"/>
            <w:tcBorders>
              <w:bottom w:val="single" w:sz="8" w:color="CFF0FC"/>
            </w:tcBorders>
            <w:shd w:val="clear" w:color="auto" w:fill="CFF0FC"/>
          </w:tcPr>
          <w:p>
            <w:pPr>
              <w:ind w:left="220"/>
              <w:spacing w:after="0" w:line="183" w:lineRule="exact"/>
              <w:rPr>
                <w:sz w:val="20"/>
                <w:szCs w:val="20"/>
                <w:color w:val="auto"/>
              </w:rPr>
            </w:pPr>
            <w:r>
              <w:rPr>
                <w:rFonts w:ascii="Arial" w:cs="Arial" w:eastAsia="Arial" w:hAnsi="Arial"/>
                <w:sz w:val="16"/>
                <w:szCs w:val="16"/>
                <w:color w:val="auto"/>
              </w:rPr>
              <w:t>Total deferred credits and other liabilities</w:t>
            </w:r>
          </w:p>
        </w:tc>
        <w:tc>
          <w:tcPr>
            <w:tcW w:w="1820" w:type="dxa"/>
            <w:vAlign w:val="bottom"/>
            <w:tcBorders>
              <w:bottom w:val="single" w:sz="8" w:color="auto"/>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1,465.9</w:t>
            </w:r>
          </w:p>
        </w:tc>
        <w:tc>
          <w:tcPr>
            <w:tcW w:w="480" w:type="dxa"/>
            <w:vAlign w:val="bottom"/>
            <w:tcBorders>
              <w:bottom w:val="single" w:sz="8" w:color="auto"/>
            </w:tcBorders>
            <w:shd w:val="clear" w:color="auto" w:fill="CFF0FC"/>
          </w:tcPr>
          <w:p>
            <w:pPr>
              <w:spacing w:after="0"/>
              <w:rPr>
                <w:sz w:val="15"/>
                <w:szCs w:val="15"/>
                <w:color w:val="auto"/>
              </w:rPr>
            </w:pPr>
          </w:p>
        </w:tc>
        <w:tc>
          <w:tcPr>
            <w:tcW w:w="220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1,423.8</w:t>
            </w:r>
          </w:p>
        </w:tc>
        <w:tc>
          <w:tcPr>
            <w:tcW w:w="0" w:type="dxa"/>
            <w:vAlign w:val="bottom"/>
          </w:tcPr>
          <w:p>
            <w:pPr>
              <w:spacing w:after="0"/>
              <w:rPr>
                <w:sz w:val="1"/>
                <w:szCs w:val="1"/>
                <w:color w:val="auto"/>
              </w:rPr>
            </w:pPr>
          </w:p>
        </w:tc>
      </w:tr>
      <w:tr>
        <w:trPr>
          <w:trHeight w:val="183"/>
        </w:trPr>
        <w:tc>
          <w:tcPr>
            <w:tcW w:w="59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980" w:type="dxa"/>
            <w:vAlign w:val="bottom"/>
            <w:shd w:val="clear" w:color="auto" w:fill="CFF0FC"/>
          </w:tcPr>
          <w:p>
            <w:pPr>
              <w:spacing w:after="0"/>
              <w:rPr>
                <w:sz w:val="20"/>
                <w:szCs w:val="20"/>
                <w:color w:val="auto"/>
              </w:rPr>
            </w:pPr>
            <w:r>
              <w:rPr>
                <w:rFonts w:ascii="Arial" w:cs="Arial" w:eastAsia="Arial" w:hAnsi="Arial"/>
                <w:sz w:val="16"/>
                <w:szCs w:val="16"/>
                <w:color w:val="auto"/>
              </w:rPr>
              <w:t>Commitments, contingencies and guarantees (Note 3)</w:t>
            </w:r>
          </w:p>
        </w:tc>
        <w:tc>
          <w:tcPr>
            <w:tcW w:w="18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22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80" w:type="dxa"/>
            <w:vAlign w:val="bottom"/>
            <w:shd w:val="clear" w:color="auto" w:fill="CFF0FC"/>
          </w:tcPr>
          <w:p>
            <w:pPr>
              <w:spacing w:after="0"/>
              <w:rPr>
                <w:sz w:val="20"/>
                <w:szCs w:val="20"/>
                <w:color w:val="auto"/>
              </w:rPr>
            </w:pPr>
            <w:r>
              <w:rPr>
                <w:rFonts w:ascii="Arial" w:cs="Arial" w:eastAsia="Arial" w:hAnsi="Arial"/>
                <w:sz w:val="16"/>
                <w:szCs w:val="16"/>
                <w:color w:val="auto"/>
              </w:rPr>
              <w:t>Equity:</w:t>
            </w:r>
          </w:p>
        </w:tc>
        <w:tc>
          <w:tcPr>
            <w:tcW w:w="18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22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80" w:type="dxa"/>
            <w:vAlign w:val="bottom"/>
          </w:tcPr>
          <w:p>
            <w:pPr>
              <w:ind w:left="120"/>
              <w:spacing w:after="0"/>
              <w:rPr>
                <w:sz w:val="20"/>
                <w:szCs w:val="20"/>
                <w:color w:val="auto"/>
              </w:rPr>
            </w:pPr>
            <w:r>
              <w:rPr>
                <w:rFonts w:ascii="Arial" w:cs="Arial" w:eastAsia="Arial" w:hAnsi="Arial"/>
                <w:sz w:val="16"/>
                <w:szCs w:val="16"/>
                <w:color w:val="auto"/>
              </w:rPr>
              <w:t>Stockholder's equity -</w:t>
            </w:r>
          </w:p>
        </w:tc>
        <w:tc>
          <w:tcPr>
            <w:tcW w:w="1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980" w:type="dxa"/>
            <w:vAlign w:val="bottom"/>
            <w:shd w:val="clear" w:color="auto" w:fill="CFF0FC"/>
          </w:tcPr>
          <w:p>
            <w:pPr>
              <w:ind w:left="120"/>
              <w:spacing w:after="0" w:line="175" w:lineRule="exact"/>
              <w:rPr>
                <w:sz w:val="20"/>
                <w:szCs w:val="20"/>
                <w:color w:val="auto"/>
              </w:rPr>
            </w:pPr>
            <w:r>
              <w:rPr>
                <w:rFonts w:ascii="Arial" w:cs="Arial" w:eastAsia="Arial" w:hAnsi="Arial"/>
                <w:sz w:val="16"/>
                <w:szCs w:val="16"/>
                <w:color w:val="auto"/>
              </w:rPr>
              <w:t>Common stock $1 par value; 100,000,000 shares authorized; issued</w:t>
            </w:r>
          </w:p>
        </w:tc>
        <w:tc>
          <w:tcPr>
            <w:tcW w:w="18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2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9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72,902,676 and 71,676,756 shares, respectively</w:t>
            </w:r>
          </w:p>
        </w:tc>
        <w:tc>
          <w:tcPr>
            <w:tcW w:w="18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72.9</w:t>
            </w:r>
          </w:p>
        </w:tc>
        <w:tc>
          <w:tcPr>
            <w:tcW w:w="480" w:type="dxa"/>
            <w:vAlign w:val="bottom"/>
            <w:shd w:val="clear" w:color="auto" w:fill="CFF0FC"/>
          </w:tcPr>
          <w:p>
            <w:pPr>
              <w:spacing w:after="0"/>
              <w:rPr>
                <w:sz w:val="17"/>
                <w:szCs w:val="17"/>
                <w:color w:val="auto"/>
              </w:rPr>
            </w:pPr>
          </w:p>
        </w:tc>
        <w:tc>
          <w:tcPr>
            <w:tcW w:w="22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71.7</w:t>
            </w:r>
          </w:p>
        </w:tc>
        <w:tc>
          <w:tcPr>
            <w:tcW w:w="0" w:type="dxa"/>
            <w:vAlign w:val="bottom"/>
          </w:tcPr>
          <w:p>
            <w:pPr>
              <w:spacing w:after="0"/>
              <w:rPr>
                <w:sz w:val="1"/>
                <w:szCs w:val="1"/>
                <w:color w:val="auto"/>
              </w:rPr>
            </w:pPr>
          </w:p>
        </w:tc>
      </w:tr>
      <w:tr>
        <w:trPr>
          <w:trHeight w:val="189"/>
        </w:trPr>
        <w:tc>
          <w:tcPr>
            <w:tcW w:w="5980" w:type="dxa"/>
            <w:vAlign w:val="bottom"/>
          </w:tcPr>
          <w:p>
            <w:pPr>
              <w:ind w:left="120"/>
              <w:spacing w:after="0"/>
              <w:rPr>
                <w:sz w:val="20"/>
                <w:szCs w:val="20"/>
                <w:color w:val="auto"/>
              </w:rPr>
            </w:pPr>
            <w:r>
              <w:rPr>
                <w:rFonts w:ascii="Arial" w:cs="Arial" w:eastAsia="Arial" w:hAnsi="Arial"/>
                <w:sz w:val="16"/>
                <w:szCs w:val="16"/>
                <w:color w:val="auto"/>
              </w:rPr>
              <w:t>Additional paid-in capital</w:t>
            </w:r>
          </w:p>
        </w:tc>
        <w:tc>
          <w:tcPr>
            <w:tcW w:w="18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2,260.7</w:t>
            </w:r>
          </w:p>
        </w:tc>
        <w:tc>
          <w:tcPr>
            <w:tcW w:w="480" w:type="dxa"/>
            <w:vAlign w:val="bottom"/>
          </w:tcPr>
          <w:p>
            <w:pPr>
              <w:spacing w:after="0"/>
              <w:rPr>
                <w:sz w:val="16"/>
                <w:szCs w:val="16"/>
                <w:color w:val="auto"/>
              </w:rPr>
            </w:pPr>
          </w:p>
        </w:tc>
        <w:tc>
          <w:tcPr>
            <w:tcW w:w="2200" w:type="dxa"/>
            <w:vAlign w:val="bottom"/>
          </w:tcPr>
          <w:p>
            <w:pPr>
              <w:jc w:val="right"/>
              <w:ind w:right="39"/>
              <w:spacing w:after="0"/>
              <w:rPr>
                <w:sz w:val="20"/>
                <w:szCs w:val="20"/>
                <w:color w:val="auto"/>
              </w:rPr>
            </w:pPr>
            <w:r>
              <w:rPr>
                <w:rFonts w:ascii="Arial" w:cs="Arial" w:eastAsia="Arial" w:hAnsi="Arial"/>
                <w:sz w:val="16"/>
                <w:szCs w:val="16"/>
                <w:color w:val="auto"/>
              </w:rPr>
              <w:t>2,193.4</w:t>
            </w:r>
          </w:p>
        </w:tc>
        <w:tc>
          <w:tcPr>
            <w:tcW w:w="0" w:type="dxa"/>
            <w:vAlign w:val="bottom"/>
          </w:tcPr>
          <w:p>
            <w:pPr>
              <w:spacing w:after="0"/>
              <w:rPr>
                <w:sz w:val="1"/>
                <w:szCs w:val="1"/>
                <w:color w:val="auto"/>
              </w:rPr>
            </w:pPr>
          </w:p>
        </w:tc>
      </w:tr>
      <w:tr>
        <w:trPr>
          <w:trHeight w:val="189"/>
        </w:trPr>
        <w:tc>
          <w:tcPr>
            <w:tcW w:w="59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Retained earnings</w:t>
            </w:r>
          </w:p>
        </w:tc>
        <w:tc>
          <w:tcPr>
            <w:tcW w:w="182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1,313.3</w:t>
            </w:r>
          </w:p>
        </w:tc>
        <w:tc>
          <w:tcPr>
            <w:tcW w:w="480" w:type="dxa"/>
            <w:vAlign w:val="bottom"/>
            <w:shd w:val="clear" w:color="auto" w:fill="CFF0FC"/>
          </w:tcPr>
          <w:p>
            <w:pPr>
              <w:spacing w:after="0"/>
              <w:rPr>
                <w:sz w:val="16"/>
                <w:szCs w:val="16"/>
                <w:color w:val="auto"/>
              </w:rPr>
            </w:pPr>
          </w:p>
        </w:tc>
        <w:tc>
          <w:tcPr>
            <w:tcW w:w="22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1,249.1</w:t>
            </w:r>
          </w:p>
        </w:tc>
        <w:tc>
          <w:tcPr>
            <w:tcW w:w="0" w:type="dxa"/>
            <w:vAlign w:val="bottom"/>
          </w:tcPr>
          <w:p>
            <w:pPr>
              <w:spacing w:after="0"/>
              <w:rPr>
                <w:sz w:val="1"/>
                <w:szCs w:val="1"/>
                <w:color w:val="auto"/>
              </w:rPr>
            </w:pPr>
          </w:p>
        </w:tc>
      </w:tr>
      <w:tr>
        <w:trPr>
          <w:trHeight w:val="189"/>
        </w:trPr>
        <w:tc>
          <w:tcPr>
            <w:tcW w:w="5980" w:type="dxa"/>
            <w:vAlign w:val="bottom"/>
          </w:tcPr>
          <w:p>
            <w:pPr>
              <w:ind w:left="120"/>
              <w:spacing w:after="0"/>
              <w:rPr>
                <w:sz w:val="20"/>
                <w:szCs w:val="20"/>
                <w:color w:val="auto"/>
              </w:rPr>
            </w:pPr>
            <w:r>
              <w:rPr>
                <w:rFonts w:ascii="Arial" w:cs="Arial" w:eastAsia="Arial" w:hAnsi="Arial"/>
                <w:sz w:val="16"/>
                <w:szCs w:val="16"/>
                <w:color w:val="auto"/>
              </w:rPr>
              <w:t>Treasury stock, at cost - 47,947 and 56,608 shares, respectively</w:t>
            </w:r>
          </w:p>
        </w:tc>
        <w:tc>
          <w:tcPr>
            <w:tcW w:w="18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(2.8)</w:t>
            </w:r>
          </w:p>
        </w:tc>
        <w:tc>
          <w:tcPr>
            <w:tcW w:w="480" w:type="dxa"/>
            <w:vAlign w:val="bottom"/>
          </w:tcPr>
          <w:p>
            <w:pPr>
              <w:spacing w:after="0"/>
              <w:rPr>
                <w:sz w:val="16"/>
                <w:szCs w:val="16"/>
                <w:color w:val="auto"/>
              </w:rPr>
            </w:pPr>
          </w:p>
        </w:tc>
        <w:tc>
          <w:tcPr>
            <w:tcW w:w="2200" w:type="dxa"/>
            <w:vAlign w:val="bottom"/>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189"/>
        </w:trPr>
        <w:tc>
          <w:tcPr>
            <w:tcW w:w="59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Accumulated other comprehensive (loss)</w:t>
            </w:r>
          </w:p>
        </w:tc>
        <w:tc>
          <w:tcPr>
            <w:tcW w:w="1820" w:type="dxa"/>
            <w:vAlign w:val="bottom"/>
            <w:tcBorders>
              <w:bottom w:val="single" w:sz="8" w:color="auto"/>
            </w:tcBorders>
            <w:shd w:val="clear" w:color="auto" w:fill="CFF0FC"/>
          </w:tcPr>
          <w:p>
            <w:pPr>
              <w:spacing w:after="0"/>
              <w:rPr>
                <w:sz w:val="16"/>
                <w:szCs w:val="16"/>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(8.0)</w:t>
            </w:r>
          </w:p>
        </w:tc>
        <w:tc>
          <w:tcPr>
            <w:tcW w:w="480" w:type="dxa"/>
            <w:vAlign w:val="bottom"/>
            <w:tcBorders>
              <w:bottom w:val="single" w:sz="8" w:color="auto"/>
            </w:tcBorders>
            <w:shd w:val="clear" w:color="auto" w:fill="CFF0FC"/>
          </w:tcPr>
          <w:p>
            <w:pPr>
              <w:spacing w:after="0"/>
              <w:rPr>
                <w:sz w:val="16"/>
                <w:szCs w:val="16"/>
                <w:color w:val="auto"/>
              </w:rPr>
            </w:pPr>
          </w:p>
        </w:tc>
        <w:tc>
          <w:tcPr>
            <w:tcW w:w="2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183"/>
        </w:trPr>
        <w:tc>
          <w:tcPr>
            <w:tcW w:w="5980" w:type="dxa"/>
            <w:vAlign w:val="bottom"/>
          </w:tcPr>
          <w:p>
            <w:pPr>
              <w:ind w:left="220"/>
              <w:spacing w:after="0" w:line="183" w:lineRule="exact"/>
              <w:rPr>
                <w:sz w:val="20"/>
                <w:szCs w:val="20"/>
                <w:color w:val="auto"/>
              </w:rPr>
            </w:pPr>
            <w:r>
              <w:rPr>
                <w:rFonts w:ascii="Arial" w:cs="Arial" w:eastAsia="Arial" w:hAnsi="Arial"/>
                <w:sz w:val="16"/>
                <w:szCs w:val="16"/>
                <w:color w:val="auto"/>
              </w:rPr>
              <w:t>Total stockholders' equity</w:t>
            </w:r>
          </w:p>
        </w:tc>
        <w:tc>
          <w:tcPr>
            <w:tcW w:w="1820" w:type="dxa"/>
            <w:vAlign w:val="bottom"/>
          </w:tcPr>
          <w:p>
            <w:pPr>
              <w:spacing w:after="0"/>
              <w:rPr>
                <w:sz w:val="15"/>
                <w:szCs w:val="15"/>
                <w:color w:val="auto"/>
              </w:rPr>
            </w:pPr>
          </w:p>
        </w:tc>
        <w:tc>
          <w:tcPr>
            <w:tcW w:w="760" w:type="dxa"/>
            <w:vAlign w:val="bottom"/>
          </w:tcPr>
          <w:p>
            <w:pPr>
              <w:jc w:val="right"/>
              <w:spacing w:after="0" w:line="183" w:lineRule="exact"/>
              <w:rPr>
                <w:sz w:val="20"/>
                <w:szCs w:val="20"/>
                <w:color w:val="auto"/>
              </w:rPr>
            </w:pPr>
            <w:r>
              <w:rPr>
                <w:rFonts w:ascii="Arial" w:cs="Arial" w:eastAsia="Arial" w:hAnsi="Arial"/>
                <w:sz w:val="16"/>
                <w:szCs w:val="16"/>
                <w:color w:val="auto"/>
              </w:rPr>
              <w:t>3,636.1</w:t>
            </w:r>
          </w:p>
        </w:tc>
        <w:tc>
          <w:tcPr>
            <w:tcW w:w="480" w:type="dxa"/>
            <w:vAlign w:val="bottom"/>
          </w:tcPr>
          <w:p>
            <w:pPr>
              <w:spacing w:after="0"/>
              <w:rPr>
                <w:sz w:val="15"/>
                <w:szCs w:val="15"/>
                <w:color w:val="auto"/>
              </w:rPr>
            </w:pPr>
          </w:p>
        </w:tc>
        <w:tc>
          <w:tcPr>
            <w:tcW w:w="2200" w:type="dxa"/>
            <w:vAlign w:val="bottom"/>
          </w:tcPr>
          <w:p>
            <w:pPr>
              <w:jc w:val="right"/>
              <w:ind w:right="39"/>
              <w:spacing w:after="0" w:line="183" w:lineRule="exact"/>
              <w:rPr>
                <w:sz w:val="20"/>
                <w:szCs w:val="20"/>
                <w:color w:val="auto"/>
              </w:rPr>
            </w:pPr>
            <w:r>
              <w:rPr>
                <w:rFonts w:ascii="Arial" w:cs="Arial" w:eastAsia="Arial" w:hAnsi="Arial"/>
                <w:sz w:val="16"/>
                <w:szCs w:val="16"/>
                <w:color w:val="auto"/>
              </w:rPr>
              <w:t>3,501.5</w:t>
            </w:r>
          </w:p>
        </w:tc>
        <w:tc>
          <w:tcPr>
            <w:tcW w:w="0" w:type="dxa"/>
            <w:vAlign w:val="bottom"/>
          </w:tcPr>
          <w:p>
            <w:pPr>
              <w:spacing w:after="0"/>
              <w:rPr>
                <w:sz w:val="1"/>
                <w:szCs w:val="1"/>
                <w:color w:val="auto"/>
              </w:rPr>
            </w:pPr>
          </w:p>
        </w:tc>
      </w:tr>
      <w:tr>
        <w:trPr>
          <w:trHeight w:val="189"/>
        </w:trPr>
        <w:tc>
          <w:tcPr>
            <w:tcW w:w="59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Non-controlling interest</w:t>
            </w:r>
          </w:p>
        </w:tc>
        <w:tc>
          <w:tcPr>
            <w:tcW w:w="1820" w:type="dxa"/>
            <w:vAlign w:val="bottom"/>
            <w:tcBorders>
              <w:bottom w:val="single" w:sz="8" w:color="auto"/>
            </w:tcBorders>
            <w:shd w:val="clear" w:color="auto" w:fill="CFF0FC"/>
          </w:tcPr>
          <w:p>
            <w:pPr>
              <w:spacing w:after="0"/>
              <w:rPr>
                <w:sz w:val="16"/>
                <w:szCs w:val="16"/>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83.3</w:t>
            </w:r>
          </w:p>
        </w:tc>
        <w:tc>
          <w:tcPr>
            <w:tcW w:w="480" w:type="dxa"/>
            <w:vAlign w:val="bottom"/>
            <w:tcBorders>
              <w:bottom w:val="single" w:sz="8" w:color="auto"/>
            </w:tcBorders>
            <w:shd w:val="clear" w:color="auto" w:fill="CFF0FC"/>
          </w:tcPr>
          <w:p>
            <w:pPr>
              <w:spacing w:after="0"/>
              <w:rPr>
                <w:sz w:val="16"/>
                <w:szCs w:val="16"/>
                <w:color w:val="auto"/>
              </w:rPr>
            </w:pPr>
          </w:p>
        </w:tc>
        <w:tc>
          <w:tcPr>
            <w:tcW w:w="22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83.7</w:t>
            </w:r>
          </w:p>
        </w:tc>
        <w:tc>
          <w:tcPr>
            <w:tcW w:w="0" w:type="dxa"/>
            <w:vAlign w:val="bottom"/>
          </w:tcPr>
          <w:p>
            <w:pPr>
              <w:spacing w:after="0"/>
              <w:rPr>
                <w:sz w:val="1"/>
                <w:szCs w:val="1"/>
                <w:color w:val="auto"/>
              </w:rPr>
            </w:pPr>
          </w:p>
        </w:tc>
      </w:tr>
      <w:tr>
        <w:trPr>
          <w:trHeight w:val="183"/>
        </w:trPr>
        <w:tc>
          <w:tcPr>
            <w:tcW w:w="5980" w:type="dxa"/>
            <w:vAlign w:val="bottom"/>
          </w:tcPr>
          <w:p>
            <w:pPr>
              <w:ind w:left="220"/>
              <w:spacing w:after="0" w:line="183" w:lineRule="exact"/>
              <w:rPr>
                <w:sz w:val="20"/>
                <w:szCs w:val="20"/>
                <w:color w:val="auto"/>
              </w:rPr>
            </w:pPr>
            <w:r>
              <w:rPr>
                <w:rFonts w:ascii="Arial" w:cs="Arial" w:eastAsia="Arial" w:hAnsi="Arial"/>
                <w:sz w:val="16"/>
                <w:szCs w:val="16"/>
                <w:color w:val="auto"/>
              </w:rPr>
              <w:t>Total equity</w:t>
            </w:r>
          </w:p>
        </w:tc>
        <w:tc>
          <w:tcPr>
            <w:tcW w:w="18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3,719.4</w:t>
            </w:r>
          </w:p>
        </w:tc>
        <w:tc>
          <w:tcPr>
            <w:tcW w:w="48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3,585.2</w:t>
            </w:r>
          </w:p>
        </w:tc>
        <w:tc>
          <w:tcPr>
            <w:tcW w:w="0" w:type="dxa"/>
            <w:vAlign w:val="bottom"/>
          </w:tcPr>
          <w:p>
            <w:pPr>
              <w:spacing w:after="0"/>
              <w:rPr>
                <w:sz w:val="1"/>
                <w:szCs w:val="1"/>
                <w:color w:val="auto"/>
              </w:rPr>
            </w:pPr>
          </w:p>
        </w:tc>
      </w:tr>
      <w:tr>
        <w:trPr>
          <w:trHeight w:val="183"/>
        </w:trPr>
        <w:tc>
          <w:tcPr>
            <w:tcW w:w="5980" w:type="dxa"/>
            <w:vAlign w:val="bottom"/>
            <w:shd w:val="clear" w:color="auto" w:fill="CFF0FC"/>
          </w:tcPr>
          <w:p>
            <w:pPr>
              <w:spacing w:after="0"/>
              <w:rPr>
                <w:sz w:val="15"/>
                <w:szCs w:val="15"/>
                <w:color w:val="auto"/>
              </w:rPr>
            </w:pPr>
          </w:p>
        </w:tc>
        <w:tc>
          <w:tcPr>
            <w:tcW w:w="18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2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980" w:type="dxa"/>
            <w:vAlign w:val="bottom"/>
          </w:tcPr>
          <w:p>
            <w:pPr>
              <w:spacing w:after="0" w:line="169" w:lineRule="exact"/>
              <w:rPr>
                <w:sz w:val="20"/>
                <w:szCs w:val="20"/>
                <w:color w:val="auto"/>
              </w:rPr>
            </w:pPr>
            <w:r>
              <w:rPr>
                <w:rFonts w:ascii="Arial" w:cs="Arial" w:eastAsia="Arial" w:hAnsi="Arial"/>
                <w:sz w:val="16"/>
                <w:szCs w:val="16"/>
                <w:color w:val="auto"/>
              </w:rPr>
              <w:t>TOTAL LIABILITIES AND TOTAL EQUITY</w:t>
            </w:r>
          </w:p>
        </w:tc>
        <w:tc>
          <w:tcPr>
            <w:tcW w:w="1820" w:type="dxa"/>
            <w:vAlign w:val="bottom"/>
            <w:tcBorders>
              <w:bottom w:val="single" w:sz="8" w:color="auto"/>
            </w:tcBorders>
          </w:tcPr>
          <w:p>
            <w:pPr>
              <w:jc w:val="right"/>
              <w:ind w:right="1662"/>
              <w:spacing w:after="0" w:line="169" w:lineRule="exact"/>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10,091.6</w:t>
            </w:r>
          </w:p>
        </w:tc>
        <w:tc>
          <w:tcPr>
            <w:tcW w:w="480" w:type="dxa"/>
            <w:vAlign w:val="bottom"/>
            <w:tcBorders>
              <w:bottom w:val="single" w:sz="8" w:color="auto"/>
            </w:tcBorders>
          </w:tcPr>
          <w:p>
            <w:pPr>
              <w:jc w:val="right"/>
              <w:ind w:right="279"/>
              <w:spacing w:after="0" w:line="169" w:lineRule="exact"/>
              <w:rPr>
                <w:sz w:val="20"/>
                <w:szCs w:val="20"/>
                <w:color w:val="auto"/>
              </w:rPr>
            </w:pPr>
            <w:r>
              <w:rPr>
                <w:rFonts w:ascii="Arial" w:cs="Arial" w:eastAsia="Arial" w:hAnsi="Arial"/>
                <w:sz w:val="16"/>
                <w:szCs w:val="16"/>
                <w:color w:val="auto"/>
              </w:rPr>
              <w:t>$</w:t>
            </w:r>
          </w:p>
        </w:tc>
        <w:tc>
          <w:tcPr>
            <w:tcW w:w="2200" w:type="dxa"/>
            <w:vAlign w:val="bottom"/>
            <w:tcBorders>
              <w:bottom w:val="single" w:sz="8" w:color="auto"/>
            </w:tcBorders>
          </w:tcPr>
          <w:p>
            <w:pPr>
              <w:jc w:val="right"/>
              <w:ind w:right="39"/>
              <w:spacing w:after="0" w:line="169" w:lineRule="exact"/>
              <w:rPr>
                <w:sz w:val="20"/>
                <w:szCs w:val="20"/>
                <w:color w:val="auto"/>
              </w:rPr>
            </w:pPr>
            <w:r>
              <w:rPr>
                <w:rFonts w:ascii="Arial" w:cs="Arial" w:eastAsia="Arial" w:hAnsi="Arial"/>
                <w:sz w:val="16"/>
                <w:szCs w:val="16"/>
                <w:color w:val="auto"/>
              </w:rPr>
              <w:t>10,022.6</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The accompanying </w:t>
      </w:r>
      <w:r>
        <w:rPr>
          <w:rFonts w:ascii="Arial" w:cs="Arial" w:eastAsia="Arial" w:hAnsi="Arial"/>
          <w:sz w:val="16"/>
          <w:szCs w:val="16"/>
          <w:u w:val="single" w:color="auto"/>
          <w:color w:val="0000FF"/>
        </w:rPr>
        <w:t>Condensed Notes to Consolidated Financial Statements</w:t>
      </w:r>
      <w:r>
        <w:rPr>
          <w:rFonts w:ascii="Arial" w:cs="Arial" w:eastAsia="Arial" w:hAnsi="Arial"/>
          <w:sz w:val="16"/>
          <w:szCs w:val="16"/>
          <w:color w:val="auto"/>
        </w:rPr>
        <w:t xml:space="preserve">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1275080</wp:posOffset>
            </wp:positionH>
            <wp:positionV relativeFrom="paragraph">
              <wp:posOffset>-4445</wp:posOffset>
            </wp:positionV>
            <wp:extent cx="255587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5587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BLACK HILLS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820" w:type="dxa"/>
            <w:vAlign w:val="bottom"/>
          </w:tcPr>
          <w:p>
            <w:pPr>
              <w:spacing w:after="0"/>
              <w:rPr>
                <w:sz w:val="20"/>
                <w:szCs w:val="20"/>
                <w:color w:val="auto"/>
              </w:rPr>
            </w:pPr>
            <w:r>
              <w:rPr>
                <w:rFonts w:ascii="Arial" w:cs="Arial" w:eastAsia="Arial" w:hAnsi="Arial"/>
                <w:sz w:val="16"/>
                <w:szCs w:val="16"/>
                <w:color w:val="auto"/>
              </w:rPr>
              <w:t>(unaudited)</w:t>
            </w: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100" w:type="dxa"/>
            <w:vAlign w:val="bottom"/>
            <w:gridSpan w:val="3"/>
          </w:tcPr>
          <w:p>
            <w:pPr>
              <w:jc w:val="right"/>
              <w:ind w:right="659"/>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203"/>
        </w:trPr>
        <w:tc>
          <w:tcPr>
            <w:tcW w:w="6820" w:type="dxa"/>
            <w:vAlign w:val="bottom"/>
            <w:vMerge w:val="restart"/>
          </w:tcPr>
          <w:p>
            <w:pPr>
              <w:spacing w:after="0"/>
              <w:rPr>
                <w:sz w:val="20"/>
                <w:szCs w:val="20"/>
                <w:color w:val="auto"/>
              </w:rPr>
            </w:pPr>
            <w:r>
              <w:rPr>
                <w:rFonts w:ascii="Arial" w:cs="Arial" w:eastAsia="Arial" w:hAnsi="Arial"/>
                <w:sz w:val="16"/>
                <w:szCs w:val="16"/>
                <w:color w:val="auto"/>
              </w:rPr>
              <w:t>Operating activities:</w:t>
            </w:r>
          </w:p>
        </w:tc>
        <w:tc>
          <w:tcPr>
            <w:tcW w:w="9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2025</w:t>
            </w:r>
          </w:p>
        </w:tc>
        <w:tc>
          <w:tcPr>
            <w:tcW w:w="5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183"/>
        </w:trPr>
        <w:tc>
          <w:tcPr>
            <w:tcW w:w="6820" w:type="dxa"/>
            <w:vAlign w:val="bottom"/>
            <w:vMerge w:val="continue"/>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2"/>
          </w:tcPr>
          <w:p>
            <w:pPr>
              <w:jc w:val="right"/>
              <w:ind w:right="59"/>
              <w:spacing w:after="0" w:line="183" w:lineRule="exact"/>
              <w:rPr>
                <w:sz w:val="20"/>
                <w:szCs w:val="20"/>
                <w:color w:val="auto"/>
              </w:rPr>
            </w:pPr>
            <w:r>
              <w:rPr>
                <w:rFonts w:ascii="Arial" w:cs="Arial" w:eastAsia="Arial" w:hAnsi="Arial"/>
                <w:sz w:val="16"/>
                <w:szCs w:val="16"/>
                <w:color w:val="auto"/>
              </w:rPr>
              <w:t>(in millions)</w:t>
            </w:r>
          </w:p>
        </w:tc>
        <w:tc>
          <w:tcPr>
            <w:tcW w:w="12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82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Net income</w:t>
            </w:r>
          </w:p>
        </w:tc>
        <w:tc>
          <w:tcPr>
            <w:tcW w:w="1320" w:type="dxa"/>
            <w:vAlign w:val="bottom"/>
            <w:gridSpan w:val="2"/>
            <w:shd w:val="clear" w:color="auto" w:fill="CFF0FC"/>
          </w:tcPr>
          <w:p>
            <w:pPr>
              <w:jc w:val="right"/>
              <w:ind w:right="260"/>
              <w:spacing w:after="0" w:line="183" w:lineRule="exact"/>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165.2</w:t>
            </w:r>
          </w:p>
        </w:tc>
        <w:tc>
          <w:tcPr>
            <w:tcW w:w="500" w:type="dxa"/>
            <w:vAlign w:val="bottom"/>
            <w:shd w:val="clear" w:color="auto" w:fill="CFF0FC"/>
          </w:tcPr>
          <w:p>
            <w:pPr>
              <w:jc w:val="right"/>
              <w:ind w:right="299"/>
              <w:spacing w:after="0" w:line="183" w:lineRule="exact"/>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156.2</w:t>
            </w:r>
          </w:p>
        </w:tc>
        <w:tc>
          <w:tcPr>
            <w:tcW w:w="0" w:type="dxa"/>
            <w:vAlign w:val="bottom"/>
          </w:tcPr>
          <w:p>
            <w:pPr>
              <w:spacing w:after="0"/>
              <w:rPr>
                <w:sz w:val="1"/>
                <w:szCs w:val="1"/>
                <w:color w:val="auto"/>
              </w:rPr>
            </w:pPr>
          </w:p>
        </w:tc>
      </w:tr>
      <w:tr>
        <w:trPr>
          <w:trHeight w:val="189"/>
        </w:trPr>
        <w:tc>
          <w:tcPr>
            <w:tcW w:w="6820" w:type="dxa"/>
            <w:vAlign w:val="bottom"/>
          </w:tcPr>
          <w:p>
            <w:pPr>
              <w:ind w:left="8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820" w:type="dxa"/>
            <w:vAlign w:val="bottom"/>
            <w:shd w:val="clear" w:color="auto" w:fill="CFF0FC"/>
          </w:tcPr>
          <w:p>
            <w:pPr>
              <w:ind w:left="220"/>
              <w:spacing w:after="0"/>
              <w:rPr>
                <w:sz w:val="20"/>
                <w:szCs w:val="20"/>
                <w:color w:val="auto"/>
              </w:rPr>
            </w:pPr>
            <w:r>
              <w:rPr>
                <w:rFonts w:ascii="Arial" w:cs="Arial" w:eastAsia="Arial" w:hAnsi="Arial"/>
                <w:sz w:val="16"/>
                <w:szCs w:val="16"/>
                <w:color w:val="auto"/>
              </w:rPr>
              <w:t>Depreciation and amortization</w:t>
            </w:r>
          </w:p>
        </w:tc>
        <w:tc>
          <w:tcPr>
            <w:tcW w:w="9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3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139.0</w:t>
            </w:r>
          </w:p>
        </w:tc>
        <w:tc>
          <w:tcPr>
            <w:tcW w:w="500" w:type="dxa"/>
            <w:vAlign w:val="bottom"/>
            <w:shd w:val="clear" w:color="auto" w:fill="CFF0FC"/>
          </w:tcPr>
          <w:p>
            <w:pPr>
              <w:spacing w:after="0"/>
              <w:rPr>
                <w:sz w:val="16"/>
                <w:szCs w:val="16"/>
                <w:color w:val="auto"/>
              </w:rPr>
            </w:pPr>
          </w:p>
        </w:tc>
        <w:tc>
          <w:tcPr>
            <w:tcW w:w="1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132.5</w:t>
            </w:r>
          </w:p>
        </w:tc>
        <w:tc>
          <w:tcPr>
            <w:tcW w:w="0" w:type="dxa"/>
            <w:vAlign w:val="bottom"/>
          </w:tcPr>
          <w:p>
            <w:pPr>
              <w:spacing w:after="0"/>
              <w:rPr>
                <w:sz w:val="1"/>
                <w:szCs w:val="1"/>
                <w:color w:val="auto"/>
              </w:rPr>
            </w:pPr>
          </w:p>
        </w:tc>
      </w:tr>
      <w:tr>
        <w:trPr>
          <w:trHeight w:val="189"/>
        </w:trPr>
        <w:tc>
          <w:tcPr>
            <w:tcW w:w="6820" w:type="dxa"/>
            <w:vAlign w:val="bottom"/>
          </w:tcPr>
          <w:p>
            <w:pPr>
              <w:ind w:left="220"/>
              <w:spacing w:after="0"/>
              <w:rPr>
                <w:sz w:val="20"/>
                <w:szCs w:val="20"/>
                <w:color w:val="auto"/>
              </w:rPr>
            </w:pPr>
            <w:r>
              <w:rPr>
                <w:rFonts w:ascii="Arial" w:cs="Arial" w:eastAsia="Arial" w:hAnsi="Arial"/>
                <w:sz w:val="16"/>
                <w:szCs w:val="16"/>
                <w:color w:val="auto"/>
              </w:rPr>
              <w:t>Deferred financing cost amortization</w:t>
            </w: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4.3</w:t>
            </w:r>
          </w:p>
        </w:tc>
        <w:tc>
          <w:tcPr>
            <w:tcW w:w="500" w:type="dxa"/>
            <w:vAlign w:val="bottom"/>
          </w:tcPr>
          <w:p>
            <w:pPr>
              <w:spacing w:after="0"/>
              <w:rPr>
                <w:sz w:val="16"/>
                <w:szCs w:val="16"/>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189"/>
        </w:trPr>
        <w:tc>
          <w:tcPr>
            <w:tcW w:w="6820" w:type="dxa"/>
            <w:vAlign w:val="bottom"/>
            <w:shd w:val="clear" w:color="auto" w:fill="CFF0FC"/>
          </w:tcPr>
          <w:p>
            <w:pPr>
              <w:ind w:left="220"/>
              <w:spacing w:after="0"/>
              <w:rPr>
                <w:sz w:val="20"/>
                <w:szCs w:val="20"/>
                <w:color w:val="auto"/>
              </w:rPr>
            </w:pPr>
            <w:r>
              <w:rPr>
                <w:rFonts w:ascii="Arial" w:cs="Arial" w:eastAsia="Arial" w:hAnsi="Arial"/>
                <w:sz w:val="16"/>
                <w:szCs w:val="16"/>
                <w:color w:val="auto"/>
              </w:rPr>
              <w:t>Stock compensation</w:t>
            </w:r>
          </w:p>
        </w:tc>
        <w:tc>
          <w:tcPr>
            <w:tcW w:w="9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3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5.7</w:t>
            </w:r>
          </w:p>
        </w:tc>
        <w:tc>
          <w:tcPr>
            <w:tcW w:w="500" w:type="dxa"/>
            <w:vAlign w:val="bottom"/>
            <w:shd w:val="clear" w:color="auto" w:fill="CFF0FC"/>
          </w:tcPr>
          <w:p>
            <w:pPr>
              <w:spacing w:after="0"/>
              <w:rPr>
                <w:sz w:val="16"/>
                <w:szCs w:val="16"/>
                <w:color w:val="auto"/>
              </w:rPr>
            </w:pPr>
          </w:p>
        </w:tc>
        <w:tc>
          <w:tcPr>
            <w:tcW w:w="1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189"/>
        </w:trPr>
        <w:tc>
          <w:tcPr>
            <w:tcW w:w="6820" w:type="dxa"/>
            <w:vAlign w:val="bottom"/>
          </w:tcPr>
          <w:p>
            <w:pPr>
              <w:ind w:left="220"/>
              <w:spacing w:after="0"/>
              <w:rPr>
                <w:sz w:val="20"/>
                <w:szCs w:val="20"/>
                <w:color w:val="auto"/>
              </w:rPr>
            </w:pPr>
            <w:r>
              <w:rPr>
                <w:rFonts w:ascii="Arial" w:cs="Arial" w:eastAsia="Arial" w:hAnsi="Arial"/>
                <w:sz w:val="16"/>
                <w:szCs w:val="16"/>
                <w:color w:val="auto"/>
              </w:rPr>
              <w:t>Deferred income taxes</w:t>
            </w: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37.5</w:t>
            </w:r>
          </w:p>
        </w:tc>
        <w:tc>
          <w:tcPr>
            <w:tcW w:w="500" w:type="dxa"/>
            <w:vAlign w:val="bottom"/>
          </w:tcPr>
          <w:p>
            <w:pPr>
              <w:spacing w:after="0"/>
              <w:rPr>
                <w:sz w:val="16"/>
                <w:szCs w:val="16"/>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36.6</w:t>
            </w:r>
          </w:p>
        </w:tc>
        <w:tc>
          <w:tcPr>
            <w:tcW w:w="0" w:type="dxa"/>
            <w:vAlign w:val="bottom"/>
          </w:tcPr>
          <w:p>
            <w:pPr>
              <w:spacing w:after="0"/>
              <w:rPr>
                <w:sz w:val="1"/>
                <w:szCs w:val="1"/>
                <w:color w:val="auto"/>
              </w:rPr>
            </w:pPr>
          </w:p>
        </w:tc>
      </w:tr>
      <w:tr>
        <w:trPr>
          <w:trHeight w:val="189"/>
        </w:trPr>
        <w:tc>
          <w:tcPr>
            <w:tcW w:w="6820" w:type="dxa"/>
            <w:vAlign w:val="bottom"/>
            <w:shd w:val="clear" w:color="auto" w:fill="CFF0FC"/>
          </w:tcPr>
          <w:p>
            <w:pPr>
              <w:ind w:left="220"/>
              <w:spacing w:after="0"/>
              <w:rPr>
                <w:sz w:val="20"/>
                <w:szCs w:val="20"/>
                <w:color w:val="auto"/>
              </w:rPr>
            </w:pPr>
            <w:r>
              <w:rPr>
                <w:rFonts w:ascii="Arial" w:cs="Arial" w:eastAsia="Arial" w:hAnsi="Arial"/>
                <w:sz w:val="16"/>
                <w:szCs w:val="16"/>
                <w:color w:val="auto"/>
              </w:rPr>
              <w:t>Employee benefit plans</w:t>
            </w:r>
          </w:p>
        </w:tc>
        <w:tc>
          <w:tcPr>
            <w:tcW w:w="9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3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5.6</w:t>
            </w:r>
          </w:p>
        </w:tc>
        <w:tc>
          <w:tcPr>
            <w:tcW w:w="500" w:type="dxa"/>
            <w:vAlign w:val="bottom"/>
            <w:shd w:val="clear" w:color="auto" w:fill="CFF0FC"/>
          </w:tcPr>
          <w:p>
            <w:pPr>
              <w:spacing w:after="0"/>
              <w:rPr>
                <w:sz w:val="16"/>
                <w:szCs w:val="16"/>
                <w:color w:val="auto"/>
              </w:rPr>
            </w:pPr>
          </w:p>
        </w:tc>
        <w:tc>
          <w:tcPr>
            <w:tcW w:w="1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189"/>
        </w:trPr>
        <w:tc>
          <w:tcPr>
            <w:tcW w:w="6820" w:type="dxa"/>
            <w:vAlign w:val="bottom"/>
          </w:tcPr>
          <w:p>
            <w:pPr>
              <w:ind w:left="220"/>
              <w:spacing w:after="0"/>
              <w:rPr>
                <w:sz w:val="20"/>
                <w:szCs w:val="20"/>
                <w:color w:val="auto"/>
              </w:rPr>
            </w:pPr>
            <w:r>
              <w:rPr>
                <w:rFonts w:ascii="Arial" w:cs="Arial" w:eastAsia="Arial" w:hAnsi="Arial"/>
                <w:sz w:val="16"/>
                <w:szCs w:val="16"/>
                <w:color w:val="auto"/>
              </w:rPr>
              <w:t>Other adjustments, net</w:t>
            </w: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2.9</w:t>
            </w:r>
          </w:p>
        </w:tc>
        <w:tc>
          <w:tcPr>
            <w:tcW w:w="5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189"/>
        </w:trPr>
        <w:tc>
          <w:tcPr>
            <w:tcW w:w="6820" w:type="dxa"/>
            <w:vAlign w:val="bottom"/>
            <w:shd w:val="clear" w:color="auto" w:fill="CFF0FC"/>
          </w:tcPr>
          <w:p>
            <w:pPr>
              <w:ind w:left="80"/>
              <w:spacing w:after="0"/>
              <w:rPr>
                <w:sz w:val="20"/>
                <w:szCs w:val="20"/>
                <w:color w:val="auto"/>
              </w:rPr>
            </w:pPr>
            <w:r>
              <w:rPr>
                <w:rFonts w:ascii="Arial" w:cs="Arial" w:eastAsia="Arial" w:hAnsi="Arial"/>
                <w:sz w:val="16"/>
                <w:szCs w:val="16"/>
                <w:color w:val="auto"/>
              </w:rPr>
              <w:t>Changes in certain operating assets and liabilities:</w:t>
            </w:r>
          </w:p>
        </w:tc>
        <w:tc>
          <w:tcPr>
            <w:tcW w:w="9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820" w:type="dxa"/>
            <w:vAlign w:val="bottom"/>
          </w:tcPr>
          <w:p>
            <w:pPr>
              <w:ind w:left="220"/>
              <w:spacing w:after="0"/>
              <w:rPr>
                <w:sz w:val="20"/>
                <w:szCs w:val="20"/>
                <w:color w:val="auto"/>
              </w:rPr>
            </w:pPr>
            <w:r>
              <w:rPr>
                <w:rFonts w:ascii="Arial" w:cs="Arial" w:eastAsia="Arial" w:hAnsi="Arial"/>
                <w:sz w:val="16"/>
                <w:szCs w:val="16"/>
                <w:color w:val="auto"/>
              </w:rPr>
              <w:t>Materials, supplies and fuel</w:t>
            </w: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8.4</w:t>
            </w:r>
          </w:p>
        </w:tc>
        <w:tc>
          <w:tcPr>
            <w:tcW w:w="500" w:type="dxa"/>
            <w:vAlign w:val="bottom"/>
          </w:tcPr>
          <w:p>
            <w:pPr>
              <w:spacing w:after="0"/>
              <w:rPr>
                <w:sz w:val="16"/>
                <w:szCs w:val="16"/>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29.0</w:t>
            </w:r>
          </w:p>
        </w:tc>
        <w:tc>
          <w:tcPr>
            <w:tcW w:w="0" w:type="dxa"/>
            <w:vAlign w:val="bottom"/>
          </w:tcPr>
          <w:p>
            <w:pPr>
              <w:spacing w:after="0"/>
              <w:rPr>
                <w:sz w:val="1"/>
                <w:szCs w:val="1"/>
                <w:color w:val="auto"/>
              </w:rPr>
            </w:pPr>
          </w:p>
        </w:tc>
      </w:tr>
      <w:tr>
        <w:trPr>
          <w:trHeight w:val="189"/>
        </w:trPr>
        <w:tc>
          <w:tcPr>
            <w:tcW w:w="6820" w:type="dxa"/>
            <w:vAlign w:val="bottom"/>
            <w:shd w:val="clear" w:color="auto" w:fill="CFF0FC"/>
          </w:tcPr>
          <w:p>
            <w:pPr>
              <w:ind w:left="220"/>
              <w:spacing w:after="0"/>
              <w:rPr>
                <w:sz w:val="20"/>
                <w:szCs w:val="20"/>
                <w:color w:val="auto"/>
              </w:rPr>
            </w:pPr>
            <w:r>
              <w:rPr>
                <w:rFonts w:ascii="Arial" w:cs="Arial" w:eastAsia="Arial" w:hAnsi="Arial"/>
                <w:sz w:val="16"/>
                <w:szCs w:val="16"/>
                <w:color w:val="auto"/>
              </w:rPr>
              <w:t>Accounts receivable and other current assets</w:t>
            </w:r>
          </w:p>
        </w:tc>
        <w:tc>
          <w:tcPr>
            <w:tcW w:w="9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3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84.8</w:t>
            </w:r>
          </w:p>
        </w:tc>
        <w:tc>
          <w:tcPr>
            <w:tcW w:w="500" w:type="dxa"/>
            <w:vAlign w:val="bottom"/>
            <w:shd w:val="clear" w:color="auto" w:fill="CFF0FC"/>
          </w:tcPr>
          <w:p>
            <w:pPr>
              <w:spacing w:after="0"/>
              <w:rPr>
                <w:sz w:val="16"/>
                <w:szCs w:val="16"/>
                <w:color w:val="auto"/>
              </w:rPr>
            </w:pPr>
          </w:p>
        </w:tc>
        <w:tc>
          <w:tcPr>
            <w:tcW w:w="1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117.1</w:t>
            </w:r>
          </w:p>
        </w:tc>
        <w:tc>
          <w:tcPr>
            <w:tcW w:w="0" w:type="dxa"/>
            <w:vAlign w:val="bottom"/>
          </w:tcPr>
          <w:p>
            <w:pPr>
              <w:spacing w:after="0"/>
              <w:rPr>
                <w:sz w:val="1"/>
                <w:szCs w:val="1"/>
                <w:color w:val="auto"/>
              </w:rPr>
            </w:pPr>
          </w:p>
        </w:tc>
      </w:tr>
      <w:tr>
        <w:trPr>
          <w:trHeight w:val="189"/>
        </w:trPr>
        <w:tc>
          <w:tcPr>
            <w:tcW w:w="6820" w:type="dxa"/>
            <w:vAlign w:val="bottom"/>
          </w:tcPr>
          <w:p>
            <w:pPr>
              <w:ind w:left="220"/>
              <w:spacing w:after="0"/>
              <w:rPr>
                <w:sz w:val="20"/>
                <w:szCs w:val="20"/>
                <w:color w:val="auto"/>
              </w:rPr>
            </w:pPr>
            <w:r>
              <w:rPr>
                <w:rFonts w:ascii="Arial" w:cs="Arial" w:eastAsia="Arial" w:hAnsi="Arial"/>
                <w:sz w:val="16"/>
                <w:szCs w:val="16"/>
                <w:color w:val="auto"/>
              </w:rPr>
              <w:t>Accounts payable and other current liabilities</w:t>
            </w: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(93.3)</w:t>
            </w:r>
          </w:p>
        </w:tc>
        <w:tc>
          <w:tcPr>
            <w:tcW w:w="5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(77.4)</w:t>
            </w:r>
          </w:p>
        </w:tc>
        <w:tc>
          <w:tcPr>
            <w:tcW w:w="0" w:type="dxa"/>
            <w:vAlign w:val="bottom"/>
          </w:tcPr>
          <w:p>
            <w:pPr>
              <w:spacing w:after="0"/>
              <w:rPr>
                <w:sz w:val="1"/>
                <w:szCs w:val="1"/>
                <w:color w:val="auto"/>
              </w:rPr>
            </w:pPr>
          </w:p>
        </w:tc>
      </w:tr>
      <w:tr>
        <w:trPr>
          <w:trHeight w:val="189"/>
        </w:trPr>
        <w:tc>
          <w:tcPr>
            <w:tcW w:w="6820" w:type="dxa"/>
            <w:vAlign w:val="bottom"/>
            <w:shd w:val="clear" w:color="auto" w:fill="CFF0FC"/>
          </w:tcPr>
          <w:p>
            <w:pPr>
              <w:ind w:left="220"/>
              <w:spacing w:after="0"/>
              <w:rPr>
                <w:sz w:val="20"/>
                <w:szCs w:val="20"/>
                <w:color w:val="auto"/>
              </w:rPr>
            </w:pPr>
            <w:r>
              <w:rPr>
                <w:rFonts w:ascii="Arial" w:cs="Arial" w:eastAsia="Arial" w:hAnsi="Arial"/>
                <w:sz w:val="16"/>
                <w:szCs w:val="16"/>
                <w:color w:val="auto"/>
              </w:rPr>
              <w:t>Regulatory assets</w:t>
            </w:r>
          </w:p>
        </w:tc>
        <w:tc>
          <w:tcPr>
            <w:tcW w:w="9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3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57.9</w:t>
            </w:r>
          </w:p>
        </w:tc>
        <w:tc>
          <w:tcPr>
            <w:tcW w:w="500" w:type="dxa"/>
            <w:vAlign w:val="bottom"/>
            <w:shd w:val="clear" w:color="auto" w:fill="CFF0FC"/>
          </w:tcPr>
          <w:p>
            <w:pPr>
              <w:spacing w:after="0"/>
              <w:rPr>
                <w:sz w:val="16"/>
                <w:szCs w:val="16"/>
                <w:color w:val="auto"/>
              </w:rPr>
            </w:pPr>
          </w:p>
        </w:tc>
        <w:tc>
          <w:tcPr>
            <w:tcW w:w="1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69.8</w:t>
            </w:r>
          </w:p>
        </w:tc>
        <w:tc>
          <w:tcPr>
            <w:tcW w:w="0" w:type="dxa"/>
            <w:vAlign w:val="bottom"/>
          </w:tcPr>
          <w:p>
            <w:pPr>
              <w:spacing w:after="0"/>
              <w:rPr>
                <w:sz w:val="1"/>
                <w:szCs w:val="1"/>
                <w:color w:val="auto"/>
              </w:rPr>
            </w:pPr>
          </w:p>
        </w:tc>
      </w:tr>
      <w:tr>
        <w:trPr>
          <w:trHeight w:val="189"/>
        </w:trPr>
        <w:tc>
          <w:tcPr>
            <w:tcW w:w="6820" w:type="dxa"/>
            <w:vAlign w:val="bottom"/>
          </w:tcPr>
          <w:p>
            <w:pPr>
              <w:ind w:left="80"/>
              <w:spacing w:after="0"/>
              <w:rPr>
                <w:sz w:val="20"/>
                <w:szCs w:val="20"/>
                <w:color w:val="auto"/>
              </w:rPr>
            </w:pPr>
            <w:r>
              <w:rPr>
                <w:rFonts w:ascii="Arial" w:cs="Arial" w:eastAsia="Arial" w:hAnsi="Arial"/>
                <w:sz w:val="16"/>
                <w:szCs w:val="16"/>
                <w:color w:val="auto"/>
              </w:rPr>
              <w:t>Other operating activities, net</w:t>
            </w:r>
          </w:p>
        </w:tc>
        <w:tc>
          <w:tcPr>
            <w:tcW w:w="9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5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183"/>
        </w:trPr>
        <w:tc>
          <w:tcPr>
            <w:tcW w:w="682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6"/>
                <w:szCs w:val="16"/>
                <w:color w:val="auto"/>
              </w:rPr>
              <w:t>Net cash provided by operating activities</w:t>
            </w:r>
          </w:p>
        </w:tc>
        <w:tc>
          <w:tcPr>
            <w:tcW w:w="98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spacing w:after="0"/>
              <w:rPr>
                <w:sz w:val="15"/>
                <w:szCs w:val="15"/>
                <w:color w:val="auto"/>
              </w:rPr>
            </w:pPr>
          </w:p>
        </w:tc>
        <w:tc>
          <w:tcPr>
            <w:tcW w:w="1360" w:type="dxa"/>
            <w:vAlign w:val="bottom"/>
            <w:tcBorders>
              <w:bottom w:val="single" w:sz="8" w:color="auto"/>
            </w:tcBorders>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416.4</w:t>
            </w:r>
          </w:p>
        </w:tc>
        <w:tc>
          <w:tcPr>
            <w:tcW w:w="500" w:type="dxa"/>
            <w:vAlign w:val="bottom"/>
            <w:tcBorders>
              <w:bottom w:val="single" w:sz="8" w:color="auto"/>
            </w:tcBorders>
            <w:shd w:val="clear" w:color="auto" w:fill="CFF0FC"/>
          </w:tcPr>
          <w:p>
            <w:pPr>
              <w:spacing w:after="0"/>
              <w:rPr>
                <w:sz w:val="15"/>
                <w:szCs w:val="15"/>
                <w:color w:val="auto"/>
              </w:rPr>
            </w:pPr>
          </w:p>
        </w:tc>
        <w:tc>
          <w:tcPr>
            <w:tcW w:w="124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464.0</w:t>
            </w:r>
          </w:p>
        </w:tc>
        <w:tc>
          <w:tcPr>
            <w:tcW w:w="0" w:type="dxa"/>
            <w:vAlign w:val="bottom"/>
          </w:tcPr>
          <w:p>
            <w:pPr>
              <w:spacing w:after="0"/>
              <w:rPr>
                <w:sz w:val="1"/>
                <w:szCs w:val="1"/>
                <w:color w:val="auto"/>
              </w:rPr>
            </w:pPr>
          </w:p>
        </w:tc>
      </w:tr>
      <w:tr>
        <w:trPr>
          <w:trHeight w:val="183"/>
        </w:trPr>
        <w:tc>
          <w:tcPr>
            <w:tcW w:w="68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820" w:type="dxa"/>
            <w:vAlign w:val="bottom"/>
            <w:shd w:val="clear" w:color="auto" w:fill="CFF0FC"/>
          </w:tcPr>
          <w:p>
            <w:pPr>
              <w:spacing w:after="0"/>
              <w:rPr>
                <w:sz w:val="20"/>
                <w:szCs w:val="20"/>
                <w:color w:val="auto"/>
              </w:rPr>
            </w:pPr>
            <w:r>
              <w:rPr>
                <w:rFonts w:ascii="Arial" w:cs="Arial" w:eastAsia="Arial" w:hAnsi="Arial"/>
                <w:sz w:val="16"/>
                <w:szCs w:val="16"/>
                <w:color w:val="auto"/>
              </w:rPr>
              <w:t>Investing activities:</w:t>
            </w:r>
          </w:p>
        </w:tc>
        <w:tc>
          <w:tcPr>
            <w:tcW w:w="9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820" w:type="dxa"/>
            <w:vAlign w:val="bottom"/>
          </w:tcPr>
          <w:p>
            <w:pPr>
              <w:ind w:left="80"/>
              <w:spacing w:after="0"/>
              <w:rPr>
                <w:sz w:val="20"/>
                <w:szCs w:val="20"/>
                <w:color w:val="auto"/>
              </w:rPr>
            </w:pPr>
            <w:r>
              <w:rPr>
                <w:rFonts w:ascii="Arial" w:cs="Arial" w:eastAsia="Arial" w:hAnsi="Arial"/>
                <w:sz w:val="16"/>
                <w:szCs w:val="16"/>
                <w:color w:val="auto"/>
              </w:rPr>
              <w:t>Property, plant and equipment additions</w:t>
            </w: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(371.8)</w:t>
            </w:r>
          </w:p>
        </w:tc>
        <w:tc>
          <w:tcPr>
            <w:tcW w:w="5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(342.4)</w:t>
            </w:r>
          </w:p>
        </w:tc>
        <w:tc>
          <w:tcPr>
            <w:tcW w:w="0" w:type="dxa"/>
            <w:vAlign w:val="bottom"/>
          </w:tcPr>
          <w:p>
            <w:pPr>
              <w:spacing w:after="0"/>
              <w:rPr>
                <w:sz w:val="1"/>
                <w:szCs w:val="1"/>
                <w:color w:val="auto"/>
              </w:rPr>
            </w:pPr>
          </w:p>
        </w:tc>
      </w:tr>
      <w:tr>
        <w:trPr>
          <w:trHeight w:val="189"/>
        </w:trPr>
        <w:tc>
          <w:tcPr>
            <w:tcW w:w="682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6"/>
                <w:szCs w:val="16"/>
                <w:color w:val="auto"/>
              </w:rPr>
              <w:t>Other investing activities</w:t>
            </w:r>
          </w:p>
        </w:tc>
        <w:tc>
          <w:tcPr>
            <w:tcW w:w="980" w:type="dxa"/>
            <w:vAlign w:val="bottom"/>
            <w:tcBorders>
              <w:bottom w:val="single" w:sz="8" w:color="CFF0FC"/>
            </w:tcBorders>
            <w:shd w:val="clear" w:color="auto" w:fill="CFF0FC"/>
          </w:tcPr>
          <w:p>
            <w:pPr>
              <w:spacing w:after="0"/>
              <w:rPr>
                <w:sz w:val="16"/>
                <w:szCs w:val="16"/>
                <w:color w:val="auto"/>
              </w:rPr>
            </w:pPr>
          </w:p>
        </w:tc>
        <w:tc>
          <w:tcPr>
            <w:tcW w:w="340" w:type="dxa"/>
            <w:vAlign w:val="bottom"/>
            <w:tcBorders>
              <w:bottom w:val="single" w:sz="8" w:color="auto"/>
            </w:tcBorders>
            <w:shd w:val="clear" w:color="auto" w:fill="CFF0FC"/>
          </w:tcPr>
          <w:p>
            <w:pPr>
              <w:spacing w:after="0"/>
              <w:rPr>
                <w:sz w:val="16"/>
                <w:szCs w:val="16"/>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(4.4)</w:t>
            </w:r>
          </w:p>
        </w:tc>
        <w:tc>
          <w:tcPr>
            <w:tcW w:w="500" w:type="dxa"/>
            <w:vAlign w:val="bottom"/>
            <w:tcBorders>
              <w:bottom w:val="single" w:sz="8" w:color="auto"/>
            </w:tcBorders>
            <w:shd w:val="clear" w:color="auto" w:fill="CFF0FC"/>
          </w:tcPr>
          <w:p>
            <w:pPr>
              <w:spacing w:after="0"/>
              <w:rPr>
                <w:sz w:val="16"/>
                <w:szCs w:val="16"/>
                <w:color w:val="auto"/>
              </w:rPr>
            </w:pPr>
          </w:p>
        </w:tc>
        <w:tc>
          <w:tcPr>
            <w:tcW w:w="12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183"/>
        </w:trPr>
        <w:tc>
          <w:tcPr>
            <w:tcW w:w="6820" w:type="dxa"/>
            <w:vAlign w:val="bottom"/>
          </w:tcPr>
          <w:p>
            <w:pPr>
              <w:spacing w:after="0" w:line="183" w:lineRule="exact"/>
              <w:rPr>
                <w:sz w:val="20"/>
                <w:szCs w:val="20"/>
                <w:color w:val="auto"/>
              </w:rPr>
            </w:pPr>
            <w:r>
              <w:rPr>
                <w:rFonts w:ascii="Arial" w:cs="Arial" w:eastAsia="Arial" w:hAnsi="Arial"/>
                <w:sz w:val="16"/>
                <w:szCs w:val="16"/>
                <w:color w:val="auto"/>
              </w:rPr>
              <w:t>Net cash (used in) investing activities</w:t>
            </w:r>
          </w:p>
        </w:tc>
        <w:tc>
          <w:tcPr>
            <w:tcW w:w="9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(376.2)</w:t>
            </w:r>
          </w:p>
        </w:tc>
        <w:tc>
          <w:tcPr>
            <w:tcW w:w="5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(340.7)</w:t>
            </w:r>
          </w:p>
        </w:tc>
        <w:tc>
          <w:tcPr>
            <w:tcW w:w="0" w:type="dxa"/>
            <w:vAlign w:val="bottom"/>
          </w:tcPr>
          <w:p>
            <w:pPr>
              <w:spacing w:after="0"/>
              <w:rPr>
                <w:sz w:val="1"/>
                <w:szCs w:val="1"/>
                <w:color w:val="auto"/>
              </w:rPr>
            </w:pPr>
          </w:p>
        </w:tc>
      </w:tr>
      <w:tr>
        <w:trPr>
          <w:trHeight w:val="183"/>
        </w:trPr>
        <w:tc>
          <w:tcPr>
            <w:tcW w:w="68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820" w:type="dxa"/>
            <w:vAlign w:val="bottom"/>
          </w:tcPr>
          <w:p>
            <w:pPr>
              <w:spacing w:after="0"/>
              <w:rPr>
                <w:sz w:val="20"/>
                <w:szCs w:val="20"/>
                <w:color w:val="auto"/>
              </w:rPr>
            </w:pPr>
            <w:r>
              <w:rPr>
                <w:rFonts w:ascii="Arial" w:cs="Arial" w:eastAsia="Arial" w:hAnsi="Arial"/>
                <w:sz w:val="16"/>
                <w:szCs w:val="16"/>
                <w:color w:val="auto"/>
              </w:rPr>
              <w:t>Financing activities:</w:t>
            </w: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820" w:type="dxa"/>
            <w:vAlign w:val="bottom"/>
            <w:shd w:val="clear" w:color="auto" w:fill="CFF0FC"/>
          </w:tcPr>
          <w:p>
            <w:pPr>
              <w:ind w:left="80"/>
              <w:spacing w:after="0"/>
              <w:rPr>
                <w:sz w:val="20"/>
                <w:szCs w:val="20"/>
                <w:color w:val="auto"/>
              </w:rPr>
            </w:pPr>
            <w:r>
              <w:rPr>
                <w:rFonts w:ascii="Arial" w:cs="Arial" w:eastAsia="Arial" w:hAnsi="Arial"/>
                <w:sz w:val="16"/>
                <w:szCs w:val="16"/>
                <w:color w:val="auto"/>
              </w:rPr>
              <w:t>Dividends paid on common stock</w:t>
            </w:r>
          </w:p>
        </w:tc>
        <w:tc>
          <w:tcPr>
            <w:tcW w:w="9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(97.6)</w:t>
            </w:r>
          </w:p>
        </w:tc>
        <w:tc>
          <w:tcPr>
            <w:tcW w:w="50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(89.3)</w:t>
            </w:r>
          </w:p>
        </w:tc>
        <w:tc>
          <w:tcPr>
            <w:tcW w:w="0" w:type="dxa"/>
            <w:vAlign w:val="bottom"/>
          </w:tcPr>
          <w:p>
            <w:pPr>
              <w:spacing w:after="0"/>
              <w:rPr>
                <w:sz w:val="1"/>
                <w:szCs w:val="1"/>
                <w:color w:val="auto"/>
              </w:rPr>
            </w:pPr>
          </w:p>
        </w:tc>
      </w:tr>
      <w:tr>
        <w:trPr>
          <w:trHeight w:val="189"/>
        </w:trPr>
        <w:tc>
          <w:tcPr>
            <w:tcW w:w="6820" w:type="dxa"/>
            <w:vAlign w:val="bottom"/>
          </w:tcPr>
          <w:p>
            <w:pPr>
              <w:ind w:left="80"/>
              <w:spacing w:after="0"/>
              <w:rPr>
                <w:sz w:val="20"/>
                <w:szCs w:val="20"/>
                <w:color w:val="auto"/>
              </w:rPr>
            </w:pPr>
            <w:r>
              <w:rPr>
                <w:rFonts w:ascii="Arial" w:cs="Arial" w:eastAsia="Arial" w:hAnsi="Arial"/>
                <w:sz w:val="16"/>
                <w:szCs w:val="16"/>
                <w:color w:val="auto"/>
              </w:rPr>
              <w:t>Common stock issued</w:t>
            </w: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65.0</w:t>
            </w:r>
          </w:p>
        </w:tc>
        <w:tc>
          <w:tcPr>
            <w:tcW w:w="500" w:type="dxa"/>
            <w:vAlign w:val="bottom"/>
          </w:tcPr>
          <w:p>
            <w:pPr>
              <w:spacing w:after="0"/>
              <w:rPr>
                <w:sz w:val="16"/>
                <w:szCs w:val="16"/>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73.0</w:t>
            </w:r>
          </w:p>
        </w:tc>
        <w:tc>
          <w:tcPr>
            <w:tcW w:w="0" w:type="dxa"/>
            <w:vAlign w:val="bottom"/>
          </w:tcPr>
          <w:p>
            <w:pPr>
              <w:spacing w:after="0"/>
              <w:rPr>
                <w:sz w:val="1"/>
                <w:szCs w:val="1"/>
                <w:color w:val="auto"/>
              </w:rPr>
            </w:pPr>
          </w:p>
        </w:tc>
      </w:tr>
      <w:tr>
        <w:trPr>
          <w:trHeight w:val="189"/>
        </w:trPr>
        <w:tc>
          <w:tcPr>
            <w:tcW w:w="6820" w:type="dxa"/>
            <w:vAlign w:val="bottom"/>
            <w:shd w:val="clear" w:color="auto" w:fill="CFF0FC"/>
          </w:tcPr>
          <w:p>
            <w:pPr>
              <w:ind w:left="80"/>
              <w:spacing w:after="0"/>
              <w:rPr>
                <w:sz w:val="20"/>
                <w:szCs w:val="20"/>
                <w:color w:val="auto"/>
              </w:rPr>
            </w:pPr>
            <w:r>
              <w:rPr>
                <w:rFonts w:ascii="Arial" w:cs="Arial" w:eastAsia="Arial" w:hAnsi="Arial"/>
                <w:sz w:val="16"/>
                <w:szCs w:val="16"/>
                <w:color w:val="auto"/>
              </w:rPr>
              <w:t>Net borrowings (payments) of Revolving Credit Facility and CP Program</w:t>
            </w:r>
          </w:p>
        </w:tc>
        <w:tc>
          <w:tcPr>
            <w:tcW w:w="9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w:t>
            </w:r>
          </w:p>
        </w:tc>
        <w:tc>
          <w:tcPr>
            <w:tcW w:w="500" w:type="dxa"/>
            <w:vAlign w:val="bottom"/>
            <w:shd w:val="clear" w:color="auto" w:fill="CFF0FC"/>
          </w:tcPr>
          <w:p>
            <w:pPr>
              <w:spacing w:after="0"/>
              <w:rPr>
                <w:sz w:val="16"/>
                <w:szCs w:val="16"/>
                <w:color w:val="auto"/>
              </w:rPr>
            </w:pPr>
          </w:p>
        </w:tc>
        <w:tc>
          <w:tcPr>
            <w:tcW w:w="1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6820" w:type="dxa"/>
            <w:vAlign w:val="bottom"/>
          </w:tcPr>
          <w:p>
            <w:pPr>
              <w:ind w:left="80"/>
              <w:spacing w:after="0"/>
              <w:rPr>
                <w:sz w:val="20"/>
                <w:szCs w:val="20"/>
                <w:color w:val="auto"/>
              </w:rPr>
            </w:pPr>
            <w:r>
              <w:rPr>
                <w:rFonts w:ascii="Arial" w:cs="Arial" w:eastAsia="Arial" w:hAnsi="Arial"/>
                <w:sz w:val="16"/>
                <w:szCs w:val="16"/>
                <w:color w:val="auto"/>
              </w:rPr>
              <w:t>Long-term debt - issuance</w:t>
            </w: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6"/>
                <w:szCs w:val="16"/>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450.0</w:t>
            </w:r>
          </w:p>
        </w:tc>
        <w:tc>
          <w:tcPr>
            <w:tcW w:w="0" w:type="dxa"/>
            <w:vAlign w:val="bottom"/>
          </w:tcPr>
          <w:p>
            <w:pPr>
              <w:spacing w:after="0"/>
              <w:rPr>
                <w:sz w:val="1"/>
                <w:szCs w:val="1"/>
                <w:color w:val="auto"/>
              </w:rPr>
            </w:pPr>
          </w:p>
        </w:tc>
      </w:tr>
      <w:tr>
        <w:trPr>
          <w:trHeight w:val="189"/>
        </w:trPr>
        <w:tc>
          <w:tcPr>
            <w:tcW w:w="6820" w:type="dxa"/>
            <w:vAlign w:val="bottom"/>
            <w:shd w:val="clear" w:color="auto" w:fill="CFF0FC"/>
          </w:tcPr>
          <w:p>
            <w:pPr>
              <w:ind w:left="80"/>
              <w:spacing w:after="0"/>
              <w:rPr>
                <w:sz w:val="20"/>
                <w:szCs w:val="20"/>
                <w:color w:val="auto"/>
              </w:rPr>
            </w:pPr>
            <w:r>
              <w:rPr>
                <w:rFonts w:ascii="Arial" w:cs="Arial" w:eastAsia="Arial" w:hAnsi="Arial"/>
                <w:sz w:val="16"/>
                <w:szCs w:val="16"/>
                <w:color w:val="auto"/>
              </w:rPr>
              <w:t>Distributions to non-controlling interests</w:t>
            </w:r>
          </w:p>
        </w:tc>
        <w:tc>
          <w:tcPr>
            <w:tcW w:w="9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w:t>
            </w:r>
          </w:p>
        </w:tc>
        <w:tc>
          <w:tcPr>
            <w:tcW w:w="50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89"/>
        </w:trPr>
        <w:tc>
          <w:tcPr>
            <w:tcW w:w="6820" w:type="dxa"/>
            <w:vAlign w:val="bottom"/>
          </w:tcPr>
          <w:p>
            <w:pPr>
              <w:ind w:left="80"/>
              <w:spacing w:after="0"/>
              <w:rPr>
                <w:sz w:val="20"/>
                <w:szCs w:val="20"/>
                <w:color w:val="auto"/>
              </w:rPr>
            </w:pPr>
            <w:r>
              <w:rPr>
                <w:rFonts w:ascii="Arial" w:cs="Arial" w:eastAsia="Arial" w:hAnsi="Arial"/>
                <w:sz w:val="16"/>
                <w:szCs w:val="16"/>
                <w:color w:val="auto"/>
              </w:rPr>
              <w:t>Other financing activities</w:t>
            </w:r>
          </w:p>
        </w:tc>
        <w:tc>
          <w:tcPr>
            <w:tcW w:w="9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5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183"/>
        </w:trPr>
        <w:tc>
          <w:tcPr>
            <w:tcW w:w="682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6"/>
                <w:szCs w:val="16"/>
                <w:color w:val="auto"/>
              </w:rPr>
              <w:t>Net cash provided by (used in) financing activities</w:t>
            </w:r>
          </w:p>
        </w:tc>
        <w:tc>
          <w:tcPr>
            <w:tcW w:w="98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spacing w:after="0"/>
              <w:rPr>
                <w:sz w:val="15"/>
                <w:szCs w:val="15"/>
                <w:color w:val="auto"/>
              </w:rPr>
            </w:pPr>
          </w:p>
        </w:tc>
        <w:tc>
          <w:tcPr>
            <w:tcW w:w="13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(47.8)</w:t>
            </w:r>
          </w:p>
        </w:tc>
        <w:tc>
          <w:tcPr>
            <w:tcW w:w="500" w:type="dxa"/>
            <w:vAlign w:val="bottom"/>
            <w:tcBorders>
              <w:bottom w:val="single" w:sz="8" w:color="auto"/>
            </w:tcBorders>
            <w:shd w:val="clear" w:color="auto" w:fill="CFF0FC"/>
          </w:tcPr>
          <w:p>
            <w:pPr>
              <w:spacing w:after="0"/>
              <w:rPr>
                <w:sz w:val="15"/>
                <w:szCs w:val="15"/>
                <w:color w:val="auto"/>
              </w:rPr>
            </w:pPr>
          </w:p>
        </w:tc>
        <w:tc>
          <w:tcPr>
            <w:tcW w:w="124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415.4</w:t>
            </w:r>
          </w:p>
        </w:tc>
        <w:tc>
          <w:tcPr>
            <w:tcW w:w="0" w:type="dxa"/>
            <w:vAlign w:val="bottom"/>
          </w:tcPr>
          <w:p>
            <w:pPr>
              <w:spacing w:after="0"/>
              <w:rPr>
                <w:sz w:val="1"/>
                <w:szCs w:val="1"/>
                <w:color w:val="auto"/>
              </w:rPr>
            </w:pPr>
          </w:p>
        </w:tc>
      </w:tr>
      <w:tr>
        <w:trPr>
          <w:trHeight w:val="183"/>
        </w:trPr>
        <w:tc>
          <w:tcPr>
            <w:tcW w:w="68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820" w:type="dxa"/>
            <w:vAlign w:val="bottom"/>
            <w:shd w:val="clear" w:color="auto" w:fill="CFF0FC"/>
          </w:tcPr>
          <w:p>
            <w:pPr>
              <w:ind w:left="80"/>
              <w:spacing w:after="0"/>
              <w:rPr>
                <w:sz w:val="20"/>
                <w:szCs w:val="20"/>
                <w:color w:val="auto"/>
              </w:rPr>
            </w:pPr>
            <w:r>
              <w:rPr>
                <w:rFonts w:ascii="Arial" w:cs="Arial" w:eastAsia="Arial" w:hAnsi="Arial"/>
                <w:sz w:val="16"/>
                <w:szCs w:val="16"/>
                <w:color w:val="auto"/>
              </w:rPr>
              <w:t>Net change in cash, restricted cash and cash equivalents</w:t>
            </w:r>
          </w:p>
        </w:tc>
        <w:tc>
          <w:tcPr>
            <w:tcW w:w="9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w:t>
            </w:r>
          </w:p>
        </w:tc>
        <w:tc>
          <w:tcPr>
            <w:tcW w:w="500" w:type="dxa"/>
            <w:vAlign w:val="bottom"/>
            <w:shd w:val="clear" w:color="auto" w:fill="CFF0FC"/>
          </w:tcPr>
          <w:p>
            <w:pPr>
              <w:spacing w:after="0"/>
              <w:rPr>
                <w:sz w:val="16"/>
                <w:szCs w:val="16"/>
                <w:color w:val="auto"/>
              </w:rPr>
            </w:pPr>
          </w:p>
        </w:tc>
        <w:tc>
          <w:tcPr>
            <w:tcW w:w="1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538.7</w:t>
            </w:r>
          </w:p>
        </w:tc>
        <w:tc>
          <w:tcPr>
            <w:tcW w:w="0" w:type="dxa"/>
            <w:vAlign w:val="bottom"/>
          </w:tcPr>
          <w:p>
            <w:pPr>
              <w:spacing w:after="0"/>
              <w:rPr>
                <w:sz w:val="1"/>
                <w:szCs w:val="1"/>
                <w:color w:val="auto"/>
              </w:rPr>
            </w:pPr>
          </w:p>
        </w:tc>
      </w:tr>
      <w:tr>
        <w:trPr>
          <w:trHeight w:val="189"/>
        </w:trPr>
        <w:tc>
          <w:tcPr>
            <w:tcW w:w="68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Cash, restricted cash, and cash equivalents beginning of period</w:t>
            </w:r>
          </w:p>
        </w:tc>
        <w:tc>
          <w:tcPr>
            <w:tcW w:w="980" w:type="dxa"/>
            <w:vAlign w:val="bottom"/>
            <w:tcBorders>
              <w:bottom w:val="single" w:sz="8" w:color="CFF0FC"/>
            </w:tcBorders>
            <w:shd w:val="clear" w:color="auto" w:fill="CFF0FC"/>
          </w:tcPr>
          <w:p>
            <w:pPr>
              <w:spacing w:after="0"/>
              <w:rPr>
                <w:sz w:val="16"/>
                <w:szCs w:val="16"/>
                <w:color w:val="auto"/>
              </w:rPr>
            </w:pPr>
          </w:p>
        </w:tc>
        <w:tc>
          <w:tcPr>
            <w:tcW w:w="340" w:type="dxa"/>
            <w:vAlign w:val="bottom"/>
            <w:tcBorders>
              <w:bottom w:val="single" w:sz="8" w:color="auto"/>
            </w:tcBorders>
            <w:shd w:val="clear" w:color="auto" w:fill="CFF0FC"/>
          </w:tcPr>
          <w:p>
            <w:pPr>
              <w:spacing w:after="0"/>
              <w:rPr>
                <w:sz w:val="16"/>
                <w:szCs w:val="16"/>
                <w:color w:val="auto"/>
              </w:rPr>
            </w:pPr>
          </w:p>
        </w:tc>
        <w:tc>
          <w:tcPr>
            <w:tcW w:w="136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23.4</w:t>
            </w:r>
          </w:p>
        </w:tc>
        <w:tc>
          <w:tcPr>
            <w:tcW w:w="500" w:type="dxa"/>
            <w:vAlign w:val="bottom"/>
            <w:tcBorders>
              <w:bottom w:val="single" w:sz="8" w:color="auto"/>
            </w:tcBorders>
            <w:shd w:val="clear" w:color="auto" w:fill="CFF0FC"/>
          </w:tcPr>
          <w:p>
            <w:pPr>
              <w:spacing w:after="0"/>
              <w:rPr>
                <w:sz w:val="16"/>
                <w:szCs w:val="16"/>
                <w:color w:val="auto"/>
              </w:rPr>
            </w:pPr>
          </w:p>
        </w:tc>
        <w:tc>
          <w:tcPr>
            <w:tcW w:w="12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93.0</w:t>
            </w:r>
          </w:p>
        </w:tc>
        <w:tc>
          <w:tcPr>
            <w:tcW w:w="0" w:type="dxa"/>
            <w:vAlign w:val="bottom"/>
          </w:tcPr>
          <w:p>
            <w:pPr>
              <w:spacing w:after="0"/>
              <w:rPr>
                <w:sz w:val="1"/>
                <w:szCs w:val="1"/>
                <w:color w:val="auto"/>
              </w:rPr>
            </w:pPr>
          </w:p>
        </w:tc>
      </w:tr>
      <w:tr>
        <w:trPr>
          <w:trHeight w:val="183"/>
        </w:trPr>
        <w:tc>
          <w:tcPr>
            <w:tcW w:w="6820" w:type="dxa"/>
            <w:vAlign w:val="bottom"/>
          </w:tcPr>
          <w:p>
            <w:pPr>
              <w:spacing w:after="0" w:line="169" w:lineRule="exact"/>
              <w:rPr>
                <w:sz w:val="20"/>
                <w:szCs w:val="20"/>
                <w:color w:val="auto"/>
              </w:rPr>
            </w:pPr>
            <w:r>
              <w:rPr>
                <w:rFonts w:ascii="Arial" w:cs="Arial" w:eastAsia="Arial" w:hAnsi="Arial"/>
                <w:sz w:val="16"/>
                <w:szCs w:val="16"/>
                <w:color w:val="auto"/>
              </w:rPr>
              <w:t>Cash, restricted cash, and cash equivalents end of period</w:t>
            </w:r>
          </w:p>
        </w:tc>
        <w:tc>
          <w:tcPr>
            <w:tcW w:w="1320" w:type="dxa"/>
            <w:vAlign w:val="bottom"/>
            <w:gridSpan w:val="2"/>
          </w:tcPr>
          <w:p>
            <w:pPr>
              <w:jc w:val="right"/>
              <w:ind w:right="260"/>
              <w:spacing w:after="0" w:line="169" w:lineRule="exact"/>
              <w:rPr>
                <w:sz w:val="20"/>
                <w:szCs w:val="20"/>
                <w:color w:val="auto"/>
              </w:rPr>
            </w:pPr>
            <w:r>
              <w:rPr>
                <w:rFonts w:ascii="Arial" w:cs="Arial" w:eastAsia="Arial" w:hAnsi="Arial"/>
                <w:sz w:val="16"/>
                <w:szCs w:val="16"/>
                <w:color w:val="auto"/>
              </w:rPr>
              <w:t>$</w:t>
            </w:r>
          </w:p>
        </w:tc>
        <w:tc>
          <w:tcPr>
            <w:tcW w:w="1360" w:type="dxa"/>
            <w:vAlign w:val="bottom"/>
          </w:tcPr>
          <w:p>
            <w:pPr>
              <w:jc w:val="right"/>
              <w:ind w:right="19"/>
              <w:spacing w:after="0" w:line="169" w:lineRule="exact"/>
              <w:rPr>
                <w:sz w:val="20"/>
                <w:szCs w:val="20"/>
                <w:color w:val="auto"/>
              </w:rPr>
            </w:pPr>
            <w:r>
              <w:rPr>
                <w:rFonts w:ascii="Arial" w:cs="Arial" w:eastAsia="Arial" w:hAnsi="Arial"/>
                <w:sz w:val="16"/>
                <w:szCs w:val="16"/>
                <w:color w:val="auto"/>
              </w:rPr>
              <w:t>15.8</w:t>
            </w:r>
          </w:p>
        </w:tc>
        <w:tc>
          <w:tcPr>
            <w:tcW w:w="500" w:type="dxa"/>
            <w:vAlign w:val="bottom"/>
          </w:tcPr>
          <w:p>
            <w:pPr>
              <w:jc w:val="right"/>
              <w:ind w:right="299"/>
              <w:spacing w:after="0" w:line="169" w:lineRule="exact"/>
              <w:rPr>
                <w:sz w:val="20"/>
                <w:szCs w:val="20"/>
                <w:color w:val="auto"/>
              </w:rPr>
            </w:pPr>
            <w:r>
              <w:rPr>
                <w:rFonts w:ascii="Arial" w:cs="Arial" w:eastAsia="Arial" w:hAnsi="Arial"/>
                <w:sz w:val="16"/>
                <w:szCs w:val="16"/>
                <w:color w:val="auto"/>
              </w:rPr>
              <w:t>$</w:t>
            </w:r>
          </w:p>
        </w:tc>
        <w:tc>
          <w:tcPr>
            <w:tcW w:w="1240" w:type="dxa"/>
            <w:vAlign w:val="bottom"/>
          </w:tcPr>
          <w:p>
            <w:pPr>
              <w:jc w:val="right"/>
              <w:ind w:right="39"/>
              <w:spacing w:after="0" w:line="169" w:lineRule="exact"/>
              <w:rPr>
                <w:sz w:val="20"/>
                <w:szCs w:val="20"/>
                <w:color w:val="auto"/>
              </w:rPr>
            </w:pPr>
            <w:r>
              <w:rPr>
                <w:rFonts w:ascii="Arial" w:cs="Arial" w:eastAsia="Arial" w:hAnsi="Arial"/>
                <w:sz w:val="16"/>
                <w:szCs w:val="16"/>
                <w:color w:val="auto"/>
              </w:rPr>
              <w:t>631.7</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8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820" w:type="dxa"/>
            <w:vAlign w:val="bottom"/>
          </w:tcPr>
          <w:p>
            <w:pPr>
              <w:spacing w:after="0"/>
              <w:rPr>
                <w:sz w:val="20"/>
                <w:szCs w:val="20"/>
                <w:color w:val="auto"/>
              </w:rPr>
            </w:pPr>
            <w:r>
              <w:rPr>
                <w:rFonts w:ascii="Arial" w:cs="Arial" w:eastAsia="Arial" w:hAnsi="Arial"/>
                <w:sz w:val="16"/>
                <w:szCs w:val="16"/>
                <w:color w:val="auto"/>
              </w:rPr>
              <w:t>Supplemental cash flow information:</w:t>
            </w: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820" w:type="dxa"/>
            <w:vAlign w:val="bottom"/>
            <w:shd w:val="clear" w:color="auto" w:fill="CFF0FC"/>
          </w:tcPr>
          <w:p>
            <w:pPr>
              <w:ind w:left="80"/>
              <w:spacing w:after="0"/>
              <w:rPr>
                <w:sz w:val="20"/>
                <w:szCs w:val="20"/>
                <w:color w:val="auto"/>
              </w:rPr>
            </w:pPr>
            <w:r>
              <w:rPr>
                <w:rFonts w:ascii="Arial" w:cs="Arial" w:eastAsia="Arial" w:hAnsi="Arial"/>
                <w:sz w:val="16"/>
                <w:szCs w:val="16"/>
                <w:color w:val="auto"/>
              </w:rPr>
              <w:t>Cash (paid) received during the period:</w:t>
            </w:r>
          </w:p>
        </w:tc>
        <w:tc>
          <w:tcPr>
            <w:tcW w:w="9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820" w:type="dxa"/>
            <w:vAlign w:val="bottom"/>
          </w:tcPr>
          <w:p>
            <w:pPr>
              <w:ind w:left="160"/>
              <w:spacing w:after="0"/>
              <w:rPr>
                <w:sz w:val="20"/>
                <w:szCs w:val="20"/>
                <w:color w:val="auto"/>
              </w:rPr>
            </w:pPr>
            <w:r>
              <w:rPr>
                <w:rFonts w:ascii="Arial" w:cs="Arial" w:eastAsia="Arial" w:hAnsi="Arial"/>
                <w:sz w:val="16"/>
                <w:szCs w:val="16"/>
                <w:color w:val="auto"/>
              </w:rPr>
              <w:t>Interest (net of amounts capitalized)</w:t>
            </w:r>
          </w:p>
        </w:tc>
        <w:tc>
          <w:tcPr>
            <w:tcW w:w="13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(100.8)</w:t>
            </w: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(89.5)</w:t>
            </w:r>
          </w:p>
        </w:tc>
        <w:tc>
          <w:tcPr>
            <w:tcW w:w="0" w:type="dxa"/>
            <w:vAlign w:val="bottom"/>
          </w:tcPr>
          <w:p>
            <w:pPr>
              <w:spacing w:after="0"/>
              <w:rPr>
                <w:sz w:val="1"/>
                <w:szCs w:val="1"/>
                <w:color w:val="auto"/>
              </w:rPr>
            </w:pPr>
          </w:p>
        </w:tc>
      </w:tr>
      <w:tr>
        <w:trPr>
          <w:trHeight w:val="189"/>
        </w:trPr>
        <w:tc>
          <w:tcPr>
            <w:tcW w:w="6820" w:type="dxa"/>
            <w:vAlign w:val="bottom"/>
            <w:shd w:val="clear" w:color="auto" w:fill="CFF0FC"/>
          </w:tcPr>
          <w:p>
            <w:pPr>
              <w:ind w:left="160"/>
              <w:spacing w:after="0"/>
              <w:rPr>
                <w:sz w:val="20"/>
                <w:szCs w:val="20"/>
                <w:color w:val="auto"/>
              </w:rPr>
            </w:pPr>
            <w:r>
              <w:rPr>
                <w:rFonts w:ascii="Arial" w:cs="Arial" w:eastAsia="Arial" w:hAnsi="Arial"/>
                <w:sz w:val="16"/>
                <w:szCs w:val="16"/>
                <w:color w:val="auto"/>
              </w:rPr>
              <w:t>Income taxes, net of transferred tax credits (Note 11)</w:t>
            </w:r>
          </w:p>
        </w:tc>
        <w:tc>
          <w:tcPr>
            <w:tcW w:w="9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3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13.9</w:t>
            </w:r>
          </w:p>
        </w:tc>
        <w:tc>
          <w:tcPr>
            <w:tcW w:w="500" w:type="dxa"/>
            <w:vAlign w:val="bottom"/>
            <w:shd w:val="clear" w:color="auto" w:fill="CFF0FC"/>
          </w:tcPr>
          <w:p>
            <w:pPr>
              <w:spacing w:after="0"/>
              <w:rPr>
                <w:sz w:val="16"/>
                <w:szCs w:val="16"/>
                <w:color w:val="auto"/>
              </w:rPr>
            </w:pPr>
          </w:p>
        </w:tc>
        <w:tc>
          <w:tcPr>
            <w:tcW w:w="1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14.7</w:t>
            </w:r>
          </w:p>
        </w:tc>
        <w:tc>
          <w:tcPr>
            <w:tcW w:w="0" w:type="dxa"/>
            <w:vAlign w:val="bottom"/>
          </w:tcPr>
          <w:p>
            <w:pPr>
              <w:spacing w:after="0"/>
              <w:rPr>
                <w:sz w:val="1"/>
                <w:szCs w:val="1"/>
                <w:color w:val="auto"/>
              </w:rPr>
            </w:pPr>
          </w:p>
        </w:tc>
      </w:tr>
      <w:tr>
        <w:trPr>
          <w:trHeight w:val="189"/>
        </w:trPr>
        <w:tc>
          <w:tcPr>
            <w:tcW w:w="6820" w:type="dxa"/>
            <w:vAlign w:val="bottom"/>
          </w:tcPr>
          <w:p>
            <w:pPr>
              <w:ind w:left="80"/>
              <w:spacing w:after="0"/>
              <w:rPr>
                <w:sz w:val="20"/>
                <w:szCs w:val="20"/>
                <w:color w:val="auto"/>
              </w:rPr>
            </w:pPr>
            <w:r>
              <w:rPr>
                <w:rFonts w:ascii="Arial" w:cs="Arial" w:eastAsia="Arial" w:hAnsi="Arial"/>
                <w:sz w:val="16"/>
                <w:szCs w:val="16"/>
                <w:color w:val="auto"/>
              </w:rPr>
              <w:t>Non-cash investing and financing activities:</w:t>
            </w: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820" w:type="dxa"/>
            <w:vAlign w:val="bottom"/>
            <w:shd w:val="clear" w:color="auto" w:fill="CFF0FC"/>
          </w:tcPr>
          <w:p>
            <w:pPr>
              <w:ind w:left="160"/>
              <w:spacing w:after="0"/>
              <w:rPr>
                <w:sz w:val="20"/>
                <w:szCs w:val="20"/>
                <w:color w:val="auto"/>
              </w:rPr>
            </w:pPr>
            <w:r>
              <w:rPr>
                <w:rFonts w:ascii="Arial" w:cs="Arial" w:eastAsia="Arial" w:hAnsi="Arial"/>
                <w:sz w:val="16"/>
                <w:szCs w:val="16"/>
                <w:color w:val="auto"/>
              </w:rPr>
              <w:t>Accrued property, plant, and equipment purchases at June 30,</w:t>
            </w:r>
          </w:p>
        </w:tc>
        <w:tc>
          <w:tcPr>
            <w:tcW w:w="9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3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78.5</w:t>
            </w:r>
          </w:p>
        </w:tc>
        <w:tc>
          <w:tcPr>
            <w:tcW w:w="500" w:type="dxa"/>
            <w:vAlign w:val="bottom"/>
            <w:shd w:val="clear" w:color="auto" w:fill="CFF0FC"/>
          </w:tcPr>
          <w:p>
            <w:pPr>
              <w:spacing w:after="0"/>
              <w:rPr>
                <w:sz w:val="16"/>
                <w:szCs w:val="16"/>
                <w:color w:val="auto"/>
              </w:rPr>
            </w:pPr>
          </w:p>
        </w:tc>
        <w:tc>
          <w:tcPr>
            <w:tcW w:w="1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73.0</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The accompanying </w:t>
      </w:r>
      <w:r>
        <w:rPr>
          <w:rFonts w:ascii="Arial" w:cs="Arial" w:eastAsia="Arial" w:hAnsi="Arial"/>
          <w:sz w:val="16"/>
          <w:szCs w:val="16"/>
          <w:u w:val="single" w:color="auto"/>
          <w:color w:val="0000FF"/>
        </w:rPr>
        <w:t>Condensed Notes to Consolidated Financial Statements</w:t>
      </w:r>
      <w:r>
        <w:rPr>
          <w:rFonts w:ascii="Arial" w:cs="Arial" w:eastAsia="Arial" w:hAnsi="Arial"/>
          <w:sz w:val="16"/>
          <w:szCs w:val="16"/>
          <w:color w:val="auto"/>
        </w:rPr>
        <w:t xml:space="preserve">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1275080</wp:posOffset>
            </wp:positionH>
            <wp:positionV relativeFrom="paragraph">
              <wp:posOffset>-4445</wp:posOffset>
            </wp:positionV>
            <wp:extent cx="255587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5587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BLACK HILLS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EQUITY</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40" w:type="dxa"/>
            <w:vAlign w:val="bottom"/>
            <w:gridSpan w:val="2"/>
          </w:tcPr>
          <w:p>
            <w:pPr>
              <w:spacing w:after="0"/>
              <w:rPr>
                <w:sz w:val="20"/>
                <w:szCs w:val="20"/>
                <w:color w:val="auto"/>
              </w:rPr>
            </w:pPr>
            <w:r>
              <w:rPr>
                <w:rFonts w:ascii="Arial" w:cs="Arial" w:eastAsia="Arial" w:hAnsi="Arial"/>
                <w:sz w:val="14"/>
                <w:szCs w:val="14"/>
                <w:b w:val="1"/>
                <w:bCs w:val="1"/>
                <w:color w:val="auto"/>
              </w:rPr>
              <w:t>(unaudited)</w:t>
            </w:r>
          </w:p>
        </w:tc>
        <w:tc>
          <w:tcPr>
            <w:tcW w:w="1780" w:type="dxa"/>
            <w:vAlign w:val="bottom"/>
            <w:tcBorders>
              <w:bottom w:val="single" w:sz="8" w:color="auto"/>
            </w:tcBorders>
            <w:gridSpan w:val="3"/>
          </w:tcPr>
          <w:p>
            <w:pPr>
              <w:jc w:val="right"/>
              <w:ind w:right="368"/>
              <w:spacing w:after="0"/>
              <w:rPr>
                <w:sz w:val="20"/>
                <w:szCs w:val="20"/>
                <w:color w:val="auto"/>
              </w:rPr>
            </w:pPr>
            <w:r>
              <w:rPr>
                <w:rFonts w:ascii="Arial" w:cs="Arial" w:eastAsia="Arial" w:hAnsi="Arial"/>
                <w:sz w:val="14"/>
                <w:szCs w:val="14"/>
                <w:b w:val="1"/>
                <w:bCs w:val="1"/>
                <w:color w:val="auto"/>
              </w:rPr>
              <w:t>Common Stock</w:t>
            </w:r>
          </w:p>
        </w:tc>
        <w:tc>
          <w:tcPr>
            <w:tcW w:w="1800" w:type="dxa"/>
            <w:vAlign w:val="bottom"/>
            <w:tcBorders>
              <w:bottom w:val="single" w:sz="8" w:color="auto"/>
            </w:tcBorders>
            <w:gridSpan w:val="3"/>
          </w:tcPr>
          <w:p>
            <w:pPr>
              <w:jc w:val="right"/>
              <w:ind w:right="368"/>
              <w:spacing w:after="0"/>
              <w:rPr>
                <w:sz w:val="20"/>
                <w:szCs w:val="20"/>
                <w:color w:val="auto"/>
              </w:rPr>
            </w:pPr>
            <w:r>
              <w:rPr>
                <w:rFonts w:ascii="Arial" w:cs="Arial" w:eastAsia="Arial" w:hAnsi="Arial"/>
                <w:sz w:val="14"/>
                <w:szCs w:val="14"/>
                <w:b w:val="1"/>
                <w:bCs w:val="1"/>
                <w:color w:val="auto"/>
              </w:rPr>
              <w:t>Treasury Stock</w:t>
            </w:r>
          </w:p>
        </w:tc>
        <w:tc>
          <w:tcPr>
            <w:tcW w:w="8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rPr>
              <w:t>Additional</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restart"/>
          </w:tcPr>
          <w:p>
            <w:pPr>
              <w:jc w:val="center"/>
              <w:ind w:right="288"/>
              <w:spacing w:after="0"/>
              <w:rPr>
                <w:sz w:val="20"/>
                <w:szCs w:val="20"/>
                <w:color w:val="auto"/>
              </w:rPr>
            </w:pPr>
            <w:r>
              <w:rPr>
                <w:rFonts w:ascii="Arial" w:cs="Arial" w:eastAsia="Arial" w:hAnsi="Arial"/>
                <w:sz w:val="14"/>
                <w:szCs w:val="14"/>
                <w:b w:val="1"/>
                <w:bCs w:val="1"/>
                <w:color w:val="auto"/>
              </w:rPr>
              <w:t>Non-</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center"/>
              <w:ind w:right="68"/>
              <w:spacing w:after="0"/>
              <w:rPr>
                <w:sz w:val="20"/>
                <w:szCs w:val="20"/>
                <w:color w:val="auto"/>
              </w:rPr>
            </w:pPr>
            <w:r>
              <w:rPr>
                <w:rFonts w:ascii="Arial" w:cs="Arial" w:eastAsia="Arial" w:hAnsi="Arial"/>
                <w:sz w:val="14"/>
                <w:szCs w:val="14"/>
                <w:b w:val="1"/>
                <w:bCs w:val="1"/>
                <w:color w:val="auto"/>
              </w:rPr>
              <w:t>Paid in</w:t>
            </w:r>
          </w:p>
        </w:tc>
        <w:tc>
          <w:tcPr>
            <w:tcW w:w="1020" w:type="dxa"/>
            <w:vAlign w:val="bottom"/>
            <w:gridSpan w:val="3"/>
          </w:tcPr>
          <w:p>
            <w:pPr>
              <w:jc w:val="right"/>
              <w:ind w:right="168"/>
              <w:spacing w:after="0"/>
              <w:rPr>
                <w:sz w:val="20"/>
                <w:szCs w:val="20"/>
                <w:color w:val="auto"/>
              </w:rPr>
            </w:pPr>
            <w:r>
              <w:rPr>
                <w:rFonts w:ascii="Arial" w:cs="Arial" w:eastAsia="Arial" w:hAnsi="Arial"/>
                <w:sz w:val="14"/>
                <w:szCs w:val="14"/>
                <w:b w:val="1"/>
                <w:bCs w:val="1"/>
                <w:color w:val="auto"/>
              </w:rPr>
              <w:t>Retained</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gridSpan w:val="3"/>
          </w:tcPr>
          <w:p>
            <w:pPr>
              <w:jc w:val="center"/>
              <w:ind w:right="48"/>
              <w:spacing w:after="0"/>
              <w:rPr>
                <w:sz w:val="20"/>
                <w:szCs w:val="20"/>
                <w:color w:val="auto"/>
              </w:rPr>
            </w:pPr>
            <w:r>
              <w:rPr>
                <w:rFonts w:ascii="Arial" w:cs="Arial" w:eastAsia="Arial" w:hAnsi="Arial"/>
                <w:sz w:val="14"/>
                <w:szCs w:val="14"/>
                <w:b w:val="1"/>
                <w:bCs w:val="1"/>
                <w:color w:val="auto"/>
              </w:rPr>
              <w:t>controlling</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Shares</w:t>
            </w: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Value</w:t>
            </w:r>
          </w:p>
        </w:tc>
        <w:tc>
          <w:tcPr>
            <w:tcW w:w="8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Shares</w:t>
            </w: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center"/>
              <w:ind w:right="28"/>
              <w:spacing w:after="0"/>
              <w:rPr>
                <w:sz w:val="20"/>
                <w:szCs w:val="20"/>
                <w:color w:val="auto"/>
              </w:rPr>
            </w:pPr>
            <w:r>
              <w:rPr>
                <w:rFonts w:ascii="Arial" w:cs="Arial" w:eastAsia="Arial" w:hAnsi="Arial"/>
                <w:sz w:val="14"/>
                <w:szCs w:val="14"/>
                <w:b w:val="1"/>
                <w:bCs w:val="1"/>
                <w:color w:val="auto"/>
              </w:rPr>
              <w:t>Capital</w:t>
            </w:r>
          </w:p>
        </w:tc>
        <w:tc>
          <w:tcPr>
            <w:tcW w:w="1020" w:type="dxa"/>
            <w:vAlign w:val="bottom"/>
            <w:tcBorders>
              <w:bottom w:val="single" w:sz="8" w:color="auto"/>
            </w:tcBorders>
            <w:gridSpan w:val="3"/>
          </w:tcPr>
          <w:p>
            <w:pPr>
              <w:jc w:val="right"/>
              <w:ind w:right="128"/>
              <w:spacing w:after="0"/>
              <w:rPr>
                <w:sz w:val="20"/>
                <w:szCs w:val="20"/>
                <w:color w:val="auto"/>
              </w:rPr>
            </w:pPr>
            <w:r>
              <w:rPr>
                <w:rFonts w:ascii="Arial" w:cs="Arial" w:eastAsia="Arial" w:hAnsi="Arial"/>
                <w:sz w:val="14"/>
                <w:szCs w:val="14"/>
                <w:b w:val="1"/>
                <w:bCs w:val="1"/>
                <w:color w:val="auto"/>
              </w:rPr>
              <w:t>Earnings</w:t>
            </w: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AOCI</w:t>
            </w: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center"/>
              <w:ind w:right="148"/>
              <w:spacing w:after="0"/>
              <w:rPr>
                <w:sz w:val="20"/>
                <w:szCs w:val="20"/>
                <w:color w:val="auto"/>
              </w:rPr>
            </w:pPr>
            <w:r>
              <w:rPr>
                <w:rFonts w:ascii="Arial" w:cs="Arial" w:eastAsia="Arial" w:hAnsi="Arial"/>
                <w:sz w:val="14"/>
                <w:szCs w:val="14"/>
                <w:b w:val="1"/>
                <w:bCs w:val="1"/>
                <w:color w:val="auto"/>
              </w:rPr>
              <w:t>Interest</w:t>
            </w: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6"/>
        </w:trPr>
        <w:tc>
          <w:tcPr>
            <w:tcW w:w="2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540" w:type="dxa"/>
            <w:vAlign w:val="bottom"/>
            <w:tcBorders>
              <w:bottom w:val="single" w:sz="8" w:color="auto"/>
            </w:tcBorders>
            <w:gridSpan w:val="7"/>
          </w:tcPr>
          <w:p>
            <w:pPr>
              <w:jc w:val="center"/>
              <w:ind w:right="8"/>
              <w:spacing w:after="0" w:line="155" w:lineRule="exact"/>
              <w:rPr>
                <w:sz w:val="20"/>
                <w:szCs w:val="20"/>
                <w:color w:val="auto"/>
              </w:rPr>
            </w:pPr>
            <w:r>
              <w:rPr>
                <w:rFonts w:ascii="Arial" w:cs="Arial" w:eastAsia="Arial" w:hAnsi="Arial"/>
                <w:sz w:val="14"/>
                <w:szCs w:val="14"/>
                <w:color w:val="auto"/>
              </w:rPr>
              <w:t>(in millions except share amounts)</w:t>
            </w: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8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7" w:lineRule="exact"/>
              <w:rPr>
                <w:sz w:val="20"/>
                <w:szCs w:val="20"/>
                <w:color w:val="auto"/>
              </w:rPr>
            </w:pPr>
            <w:r>
              <w:rPr>
                <w:rFonts w:ascii="Arial" w:cs="Arial" w:eastAsia="Arial" w:hAnsi="Arial"/>
                <w:sz w:val="14"/>
                <w:szCs w:val="14"/>
                <w:color w:val="auto"/>
              </w:rPr>
              <w:t>71,676,75</w:t>
            </w: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940" w:type="dxa"/>
            <w:vAlign w:val="bottom"/>
            <w:gridSpan w:val="2"/>
            <w:shd w:val="clear" w:color="auto" w:fill="CFF0FC"/>
          </w:tcPr>
          <w:p>
            <w:pPr>
              <w:spacing w:after="0"/>
              <w:rPr>
                <w:sz w:val="20"/>
                <w:szCs w:val="20"/>
                <w:color w:val="auto"/>
              </w:rPr>
            </w:pPr>
            <w:r>
              <w:rPr>
                <w:rFonts w:ascii="Arial" w:cs="Arial" w:eastAsia="Arial" w:hAnsi="Arial"/>
                <w:sz w:val="14"/>
                <w:szCs w:val="14"/>
                <w:b w:val="1"/>
                <w:bCs w:val="1"/>
                <w:color w:val="auto"/>
              </w:rPr>
              <w:t>December 31, 2024</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w:t>
            </w: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71.7</w:t>
            </w:r>
          </w:p>
        </w:tc>
        <w:tc>
          <w:tcPr>
            <w:tcW w:w="8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56,608</w:t>
            </w:r>
          </w:p>
        </w:tc>
        <w:tc>
          <w:tcPr>
            <w:tcW w:w="2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2,193.4</w:t>
            </w:r>
          </w:p>
        </w:tc>
        <w:tc>
          <w:tcPr>
            <w:tcW w:w="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1,249.1</w:t>
            </w: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(9.4)</w:t>
            </w: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83.7</w:t>
            </w:r>
          </w:p>
        </w:tc>
        <w:tc>
          <w:tcPr>
            <w:tcW w:w="2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3,585.2</w:t>
            </w:r>
          </w:p>
        </w:tc>
        <w:tc>
          <w:tcPr>
            <w:tcW w:w="0" w:type="dxa"/>
            <w:vAlign w:val="bottom"/>
          </w:tcPr>
          <w:p>
            <w:pPr>
              <w:spacing w:after="0"/>
              <w:rPr>
                <w:sz w:val="1"/>
                <w:szCs w:val="1"/>
                <w:color w:val="auto"/>
              </w:rPr>
            </w:pPr>
          </w:p>
        </w:tc>
      </w:tr>
      <w:tr>
        <w:trPr>
          <w:trHeight w:val="162"/>
        </w:trPr>
        <w:tc>
          <w:tcPr>
            <w:tcW w:w="2940" w:type="dxa"/>
            <w:vAlign w:val="bottom"/>
            <w:gridSpan w:val="2"/>
          </w:tcPr>
          <w:p>
            <w:pPr>
              <w:spacing w:after="0"/>
              <w:rPr>
                <w:sz w:val="20"/>
                <w:szCs w:val="20"/>
                <w:color w:val="auto"/>
              </w:rPr>
            </w:pPr>
            <w:r>
              <w:rPr>
                <w:rFonts w:ascii="Arial" w:cs="Arial" w:eastAsia="Arial" w:hAnsi="Arial"/>
                <w:sz w:val="14"/>
                <w:szCs w:val="14"/>
                <w:color w:val="auto"/>
              </w:rPr>
              <w:t>Net income</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134.3</w:t>
            </w:r>
          </w:p>
        </w:tc>
        <w:tc>
          <w:tcPr>
            <w:tcW w:w="18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2.1</w:t>
            </w:r>
          </w:p>
        </w:tc>
        <w:tc>
          <w:tcPr>
            <w:tcW w:w="22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136.4</w:t>
            </w:r>
          </w:p>
        </w:tc>
        <w:tc>
          <w:tcPr>
            <w:tcW w:w="0" w:type="dxa"/>
            <w:vAlign w:val="bottom"/>
          </w:tcPr>
          <w:p>
            <w:pPr>
              <w:spacing w:after="0"/>
              <w:rPr>
                <w:sz w:val="1"/>
                <w:szCs w:val="1"/>
                <w:color w:val="auto"/>
              </w:rPr>
            </w:pPr>
          </w:p>
        </w:tc>
      </w:tr>
      <w:tr>
        <w:trPr>
          <w:trHeight w:val="162"/>
        </w:trPr>
        <w:tc>
          <w:tcPr>
            <w:tcW w:w="294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Other comprehensive income, net of tax</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1.0</w:t>
            </w: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53"/>
        </w:trPr>
        <w:tc>
          <w:tcPr>
            <w:tcW w:w="2940" w:type="dxa"/>
            <w:vAlign w:val="bottom"/>
            <w:gridSpan w:val="2"/>
          </w:tcPr>
          <w:p>
            <w:pPr>
              <w:spacing w:after="0" w:line="153" w:lineRule="exact"/>
              <w:rPr>
                <w:sz w:val="20"/>
                <w:szCs w:val="20"/>
                <w:color w:val="auto"/>
              </w:rPr>
            </w:pPr>
            <w:r>
              <w:rPr>
                <w:rFonts w:ascii="Arial" w:cs="Arial" w:eastAsia="Arial" w:hAnsi="Arial"/>
                <w:sz w:val="14"/>
                <w:szCs w:val="14"/>
                <w:color w:val="auto"/>
              </w:rPr>
              <w:t>Dividends on common stock ($0.676 per</w:t>
            </w: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940" w:type="dxa"/>
            <w:vAlign w:val="bottom"/>
            <w:gridSpan w:val="2"/>
          </w:tcPr>
          <w:p>
            <w:pPr>
              <w:spacing w:after="0"/>
              <w:rPr>
                <w:sz w:val="20"/>
                <w:szCs w:val="20"/>
                <w:color w:val="auto"/>
              </w:rPr>
            </w:pPr>
            <w:r>
              <w:rPr>
                <w:rFonts w:ascii="Arial" w:cs="Arial" w:eastAsia="Arial" w:hAnsi="Arial"/>
                <w:sz w:val="14"/>
                <w:szCs w:val="14"/>
                <w:color w:val="auto"/>
              </w:rPr>
              <w:t>share)</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(48.6)</w:t>
            </w:r>
          </w:p>
        </w:tc>
        <w:tc>
          <w:tcPr>
            <w:tcW w:w="18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(48.6)</w:t>
            </w:r>
          </w:p>
        </w:tc>
        <w:tc>
          <w:tcPr>
            <w:tcW w:w="0" w:type="dxa"/>
            <w:vAlign w:val="bottom"/>
          </w:tcPr>
          <w:p>
            <w:pPr>
              <w:spacing w:after="0"/>
              <w:rPr>
                <w:sz w:val="1"/>
                <w:szCs w:val="1"/>
                <w:color w:val="auto"/>
              </w:rPr>
            </w:pPr>
          </w:p>
        </w:tc>
      </w:tr>
      <w:tr>
        <w:trPr>
          <w:trHeight w:val="162"/>
        </w:trPr>
        <w:tc>
          <w:tcPr>
            <w:tcW w:w="294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Share-based compensation</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103,995</w:t>
            </w:r>
          </w:p>
        </w:tc>
        <w:tc>
          <w:tcPr>
            <w:tcW w:w="18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0.1</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(22,488)</w:t>
            </w: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08"/>
              <w:spacing w:after="0"/>
              <w:rPr>
                <w:sz w:val="20"/>
                <w:szCs w:val="20"/>
                <w:color w:val="auto"/>
              </w:rPr>
            </w:pPr>
            <w:r>
              <w:rPr>
                <w:rFonts w:ascii="Arial" w:cs="Arial" w:eastAsia="Arial" w:hAnsi="Arial"/>
                <w:sz w:val="14"/>
                <w:szCs w:val="14"/>
                <w:color w:val="auto"/>
              </w:rPr>
              <w:t>(0.1)</w:t>
            </w: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62"/>
        </w:trPr>
        <w:tc>
          <w:tcPr>
            <w:tcW w:w="2940" w:type="dxa"/>
            <w:vAlign w:val="bottom"/>
            <w:gridSpan w:val="2"/>
          </w:tcPr>
          <w:p>
            <w:pPr>
              <w:spacing w:after="0"/>
              <w:rPr>
                <w:sz w:val="20"/>
                <w:szCs w:val="20"/>
                <w:color w:val="auto"/>
              </w:rPr>
            </w:pPr>
            <w:r>
              <w:rPr>
                <w:rFonts w:ascii="Arial" w:cs="Arial" w:eastAsia="Arial" w:hAnsi="Arial"/>
                <w:sz w:val="14"/>
                <w:szCs w:val="14"/>
                <w:color w:val="auto"/>
              </w:rPr>
              <w:t>Issuance of common stock</w:t>
            </w:r>
          </w:p>
        </w:tc>
        <w:tc>
          <w:tcPr>
            <w:tcW w:w="840" w:type="dxa"/>
            <w:vAlign w:val="bottom"/>
          </w:tcPr>
          <w:p>
            <w:pPr>
              <w:jc w:val="right"/>
              <w:spacing w:after="0"/>
              <w:rPr>
                <w:sz w:val="20"/>
                <w:szCs w:val="20"/>
                <w:color w:val="auto"/>
              </w:rPr>
            </w:pPr>
            <w:r>
              <w:rPr>
                <w:rFonts w:ascii="Arial" w:cs="Arial" w:eastAsia="Arial" w:hAnsi="Arial"/>
                <w:sz w:val="14"/>
                <w:szCs w:val="14"/>
                <w:color w:val="auto"/>
              </w:rPr>
              <w:t>763,481</w:t>
            </w:r>
          </w:p>
        </w:tc>
        <w:tc>
          <w:tcPr>
            <w:tcW w:w="180" w:type="dxa"/>
            <w:vAlign w:val="bottom"/>
          </w:tcPr>
          <w:p>
            <w:pPr>
              <w:spacing w:after="0"/>
              <w:rPr>
                <w:sz w:val="14"/>
                <w:szCs w:val="14"/>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0.7</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45.4</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46.1</w:t>
            </w:r>
          </w:p>
        </w:tc>
        <w:tc>
          <w:tcPr>
            <w:tcW w:w="0" w:type="dxa"/>
            <w:vAlign w:val="bottom"/>
          </w:tcPr>
          <w:p>
            <w:pPr>
              <w:spacing w:after="0"/>
              <w:rPr>
                <w:sz w:val="1"/>
                <w:szCs w:val="1"/>
                <w:color w:val="auto"/>
              </w:rPr>
            </w:pPr>
          </w:p>
        </w:tc>
      </w:tr>
      <w:tr>
        <w:trPr>
          <w:trHeight w:val="162"/>
        </w:trPr>
        <w:tc>
          <w:tcPr>
            <w:tcW w:w="294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Issuance costs</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08"/>
              <w:spacing w:after="0"/>
              <w:rPr>
                <w:sz w:val="20"/>
                <w:szCs w:val="20"/>
                <w:color w:val="auto"/>
              </w:rPr>
            </w:pPr>
            <w:r>
              <w:rPr>
                <w:rFonts w:ascii="Arial" w:cs="Arial" w:eastAsia="Arial" w:hAnsi="Arial"/>
                <w:sz w:val="14"/>
                <w:szCs w:val="14"/>
                <w:color w:val="auto"/>
              </w:rPr>
              <w:t>(0.5)</w:t>
            </w: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62"/>
        </w:trPr>
        <w:tc>
          <w:tcPr>
            <w:tcW w:w="2940" w:type="dxa"/>
            <w:vAlign w:val="bottom"/>
            <w:gridSpan w:val="2"/>
          </w:tcPr>
          <w:p>
            <w:pPr>
              <w:spacing w:after="0"/>
              <w:rPr>
                <w:sz w:val="20"/>
                <w:szCs w:val="20"/>
                <w:color w:val="auto"/>
              </w:rPr>
            </w:pPr>
            <w:r>
              <w:rPr>
                <w:rFonts w:ascii="Arial" w:cs="Arial" w:eastAsia="Arial" w:hAnsi="Arial"/>
                <w:sz w:val="14"/>
                <w:szCs w:val="14"/>
                <w:color w:val="auto"/>
              </w:rPr>
              <w:t>Distributions to non-controlling interest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w:t>
            </w: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46"/>
        </w:trPr>
        <w:tc>
          <w:tcPr>
            <w:tcW w:w="28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7" w:lineRule="exact"/>
              <w:rPr>
                <w:sz w:val="20"/>
                <w:szCs w:val="20"/>
                <w:color w:val="auto"/>
              </w:rPr>
            </w:pPr>
            <w:r>
              <w:rPr>
                <w:rFonts w:ascii="Arial" w:cs="Arial" w:eastAsia="Arial" w:hAnsi="Arial"/>
                <w:sz w:val="14"/>
                <w:szCs w:val="14"/>
                <w:color w:val="auto"/>
              </w:rPr>
              <w:t>72,544,23</w:t>
            </w: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9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4"/>
                <w:szCs w:val="14"/>
                <w:b w:val="1"/>
                <w:bCs w:val="1"/>
                <w:color w:val="auto"/>
              </w:rPr>
              <w:t>March 31, 2025</w:t>
            </w:r>
          </w:p>
        </w:tc>
        <w:tc>
          <w:tcPr>
            <w:tcW w:w="840" w:type="dxa"/>
            <w:vAlign w:val="bottom"/>
            <w:tcBorders>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2</w:t>
            </w:r>
          </w:p>
        </w:tc>
        <w:tc>
          <w:tcPr>
            <w:tcW w:w="180" w:type="dxa"/>
            <w:vAlign w:val="bottom"/>
            <w:tcBorders>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FF0FC"/>
          </w:tcPr>
          <w:p>
            <w:pPr>
              <w:jc w:val="right"/>
              <w:ind w:right="68"/>
              <w:spacing w:after="0" w:line="151" w:lineRule="exact"/>
              <w:rPr>
                <w:sz w:val="20"/>
                <w:szCs w:val="20"/>
                <w:color w:val="auto"/>
              </w:rPr>
            </w:pPr>
            <w:r>
              <w:rPr>
                <w:rFonts w:ascii="Arial" w:cs="Arial" w:eastAsia="Arial" w:hAnsi="Arial"/>
                <w:sz w:val="14"/>
                <w:szCs w:val="14"/>
                <w:color w:val="auto"/>
              </w:rPr>
              <w:t>72.5</w:t>
            </w:r>
          </w:p>
        </w:tc>
        <w:tc>
          <w:tcPr>
            <w:tcW w:w="880" w:type="dxa"/>
            <w:vAlign w:val="bottom"/>
            <w:tcBorders>
              <w:bottom w:val="single" w:sz="8" w:color="auto"/>
            </w:tcBorders>
            <w:shd w:val="clear" w:color="auto" w:fill="CFF0FC"/>
          </w:tcPr>
          <w:p>
            <w:pPr>
              <w:jc w:val="right"/>
              <w:ind w:right="8"/>
              <w:spacing w:after="0" w:line="151" w:lineRule="exact"/>
              <w:rPr>
                <w:sz w:val="20"/>
                <w:szCs w:val="20"/>
                <w:color w:val="auto"/>
              </w:rPr>
            </w:pPr>
            <w:r>
              <w:rPr>
                <w:rFonts w:ascii="Arial" w:cs="Arial" w:eastAsia="Arial" w:hAnsi="Arial"/>
                <w:sz w:val="14"/>
                <w:szCs w:val="14"/>
                <w:color w:val="auto"/>
              </w:rPr>
              <w:t>34,120</w:t>
            </w:r>
          </w:p>
        </w:tc>
        <w:tc>
          <w:tcPr>
            <w:tcW w:w="200" w:type="dxa"/>
            <w:vAlign w:val="bottom"/>
            <w:tcBorders>
              <w:bottom w:val="single" w:sz="8" w:color="auto"/>
            </w:tcBorders>
            <w:shd w:val="clear" w:color="auto" w:fill="CFF0FC"/>
          </w:tcPr>
          <w:p>
            <w:pPr>
              <w:jc w:val="right"/>
              <w:ind w:right="8"/>
              <w:spacing w:after="0" w:line="151"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(2.0)</w:t>
            </w:r>
          </w:p>
        </w:tc>
        <w:tc>
          <w:tcPr>
            <w:tcW w:w="100" w:type="dxa"/>
            <w:vAlign w:val="bottom"/>
            <w:tcBorders>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w w:val="76"/>
              </w:rPr>
              <w:t>$</w:t>
            </w:r>
          </w:p>
        </w:tc>
        <w:tc>
          <w:tcPr>
            <w:tcW w:w="12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2,238.2</w:t>
            </w:r>
          </w:p>
        </w:tc>
        <w:tc>
          <w:tcPr>
            <w:tcW w:w="240" w:type="dxa"/>
            <w:vAlign w:val="bottom"/>
            <w:tcBorders>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ind w:right="48"/>
              <w:spacing w:after="0" w:line="151" w:lineRule="exact"/>
              <w:rPr>
                <w:sz w:val="20"/>
                <w:szCs w:val="20"/>
                <w:color w:val="auto"/>
              </w:rPr>
            </w:pPr>
            <w:r>
              <w:rPr>
                <w:rFonts w:ascii="Arial" w:cs="Arial" w:eastAsia="Arial" w:hAnsi="Arial"/>
                <w:sz w:val="14"/>
                <w:szCs w:val="14"/>
                <w:color w:val="auto"/>
              </w:rPr>
              <w:t>1,334.8</w:t>
            </w:r>
          </w:p>
        </w:tc>
        <w:tc>
          <w:tcPr>
            <w:tcW w:w="180" w:type="dxa"/>
            <w:vAlign w:val="bottom"/>
            <w:tcBorders>
              <w:bottom w:val="single" w:sz="8" w:color="auto"/>
            </w:tcBorders>
            <w:shd w:val="clear" w:color="auto" w:fill="CFF0FC"/>
          </w:tcPr>
          <w:p>
            <w:pPr>
              <w:jc w:val="right"/>
              <w:ind w:right="28"/>
              <w:spacing w:after="0" w:line="151" w:lineRule="exact"/>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(8.4)</w:t>
            </w:r>
          </w:p>
        </w:tc>
        <w:tc>
          <w:tcPr>
            <w:tcW w:w="160" w:type="dxa"/>
            <w:vAlign w:val="bottom"/>
            <w:tcBorders>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ind w:right="28"/>
              <w:spacing w:after="0" w:line="151" w:lineRule="exact"/>
              <w:rPr>
                <w:sz w:val="20"/>
                <w:szCs w:val="20"/>
                <w:color w:val="auto"/>
              </w:rPr>
            </w:pPr>
            <w:r>
              <w:rPr>
                <w:rFonts w:ascii="Arial" w:cs="Arial" w:eastAsia="Arial" w:hAnsi="Arial"/>
                <w:sz w:val="14"/>
                <w:szCs w:val="14"/>
                <w:color w:val="auto"/>
              </w:rPr>
              <w:t>82.0</w:t>
            </w:r>
          </w:p>
        </w:tc>
        <w:tc>
          <w:tcPr>
            <w:tcW w:w="220" w:type="dxa"/>
            <w:vAlign w:val="bottom"/>
            <w:tcBorders>
              <w:bottom w:val="single" w:sz="8" w:color="auto"/>
            </w:tcBorders>
            <w:shd w:val="clear" w:color="auto" w:fill="CFF0FC"/>
          </w:tcPr>
          <w:p>
            <w:pPr>
              <w:jc w:val="right"/>
              <w:ind w:right="48"/>
              <w:spacing w:after="0" w:line="151"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FF0FC"/>
          </w:tcPr>
          <w:p>
            <w:pPr>
              <w:jc w:val="right"/>
              <w:ind w:right="68"/>
              <w:spacing w:after="0" w:line="151" w:lineRule="exact"/>
              <w:rPr>
                <w:sz w:val="20"/>
                <w:szCs w:val="20"/>
                <w:color w:val="auto"/>
              </w:rPr>
            </w:pPr>
            <w:r>
              <w:rPr>
                <w:rFonts w:ascii="Arial" w:cs="Arial" w:eastAsia="Arial" w:hAnsi="Arial"/>
                <w:sz w:val="14"/>
                <w:szCs w:val="14"/>
                <w:color w:val="auto"/>
              </w:rPr>
              <w:t>3,717.1</w:t>
            </w:r>
          </w:p>
        </w:tc>
        <w:tc>
          <w:tcPr>
            <w:tcW w:w="0" w:type="dxa"/>
            <w:vAlign w:val="bottom"/>
          </w:tcPr>
          <w:p>
            <w:pPr>
              <w:spacing w:after="0"/>
              <w:rPr>
                <w:sz w:val="1"/>
                <w:szCs w:val="1"/>
                <w:color w:val="auto"/>
              </w:rPr>
            </w:pPr>
          </w:p>
        </w:tc>
      </w:tr>
      <w:tr>
        <w:trPr>
          <w:trHeight w:val="143"/>
        </w:trPr>
        <w:tc>
          <w:tcPr>
            <w:tcW w:w="2940" w:type="dxa"/>
            <w:vAlign w:val="bottom"/>
            <w:gridSpan w:val="2"/>
          </w:tcPr>
          <w:p>
            <w:pPr>
              <w:spacing w:after="0" w:line="143" w:lineRule="exact"/>
              <w:rPr>
                <w:sz w:val="20"/>
                <w:szCs w:val="20"/>
                <w:color w:val="auto"/>
              </w:rPr>
            </w:pPr>
            <w:r>
              <w:rPr>
                <w:rFonts w:ascii="Arial" w:cs="Arial" w:eastAsia="Arial" w:hAnsi="Arial"/>
                <w:sz w:val="14"/>
                <w:szCs w:val="14"/>
                <w:color w:val="auto"/>
              </w:rPr>
              <w:t>Net income</w:t>
            </w:r>
          </w:p>
        </w:tc>
        <w:tc>
          <w:tcPr>
            <w:tcW w:w="84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60" w:type="dxa"/>
            <w:vAlign w:val="bottom"/>
          </w:tcPr>
          <w:p>
            <w:pPr>
              <w:jc w:val="right"/>
              <w:ind w:right="68"/>
              <w:spacing w:after="0" w:line="143"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line="143"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20" w:type="dxa"/>
            <w:vAlign w:val="bottom"/>
          </w:tcPr>
          <w:p>
            <w:pPr>
              <w:jc w:val="right"/>
              <w:ind w:right="48"/>
              <w:spacing w:after="0" w:line="14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ind w:right="48"/>
              <w:spacing w:after="0" w:line="143" w:lineRule="exact"/>
              <w:rPr>
                <w:sz w:val="20"/>
                <w:szCs w:val="20"/>
                <w:color w:val="auto"/>
              </w:rPr>
            </w:pPr>
            <w:r>
              <w:rPr>
                <w:rFonts w:ascii="Arial" w:cs="Arial" w:eastAsia="Arial" w:hAnsi="Arial"/>
                <w:sz w:val="14"/>
                <w:szCs w:val="14"/>
                <w:color w:val="auto"/>
              </w:rPr>
              <w:t>27.5</w:t>
            </w:r>
          </w:p>
        </w:tc>
        <w:tc>
          <w:tcPr>
            <w:tcW w:w="180" w:type="dxa"/>
            <w:vAlign w:val="bottom"/>
          </w:tcPr>
          <w:p>
            <w:pPr>
              <w:spacing w:after="0"/>
              <w:rPr>
                <w:sz w:val="12"/>
                <w:szCs w:val="12"/>
                <w:color w:val="auto"/>
              </w:rPr>
            </w:pPr>
          </w:p>
        </w:tc>
        <w:tc>
          <w:tcPr>
            <w:tcW w:w="700" w:type="dxa"/>
            <w:vAlign w:val="bottom"/>
          </w:tcPr>
          <w:p>
            <w:pPr>
              <w:jc w:val="right"/>
              <w:ind w:right="28"/>
              <w:spacing w:after="0" w:line="143"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ind w:right="28"/>
              <w:spacing w:after="0" w:line="143" w:lineRule="exact"/>
              <w:rPr>
                <w:sz w:val="20"/>
                <w:szCs w:val="20"/>
                <w:color w:val="auto"/>
              </w:rPr>
            </w:pPr>
            <w:r>
              <w:rPr>
                <w:rFonts w:ascii="Arial" w:cs="Arial" w:eastAsia="Arial" w:hAnsi="Arial"/>
                <w:sz w:val="14"/>
                <w:szCs w:val="14"/>
                <w:color w:val="auto"/>
              </w:rPr>
              <w:t>1.3</w:t>
            </w:r>
          </w:p>
        </w:tc>
        <w:tc>
          <w:tcPr>
            <w:tcW w:w="220" w:type="dxa"/>
            <w:vAlign w:val="bottom"/>
          </w:tcPr>
          <w:p>
            <w:pPr>
              <w:spacing w:after="0"/>
              <w:rPr>
                <w:sz w:val="12"/>
                <w:szCs w:val="12"/>
                <w:color w:val="auto"/>
              </w:rPr>
            </w:pPr>
          </w:p>
        </w:tc>
        <w:tc>
          <w:tcPr>
            <w:tcW w:w="740" w:type="dxa"/>
            <w:vAlign w:val="bottom"/>
          </w:tcPr>
          <w:p>
            <w:pPr>
              <w:jc w:val="right"/>
              <w:ind w:right="68"/>
              <w:spacing w:after="0" w:line="143" w:lineRule="exact"/>
              <w:rPr>
                <w:sz w:val="20"/>
                <w:szCs w:val="20"/>
                <w:color w:val="auto"/>
              </w:rPr>
            </w:pPr>
            <w:r>
              <w:rPr>
                <w:rFonts w:ascii="Arial" w:cs="Arial" w:eastAsia="Arial" w:hAnsi="Arial"/>
                <w:sz w:val="14"/>
                <w:szCs w:val="14"/>
                <w:color w:val="auto"/>
              </w:rPr>
              <w:t>28.8</w:t>
            </w:r>
          </w:p>
        </w:tc>
        <w:tc>
          <w:tcPr>
            <w:tcW w:w="0" w:type="dxa"/>
            <w:vAlign w:val="bottom"/>
          </w:tcPr>
          <w:p>
            <w:pPr>
              <w:spacing w:after="0"/>
              <w:rPr>
                <w:sz w:val="1"/>
                <w:szCs w:val="1"/>
                <w:color w:val="auto"/>
              </w:rPr>
            </w:pPr>
          </w:p>
        </w:tc>
      </w:tr>
      <w:tr>
        <w:trPr>
          <w:trHeight w:val="162"/>
        </w:trPr>
        <w:tc>
          <w:tcPr>
            <w:tcW w:w="294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Other comprehensive income, net of tax</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0.4</w:t>
            </w: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53"/>
        </w:trPr>
        <w:tc>
          <w:tcPr>
            <w:tcW w:w="2940" w:type="dxa"/>
            <w:vAlign w:val="bottom"/>
            <w:gridSpan w:val="2"/>
          </w:tcPr>
          <w:p>
            <w:pPr>
              <w:spacing w:after="0" w:line="153" w:lineRule="exact"/>
              <w:rPr>
                <w:sz w:val="20"/>
                <w:szCs w:val="20"/>
                <w:color w:val="auto"/>
              </w:rPr>
            </w:pPr>
            <w:r>
              <w:rPr>
                <w:rFonts w:ascii="Arial" w:cs="Arial" w:eastAsia="Arial" w:hAnsi="Arial"/>
                <w:sz w:val="14"/>
                <w:szCs w:val="14"/>
                <w:color w:val="auto"/>
              </w:rPr>
              <w:t>Dividends on common stock ($0.676 per</w:t>
            </w: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940" w:type="dxa"/>
            <w:vAlign w:val="bottom"/>
            <w:gridSpan w:val="2"/>
          </w:tcPr>
          <w:p>
            <w:pPr>
              <w:spacing w:after="0"/>
              <w:rPr>
                <w:sz w:val="20"/>
                <w:szCs w:val="20"/>
                <w:color w:val="auto"/>
              </w:rPr>
            </w:pPr>
            <w:r>
              <w:rPr>
                <w:rFonts w:ascii="Arial" w:cs="Arial" w:eastAsia="Arial" w:hAnsi="Arial"/>
                <w:sz w:val="14"/>
                <w:szCs w:val="14"/>
                <w:color w:val="auto"/>
              </w:rPr>
              <w:t>share)</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(49.0)</w:t>
            </w:r>
          </w:p>
        </w:tc>
        <w:tc>
          <w:tcPr>
            <w:tcW w:w="18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(49.0)</w:t>
            </w:r>
          </w:p>
        </w:tc>
        <w:tc>
          <w:tcPr>
            <w:tcW w:w="0" w:type="dxa"/>
            <w:vAlign w:val="bottom"/>
          </w:tcPr>
          <w:p>
            <w:pPr>
              <w:spacing w:after="0"/>
              <w:rPr>
                <w:sz w:val="1"/>
                <w:szCs w:val="1"/>
                <w:color w:val="auto"/>
              </w:rPr>
            </w:pPr>
          </w:p>
        </w:tc>
      </w:tr>
      <w:tr>
        <w:trPr>
          <w:trHeight w:val="162"/>
        </w:trPr>
        <w:tc>
          <w:tcPr>
            <w:tcW w:w="294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Share-based compensation</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19,159</w:t>
            </w:r>
          </w:p>
        </w:tc>
        <w:tc>
          <w:tcPr>
            <w:tcW w:w="18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0.1</w:t>
            </w:r>
          </w:p>
        </w:tc>
        <w:tc>
          <w:tcPr>
            <w:tcW w:w="8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13,827</w:t>
            </w: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(0.8)</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62"/>
        </w:trPr>
        <w:tc>
          <w:tcPr>
            <w:tcW w:w="2940" w:type="dxa"/>
            <w:vAlign w:val="bottom"/>
            <w:gridSpan w:val="2"/>
          </w:tcPr>
          <w:p>
            <w:pPr>
              <w:spacing w:after="0"/>
              <w:rPr>
                <w:sz w:val="20"/>
                <w:szCs w:val="20"/>
                <w:color w:val="auto"/>
              </w:rPr>
            </w:pPr>
            <w:r>
              <w:rPr>
                <w:rFonts w:ascii="Arial" w:cs="Arial" w:eastAsia="Arial" w:hAnsi="Arial"/>
                <w:sz w:val="14"/>
                <w:szCs w:val="14"/>
                <w:color w:val="auto"/>
              </w:rPr>
              <w:t>Issuance of common stock</w:t>
            </w:r>
          </w:p>
        </w:tc>
        <w:tc>
          <w:tcPr>
            <w:tcW w:w="840" w:type="dxa"/>
            <w:vAlign w:val="bottom"/>
          </w:tcPr>
          <w:p>
            <w:pPr>
              <w:jc w:val="right"/>
              <w:spacing w:after="0"/>
              <w:rPr>
                <w:sz w:val="20"/>
                <w:szCs w:val="20"/>
                <w:color w:val="auto"/>
              </w:rPr>
            </w:pPr>
            <w:r>
              <w:rPr>
                <w:rFonts w:ascii="Arial" w:cs="Arial" w:eastAsia="Arial" w:hAnsi="Arial"/>
                <w:sz w:val="14"/>
                <w:szCs w:val="14"/>
                <w:color w:val="auto"/>
              </w:rPr>
              <w:t>339,285</w:t>
            </w:r>
          </w:p>
        </w:tc>
        <w:tc>
          <w:tcPr>
            <w:tcW w:w="180" w:type="dxa"/>
            <w:vAlign w:val="bottom"/>
          </w:tcPr>
          <w:p>
            <w:pPr>
              <w:spacing w:after="0"/>
              <w:rPr>
                <w:sz w:val="14"/>
                <w:szCs w:val="14"/>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0.3</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19.4</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19.7</w:t>
            </w:r>
          </w:p>
        </w:tc>
        <w:tc>
          <w:tcPr>
            <w:tcW w:w="0" w:type="dxa"/>
            <w:vAlign w:val="bottom"/>
          </w:tcPr>
          <w:p>
            <w:pPr>
              <w:spacing w:after="0"/>
              <w:rPr>
                <w:sz w:val="1"/>
                <w:szCs w:val="1"/>
                <w:color w:val="auto"/>
              </w:rPr>
            </w:pPr>
          </w:p>
        </w:tc>
      </w:tr>
      <w:tr>
        <w:trPr>
          <w:trHeight w:val="162"/>
        </w:trPr>
        <w:tc>
          <w:tcPr>
            <w:tcW w:w="294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Issuance costs</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gridSpan w:val="2"/>
            <w:shd w:val="clear" w:color="auto" w:fill="CFF0FC"/>
          </w:tcPr>
          <w:p>
            <w:pPr>
              <w:jc w:val="right"/>
              <w:ind w:right="108"/>
              <w:spacing w:after="0"/>
              <w:rPr>
                <w:sz w:val="20"/>
                <w:szCs w:val="20"/>
                <w:color w:val="auto"/>
              </w:rPr>
            </w:pPr>
            <w:r>
              <w:rPr>
                <w:rFonts w:ascii="Arial" w:cs="Arial" w:eastAsia="Arial" w:hAnsi="Arial"/>
                <w:sz w:val="14"/>
                <w:szCs w:val="14"/>
                <w:color w:val="auto"/>
              </w:rPr>
              <w:t>(0.3)</w:t>
            </w:r>
          </w:p>
        </w:tc>
        <w:tc>
          <w:tcPr>
            <w:tcW w:w="14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6"/>
        </w:trPr>
        <w:tc>
          <w:tcPr>
            <w:tcW w:w="2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line="147" w:lineRule="exact"/>
              <w:rPr>
                <w:sz w:val="20"/>
                <w:szCs w:val="20"/>
                <w:color w:val="auto"/>
              </w:rPr>
            </w:pPr>
            <w:r>
              <w:rPr>
                <w:rFonts w:ascii="Arial" w:cs="Arial" w:eastAsia="Arial" w:hAnsi="Arial"/>
                <w:sz w:val="14"/>
                <w:szCs w:val="14"/>
                <w:color w:val="auto"/>
              </w:rPr>
              <w:t>72,902,67</w:t>
            </w: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940" w:type="dxa"/>
            <w:vAlign w:val="bottom"/>
            <w:gridSpan w:val="2"/>
          </w:tcPr>
          <w:p>
            <w:pPr>
              <w:spacing w:after="0"/>
              <w:rPr>
                <w:sz w:val="20"/>
                <w:szCs w:val="20"/>
                <w:color w:val="auto"/>
              </w:rPr>
            </w:pPr>
            <w:r>
              <w:rPr>
                <w:rFonts w:ascii="Arial" w:cs="Arial" w:eastAsia="Arial" w:hAnsi="Arial"/>
                <w:sz w:val="14"/>
                <w:szCs w:val="14"/>
                <w:b w:val="1"/>
                <w:bCs w:val="1"/>
                <w:color w:val="auto"/>
              </w:rPr>
              <w:t>June 30, 2025</w:t>
            </w:r>
          </w:p>
        </w:tc>
        <w:tc>
          <w:tcPr>
            <w:tcW w:w="84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6</w:t>
            </w:r>
          </w:p>
        </w:tc>
        <w:tc>
          <w:tcPr>
            <w:tcW w:w="18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68"/>
              <w:spacing w:after="0" w:line="151" w:lineRule="exact"/>
              <w:rPr>
                <w:sz w:val="20"/>
                <w:szCs w:val="20"/>
                <w:color w:val="auto"/>
              </w:rPr>
            </w:pPr>
            <w:r>
              <w:rPr>
                <w:rFonts w:ascii="Arial" w:cs="Arial" w:eastAsia="Arial" w:hAnsi="Arial"/>
                <w:sz w:val="14"/>
                <w:szCs w:val="14"/>
                <w:color w:val="auto"/>
              </w:rPr>
              <w:t>72.9</w:t>
            </w:r>
          </w:p>
        </w:tc>
        <w:tc>
          <w:tcPr>
            <w:tcW w:w="880" w:type="dxa"/>
            <w:vAlign w:val="bottom"/>
            <w:tcBorders>
              <w:bottom w:val="single" w:sz="8" w:color="auto"/>
            </w:tcBorders>
          </w:tcPr>
          <w:p>
            <w:pPr>
              <w:jc w:val="right"/>
              <w:ind w:right="8"/>
              <w:spacing w:after="0" w:line="151" w:lineRule="exact"/>
              <w:rPr>
                <w:sz w:val="20"/>
                <w:szCs w:val="20"/>
                <w:color w:val="auto"/>
              </w:rPr>
            </w:pPr>
            <w:r>
              <w:rPr>
                <w:rFonts w:ascii="Arial" w:cs="Arial" w:eastAsia="Arial" w:hAnsi="Arial"/>
                <w:sz w:val="14"/>
                <w:szCs w:val="14"/>
                <w:color w:val="auto"/>
              </w:rPr>
              <w:t>47,947</w:t>
            </w:r>
          </w:p>
        </w:tc>
        <w:tc>
          <w:tcPr>
            <w:tcW w:w="200" w:type="dxa"/>
            <w:vAlign w:val="bottom"/>
            <w:tcBorders>
              <w:bottom w:val="single" w:sz="8" w:color="auto"/>
            </w:tcBorders>
          </w:tcPr>
          <w:p>
            <w:pPr>
              <w:jc w:val="right"/>
              <w:ind w:right="8"/>
              <w:spacing w:after="0" w:line="151"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(2.8)</w:t>
            </w:r>
          </w:p>
        </w:tc>
        <w:tc>
          <w:tcPr>
            <w:tcW w:w="10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w w:val="76"/>
              </w:rPr>
              <w:t>$</w:t>
            </w: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2,260.7</w:t>
            </w:r>
          </w:p>
        </w:tc>
        <w:tc>
          <w:tcPr>
            <w:tcW w:w="24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48"/>
              <w:spacing w:after="0" w:line="151" w:lineRule="exact"/>
              <w:rPr>
                <w:sz w:val="20"/>
                <w:szCs w:val="20"/>
                <w:color w:val="auto"/>
              </w:rPr>
            </w:pPr>
            <w:r>
              <w:rPr>
                <w:rFonts w:ascii="Arial" w:cs="Arial" w:eastAsia="Arial" w:hAnsi="Arial"/>
                <w:sz w:val="14"/>
                <w:szCs w:val="14"/>
                <w:color w:val="auto"/>
              </w:rPr>
              <w:t>1,313.3</w:t>
            </w:r>
          </w:p>
        </w:tc>
        <w:tc>
          <w:tcPr>
            <w:tcW w:w="180" w:type="dxa"/>
            <w:vAlign w:val="bottom"/>
            <w:tcBorders>
              <w:bottom w:val="single" w:sz="8" w:color="auto"/>
            </w:tcBorders>
          </w:tcPr>
          <w:p>
            <w:pPr>
              <w:jc w:val="right"/>
              <w:ind w:right="28"/>
              <w:spacing w:after="0" w:line="151" w:lineRule="exact"/>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(8.0)</w:t>
            </w:r>
          </w:p>
        </w:tc>
        <w:tc>
          <w:tcPr>
            <w:tcW w:w="16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8"/>
              <w:spacing w:after="0" w:line="151" w:lineRule="exact"/>
              <w:rPr>
                <w:sz w:val="20"/>
                <w:szCs w:val="20"/>
                <w:color w:val="auto"/>
              </w:rPr>
            </w:pPr>
            <w:r>
              <w:rPr>
                <w:rFonts w:ascii="Arial" w:cs="Arial" w:eastAsia="Arial" w:hAnsi="Arial"/>
                <w:sz w:val="14"/>
                <w:szCs w:val="14"/>
                <w:color w:val="auto"/>
              </w:rPr>
              <w:t>83.3</w:t>
            </w:r>
          </w:p>
        </w:tc>
        <w:tc>
          <w:tcPr>
            <w:tcW w:w="220" w:type="dxa"/>
            <w:vAlign w:val="bottom"/>
            <w:tcBorders>
              <w:bottom w:val="single" w:sz="8" w:color="auto"/>
            </w:tcBorders>
          </w:tcPr>
          <w:p>
            <w:pPr>
              <w:jc w:val="right"/>
              <w:ind w:right="48"/>
              <w:spacing w:after="0" w:line="151"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68"/>
              <w:spacing w:after="0" w:line="151" w:lineRule="exact"/>
              <w:rPr>
                <w:sz w:val="20"/>
                <w:szCs w:val="20"/>
                <w:color w:val="auto"/>
              </w:rPr>
            </w:pPr>
            <w:r>
              <w:rPr>
                <w:rFonts w:ascii="Arial" w:cs="Arial" w:eastAsia="Arial" w:hAnsi="Arial"/>
                <w:sz w:val="14"/>
                <w:szCs w:val="14"/>
                <w:color w:val="auto"/>
              </w:rPr>
              <w:t>3,719.4</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bottom w:val="single" w:sz="8" w:color="auto"/>
            </w:tcBorders>
            <w:gridSpan w:val="3"/>
          </w:tcPr>
          <w:p>
            <w:pPr>
              <w:spacing w:after="0" w:line="20" w:lineRule="exact"/>
              <w:rPr>
                <w:sz w:val="1"/>
                <w:szCs w:val="1"/>
                <w:color w:val="auto"/>
              </w:rPr>
            </w:pPr>
          </w:p>
        </w:tc>
        <w:tc>
          <w:tcPr>
            <w:tcW w:w="1800" w:type="dxa"/>
            <w:vAlign w:val="bottom"/>
            <w:tcBorders>
              <w:bottom w:val="single" w:sz="8" w:color="auto"/>
            </w:tcBorders>
            <w:gridSpan w:val="3"/>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940" w:type="dxa"/>
            <w:vAlign w:val="bottom"/>
            <w:gridSpan w:val="2"/>
          </w:tcPr>
          <w:p>
            <w:pPr>
              <w:spacing w:after="0"/>
              <w:rPr>
                <w:sz w:val="20"/>
                <w:szCs w:val="20"/>
                <w:color w:val="auto"/>
              </w:rPr>
            </w:pPr>
            <w:r>
              <w:rPr>
                <w:rFonts w:ascii="Arial" w:cs="Arial" w:eastAsia="Arial" w:hAnsi="Arial"/>
                <w:sz w:val="14"/>
                <w:szCs w:val="14"/>
                <w:b w:val="1"/>
                <w:bCs w:val="1"/>
                <w:color w:val="auto"/>
              </w:rPr>
              <w:t>(unaudited)</w:t>
            </w:r>
          </w:p>
        </w:tc>
        <w:tc>
          <w:tcPr>
            <w:tcW w:w="1780" w:type="dxa"/>
            <w:vAlign w:val="bottom"/>
            <w:gridSpan w:val="3"/>
          </w:tcPr>
          <w:p>
            <w:pPr>
              <w:jc w:val="right"/>
              <w:ind w:right="448"/>
              <w:spacing w:after="0"/>
              <w:rPr>
                <w:sz w:val="20"/>
                <w:szCs w:val="20"/>
                <w:color w:val="auto"/>
              </w:rPr>
            </w:pPr>
            <w:r>
              <w:rPr>
                <w:rFonts w:ascii="Arial" w:cs="Arial" w:eastAsia="Arial" w:hAnsi="Arial"/>
                <w:sz w:val="14"/>
                <w:szCs w:val="14"/>
                <w:b w:val="1"/>
                <w:bCs w:val="1"/>
                <w:color w:val="auto"/>
              </w:rPr>
              <w:t>Common Stock</w:t>
            </w:r>
          </w:p>
        </w:tc>
        <w:tc>
          <w:tcPr>
            <w:tcW w:w="1800" w:type="dxa"/>
            <w:vAlign w:val="bottom"/>
            <w:gridSpan w:val="3"/>
          </w:tcPr>
          <w:p>
            <w:pPr>
              <w:jc w:val="right"/>
              <w:ind w:right="348"/>
              <w:spacing w:after="0"/>
              <w:rPr>
                <w:sz w:val="20"/>
                <w:szCs w:val="20"/>
                <w:color w:val="auto"/>
              </w:rPr>
            </w:pPr>
            <w:r>
              <w:rPr>
                <w:rFonts w:ascii="Arial" w:cs="Arial" w:eastAsia="Arial" w:hAnsi="Arial"/>
                <w:sz w:val="14"/>
                <w:szCs w:val="14"/>
                <w:b w:val="1"/>
                <w:bCs w:val="1"/>
                <w:color w:val="auto"/>
              </w:rPr>
              <w:t>Treasury Stock</w:t>
            </w:r>
          </w:p>
        </w:tc>
        <w:tc>
          <w:tcPr>
            <w:tcW w:w="100" w:type="dxa"/>
            <w:vAlign w:val="bottom"/>
          </w:tcPr>
          <w:p>
            <w:pPr>
              <w:spacing w:after="0"/>
              <w:rPr>
                <w:sz w:val="24"/>
                <w:szCs w:val="24"/>
                <w:color w:val="auto"/>
              </w:rPr>
            </w:pPr>
          </w:p>
        </w:tc>
        <w:tc>
          <w:tcPr>
            <w:tcW w:w="940" w:type="dxa"/>
            <w:vAlign w:val="bottom"/>
            <w:gridSpan w:val="3"/>
            <w:vMerge w:val="restart"/>
          </w:tcPr>
          <w:p>
            <w:pPr>
              <w:jc w:val="center"/>
              <w:ind w:right="48"/>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rPr>
              <w:t>Non-</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28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rPr>
              <w:t>Paid in</w:t>
            </w:r>
          </w:p>
        </w:tc>
        <w:tc>
          <w:tcPr>
            <w:tcW w:w="240" w:type="dxa"/>
            <w:vAlign w:val="bottom"/>
          </w:tcPr>
          <w:p>
            <w:pPr>
              <w:spacing w:after="0"/>
              <w:rPr>
                <w:sz w:val="14"/>
                <w:szCs w:val="14"/>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b w:val="1"/>
                <w:bCs w:val="1"/>
                <w:color w:val="auto"/>
              </w:rPr>
              <w:t>Retained</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rPr>
              <w:t>controlling</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8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Shares</w:t>
            </w: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Value</w:t>
            </w:r>
          </w:p>
        </w:tc>
        <w:tc>
          <w:tcPr>
            <w:tcW w:w="8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Shares</w:t>
            </w: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Capital</w:t>
            </w: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AOCI</w:t>
            </w: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Interest</w:t>
            </w: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5"/>
        </w:trPr>
        <w:tc>
          <w:tcPr>
            <w:tcW w:w="28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540" w:type="dxa"/>
            <w:vAlign w:val="bottom"/>
            <w:tcBorders>
              <w:bottom w:val="single" w:sz="8" w:color="auto"/>
            </w:tcBorders>
            <w:gridSpan w:val="7"/>
          </w:tcPr>
          <w:p>
            <w:pPr>
              <w:jc w:val="right"/>
              <w:ind w:right="188"/>
              <w:spacing w:after="0" w:line="155" w:lineRule="exact"/>
              <w:rPr>
                <w:sz w:val="20"/>
                <w:szCs w:val="20"/>
                <w:color w:val="auto"/>
              </w:rPr>
            </w:pPr>
            <w:r>
              <w:rPr>
                <w:rFonts w:ascii="Arial" w:cs="Arial" w:eastAsia="Arial" w:hAnsi="Arial"/>
                <w:sz w:val="14"/>
                <w:szCs w:val="14"/>
                <w:color w:val="auto"/>
              </w:rPr>
              <w:t>(in millions except share amounts)</w:t>
            </w: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8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40" w:type="dxa"/>
            <w:vAlign w:val="bottom"/>
            <w:shd w:val="clear" w:color="auto" w:fill="CFF0FC"/>
          </w:tcPr>
          <w:p>
            <w:pPr>
              <w:jc w:val="right"/>
              <w:ind w:right="28"/>
              <w:spacing w:after="0" w:line="147" w:lineRule="exact"/>
              <w:rPr>
                <w:sz w:val="20"/>
                <w:szCs w:val="20"/>
                <w:color w:val="auto"/>
              </w:rPr>
            </w:pPr>
            <w:r>
              <w:rPr>
                <w:rFonts w:ascii="Arial" w:cs="Arial" w:eastAsia="Arial" w:hAnsi="Arial"/>
                <w:sz w:val="14"/>
                <w:szCs w:val="14"/>
                <w:color w:val="auto"/>
              </w:rPr>
              <w:t>68,265,04</w:t>
            </w: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940" w:type="dxa"/>
            <w:vAlign w:val="bottom"/>
            <w:gridSpan w:val="2"/>
            <w:shd w:val="clear" w:color="auto" w:fill="CFF0FC"/>
          </w:tcPr>
          <w:p>
            <w:pPr>
              <w:spacing w:after="0"/>
              <w:rPr>
                <w:sz w:val="20"/>
                <w:szCs w:val="20"/>
                <w:color w:val="auto"/>
              </w:rPr>
            </w:pPr>
            <w:r>
              <w:rPr>
                <w:rFonts w:ascii="Arial" w:cs="Arial" w:eastAsia="Arial" w:hAnsi="Arial"/>
                <w:sz w:val="14"/>
                <w:szCs w:val="14"/>
                <w:b w:val="1"/>
                <w:bCs w:val="1"/>
                <w:color w:val="auto"/>
              </w:rPr>
              <w:t>December 31, 2023</w:t>
            </w:r>
          </w:p>
        </w:tc>
        <w:tc>
          <w:tcPr>
            <w:tcW w:w="8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w:t>
            </w:r>
          </w:p>
        </w:tc>
        <w:tc>
          <w:tcPr>
            <w:tcW w:w="1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rPr>
              <w:t>68.3</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68,073</w:t>
            </w: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(4.1)</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2,007.7</w:t>
            </w:r>
          </w:p>
        </w:tc>
        <w:tc>
          <w:tcPr>
            <w:tcW w:w="140" w:type="dxa"/>
            <w:vAlign w:val="bottom"/>
            <w:shd w:val="clear" w:color="auto" w:fill="CFF0FC"/>
          </w:tcPr>
          <w:p>
            <w:pPr>
              <w:ind w:left="20"/>
              <w:spacing w:after="0"/>
              <w:rPr>
                <w:sz w:val="20"/>
                <w:szCs w:val="20"/>
                <w:color w:val="auto"/>
              </w:rPr>
            </w:pPr>
            <w:r>
              <w:rPr>
                <w:rFonts w:ascii="Arial" w:cs="Arial" w:eastAsia="Arial" w:hAnsi="Arial"/>
                <w:sz w:val="14"/>
                <w:szCs w:val="14"/>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1,158.2</w:t>
            </w: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(14.8)</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90.5</w:t>
            </w: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3,305.8</w:t>
            </w:r>
          </w:p>
        </w:tc>
        <w:tc>
          <w:tcPr>
            <w:tcW w:w="0" w:type="dxa"/>
            <w:vAlign w:val="bottom"/>
          </w:tcPr>
          <w:p>
            <w:pPr>
              <w:spacing w:after="0"/>
              <w:rPr>
                <w:sz w:val="1"/>
                <w:szCs w:val="1"/>
                <w:color w:val="auto"/>
              </w:rPr>
            </w:pPr>
          </w:p>
        </w:tc>
      </w:tr>
      <w:tr>
        <w:trPr>
          <w:trHeight w:val="162"/>
        </w:trPr>
        <w:tc>
          <w:tcPr>
            <w:tcW w:w="2940" w:type="dxa"/>
            <w:vAlign w:val="bottom"/>
            <w:gridSpan w:val="2"/>
          </w:tcPr>
          <w:p>
            <w:pPr>
              <w:spacing w:after="0"/>
              <w:rPr>
                <w:sz w:val="20"/>
                <w:szCs w:val="20"/>
                <w:color w:val="auto"/>
              </w:rPr>
            </w:pPr>
            <w:r>
              <w:rPr>
                <w:rFonts w:ascii="Arial" w:cs="Arial" w:eastAsia="Arial" w:hAnsi="Arial"/>
                <w:sz w:val="14"/>
                <w:szCs w:val="14"/>
                <w:color w:val="auto"/>
              </w:rPr>
              <w:t>Net income</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jc w:val="right"/>
              <w:ind w:right="28"/>
              <w:spacing w:after="0"/>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127.9</w:t>
            </w:r>
          </w:p>
        </w:tc>
        <w:tc>
          <w:tcPr>
            <w:tcW w:w="180" w:type="dxa"/>
            <w:vAlign w:val="bottom"/>
          </w:tcPr>
          <w:p>
            <w:pPr>
              <w:spacing w:after="0"/>
              <w:rPr>
                <w:sz w:val="14"/>
                <w:szCs w:val="14"/>
                <w:color w:val="auto"/>
              </w:rPr>
            </w:pPr>
          </w:p>
        </w:tc>
        <w:tc>
          <w:tcPr>
            <w:tcW w:w="86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3.7</w:t>
            </w:r>
          </w:p>
        </w:tc>
        <w:tc>
          <w:tcPr>
            <w:tcW w:w="22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131.6</w:t>
            </w:r>
          </w:p>
        </w:tc>
        <w:tc>
          <w:tcPr>
            <w:tcW w:w="0" w:type="dxa"/>
            <w:vAlign w:val="bottom"/>
          </w:tcPr>
          <w:p>
            <w:pPr>
              <w:spacing w:after="0"/>
              <w:rPr>
                <w:sz w:val="1"/>
                <w:szCs w:val="1"/>
                <w:color w:val="auto"/>
              </w:rPr>
            </w:pPr>
          </w:p>
        </w:tc>
      </w:tr>
      <w:tr>
        <w:trPr>
          <w:trHeight w:val="162"/>
        </w:trPr>
        <w:tc>
          <w:tcPr>
            <w:tcW w:w="294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Other comprehensive income, net of tax</w:t>
            </w:r>
          </w:p>
        </w:tc>
        <w:tc>
          <w:tcPr>
            <w:tcW w:w="8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85"/>
              </w:rPr>
              <w:t>—</w:t>
            </w: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2.5</w:t>
            </w: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53"/>
        </w:trPr>
        <w:tc>
          <w:tcPr>
            <w:tcW w:w="2940" w:type="dxa"/>
            <w:vAlign w:val="bottom"/>
            <w:gridSpan w:val="2"/>
          </w:tcPr>
          <w:p>
            <w:pPr>
              <w:spacing w:after="0" w:line="153" w:lineRule="exact"/>
              <w:rPr>
                <w:sz w:val="20"/>
                <w:szCs w:val="20"/>
                <w:color w:val="auto"/>
              </w:rPr>
            </w:pPr>
            <w:r>
              <w:rPr>
                <w:rFonts w:ascii="Arial" w:cs="Arial" w:eastAsia="Arial" w:hAnsi="Arial"/>
                <w:sz w:val="14"/>
                <w:szCs w:val="14"/>
                <w:color w:val="auto"/>
              </w:rPr>
              <w:t>Dividends on common stock ($0.65 per</w:t>
            </w: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940" w:type="dxa"/>
            <w:vAlign w:val="bottom"/>
            <w:gridSpan w:val="2"/>
          </w:tcPr>
          <w:p>
            <w:pPr>
              <w:spacing w:after="0"/>
              <w:rPr>
                <w:sz w:val="20"/>
                <w:szCs w:val="20"/>
                <w:color w:val="auto"/>
              </w:rPr>
            </w:pPr>
            <w:r>
              <w:rPr>
                <w:rFonts w:ascii="Arial" w:cs="Arial" w:eastAsia="Arial" w:hAnsi="Arial"/>
                <w:sz w:val="14"/>
                <w:szCs w:val="14"/>
                <w:color w:val="auto"/>
              </w:rPr>
              <w:t>share)</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jc w:val="right"/>
              <w:ind w:right="28"/>
              <w:spacing w:after="0"/>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(44.4)</w:t>
            </w:r>
          </w:p>
        </w:tc>
        <w:tc>
          <w:tcPr>
            <w:tcW w:w="180" w:type="dxa"/>
            <w:vAlign w:val="bottom"/>
          </w:tcPr>
          <w:p>
            <w:pPr>
              <w:spacing w:after="0"/>
              <w:rPr>
                <w:sz w:val="14"/>
                <w:szCs w:val="14"/>
                <w:color w:val="auto"/>
              </w:rPr>
            </w:pPr>
          </w:p>
        </w:tc>
        <w:tc>
          <w:tcPr>
            <w:tcW w:w="86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(44.4)</w:t>
            </w:r>
          </w:p>
        </w:tc>
        <w:tc>
          <w:tcPr>
            <w:tcW w:w="0" w:type="dxa"/>
            <w:vAlign w:val="bottom"/>
          </w:tcPr>
          <w:p>
            <w:pPr>
              <w:spacing w:after="0"/>
              <w:rPr>
                <w:sz w:val="1"/>
                <w:szCs w:val="1"/>
                <w:color w:val="auto"/>
              </w:rPr>
            </w:pPr>
          </w:p>
        </w:tc>
      </w:tr>
      <w:tr>
        <w:trPr>
          <w:trHeight w:val="162"/>
        </w:trPr>
        <w:tc>
          <w:tcPr>
            <w:tcW w:w="294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Share-based compensation</w:t>
            </w:r>
          </w:p>
        </w:tc>
        <w:tc>
          <w:tcPr>
            <w:tcW w:w="8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104,181</w:t>
            </w:r>
          </w:p>
        </w:tc>
        <w:tc>
          <w:tcPr>
            <w:tcW w:w="18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rPr>
              <w:t>0.1</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14,270</w:t>
            </w:r>
          </w:p>
        </w:tc>
        <w:tc>
          <w:tcPr>
            <w:tcW w:w="20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(0.6)</w:t>
            </w:r>
          </w:p>
        </w:tc>
        <w:tc>
          <w:tcPr>
            <w:tcW w:w="1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1.9</w:t>
            </w: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62"/>
        </w:trPr>
        <w:tc>
          <w:tcPr>
            <w:tcW w:w="2940" w:type="dxa"/>
            <w:vAlign w:val="bottom"/>
            <w:gridSpan w:val="2"/>
          </w:tcPr>
          <w:p>
            <w:pPr>
              <w:spacing w:after="0"/>
              <w:rPr>
                <w:sz w:val="20"/>
                <w:szCs w:val="20"/>
                <w:color w:val="auto"/>
              </w:rPr>
            </w:pPr>
            <w:r>
              <w:rPr>
                <w:rFonts w:ascii="Arial" w:cs="Arial" w:eastAsia="Arial" w:hAnsi="Arial"/>
                <w:sz w:val="14"/>
                <w:szCs w:val="14"/>
                <w:color w:val="auto"/>
              </w:rPr>
              <w:t>Issuance of common stock</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600,355</w:t>
            </w:r>
          </w:p>
        </w:tc>
        <w:tc>
          <w:tcPr>
            <w:tcW w:w="180" w:type="dxa"/>
            <w:vAlign w:val="bottom"/>
          </w:tcPr>
          <w:p>
            <w:pPr>
              <w:spacing w:after="0"/>
              <w:rPr>
                <w:sz w:val="14"/>
                <w:szCs w:val="14"/>
                <w:color w:val="auto"/>
              </w:rPr>
            </w:pP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0.6</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28"/>
              <w:spacing w:after="0"/>
              <w:rPr>
                <w:sz w:val="20"/>
                <w:szCs w:val="20"/>
                <w:color w:val="auto"/>
              </w:rPr>
            </w:pPr>
            <w:r>
              <w:rPr>
                <w:rFonts w:ascii="Arial" w:cs="Arial" w:eastAsia="Arial" w:hAnsi="Arial"/>
                <w:sz w:val="14"/>
                <w:szCs w:val="14"/>
                <w:color w:val="auto"/>
              </w:rPr>
              <w:t>30.9</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6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31.5</w:t>
            </w:r>
          </w:p>
        </w:tc>
        <w:tc>
          <w:tcPr>
            <w:tcW w:w="0" w:type="dxa"/>
            <w:vAlign w:val="bottom"/>
          </w:tcPr>
          <w:p>
            <w:pPr>
              <w:spacing w:after="0"/>
              <w:rPr>
                <w:sz w:val="1"/>
                <w:szCs w:val="1"/>
                <w:color w:val="auto"/>
              </w:rPr>
            </w:pPr>
          </w:p>
        </w:tc>
      </w:tr>
      <w:tr>
        <w:trPr>
          <w:trHeight w:val="162"/>
        </w:trPr>
        <w:tc>
          <w:tcPr>
            <w:tcW w:w="294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Issuance costs</w:t>
            </w:r>
          </w:p>
        </w:tc>
        <w:tc>
          <w:tcPr>
            <w:tcW w:w="8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(0.3)</w:t>
            </w: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62"/>
        </w:trPr>
        <w:tc>
          <w:tcPr>
            <w:tcW w:w="2940" w:type="dxa"/>
            <w:vAlign w:val="bottom"/>
            <w:gridSpan w:val="2"/>
          </w:tcPr>
          <w:p>
            <w:pPr>
              <w:spacing w:after="0"/>
              <w:rPr>
                <w:sz w:val="20"/>
                <w:szCs w:val="20"/>
                <w:color w:val="auto"/>
              </w:rPr>
            </w:pPr>
            <w:r>
              <w:rPr>
                <w:rFonts w:ascii="Arial" w:cs="Arial" w:eastAsia="Arial" w:hAnsi="Arial"/>
                <w:sz w:val="14"/>
                <w:szCs w:val="14"/>
                <w:color w:val="auto"/>
              </w:rPr>
              <w:t>Distributions to non-controlling interest</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jc w:val="right"/>
              <w:ind w:right="28"/>
              <w:spacing w:after="0"/>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6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980" w:type="dxa"/>
            <w:vAlign w:val="bottom"/>
            <w:gridSpan w:val="2"/>
          </w:tcPr>
          <w:p>
            <w:pPr>
              <w:jc w:val="right"/>
              <w:ind w:right="108"/>
              <w:spacing w:after="0"/>
              <w:rPr>
                <w:sz w:val="20"/>
                <w:szCs w:val="20"/>
                <w:color w:val="auto"/>
              </w:rPr>
            </w:pPr>
            <w:r>
              <w:rPr>
                <w:rFonts w:ascii="Arial" w:cs="Arial" w:eastAsia="Arial" w:hAnsi="Arial"/>
                <w:sz w:val="14"/>
                <w:szCs w:val="14"/>
                <w:color w:val="auto"/>
              </w:rPr>
              <w:t>(5.6)</w:t>
            </w:r>
          </w:p>
        </w:tc>
        <w:tc>
          <w:tcPr>
            <w:tcW w:w="740" w:type="dxa"/>
            <w:vAlign w:val="bottom"/>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46"/>
        </w:trPr>
        <w:tc>
          <w:tcPr>
            <w:tcW w:w="2840" w:type="dxa"/>
            <w:vAlign w:val="bottom"/>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840" w:type="dxa"/>
            <w:vAlign w:val="bottom"/>
            <w:tcBorders>
              <w:top w:val="single" w:sz="8" w:color="auto"/>
            </w:tcBorders>
            <w:shd w:val="clear" w:color="auto" w:fill="CFF0FC"/>
          </w:tcPr>
          <w:p>
            <w:pPr>
              <w:jc w:val="right"/>
              <w:ind w:right="28"/>
              <w:spacing w:after="0" w:line="147" w:lineRule="exact"/>
              <w:rPr>
                <w:sz w:val="20"/>
                <w:szCs w:val="20"/>
                <w:color w:val="auto"/>
              </w:rPr>
            </w:pPr>
            <w:r>
              <w:rPr>
                <w:rFonts w:ascii="Arial" w:cs="Arial" w:eastAsia="Arial" w:hAnsi="Arial"/>
                <w:sz w:val="14"/>
                <w:szCs w:val="14"/>
                <w:color w:val="auto"/>
              </w:rPr>
              <w:t>68,969,57</w:t>
            </w:r>
          </w:p>
        </w:tc>
        <w:tc>
          <w:tcPr>
            <w:tcW w:w="180" w:type="dxa"/>
            <w:vAlign w:val="bottom"/>
            <w:tcBorders>
              <w:top w:val="single" w:sz="8" w:color="auto"/>
            </w:tcBorders>
            <w:shd w:val="clear" w:color="auto" w:fill="CFF0FC"/>
          </w:tcPr>
          <w:p>
            <w:pPr>
              <w:spacing w:after="0"/>
              <w:rPr>
                <w:sz w:val="12"/>
                <w:szCs w:val="12"/>
                <w:color w:val="auto"/>
              </w:rPr>
            </w:pPr>
          </w:p>
        </w:tc>
        <w:tc>
          <w:tcPr>
            <w:tcW w:w="760" w:type="dxa"/>
            <w:vAlign w:val="bottom"/>
            <w:tcBorders>
              <w:top w:val="single" w:sz="8" w:color="auto"/>
            </w:tcBorders>
            <w:shd w:val="clear" w:color="auto" w:fill="CFF0FC"/>
          </w:tcPr>
          <w:p>
            <w:pPr>
              <w:spacing w:after="0"/>
              <w:rPr>
                <w:sz w:val="12"/>
                <w:szCs w:val="12"/>
                <w:color w:val="auto"/>
              </w:rPr>
            </w:pPr>
          </w:p>
        </w:tc>
        <w:tc>
          <w:tcPr>
            <w:tcW w:w="88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58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76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b w:val="1"/>
                <w:bCs w:val="1"/>
                <w:color w:val="auto"/>
              </w:rPr>
              <w:t>March 31, 2024</w:t>
            </w:r>
          </w:p>
        </w:tc>
        <w:tc>
          <w:tcPr>
            <w:tcW w:w="1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48"/>
              <w:spacing w:after="0" w:line="151" w:lineRule="exact"/>
              <w:rPr>
                <w:sz w:val="20"/>
                <w:szCs w:val="20"/>
                <w:color w:val="auto"/>
              </w:rPr>
            </w:pPr>
            <w:r>
              <w:rPr>
                <w:rFonts w:ascii="Arial" w:cs="Arial" w:eastAsia="Arial" w:hAnsi="Arial"/>
                <w:sz w:val="14"/>
                <w:szCs w:val="14"/>
                <w:color w:val="auto"/>
              </w:rPr>
              <w:t>8</w:t>
            </w:r>
          </w:p>
        </w:tc>
        <w:tc>
          <w:tcPr>
            <w:tcW w:w="180" w:type="dxa"/>
            <w:vAlign w:val="bottom"/>
            <w:tcBorders>
              <w:bottom w:val="single" w:sz="8" w:color="auto"/>
            </w:tcBorders>
            <w:shd w:val="clear" w:color="auto" w:fill="CFF0FC"/>
          </w:tcPr>
          <w:p>
            <w:pPr>
              <w:jc w:val="right"/>
              <w:ind w:right="8"/>
              <w:spacing w:after="0" w:line="151"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FF0FC"/>
          </w:tcPr>
          <w:p>
            <w:pPr>
              <w:jc w:val="right"/>
              <w:ind w:right="128"/>
              <w:spacing w:after="0" w:line="151" w:lineRule="exact"/>
              <w:rPr>
                <w:sz w:val="20"/>
                <w:szCs w:val="20"/>
                <w:color w:val="auto"/>
              </w:rPr>
            </w:pPr>
            <w:r>
              <w:rPr>
                <w:rFonts w:ascii="Arial" w:cs="Arial" w:eastAsia="Arial" w:hAnsi="Arial"/>
                <w:sz w:val="14"/>
                <w:szCs w:val="14"/>
                <w:color w:val="auto"/>
              </w:rPr>
              <w:t>69.0</w:t>
            </w:r>
          </w:p>
        </w:tc>
        <w:tc>
          <w:tcPr>
            <w:tcW w:w="880" w:type="dxa"/>
            <w:vAlign w:val="bottom"/>
            <w:tcBorders>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82,343</w:t>
            </w:r>
          </w:p>
        </w:tc>
        <w:tc>
          <w:tcPr>
            <w:tcW w:w="200" w:type="dxa"/>
            <w:vAlign w:val="bottom"/>
            <w:tcBorders>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gridSpan w:val="2"/>
            <w:shd w:val="clear" w:color="auto" w:fill="CFF0FC"/>
          </w:tcPr>
          <w:p>
            <w:pPr>
              <w:jc w:val="right"/>
              <w:spacing w:after="0" w:line="151" w:lineRule="exact"/>
              <w:rPr>
                <w:sz w:val="20"/>
                <w:szCs w:val="20"/>
                <w:color w:val="auto"/>
              </w:rPr>
            </w:pPr>
            <w:r>
              <w:rPr>
                <w:rFonts w:ascii="Arial" w:cs="Arial" w:eastAsia="Arial" w:hAnsi="Arial"/>
                <w:sz w:val="14"/>
                <w:szCs w:val="14"/>
                <w:color w:val="auto"/>
              </w:rPr>
              <w:t>(4.7)</w:t>
            </w:r>
          </w:p>
        </w:tc>
        <w:tc>
          <w:tcPr>
            <w:tcW w:w="120" w:type="dxa"/>
            <w:vAlign w:val="bottom"/>
            <w:tcBorders>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gridSpan w:val="2"/>
            <w:shd w:val="clear" w:color="auto" w:fill="CFF0FC"/>
          </w:tcPr>
          <w:p>
            <w:pPr>
              <w:jc w:val="right"/>
              <w:ind w:right="28"/>
              <w:spacing w:after="0" w:line="151" w:lineRule="exact"/>
              <w:rPr>
                <w:sz w:val="20"/>
                <w:szCs w:val="20"/>
                <w:color w:val="auto"/>
              </w:rPr>
            </w:pPr>
            <w:r>
              <w:rPr>
                <w:rFonts w:ascii="Arial" w:cs="Arial" w:eastAsia="Arial" w:hAnsi="Arial"/>
                <w:sz w:val="14"/>
                <w:szCs w:val="14"/>
                <w:color w:val="auto"/>
              </w:rPr>
              <w:t>2,040.2</w:t>
            </w:r>
          </w:p>
        </w:tc>
        <w:tc>
          <w:tcPr>
            <w:tcW w:w="140" w:type="dxa"/>
            <w:vAlign w:val="bottom"/>
            <w:tcBorders>
              <w:bottom w:val="single" w:sz="8" w:color="auto"/>
            </w:tcBorders>
            <w:shd w:val="clear" w:color="auto" w:fill="CFF0FC"/>
          </w:tcPr>
          <w:p>
            <w:pPr>
              <w:ind w:left="20"/>
              <w:spacing w:after="0" w:line="151"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1,241.7</w:t>
            </w:r>
          </w:p>
        </w:tc>
        <w:tc>
          <w:tcPr>
            <w:tcW w:w="180" w:type="dxa"/>
            <w:vAlign w:val="bottom"/>
            <w:tcBorders>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gridSpan w:val="2"/>
            <w:shd w:val="clear" w:color="auto" w:fill="CFF0FC"/>
          </w:tcPr>
          <w:p>
            <w:pPr>
              <w:jc w:val="right"/>
              <w:spacing w:after="0" w:line="151" w:lineRule="exact"/>
              <w:rPr>
                <w:sz w:val="20"/>
                <w:szCs w:val="20"/>
                <w:color w:val="auto"/>
              </w:rPr>
            </w:pPr>
            <w:r>
              <w:rPr>
                <w:rFonts w:ascii="Arial" w:cs="Arial" w:eastAsia="Arial" w:hAnsi="Arial"/>
                <w:sz w:val="14"/>
                <w:szCs w:val="14"/>
                <w:color w:val="auto"/>
              </w:rPr>
              <w:t>(12.3)</w:t>
            </w:r>
          </w:p>
        </w:tc>
        <w:tc>
          <w:tcPr>
            <w:tcW w:w="140" w:type="dxa"/>
            <w:vAlign w:val="bottom"/>
            <w:tcBorders>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88.6</w:t>
            </w:r>
          </w:p>
        </w:tc>
        <w:tc>
          <w:tcPr>
            <w:tcW w:w="220" w:type="dxa"/>
            <w:vAlign w:val="bottom"/>
            <w:tcBorders>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FF0FC"/>
          </w:tcPr>
          <w:p>
            <w:pPr>
              <w:jc w:val="right"/>
              <w:ind w:right="48"/>
              <w:spacing w:after="0" w:line="151" w:lineRule="exact"/>
              <w:rPr>
                <w:sz w:val="20"/>
                <w:szCs w:val="20"/>
                <w:color w:val="auto"/>
              </w:rPr>
            </w:pPr>
            <w:r>
              <w:rPr>
                <w:rFonts w:ascii="Arial" w:cs="Arial" w:eastAsia="Arial" w:hAnsi="Arial"/>
                <w:sz w:val="14"/>
                <w:szCs w:val="14"/>
                <w:color w:val="auto"/>
              </w:rPr>
              <w:t>3,422.5</w:t>
            </w:r>
          </w:p>
        </w:tc>
        <w:tc>
          <w:tcPr>
            <w:tcW w:w="0" w:type="dxa"/>
            <w:vAlign w:val="bottom"/>
          </w:tcPr>
          <w:p>
            <w:pPr>
              <w:spacing w:after="0"/>
              <w:rPr>
                <w:sz w:val="1"/>
                <w:szCs w:val="1"/>
                <w:color w:val="auto"/>
              </w:rPr>
            </w:pPr>
          </w:p>
        </w:tc>
      </w:tr>
      <w:tr>
        <w:trPr>
          <w:trHeight w:val="143"/>
        </w:trPr>
        <w:tc>
          <w:tcPr>
            <w:tcW w:w="2940" w:type="dxa"/>
            <w:vAlign w:val="bottom"/>
            <w:gridSpan w:val="2"/>
          </w:tcPr>
          <w:p>
            <w:pPr>
              <w:spacing w:after="0" w:line="143" w:lineRule="exact"/>
              <w:rPr>
                <w:sz w:val="20"/>
                <w:szCs w:val="20"/>
                <w:color w:val="auto"/>
              </w:rPr>
            </w:pPr>
            <w:r>
              <w:rPr>
                <w:rFonts w:ascii="Arial" w:cs="Arial" w:eastAsia="Arial" w:hAnsi="Arial"/>
                <w:sz w:val="14"/>
                <w:szCs w:val="14"/>
                <w:color w:val="auto"/>
              </w:rPr>
              <w:t>Net income</w:t>
            </w:r>
          </w:p>
        </w:tc>
        <w:tc>
          <w:tcPr>
            <w:tcW w:w="840" w:type="dxa"/>
            <w:vAlign w:val="bottom"/>
          </w:tcPr>
          <w:p>
            <w:pPr>
              <w:jc w:val="right"/>
              <w:ind w:right="48"/>
              <w:spacing w:after="0" w:line="143"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60" w:type="dxa"/>
            <w:vAlign w:val="bottom"/>
          </w:tcPr>
          <w:p>
            <w:pPr>
              <w:jc w:val="right"/>
              <w:ind w:right="128"/>
              <w:spacing w:after="0" w:line="143"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2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jc w:val="right"/>
              <w:ind w:right="28"/>
              <w:spacing w:after="0" w:line="143" w:lineRule="exact"/>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12"/>
                <w:szCs w:val="12"/>
                <w:color w:val="auto"/>
              </w:rPr>
            </w:pPr>
          </w:p>
        </w:tc>
        <w:tc>
          <w:tcPr>
            <w:tcW w:w="640" w:type="dxa"/>
            <w:vAlign w:val="bottom"/>
          </w:tcPr>
          <w:p>
            <w:pPr>
              <w:jc w:val="right"/>
              <w:spacing w:after="0" w:line="143" w:lineRule="exact"/>
              <w:rPr>
                <w:sz w:val="20"/>
                <w:szCs w:val="20"/>
                <w:color w:val="auto"/>
              </w:rPr>
            </w:pPr>
            <w:r>
              <w:rPr>
                <w:rFonts w:ascii="Arial" w:cs="Arial" w:eastAsia="Arial" w:hAnsi="Arial"/>
                <w:sz w:val="14"/>
                <w:szCs w:val="14"/>
                <w:color w:val="auto"/>
              </w:rPr>
              <w:t>22.8</w:t>
            </w:r>
          </w:p>
        </w:tc>
        <w:tc>
          <w:tcPr>
            <w:tcW w:w="180" w:type="dxa"/>
            <w:vAlign w:val="bottom"/>
          </w:tcPr>
          <w:p>
            <w:pPr>
              <w:spacing w:after="0"/>
              <w:rPr>
                <w:sz w:val="12"/>
                <w:szCs w:val="12"/>
                <w:color w:val="auto"/>
              </w:rPr>
            </w:pPr>
          </w:p>
        </w:tc>
        <w:tc>
          <w:tcPr>
            <w:tcW w:w="860" w:type="dxa"/>
            <w:vAlign w:val="bottom"/>
            <w:gridSpan w:val="2"/>
          </w:tcPr>
          <w:p>
            <w:pPr>
              <w:jc w:val="right"/>
              <w:ind w:right="8"/>
              <w:spacing w:after="0" w:line="143"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60" w:type="dxa"/>
            <w:vAlign w:val="bottom"/>
          </w:tcPr>
          <w:p>
            <w:pPr>
              <w:jc w:val="right"/>
              <w:spacing w:after="0" w:line="143" w:lineRule="exact"/>
              <w:rPr>
                <w:sz w:val="20"/>
                <w:szCs w:val="20"/>
                <w:color w:val="auto"/>
              </w:rPr>
            </w:pPr>
            <w:r>
              <w:rPr>
                <w:rFonts w:ascii="Arial" w:cs="Arial" w:eastAsia="Arial" w:hAnsi="Arial"/>
                <w:sz w:val="14"/>
                <w:szCs w:val="14"/>
                <w:color w:val="auto"/>
              </w:rPr>
              <w:t>1.9</w:t>
            </w:r>
          </w:p>
        </w:tc>
        <w:tc>
          <w:tcPr>
            <w:tcW w:w="220" w:type="dxa"/>
            <w:vAlign w:val="bottom"/>
          </w:tcPr>
          <w:p>
            <w:pPr>
              <w:spacing w:after="0"/>
              <w:rPr>
                <w:sz w:val="12"/>
                <w:szCs w:val="12"/>
                <w:color w:val="auto"/>
              </w:rPr>
            </w:pPr>
          </w:p>
        </w:tc>
        <w:tc>
          <w:tcPr>
            <w:tcW w:w="740" w:type="dxa"/>
            <w:vAlign w:val="bottom"/>
          </w:tcPr>
          <w:p>
            <w:pPr>
              <w:jc w:val="right"/>
              <w:ind w:right="48"/>
              <w:spacing w:after="0" w:line="143" w:lineRule="exact"/>
              <w:rPr>
                <w:sz w:val="20"/>
                <w:szCs w:val="20"/>
                <w:color w:val="auto"/>
              </w:rPr>
            </w:pPr>
            <w:r>
              <w:rPr>
                <w:rFonts w:ascii="Arial" w:cs="Arial" w:eastAsia="Arial" w:hAnsi="Arial"/>
                <w:sz w:val="14"/>
                <w:szCs w:val="14"/>
                <w:color w:val="auto"/>
              </w:rPr>
              <w:t>24.7</w:t>
            </w:r>
          </w:p>
        </w:tc>
        <w:tc>
          <w:tcPr>
            <w:tcW w:w="0" w:type="dxa"/>
            <w:vAlign w:val="bottom"/>
          </w:tcPr>
          <w:p>
            <w:pPr>
              <w:spacing w:after="0"/>
              <w:rPr>
                <w:sz w:val="1"/>
                <w:szCs w:val="1"/>
                <w:color w:val="auto"/>
              </w:rPr>
            </w:pPr>
          </w:p>
        </w:tc>
      </w:tr>
      <w:tr>
        <w:trPr>
          <w:trHeight w:val="162"/>
        </w:trPr>
        <w:tc>
          <w:tcPr>
            <w:tcW w:w="294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Other comprehensive income, net of tax</w:t>
            </w:r>
          </w:p>
        </w:tc>
        <w:tc>
          <w:tcPr>
            <w:tcW w:w="8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85"/>
              </w:rPr>
              <w:t>—</w:t>
            </w: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1.0</w:t>
            </w: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53"/>
        </w:trPr>
        <w:tc>
          <w:tcPr>
            <w:tcW w:w="2940" w:type="dxa"/>
            <w:vAlign w:val="bottom"/>
            <w:gridSpan w:val="2"/>
          </w:tcPr>
          <w:p>
            <w:pPr>
              <w:spacing w:after="0" w:line="153" w:lineRule="exact"/>
              <w:rPr>
                <w:sz w:val="20"/>
                <w:szCs w:val="20"/>
                <w:color w:val="auto"/>
              </w:rPr>
            </w:pPr>
            <w:r>
              <w:rPr>
                <w:rFonts w:ascii="Arial" w:cs="Arial" w:eastAsia="Arial" w:hAnsi="Arial"/>
                <w:sz w:val="14"/>
                <w:szCs w:val="14"/>
                <w:color w:val="auto"/>
              </w:rPr>
              <w:t>Dividends on common stock ($0.65 per</w:t>
            </w: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940" w:type="dxa"/>
            <w:vAlign w:val="bottom"/>
            <w:gridSpan w:val="2"/>
          </w:tcPr>
          <w:p>
            <w:pPr>
              <w:spacing w:after="0"/>
              <w:rPr>
                <w:sz w:val="20"/>
                <w:szCs w:val="20"/>
                <w:color w:val="auto"/>
              </w:rPr>
            </w:pPr>
            <w:r>
              <w:rPr>
                <w:rFonts w:ascii="Arial" w:cs="Arial" w:eastAsia="Arial" w:hAnsi="Arial"/>
                <w:sz w:val="14"/>
                <w:szCs w:val="14"/>
                <w:color w:val="auto"/>
              </w:rPr>
              <w:t>share)</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jc w:val="right"/>
              <w:ind w:right="28"/>
              <w:spacing w:after="0"/>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(44.9)</w:t>
            </w:r>
          </w:p>
        </w:tc>
        <w:tc>
          <w:tcPr>
            <w:tcW w:w="180" w:type="dxa"/>
            <w:vAlign w:val="bottom"/>
          </w:tcPr>
          <w:p>
            <w:pPr>
              <w:spacing w:after="0"/>
              <w:rPr>
                <w:sz w:val="14"/>
                <w:szCs w:val="14"/>
                <w:color w:val="auto"/>
              </w:rPr>
            </w:pPr>
          </w:p>
        </w:tc>
        <w:tc>
          <w:tcPr>
            <w:tcW w:w="86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(44.9)</w:t>
            </w:r>
          </w:p>
        </w:tc>
        <w:tc>
          <w:tcPr>
            <w:tcW w:w="0" w:type="dxa"/>
            <w:vAlign w:val="bottom"/>
          </w:tcPr>
          <w:p>
            <w:pPr>
              <w:spacing w:after="0"/>
              <w:rPr>
                <w:sz w:val="1"/>
                <w:szCs w:val="1"/>
                <w:color w:val="auto"/>
              </w:rPr>
            </w:pPr>
          </w:p>
        </w:tc>
      </w:tr>
      <w:tr>
        <w:trPr>
          <w:trHeight w:val="162"/>
        </w:trPr>
        <w:tc>
          <w:tcPr>
            <w:tcW w:w="294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Share-based compensation</w:t>
            </w:r>
          </w:p>
        </w:tc>
        <w:tc>
          <w:tcPr>
            <w:tcW w:w="8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9,623</w:t>
            </w:r>
          </w:p>
        </w:tc>
        <w:tc>
          <w:tcPr>
            <w:tcW w:w="18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817</w:t>
            </w:r>
          </w:p>
        </w:tc>
        <w:tc>
          <w:tcPr>
            <w:tcW w:w="20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(0.2)</w:t>
            </w:r>
          </w:p>
        </w:tc>
        <w:tc>
          <w:tcPr>
            <w:tcW w:w="1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2.9</w:t>
            </w: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62"/>
        </w:trPr>
        <w:tc>
          <w:tcPr>
            <w:tcW w:w="2940" w:type="dxa"/>
            <w:vAlign w:val="bottom"/>
            <w:gridSpan w:val="2"/>
          </w:tcPr>
          <w:p>
            <w:pPr>
              <w:spacing w:after="0"/>
              <w:rPr>
                <w:sz w:val="20"/>
                <w:szCs w:val="20"/>
                <w:color w:val="auto"/>
              </w:rPr>
            </w:pPr>
            <w:r>
              <w:rPr>
                <w:rFonts w:ascii="Arial" w:cs="Arial" w:eastAsia="Arial" w:hAnsi="Arial"/>
                <w:sz w:val="14"/>
                <w:szCs w:val="14"/>
                <w:color w:val="auto"/>
              </w:rPr>
              <w:t>Issuance of common stock</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768,019</w:t>
            </w:r>
          </w:p>
        </w:tc>
        <w:tc>
          <w:tcPr>
            <w:tcW w:w="180" w:type="dxa"/>
            <w:vAlign w:val="bottom"/>
          </w:tcPr>
          <w:p>
            <w:pPr>
              <w:spacing w:after="0"/>
              <w:rPr>
                <w:sz w:val="14"/>
                <w:szCs w:val="14"/>
                <w:color w:val="auto"/>
              </w:rPr>
            </w:pP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0.7</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28"/>
              <w:spacing w:after="0"/>
              <w:rPr>
                <w:sz w:val="20"/>
                <w:szCs w:val="20"/>
                <w:color w:val="auto"/>
              </w:rPr>
            </w:pPr>
            <w:r>
              <w:rPr>
                <w:rFonts w:ascii="Arial" w:cs="Arial" w:eastAsia="Arial" w:hAnsi="Arial"/>
                <w:sz w:val="14"/>
                <w:szCs w:val="14"/>
                <w:color w:val="auto"/>
              </w:rPr>
              <w:t>41.5</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6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42.2</w:t>
            </w:r>
          </w:p>
        </w:tc>
        <w:tc>
          <w:tcPr>
            <w:tcW w:w="0" w:type="dxa"/>
            <w:vAlign w:val="bottom"/>
          </w:tcPr>
          <w:p>
            <w:pPr>
              <w:spacing w:after="0"/>
              <w:rPr>
                <w:sz w:val="1"/>
                <w:szCs w:val="1"/>
                <w:color w:val="auto"/>
              </w:rPr>
            </w:pPr>
          </w:p>
        </w:tc>
      </w:tr>
      <w:tr>
        <w:trPr>
          <w:trHeight w:val="162"/>
        </w:trPr>
        <w:tc>
          <w:tcPr>
            <w:tcW w:w="294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Issuance costs</w:t>
            </w:r>
          </w:p>
        </w:tc>
        <w:tc>
          <w:tcPr>
            <w:tcW w:w="8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(0.4)</w:t>
            </w: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62"/>
        </w:trPr>
        <w:tc>
          <w:tcPr>
            <w:tcW w:w="2940" w:type="dxa"/>
            <w:vAlign w:val="bottom"/>
            <w:gridSpan w:val="2"/>
          </w:tcPr>
          <w:p>
            <w:pPr>
              <w:spacing w:after="0"/>
              <w:rPr>
                <w:sz w:val="20"/>
                <w:szCs w:val="20"/>
                <w:color w:val="auto"/>
              </w:rPr>
            </w:pPr>
            <w:r>
              <w:rPr>
                <w:rFonts w:ascii="Arial" w:cs="Arial" w:eastAsia="Arial" w:hAnsi="Arial"/>
                <w:sz w:val="14"/>
                <w:szCs w:val="14"/>
                <w:color w:val="auto"/>
              </w:rPr>
              <w:t>Distributions to non-controlling interest</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jc w:val="right"/>
              <w:ind w:right="28"/>
              <w:spacing w:after="0"/>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6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980" w:type="dxa"/>
            <w:vAlign w:val="bottom"/>
            <w:gridSpan w:val="2"/>
          </w:tcPr>
          <w:p>
            <w:pPr>
              <w:jc w:val="right"/>
              <w:ind w:right="108"/>
              <w:spacing w:after="0"/>
              <w:rPr>
                <w:sz w:val="20"/>
                <w:szCs w:val="20"/>
                <w:color w:val="auto"/>
              </w:rPr>
            </w:pPr>
            <w:r>
              <w:rPr>
                <w:rFonts w:ascii="Arial" w:cs="Arial" w:eastAsia="Arial" w:hAnsi="Arial"/>
                <w:sz w:val="14"/>
                <w:szCs w:val="14"/>
                <w:color w:val="auto"/>
              </w:rPr>
              <w:t>(4.4)</w:t>
            </w:r>
          </w:p>
        </w:tc>
        <w:tc>
          <w:tcPr>
            <w:tcW w:w="740" w:type="dxa"/>
            <w:vAlign w:val="bottom"/>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46"/>
        </w:trPr>
        <w:tc>
          <w:tcPr>
            <w:tcW w:w="2840" w:type="dxa"/>
            <w:vAlign w:val="bottom"/>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840" w:type="dxa"/>
            <w:vAlign w:val="bottom"/>
            <w:tcBorders>
              <w:top w:val="single" w:sz="8" w:color="auto"/>
            </w:tcBorders>
            <w:shd w:val="clear" w:color="auto" w:fill="CFF0FC"/>
          </w:tcPr>
          <w:p>
            <w:pPr>
              <w:jc w:val="right"/>
              <w:ind w:right="28"/>
              <w:spacing w:after="0" w:line="147" w:lineRule="exact"/>
              <w:rPr>
                <w:sz w:val="20"/>
                <w:szCs w:val="20"/>
                <w:color w:val="auto"/>
              </w:rPr>
            </w:pPr>
            <w:r>
              <w:rPr>
                <w:rFonts w:ascii="Arial" w:cs="Arial" w:eastAsia="Arial" w:hAnsi="Arial"/>
                <w:sz w:val="14"/>
                <w:szCs w:val="14"/>
                <w:color w:val="auto"/>
              </w:rPr>
              <w:t>69,747,22</w:t>
            </w:r>
          </w:p>
        </w:tc>
        <w:tc>
          <w:tcPr>
            <w:tcW w:w="180" w:type="dxa"/>
            <w:vAlign w:val="bottom"/>
            <w:tcBorders>
              <w:top w:val="single" w:sz="8" w:color="auto"/>
            </w:tcBorders>
            <w:shd w:val="clear" w:color="auto" w:fill="CFF0FC"/>
          </w:tcPr>
          <w:p>
            <w:pPr>
              <w:spacing w:after="0"/>
              <w:rPr>
                <w:sz w:val="12"/>
                <w:szCs w:val="12"/>
                <w:color w:val="auto"/>
              </w:rPr>
            </w:pPr>
          </w:p>
        </w:tc>
        <w:tc>
          <w:tcPr>
            <w:tcW w:w="760" w:type="dxa"/>
            <w:vAlign w:val="bottom"/>
            <w:tcBorders>
              <w:top w:val="single" w:sz="8" w:color="auto"/>
            </w:tcBorders>
            <w:shd w:val="clear" w:color="auto" w:fill="CFF0FC"/>
          </w:tcPr>
          <w:p>
            <w:pPr>
              <w:spacing w:after="0"/>
              <w:rPr>
                <w:sz w:val="12"/>
                <w:szCs w:val="12"/>
                <w:color w:val="auto"/>
              </w:rPr>
            </w:pPr>
          </w:p>
        </w:tc>
        <w:tc>
          <w:tcPr>
            <w:tcW w:w="88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58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76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b w:val="1"/>
                <w:bCs w:val="1"/>
                <w:color w:val="auto"/>
              </w:rPr>
              <w:t>June 30, 2024</w:t>
            </w:r>
          </w:p>
        </w:tc>
        <w:tc>
          <w:tcPr>
            <w:tcW w:w="1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48"/>
              <w:spacing w:after="0" w:line="151" w:lineRule="exact"/>
              <w:rPr>
                <w:sz w:val="20"/>
                <w:szCs w:val="20"/>
                <w:color w:val="auto"/>
              </w:rPr>
            </w:pPr>
            <w:r>
              <w:rPr>
                <w:rFonts w:ascii="Arial" w:cs="Arial" w:eastAsia="Arial" w:hAnsi="Arial"/>
                <w:sz w:val="14"/>
                <w:szCs w:val="14"/>
                <w:color w:val="auto"/>
              </w:rPr>
              <w:t>0</w:t>
            </w:r>
          </w:p>
        </w:tc>
        <w:tc>
          <w:tcPr>
            <w:tcW w:w="180" w:type="dxa"/>
            <w:vAlign w:val="bottom"/>
            <w:tcBorders>
              <w:bottom w:val="single" w:sz="8" w:color="auto"/>
            </w:tcBorders>
            <w:shd w:val="clear" w:color="auto" w:fill="CFF0FC"/>
          </w:tcPr>
          <w:p>
            <w:pPr>
              <w:jc w:val="right"/>
              <w:ind w:right="8"/>
              <w:spacing w:after="0" w:line="151"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FF0FC"/>
          </w:tcPr>
          <w:p>
            <w:pPr>
              <w:jc w:val="right"/>
              <w:ind w:right="128"/>
              <w:spacing w:after="0" w:line="151" w:lineRule="exact"/>
              <w:rPr>
                <w:sz w:val="20"/>
                <w:szCs w:val="20"/>
                <w:color w:val="auto"/>
              </w:rPr>
            </w:pPr>
            <w:r>
              <w:rPr>
                <w:rFonts w:ascii="Arial" w:cs="Arial" w:eastAsia="Arial" w:hAnsi="Arial"/>
                <w:sz w:val="14"/>
                <w:szCs w:val="14"/>
                <w:color w:val="auto"/>
              </w:rPr>
              <w:t>69.7</w:t>
            </w:r>
          </w:p>
        </w:tc>
        <w:tc>
          <w:tcPr>
            <w:tcW w:w="880" w:type="dxa"/>
            <w:vAlign w:val="bottom"/>
            <w:tcBorders>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83,160</w:t>
            </w:r>
          </w:p>
        </w:tc>
        <w:tc>
          <w:tcPr>
            <w:tcW w:w="200" w:type="dxa"/>
            <w:vAlign w:val="bottom"/>
            <w:tcBorders>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gridSpan w:val="2"/>
            <w:shd w:val="clear" w:color="auto" w:fill="CFF0FC"/>
          </w:tcPr>
          <w:p>
            <w:pPr>
              <w:jc w:val="right"/>
              <w:spacing w:after="0" w:line="151" w:lineRule="exact"/>
              <w:rPr>
                <w:sz w:val="20"/>
                <w:szCs w:val="20"/>
                <w:color w:val="auto"/>
              </w:rPr>
            </w:pPr>
            <w:r>
              <w:rPr>
                <w:rFonts w:ascii="Arial" w:cs="Arial" w:eastAsia="Arial" w:hAnsi="Arial"/>
                <w:sz w:val="14"/>
                <w:szCs w:val="14"/>
                <w:color w:val="auto"/>
              </w:rPr>
              <w:t>(4.9)</w:t>
            </w:r>
          </w:p>
        </w:tc>
        <w:tc>
          <w:tcPr>
            <w:tcW w:w="120" w:type="dxa"/>
            <w:vAlign w:val="bottom"/>
            <w:tcBorders>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gridSpan w:val="2"/>
            <w:shd w:val="clear" w:color="auto" w:fill="CFF0FC"/>
          </w:tcPr>
          <w:p>
            <w:pPr>
              <w:jc w:val="right"/>
              <w:ind w:right="28"/>
              <w:spacing w:after="0" w:line="151" w:lineRule="exact"/>
              <w:rPr>
                <w:sz w:val="20"/>
                <w:szCs w:val="20"/>
                <w:color w:val="auto"/>
              </w:rPr>
            </w:pPr>
            <w:r>
              <w:rPr>
                <w:rFonts w:ascii="Arial" w:cs="Arial" w:eastAsia="Arial" w:hAnsi="Arial"/>
                <w:sz w:val="14"/>
                <w:szCs w:val="14"/>
                <w:color w:val="auto"/>
              </w:rPr>
              <w:t>2,084.2</w:t>
            </w:r>
          </w:p>
        </w:tc>
        <w:tc>
          <w:tcPr>
            <w:tcW w:w="140" w:type="dxa"/>
            <w:vAlign w:val="bottom"/>
            <w:tcBorders>
              <w:bottom w:val="single" w:sz="8" w:color="auto"/>
            </w:tcBorders>
            <w:shd w:val="clear" w:color="auto" w:fill="CFF0FC"/>
          </w:tcPr>
          <w:p>
            <w:pPr>
              <w:ind w:left="20"/>
              <w:spacing w:after="0" w:line="151"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1,219.6</w:t>
            </w:r>
          </w:p>
        </w:tc>
        <w:tc>
          <w:tcPr>
            <w:tcW w:w="180" w:type="dxa"/>
            <w:vAlign w:val="bottom"/>
            <w:tcBorders>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gridSpan w:val="2"/>
            <w:shd w:val="clear" w:color="auto" w:fill="CFF0FC"/>
          </w:tcPr>
          <w:p>
            <w:pPr>
              <w:jc w:val="right"/>
              <w:spacing w:after="0" w:line="151" w:lineRule="exact"/>
              <w:rPr>
                <w:sz w:val="20"/>
                <w:szCs w:val="20"/>
                <w:color w:val="auto"/>
              </w:rPr>
            </w:pPr>
            <w:r>
              <w:rPr>
                <w:rFonts w:ascii="Arial" w:cs="Arial" w:eastAsia="Arial" w:hAnsi="Arial"/>
                <w:sz w:val="14"/>
                <w:szCs w:val="14"/>
                <w:color w:val="auto"/>
              </w:rPr>
              <w:t>(11.3)</w:t>
            </w:r>
          </w:p>
        </w:tc>
        <w:tc>
          <w:tcPr>
            <w:tcW w:w="140" w:type="dxa"/>
            <w:vAlign w:val="bottom"/>
            <w:tcBorders>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86.1</w:t>
            </w:r>
          </w:p>
        </w:tc>
        <w:tc>
          <w:tcPr>
            <w:tcW w:w="220" w:type="dxa"/>
            <w:vAlign w:val="bottom"/>
            <w:tcBorders>
              <w:bottom w:val="single" w:sz="8" w:color="auto"/>
            </w:tcBorders>
            <w:shd w:val="clear" w:color="auto" w:fill="CFF0FC"/>
          </w:tcPr>
          <w:p>
            <w:pPr>
              <w:jc w:val="right"/>
              <w:spacing w:after="0" w:line="151"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FF0FC"/>
          </w:tcPr>
          <w:p>
            <w:pPr>
              <w:jc w:val="right"/>
              <w:ind w:right="48"/>
              <w:spacing w:after="0" w:line="151" w:lineRule="exact"/>
              <w:rPr>
                <w:sz w:val="20"/>
                <w:szCs w:val="20"/>
                <w:color w:val="auto"/>
              </w:rPr>
            </w:pPr>
            <w:r>
              <w:rPr>
                <w:rFonts w:ascii="Arial" w:cs="Arial" w:eastAsia="Arial" w:hAnsi="Arial"/>
                <w:sz w:val="14"/>
                <w:szCs w:val="14"/>
                <w:color w:val="auto"/>
              </w:rPr>
              <w:t>3,443.4</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BLACK HILLS CORPORATION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Condensed 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(unaudited)</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(Reference is made to Notes to Consolidated Financial Statements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included in the Company’s 2024 Annual Report on Form 10-K)</w:t>
      </w:r>
    </w:p>
    <w:p>
      <w:pPr>
        <w:spacing w:after="0" w:line="205" w:lineRule="exact"/>
        <w:rPr>
          <w:sz w:val="20"/>
          <w:szCs w:val="20"/>
          <w:color w:val="auto"/>
        </w:rPr>
      </w:pPr>
    </w:p>
    <w:p>
      <w:pPr>
        <w:ind w:left="520" w:hanging="512"/>
        <w:spacing w:after="0"/>
        <w:tabs>
          <w:tab w:leader="none" w:pos="52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Management’s Statement</w:t>
      </w:r>
    </w:p>
    <w:p>
      <w:pPr>
        <w:spacing w:after="0" w:line="194"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The unaudited Consolidated Financial Statements included herein have been prepared by Black Hills Corporation (together with our subsidiaries the “Company”, “us”, “we”, or “our”), pursuant to the rules and regulations of the SEC. Certain information and footnote disclosures normally included in financial statements prepared in accordance with accounting principles generally accepted in the United States of America have been condensed or omitted pursuant to such rules and regulations; however, we believe that the footnotes adequately disclose the information presented. These Consolidated Financial Statements should be read in conjunction with the consolidated financial statements and the notes included in our 2024 Annual Report on Form 10-K.</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Use of Estimates and Basis of Presentation</w:t>
      </w:r>
    </w:p>
    <w:p>
      <w:pPr>
        <w:spacing w:after="0" w:line="194"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The information furnished in the accompanying Consolidated Financial Statements reflects certain estimates required and all adjustments, including accruals, which are, in the opinion of management, necessary for a fair presentation of the June 30, 2025, December 31, 2024, and June 30, 2024, financial information. Certain lines of business in which we operate are highly seasonal and our interim results of operations are not necessarily indicative of the results of operations to be expected for an entire year.</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Recently Issued Accounting Standards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Improvements to Income Tax Disclosures, ASU 2023-09</w:t>
      </w:r>
    </w:p>
    <w:p>
      <w:pPr>
        <w:spacing w:after="0" w:line="194"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 xml:space="preserve">In December 2023, the FASB issued ASU 2023-09, </w:t>
      </w:r>
      <w:r>
        <w:rPr>
          <w:rFonts w:ascii="Arial" w:cs="Arial" w:eastAsia="Arial" w:hAnsi="Arial"/>
          <w:sz w:val="16"/>
          <w:szCs w:val="16"/>
          <w:i w:val="1"/>
          <w:iCs w:val="1"/>
          <w:color w:val="auto"/>
        </w:rPr>
        <w:t>Improvements to Income Tax Disclosures</w:t>
      </w:r>
      <w:r>
        <w:rPr>
          <w:rFonts w:ascii="Arial" w:cs="Arial" w:eastAsia="Arial" w:hAnsi="Arial"/>
          <w:sz w:val="16"/>
          <w:szCs w:val="16"/>
          <w:color w:val="auto"/>
        </w:rPr>
        <w:t>, which expands public entities’ annual disclosures by requiring disclosure of tax rate reconciliation amounts and percentages for specific categories, income taxes paid disaggregated by federal and state taxes, and income tax expense disaggregated by federal and state taxes jurisdiction. The ASU is effective for our Annual Report on Form 10-K for the fiscal year ended December 31, 2025. We are evaluating the disclosure impact of ASU 2023-09; however, the standard is not expected to have an impact on our financial condition, results of operations and/or cash flows.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Disaggregation of Income Statement Expenses, ASU 2024-03</w:t>
      </w:r>
    </w:p>
    <w:p>
      <w:pPr>
        <w:spacing w:after="0" w:line="194"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 xml:space="preserve">In November 2024, the FASB issued ASU 2024-03, </w:t>
      </w:r>
      <w:r>
        <w:rPr>
          <w:rFonts w:ascii="Arial" w:cs="Arial" w:eastAsia="Arial" w:hAnsi="Arial"/>
          <w:sz w:val="16"/>
          <w:szCs w:val="16"/>
          <w:i w:val="1"/>
          <w:iCs w:val="1"/>
          <w:color w:val="auto"/>
        </w:rPr>
        <w:t>Income Statement - Reporting Comprehensive Income - Expense Disaggregation Disclosures</w:t>
      </w:r>
      <w:r>
        <w:rPr>
          <w:rFonts w:ascii="Arial" w:cs="Arial" w:eastAsia="Arial" w:hAnsi="Arial"/>
          <w:sz w:val="16"/>
          <w:szCs w:val="16"/>
          <w:color w:val="auto"/>
        </w:rPr>
        <w:t xml:space="preserve">, and in January 2025, the FASB issued ASU 2025-01, </w:t>
      </w:r>
      <w:r>
        <w:rPr>
          <w:rFonts w:ascii="Arial" w:cs="Arial" w:eastAsia="Arial" w:hAnsi="Arial"/>
          <w:sz w:val="16"/>
          <w:szCs w:val="16"/>
          <w:i w:val="1"/>
          <w:iCs w:val="1"/>
          <w:color w:val="auto"/>
        </w:rPr>
        <w:t>Income Statement - Reporting Comprehensive Income - Expense Disaggregation Disclosures: Clarifying the</w:t>
      </w:r>
      <w:r>
        <w:rPr>
          <w:rFonts w:ascii="Arial" w:cs="Arial" w:eastAsia="Arial" w:hAnsi="Arial"/>
          <w:sz w:val="16"/>
          <w:szCs w:val="16"/>
          <w:color w:val="auto"/>
        </w:rPr>
        <w:t xml:space="preserve"> </w:t>
      </w:r>
      <w:r>
        <w:rPr>
          <w:rFonts w:ascii="Arial" w:cs="Arial" w:eastAsia="Arial" w:hAnsi="Arial"/>
          <w:sz w:val="16"/>
          <w:szCs w:val="16"/>
          <w:i w:val="1"/>
          <w:iCs w:val="1"/>
          <w:color w:val="auto"/>
        </w:rPr>
        <w:t>Effective Date</w:t>
      </w:r>
      <w:r>
        <w:rPr>
          <w:rFonts w:ascii="Arial" w:cs="Arial" w:eastAsia="Arial" w:hAnsi="Arial"/>
          <w:sz w:val="16"/>
          <w:szCs w:val="16"/>
          <w:color w:val="auto"/>
        </w:rPr>
        <w:t>. ASU 2024-03 requires public entities to disclose, in the notes to financial statements, certain costs and expenses, such as purchases of</w:t>
      </w:r>
      <w:r>
        <w:rPr>
          <w:rFonts w:ascii="Arial" w:cs="Arial" w:eastAsia="Arial" w:hAnsi="Arial"/>
          <w:sz w:val="16"/>
          <w:szCs w:val="16"/>
          <w:i w:val="1"/>
          <w:iCs w:val="1"/>
          <w:color w:val="auto"/>
        </w:rPr>
        <w:t xml:space="preserve"> </w:t>
      </w:r>
      <w:r>
        <w:rPr>
          <w:rFonts w:ascii="Arial" w:cs="Arial" w:eastAsia="Arial" w:hAnsi="Arial"/>
          <w:sz w:val="16"/>
          <w:szCs w:val="16"/>
          <w:color w:val="auto"/>
        </w:rPr>
        <w:t>inventory, employee compensation, and costs related to depreciation and amortization. ASU 2024-03, as clarified by ASU 2025-01, is effective for our Annual Report on Form 10-K for the fiscal year ended December 31, 2027, and subsequent interim periods, with early adoption permitted. We are evaluating the disclosure impact of ASU 2024-03; however, the standard is not expected to have an impact on our financial condition, results of operations and/or cash flows.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4" w:name="page15"/>
    <w:bookmarkEnd w:id="1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60" w:type="dxa"/>
            <w:vAlign w:val="bottom"/>
          </w:tcPr>
          <w:p>
            <w:pPr>
              <w:spacing w:after="0"/>
              <w:rPr>
                <w:sz w:val="20"/>
                <w:szCs w:val="20"/>
                <w:color w:val="auto"/>
              </w:rPr>
            </w:pPr>
            <w:r>
              <w:rPr>
                <w:rFonts w:ascii="Arial" w:cs="Arial" w:eastAsia="Arial" w:hAnsi="Arial"/>
                <w:sz w:val="16"/>
                <w:szCs w:val="16"/>
                <w:b w:val="1"/>
                <w:bCs w:val="1"/>
                <w:color w:val="auto"/>
              </w:rPr>
              <w:t>(2)</w:t>
            </w:r>
          </w:p>
        </w:tc>
        <w:tc>
          <w:tcPr>
            <w:tcW w:w="5740" w:type="dxa"/>
            <w:vAlign w:val="bottom"/>
          </w:tcPr>
          <w:p>
            <w:pPr>
              <w:ind w:left="160"/>
              <w:spacing w:after="0"/>
              <w:rPr>
                <w:sz w:val="20"/>
                <w:szCs w:val="20"/>
                <w:color w:val="auto"/>
              </w:rPr>
            </w:pPr>
            <w:r>
              <w:rPr>
                <w:rFonts w:ascii="Arial" w:cs="Arial" w:eastAsia="Arial" w:hAnsi="Arial"/>
                <w:sz w:val="16"/>
                <w:szCs w:val="16"/>
                <w:b w:val="1"/>
                <w:bCs w:val="1"/>
                <w:color w:val="auto"/>
              </w:rPr>
              <w:t>Regulatory Matters</w:t>
            </w:r>
          </w:p>
        </w:tc>
        <w:tc>
          <w:tcPr>
            <w:tcW w:w="18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140" w:type="dxa"/>
            <w:vAlign w:val="bottom"/>
          </w:tcPr>
          <w:p>
            <w:pPr>
              <w:spacing w:after="0"/>
              <w:rPr>
                <w:sz w:val="19"/>
                <w:szCs w:val="19"/>
                <w:color w:val="auto"/>
              </w:rPr>
            </w:pPr>
          </w:p>
        </w:tc>
      </w:tr>
      <w:tr>
        <w:trPr>
          <w:trHeight w:val="370"/>
        </w:trPr>
        <w:tc>
          <w:tcPr>
            <w:tcW w:w="6100" w:type="dxa"/>
            <w:vAlign w:val="bottom"/>
            <w:gridSpan w:val="2"/>
          </w:tcPr>
          <w:p>
            <w:pPr>
              <w:spacing w:after="0"/>
              <w:rPr>
                <w:sz w:val="20"/>
                <w:szCs w:val="20"/>
                <w:color w:val="auto"/>
              </w:rPr>
            </w:pPr>
            <w:r>
              <w:rPr>
                <w:rFonts w:ascii="Arial" w:cs="Arial" w:eastAsia="Arial" w:hAnsi="Arial"/>
                <w:sz w:val="16"/>
                <w:szCs w:val="16"/>
                <w:color w:val="auto"/>
              </w:rPr>
              <w:t>We had the following regulatory assets and liabilities:</w:t>
            </w:r>
          </w:p>
        </w:tc>
        <w:tc>
          <w:tcPr>
            <w:tcW w:w="1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352"/>
        </w:trPr>
        <w:tc>
          <w:tcPr>
            <w:tcW w:w="36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1880" w:type="dxa"/>
            <w:vAlign w:val="bottom"/>
          </w:tcPr>
          <w:p>
            <w:pPr>
              <w:jc w:val="right"/>
              <w:ind w:right="359"/>
              <w:spacing w:after="0"/>
              <w:rPr>
                <w:sz w:val="20"/>
                <w:szCs w:val="20"/>
                <w:color w:val="auto"/>
              </w:rPr>
            </w:pPr>
            <w:r>
              <w:rPr>
                <w:rFonts w:ascii="Arial" w:cs="Arial" w:eastAsia="Arial" w:hAnsi="Arial"/>
                <w:sz w:val="16"/>
                <w:szCs w:val="16"/>
                <w:b w:val="1"/>
                <w:bCs w:val="1"/>
                <w:color w:val="auto"/>
              </w:rPr>
              <w:t>As of</w:t>
            </w: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140" w:type="dxa"/>
            <w:vAlign w:val="bottom"/>
          </w:tcPr>
          <w:p>
            <w:pPr>
              <w:jc w:val="right"/>
              <w:ind w:right="1059"/>
              <w:spacing w:after="0"/>
              <w:rPr>
                <w:sz w:val="20"/>
                <w:szCs w:val="20"/>
                <w:color w:val="auto"/>
              </w:rPr>
            </w:pPr>
            <w:r>
              <w:rPr>
                <w:rFonts w:ascii="Arial" w:cs="Arial" w:eastAsia="Arial" w:hAnsi="Arial"/>
                <w:sz w:val="16"/>
                <w:szCs w:val="16"/>
                <w:b w:val="1"/>
                <w:bCs w:val="1"/>
                <w:color w:val="auto"/>
              </w:rPr>
              <w:t>As of</w:t>
            </w:r>
          </w:p>
        </w:tc>
      </w:tr>
      <w:tr>
        <w:trPr>
          <w:trHeight w:val="203"/>
        </w:trPr>
        <w:tc>
          <w:tcPr>
            <w:tcW w:w="360" w:type="dxa"/>
            <w:vAlign w:val="bottom"/>
          </w:tcPr>
          <w:p>
            <w:pPr>
              <w:spacing w:after="0"/>
              <w:rPr>
                <w:sz w:val="17"/>
                <w:szCs w:val="17"/>
                <w:color w:val="auto"/>
              </w:rPr>
            </w:pPr>
          </w:p>
        </w:tc>
        <w:tc>
          <w:tcPr>
            <w:tcW w:w="5740" w:type="dxa"/>
            <w:vAlign w:val="bottom"/>
          </w:tcPr>
          <w:p>
            <w:pPr>
              <w:spacing w:after="0"/>
              <w:rPr>
                <w:sz w:val="17"/>
                <w:szCs w:val="17"/>
                <w:color w:val="auto"/>
              </w:rPr>
            </w:pPr>
          </w:p>
        </w:tc>
        <w:tc>
          <w:tcPr>
            <w:tcW w:w="1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June 30, 2025</w:t>
            </w:r>
          </w:p>
        </w:tc>
        <w:tc>
          <w:tcPr>
            <w:tcW w:w="6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December 31, 2024</w:t>
            </w:r>
          </w:p>
        </w:tc>
      </w:tr>
      <w:tr>
        <w:trPr>
          <w:trHeight w:val="183"/>
        </w:trPr>
        <w:tc>
          <w:tcPr>
            <w:tcW w:w="360" w:type="dxa"/>
            <w:vAlign w:val="bottom"/>
          </w:tcPr>
          <w:p>
            <w:pPr>
              <w:spacing w:after="0"/>
              <w:rPr>
                <w:sz w:val="15"/>
                <w:szCs w:val="15"/>
                <w:color w:val="auto"/>
              </w:rPr>
            </w:pPr>
          </w:p>
        </w:tc>
        <w:tc>
          <w:tcPr>
            <w:tcW w:w="5740" w:type="dxa"/>
            <w:vAlign w:val="bottom"/>
          </w:tcPr>
          <w:p>
            <w:pPr>
              <w:spacing w:after="0"/>
              <w:rPr>
                <w:sz w:val="15"/>
                <w:szCs w:val="15"/>
                <w:color w:val="auto"/>
              </w:rPr>
            </w:pPr>
          </w:p>
        </w:tc>
        <w:tc>
          <w:tcPr>
            <w:tcW w:w="18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right"/>
              <w:spacing w:after="0" w:line="183" w:lineRule="exact"/>
              <w:rPr>
                <w:sz w:val="20"/>
                <w:szCs w:val="20"/>
                <w:color w:val="auto"/>
              </w:rPr>
            </w:pPr>
            <w:r>
              <w:rPr>
                <w:rFonts w:ascii="Arial" w:cs="Arial" w:eastAsia="Arial" w:hAnsi="Arial"/>
                <w:sz w:val="16"/>
                <w:szCs w:val="16"/>
                <w:color w:val="auto"/>
              </w:rPr>
              <w:t>(in millions)</w:t>
            </w:r>
          </w:p>
        </w:tc>
        <w:tc>
          <w:tcPr>
            <w:tcW w:w="2140" w:type="dxa"/>
            <w:vAlign w:val="bottom"/>
            <w:tcBorders>
              <w:bottom w:val="single" w:sz="8" w:color="auto"/>
            </w:tcBorders>
          </w:tcPr>
          <w:p>
            <w:pPr>
              <w:spacing w:after="0"/>
              <w:rPr>
                <w:sz w:val="15"/>
                <w:szCs w:val="15"/>
                <w:color w:val="auto"/>
              </w:rPr>
            </w:pPr>
          </w:p>
        </w:tc>
      </w:tr>
      <w:tr>
        <w:trPr>
          <w:trHeight w:val="183"/>
        </w:trPr>
        <w:tc>
          <w:tcPr>
            <w:tcW w:w="6100" w:type="dxa"/>
            <w:vAlign w:val="bottom"/>
            <w:gridSpan w:val="2"/>
            <w:shd w:val="clear" w:color="auto" w:fill="CFF0FC"/>
          </w:tcPr>
          <w:p>
            <w:pPr>
              <w:spacing w:after="0" w:line="183" w:lineRule="exact"/>
              <w:rPr>
                <w:sz w:val="20"/>
                <w:szCs w:val="20"/>
                <w:color w:val="auto"/>
              </w:rPr>
            </w:pPr>
            <w:r>
              <w:rPr>
                <w:rFonts w:ascii="Arial" w:cs="Arial" w:eastAsia="Arial" w:hAnsi="Arial"/>
                <w:sz w:val="16"/>
                <w:szCs w:val="16"/>
                <w:color w:val="auto"/>
              </w:rPr>
              <w:t>Regulatory assets</w:t>
            </w:r>
          </w:p>
        </w:tc>
        <w:tc>
          <w:tcPr>
            <w:tcW w:w="18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2140" w:type="dxa"/>
            <w:vAlign w:val="bottom"/>
            <w:shd w:val="clear" w:color="auto" w:fill="CFF0FC"/>
          </w:tcPr>
          <w:p>
            <w:pPr>
              <w:spacing w:after="0"/>
              <w:rPr>
                <w:sz w:val="15"/>
                <w:szCs w:val="15"/>
                <w:color w:val="auto"/>
              </w:rPr>
            </w:pPr>
          </w:p>
        </w:tc>
      </w:tr>
      <w:tr>
        <w:trPr>
          <w:trHeight w:val="189"/>
        </w:trPr>
        <w:tc>
          <w:tcPr>
            <w:tcW w:w="6100" w:type="dxa"/>
            <w:vAlign w:val="bottom"/>
            <w:gridSpan w:val="2"/>
          </w:tcPr>
          <w:p>
            <w:pPr>
              <w:ind w:left="60"/>
              <w:spacing w:after="0"/>
              <w:rPr>
                <w:sz w:val="20"/>
                <w:szCs w:val="20"/>
                <w:color w:val="auto"/>
              </w:rPr>
            </w:pPr>
            <w:r>
              <w:rPr>
                <w:rFonts w:ascii="Arial" w:cs="Arial" w:eastAsia="Arial" w:hAnsi="Arial"/>
                <w:sz w:val="16"/>
                <w:szCs w:val="16"/>
                <w:color w:val="auto"/>
              </w:rPr>
              <w:t>Winter Storm Uri</w:t>
            </w:r>
          </w:p>
        </w:tc>
        <w:tc>
          <w:tcPr>
            <w:tcW w:w="1880" w:type="dxa"/>
            <w:vAlign w:val="bottom"/>
          </w:tcPr>
          <w:p>
            <w:pPr>
              <w:jc w:val="right"/>
              <w:ind w:right="169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64.9</w:t>
            </w: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2140" w:type="dxa"/>
            <w:vAlign w:val="bottom"/>
          </w:tcPr>
          <w:p>
            <w:pPr>
              <w:jc w:val="right"/>
              <w:ind w:right="39"/>
              <w:spacing w:after="0"/>
              <w:rPr>
                <w:sz w:val="20"/>
                <w:szCs w:val="20"/>
                <w:color w:val="auto"/>
              </w:rPr>
            </w:pPr>
            <w:r>
              <w:rPr>
                <w:rFonts w:ascii="Arial" w:cs="Arial" w:eastAsia="Arial" w:hAnsi="Arial"/>
                <w:sz w:val="16"/>
                <w:szCs w:val="16"/>
                <w:color w:val="auto"/>
              </w:rPr>
              <w:t>109.5</w:t>
            </w:r>
          </w:p>
        </w:tc>
      </w:tr>
      <w:tr>
        <w:trPr>
          <w:trHeight w:val="189"/>
        </w:trPr>
        <w:tc>
          <w:tcPr>
            <w:tcW w:w="6100" w:type="dxa"/>
            <w:vAlign w:val="bottom"/>
            <w:gridSpan w:val="2"/>
            <w:shd w:val="clear" w:color="auto" w:fill="CFF0FC"/>
          </w:tcPr>
          <w:p>
            <w:pPr>
              <w:ind w:left="60"/>
              <w:spacing w:after="0"/>
              <w:rPr>
                <w:sz w:val="20"/>
                <w:szCs w:val="20"/>
                <w:color w:val="auto"/>
              </w:rPr>
            </w:pPr>
            <w:r>
              <w:rPr>
                <w:rFonts w:ascii="Arial" w:cs="Arial" w:eastAsia="Arial" w:hAnsi="Arial"/>
                <w:sz w:val="16"/>
                <w:szCs w:val="16"/>
                <w:color w:val="auto"/>
              </w:rPr>
              <w:t>Deferred energy and fuel cost adjustments</w:t>
            </w:r>
          </w:p>
        </w:tc>
        <w:tc>
          <w:tcPr>
            <w:tcW w:w="188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70.6</w:t>
            </w:r>
          </w:p>
        </w:tc>
        <w:tc>
          <w:tcPr>
            <w:tcW w:w="440" w:type="dxa"/>
            <w:vAlign w:val="bottom"/>
            <w:shd w:val="clear" w:color="auto" w:fill="CFF0FC"/>
          </w:tcPr>
          <w:p>
            <w:pPr>
              <w:spacing w:after="0"/>
              <w:rPr>
                <w:sz w:val="16"/>
                <w:szCs w:val="16"/>
                <w:color w:val="auto"/>
              </w:rPr>
            </w:pPr>
          </w:p>
        </w:tc>
        <w:tc>
          <w:tcPr>
            <w:tcW w:w="2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62.8</w:t>
            </w:r>
          </w:p>
        </w:tc>
      </w:tr>
      <w:tr>
        <w:trPr>
          <w:trHeight w:val="189"/>
        </w:trPr>
        <w:tc>
          <w:tcPr>
            <w:tcW w:w="6100" w:type="dxa"/>
            <w:vAlign w:val="bottom"/>
            <w:gridSpan w:val="2"/>
          </w:tcPr>
          <w:p>
            <w:pPr>
              <w:ind w:left="60"/>
              <w:spacing w:after="0"/>
              <w:rPr>
                <w:sz w:val="20"/>
                <w:szCs w:val="20"/>
                <w:color w:val="auto"/>
              </w:rPr>
            </w:pPr>
            <w:r>
              <w:rPr>
                <w:rFonts w:ascii="Arial" w:cs="Arial" w:eastAsia="Arial" w:hAnsi="Arial"/>
                <w:sz w:val="16"/>
                <w:szCs w:val="16"/>
                <w:color w:val="auto"/>
              </w:rPr>
              <w:t>Deferred gas cost adjustments</w:t>
            </w:r>
          </w:p>
        </w:tc>
        <w:tc>
          <w:tcPr>
            <w:tcW w:w="188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3.0</w:t>
            </w:r>
          </w:p>
        </w:tc>
        <w:tc>
          <w:tcPr>
            <w:tcW w:w="440" w:type="dxa"/>
            <w:vAlign w:val="bottom"/>
          </w:tcPr>
          <w:p>
            <w:pPr>
              <w:spacing w:after="0"/>
              <w:rPr>
                <w:sz w:val="16"/>
                <w:szCs w:val="16"/>
                <w:color w:val="auto"/>
              </w:rPr>
            </w:pPr>
          </w:p>
        </w:tc>
        <w:tc>
          <w:tcPr>
            <w:tcW w:w="2140" w:type="dxa"/>
            <w:vAlign w:val="bottom"/>
          </w:tcPr>
          <w:p>
            <w:pPr>
              <w:jc w:val="right"/>
              <w:ind w:right="39"/>
              <w:spacing w:after="0"/>
              <w:rPr>
                <w:sz w:val="20"/>
                <w:szCs w:val="20"/>
                <w:color w:val="auto"/>
              </w:rPr>
            </w:pPr>
            <w:r>
              <w:rPr>
                <w:rFonts w:ascii="Arial" w:cs="Arial" w:eastAsia="Arial" w:hAnsi="Arial"/>
                <w:sz w:val="16"/>
                <w:szCs w:val="16"/>
                <w:color w:val="auto"/>
              </w:rPr>
              <w:t>14.5</w:t>
            </w:r>
          </w:p>
        </w:tc>
      </w:tr>
      <w:tr>
        <w:trPr>
          <w:trHeight w:val="189"/>
        </w:trPr>
        <w:tc>
          <w:tcPr>
            <w:tcW w:w="6100" w:type="dxa"/>
            <w:vAlign w:val="bottom"/>
            <w:gridSpan w:val="2"/>
            <w:shd w:val="clear" w:color="auto" w:fill="CFF0FC"/>
          </w:tcPr>
          <w:p>
            <w:pPr>
              <w:ind w:left="60"/>
              <w:spacing w:after="0"/>
              <w:rPr>
                <w:sz w:val="20"/>
                <w:szCs w:val="20"/>
                <w:color w:val="auto"/>
              </w:rPr>
            </w:pPr>
            <w:r>
              <w:rPr>
                <w:rFonts w:ascii="Arial" w:cs="Arial" w:eastAsia="Arial" w:hAnsi="Arial"/>
                <w:sz w:val="16"/>
                <w:szCs w:val="16"/>
                <w:color w:val="auto"/>
              </w:rPr>
              <w:t>Gas price derivatives</w:t>
            </w:r>
          </w:p>
        </w:tc>
        <w:tc>
          <w:tcPr>
            <w:tcW w:w="188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1.0</w:t>
            </w:r>
          </w:p>
        </w:tc>
        <w:tc>
          <w:tcPr>
            <w:tcW w:w="440" w:type="dxa"/>
            <w:vAlign w:val="bottom"/>
            <w:shd w:val="clear" w:color="auto" w:fill="CFF0FC"/>
          </w:tcPr>
          <w:p>
            <w:pPr>
              <w:spacing w:after="0"/>
              <w:rPr>
                <w:sz w:val="16"/>
                <w:szCs w:val="16"/>
                <w:color w:val="auto"/>
              </w:rPr>
            </w:pPr>
          </w:p>
        </w:tc>
        <w:tc>
          <w:tcPr>
            <w:tcW w:w="2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2.9</w:t>
            </w:r>
          </w:p>
        </w:tc>
      </w:tr>
      <w:tr>
        <w:trPr>
          <w:trHeight w:val="189"/>
        </w:trPr>
        <w:tc>
          <w:tcPr>
            <w:tcW w:w="6100" w:type="dxa"/>
            <w:vAlign w:val="bottom"/>
            <w:gridSpan w:val="2"/>
          </w:tcPr>
          <w:p>
            <w:pPr>
              <w:ind w:left="60"/>
              <w:spacing w:after="0"/>
              <w:rPr>
                <w:sz w:val="20"/>
                <w:szCs w:val="20"/>
                <w:color w:val="auto"/>
              </w:rPr>
            </w:pPr>
            <w:r>
              <w:rPr>
                <w:rFonts w:ascii="Arial" w:cs="Arial" w:eastAsia="Arial" w:hAnsi="Arial"/>
                <w:sz w:val="16"/>
                <w:szCs w:val="16"/>
                <w:color w:val="auto"/>
              </w:rPr>
              <w:t>Deferred taxes on AFUDC</w:t>
            </w:r>
          </w:p>
        </w:tc>
        <w:tc>
          <w:tcPr>
            <w:tcW w:w="188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9.0</w:t>
            </w:r>
          </w:p>
        </w:tc>
        <w:tc>
          <w:tcPr>
            <w:tcW w:w="440" w:type="dxa"/>
            <w:vAlign w:val="bottom"/>
          </w:tcPr>
          <w:p>
            <w:pPr>
              <w:spacing w:after="0"/>
              <w:rPr>
                <w:sz w:val="16"/>
                <w:szCs w:val="16"/>
                <w:color w:val="auto"/>
              </w:rPr>
            </w:pPr>
          </w:p>
        </w:tc>
        <w:tc>
          <w:tcPr>
            <w:tcW w:w="2140" w:type="dxa"/>
            <w:vAlign w:val="bottom"/>
          </w:tcPr>
          <w:p>
            <w:pPr>
              <w:jc w:val="right"/>
              <w:ind w:right="39"/>
              <w:spacing w:after="0"/>
              <w:rPr>
                <w:sz w:val="20"/>
                <w:szCs w:val="20"/>
                <w:color w:val="auto"/>
              </w:rPr>
            </w:pPr>
            <w:r>
              <w:rPr>
                <w:rFonts w:ascii="Arial" w:cs="Arial" w:eastAsia="Arial" w:hAnsi="Arial"/>
                <w:sz w:val="16"/>
                <w:szCs w:val="16"/>
                <w:color w:val="auto"/>
              </w:rPr>
              <w:t>8.0</w:t>
            </w:r>
          </w:p>
        </w:tc>
      </w:tr>
      <w:tr>
        <w:trPr>
          <w:trHeight w:val="189"/>
        </w:trPr>
        <w:tc>
          <w:tcPr>
            <w:tcW w:w="6100" w:type="dxa"/>
            <w:vAlign w:val="bottom"/>
            <w:gridSpan w:val="2"/>
            <w:shd w:val="clear" w:color="auto" w:fill="CFF0FC"/>
          </w:tcPr>
          <w:p>
            <w:pPr>
              <w:ind w:left="60"/>
              <w:spacing w:after="0"/>
              <w:rPr>
                <w:sz w:val="20"/>
                <w:szCs w:val="20"/>
                <w:color w:val="auto"/>
              </w:rPr>
            </w:pPr>
            <w:r>
              <w:rPr>
                <w:rFonts w:ascii="Arial" w:cs="Arial" w:eastAsia="Arial" w:hAnsi="Arial"/>
                <w:sz w:val="16"/>
                <w:szCs w:val="16"/>
                <w:color w:val="auto"/>
              </w:rPr>
              <w:t>Employee benefit plans and related deferred taxes</w:t>
            </w:r>
          </w:p>
        </w:tc>
        <w:tc>
          <w:tcPr>
            <w:tcW w:w="188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86.7</w:t>
            </w:r>
          </w:p>
        </w:tc>
        <w:tc>
          <w:tcPr>
            <w:tcW w:w="440" w:type="dxa"/>
            <w:vAlign w:val="bottom"/>
            <w:shd w:val="clear" w:color="auto" w:fill="CFF0FC"/>
          </w:tcPr>
          <w:p>
            <w:pPr>
              <w:spacing w:after="0"/>
              <w:rPr>
                <w:sz w:val="16"/>
                <w:szCs w:val="16"/>
                <w:color w:val="auto"/>
              </w:rPr>
            </w:pPr>
          </w:p>
        </w:tc>
        <w:tc>
          <w:tcPr>
            <w:tcW w:w="2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89.0</w:t>
            </w:r>
          </w:p>
        </w:tc>
      </w:tr>
      <w:tr>
        <w:trPr>
          <w:trHeight w:val="189"/>
        </w:trPr>
        <w:tc>
          <w:tcPr>
            <w:tcW w:w="6100" w:type="dxa"/>
            <w:vAlign w:val="bottom"/>
            <w:gridSpan w:val="2"/>
          </w:tcPr>
          <w:p>
            <w:pPr>
              <w:ind w:left="60"/>
              <w:spacing w:after="0"/>
              <w:rPr>
                <w:sz w:val="20"/>
                <w:szCs w:val="20"/>
                <w:color w:val="auto"/>
              </w:rPr>
            </w:pPr>
            <w:r>
              <w:rPr>
                <w:rFonts w:ascii="Arial" w:cs="Arial" w:eastAsia="Arial" w:hAnsi="Arial"/>
                <w:sz w:val="16"/>
                <w:szCs w:val="16"/>
                <w:color w:val="auto"/>
              </w:rPr>
              <w:t>Environmental</w:t>
            </w:r>
          </w:p>
        </w:tc>
        <w:tc>
          <w:tcPr>
            <w:tcW w:w="188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11.5</w:t>
            </w:r>
          </w:p>
        </w:tc>
        <w:tc>
          <w:tcPr>
            <w:tcW w:w="440" w:type="dxa"/>
            <w:vAlign w:val="bottom"/>
          </w:tcPr>
          <w:p>
            <w:pPr>
              <w:spacing w:after="0"/>
              <w:rPr>
                <w:sz w:val="16"/>
                <w:szCs w:val="16"/>
                <w:color w:val="auto"/>
              </w:rPr>
            </w:pPr>
          </w:p>
        </w:tc>
        <w:tc>
          <w:tcPr>
            <w:tcW w:w="2140" w:type="dxa"/>
            <w:vAlign w:val="bottom"/>
          </w:tcPr>
          <w:p>
            <w:pPr>
              <w:jc w:val="right"/>
              <w:ind w:right="39"/>
              <w:spacing w:after="0"/>
              <w:rPr>
                <w:sz w:val="20"/>
                <w:szCs w:val="20"/>
                <w:color w:val="auto"/>
              </w:rPr>
            </w:pPr>
            <w:r>
              <w:rPr>
                <w:rFonts w:ascii="Arial" w:cs="Arial" w:eastAsia="Arial" w:hAnsi="Arial"/>
                <w:sz w:val="16"/>
                <w:szCs w:val="16"/>
                <w:color w:val="auto"/>
              </w:rPr>
              <w:t>10.7</w:t>
            </w:r>
          </w:p>
        </w:tc>
      </w:tr>
      <w:tr>
        <w:trPr>
          <w:trHeight w:val="189"/>
        </w:trPr>
        <w:tc>
          <w:tcPr>
            <w:tcW w:w="6100" w:type="dxa"/>
            <w:vAlign w:val="bottom"/>
            <w:gridSpan w:val="2"/>
            <w:shd w:val="clear" w:color="auto" w:fill="CFF0FC"/>
          </w:tcPr>
          <w:p>
            <w:pPr>
              <w:ind w:left="60"/>
              <w:spacing w:after="0"/>
              <w:rPr>
                <w:sz w:val="20"/>
                <w:szCs w:val="20"/>
                <w:color w:val="auto"/>
              </w:rPr>
            </w:pPr>
            <w:r>
              <w:rPr>
                <w:rFonts w:ascii="Arial" w:cs="Arial" w:eastAsia="Arial" w:hAnsi="Arial"/>
                <w:sz w:val="16"/>
                <w:szCs w:val="16"/>
                <w:color w:val="auto"/>
              </w:rPr>
              <w:t>Loss on reacquired debt</w:t>
            </w:r>
          </w:p>
        </w:tc>
        <w:tc>
          <w:tcPr>
            <w:tcW w:w="188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14.9</w:t>
            </w:r>
          </w:p>
        </w:tc>
        <w:tc>
          <w:tcPr>
            <w:tcW w:w="440" w:type="dxa"/>
            <w:vAlign w:val="bottom"/>
            <w:shd w:val="clear" w:color="auto" w:fill="CFF0FC"/>
          </w:tcPr>
          <w:p>
            <w:pPr>
              <w:spacing w:after="0"/>
              <w:rPr>
                <w:sz w:val="16"/>
                <w:szCs w:val="16"/>
                <w:color w:val="auto"/>
              </w:rPr>
            </w:pPr>
          </w:p>
        </w:tc>
        <w:tc>
          <w:tcPr>
            <w:tcW w:w="2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15.7</w:t>
            </w:r>
          </w:p>
        </w:tc>
      </w:tr>
      <w:tr>
        <w:trPr>
          <w:trHeight w:val="189"/>
        </w:trPr>
        <w:tc>
          <w:tcPr>
            <w:tcW w:w="6100" w:type="dxa"/>
            <w:vAlign w:val="bottom"/>
            <w:gridSpan w:val="2"/>
          </w:tcPr>
          <w:p>
            <w:pPr>
              <w:ind w:left="60"/>
              <w:spacing w:after="0"/>
              <w:rPr>
                <w:sz w:val="20"/>
                <w:szCs w:val="20"/>
                <w:color w:val="auto"/>
              </w:rPr>
            </w:pPr>
            <w:r>
              <w:rPr>
                <w:rFonts w:ascii="Arial" w:cs="Arial" w:eastAsia="Arial" w:hAnsi="Arial"/>
                <w:sz w:val="16"/>
                <w:szCs w:val="16"/>
                <w:color w:val="auto"/>
              </w:rPr>
              <w:t>Deferred taxes on flow through accounting</w:t>
            </w:r>
          </w:p>
        </w:tc>
        <w:tc>
          <w:tcPr>
            <w:tcW w:w="188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92.8</w:t>
            </w:r>
          </w:p>
        </w:tc>
        <w:tc>
          <w:tcPr>
            <w:tcW w:w="440" w:type="dxa"/>
            <w:vAlign w:val="bottom"/>
          </w:tcPr>
          <w:p>
            <w:pPr>
              <w:spacing w:after="0"/>
              <w:rPr>
                <w:sz w:val="16"/>
                <w:szCs w:val="16"/>
                <w:color w:val="auto"/>
              </w:rPr>
            </w:pPr>
          </w:p>
        </w:tc>
        <w:tc>
          <w:tcPr>
            <w:tcW w:w="2140" w:type="dxa"/>
            <w:vAlign w:val="bottom"/>
          </w:tcPr>
          <w:p>
            <w:pPr>
              <w:jc w:val="right"/>
              <w:ind w:right="39"/>
              <w:spacing w:after="0"/>
              <w:rPr>
                <w:sz w:val="20"/>
                <w:szCs w:val="20"/>
                <w:color w:val="auto"/>
              </w:rPr>
            </w:pPr>
            <w:r>
              <w:rPr>
                <w:rFonts w:ascii="Arial" w:cs="Arial" w:eastAsia="Arial" w:hAnsi="Arial"/>
                <w:sz w:val="16"/>
                <w:szCs w:val="16"/>
                <w:color w:val="auto"/>
              </w:rPr>
              <w:t>87.7</w:t>
            </w:r>
          </w:p>
        </w:tc>
      </w:tr>
      <w:tr>
        <w:trPr>
          <w:trHeight w:val="189"/>
        </w:trPr>
        <w:tc>
          <w:tcPr>
            <w:tcW w:w="6100" w:type="dxa"/>
            <w:vAlign w:val="bottom"/>
            <w:gridSpan w:val="2"/>
            <w:shd w:val="clear" w:color="auto" w:fill="CFF0FC"/>
          </w:tcPr>
          <w:p>
            <w:pPr>
              <w:ind w:left="60"/>
              <w:spacing w:after="0"/>
              <w:rPr>
                <w:sz w:val="20"/>
                <w:szCs w:val="20"/>
                <w:color w:val="auto"/>
              </w:rPr>
            </w:pPr>
            <w:r>
              <w:rPr>
                <w:rFonts w:ascii="Arial" w:cs="Arial" w:eastAsia="Arial" w:hAnsi="Arial"/>
                <w:sz w:val="16"/>
                <w:szCs w:val="16"/>
                <w:color w:val="auto"/>
              </w:rPr>
              <w:t>Decommissioning costs</w:t>
            </w:r>
          </w:p>
        </w:tc>
        <w:tc>
          <w:tcPr>
            <w:tcW w:w="188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2.4</w:t>
            </w:r>
          </w:p>
        </w:tc>
        <w:tc>
          <w:tcPr>
            <w:tcW w:w="440" w:type="dxa"/>
            <w:vAlign w:val="bottom"/>
            <w:shd w:val="clear" w:color="auto" w:fill="CFF0FC"/>
          </w:tcPr>
          <w:p>
            <w:pPr>
              <w:spacing w:after="0"/>
              <w:rPr>
                <w:sz w:val="16"/>
                <w:szCs w:val="16"/>
                <w:color w:val="auto"/>
              </w:rPr>
            </w:pPr>
          </w:p>
        </w:tc>
        <w:tc>
          <w:tcPr>
            <w:tcW w:w="2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2.4</w:t>
            </w:r>
          </w:p>
        </w:tc>
      </w:tr>
      <w:tr>
        <w:trPr>
          <w:trHeight w:val="189"/>
        </w:trPr>
        <w:tc>
          <w:tcPr>
            <w:tcW w:w="6100" w:type="dxa"/>
            <w:vAlign w:val="bottom"/>
            <w:gridSpan w:val="2"/>
          </w:tcPr>
          <w:p>
            <w:pPr>
              <w:ind w:left="60"/>
              <w:spacing w:after="0"/>
              <w:rPr>
                <w:sz w:val="20"/>
                <w:szCs w:val="20"/>
                <w:color w:val="auto"/>
              </w:rPr>
            </w:pPr>
            <w:r>
              <w:rPr>
                <w:rFonts w:ascii="Arial" w:cs="Arial" w:eastAsia="Arial" w:hAnsi="Arial"/>
                <w:sz w:val="16"/>
                <w:szCs w:val="16"/>
                <w:color w:val="auto"/>
              </w:rPr>
              <w:t>Other regulatory assets</w:t>
            </w:r>
          </w:p>
        </w:tc>
        <w:tc>
          <w:tcPr>
            <w:tcW w:w="18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23.1</w:t>
            </w:r>
          </w:p>
        </w:tc>
        <w:tc>
          <w:tcPr>
            <w:tcW w:w="4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24.5</w:t>
            </w:r>
          </w:p>
        </w:tc>
      </w:tr>
      <w:tr>
        <w:trPr>
          <w:trHeight w:val="183"/>
        </w:trPr>
        <w:tc>
          <w:tcPr>
            <w:tcW w:w="6100" w:type="dxa"/>
            <w:vAlign w:val="bottom"/>
            <w:gridSpan w:val="2"/>
            <w:shd w:val="clear" w:color="auto" w:fill="CFF0FC"/>
          </w:tcPr>
          <w:p>
            <w:pPr>
              <w:spacing w:after="0" w:line="183" w:lineRule="exact"/>
              <w:rPr>
                <w:sz w:val="20"/>
                <w:szCs w:val="20"/>
                <w:color w:val="auto"/>
              </w:rPr>
            </w:pPr>
            <w:r>
              <w:rPr>
                <w:rFonts w:ascii="Arial" w:cs="Arial" w:eastAsia="Arial" w:hAnsi="Arial"/>
                <w:sz w:val="16"/>
                <w:szCs w:val="16"/>
                <w:color w:val="auto"/>
              </w:rPr>
              <w:t>Total regulatory assets</w:t>
            </w:r>
          </w:p>
        </w:tc>
        <w:tc>
          <w:tcPr>
            <w:tcW w:w="188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379.9</w:t>
            </w:r>
          </w:p>
        </w:tc>
        <w:tc>
          <w:tcPr>
            <w:tcW w:w="440" w:type="dxa"/>
            <w:vAlign w:val="bottom"/>
            <w:shd w:val="clear" w:color="auto" w:fill="CFF0FC"/>
          </w:tcPr>
          <w:p>
            <w:pPr>
              <w:spacing w:after="0"/>
              <w:rPr>
                <w:sz w:val="15"/>
                <w:szCs w:val="15"/>
                <w:color w:val="auto"/>
              </w:rPr>
            </w:pPr>
          </w:p>
        </w:tc>
        <w:tc>
          <w:tcPr>
            <w:tcW w:w="214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427.7</w:t>
            </w:r>
          </w:p>
        </w:tc>
      </w:tr>
      <w:tr>
        <w:trPr>
          <w:trHeight w:val="189"/>
        </w:trPr>
        <w:tc>
          <w:tcPr>
            <w:tcW w:w="6100" w:type="dxa"/>
            <w:vAlign w:val="bottom"/>
            <w:gridSpan w:val="2"/>
          </w:tcPr>
          <w:p>
            <w:pPr>
              <w:ind w:left="60"/>
              <w:spacing w:after="0"/>
              <w:rPr>
                <w:sz w:val="20"/>
                <w:szCs w:val="20"/>
                <w:color w:val="auto"/>
              </w:rPr>
            </w:pPr>
            <w:r>
              <w:rPr>
                <w:rFonts w:ascii="Arial" w:cs="Arial" w:eastAsia="Arial" w:hAnsi="Arial"/>
                <w:sz w:val="16"/>
                <w:szCs w:val="16"/>
                <w:color w:val="auto"/>
              </w:rPr>
              <w:t>Less current regulatory assets</w:t>
            </w:r>
          </w:p>
        </w:tc>
        <w:tc>
          <w:tcPr>
            <w:tcW w:w="18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(132.1)</w:t>
            </w:r>
          </w:p>
        </w:tc>
        <w:tc>
          <w:tcPr>
            <w:tcW w:w="4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(154.8)</w:t>
            </w:r>
          </w:p>
        </w:tc>
      </w:tr>
      <w:tr>
        <w:trPr>
          <w:trHeight w:val="223"/>
        </w:trPr>
        <w:tc>
          <w:tcPr>
            <w:tcW w:w="6100" w:type="dxa"/>
            <w:vAlign w:val="bottom"/>
            <w:tcBorders>
              <w:bottom w:val="single" w:sz="8" w:color="CFF0FC"/>
            </w:tcBorders>
            <w:gridSpan w:val="2"/>
            <w:shd w:val="clear" w:color="auto" w:fill="CFF0FC"/>
          </w:tcPr>
          <w:p>
            <w:pPr>
              <w:spacing w:after="0" w:line="169" w:lineRule="exact"/>
              <w:rPr>
                <w:sz w:val="20"/>
                <w:szCs w:val="20"/>
                <w:color w:val="auto"/>
              </w:rPr>
            </w:pPr>
            <w:r>
              <w:rPr>
                <w:rFonts w:ascii="Arial" w:cs="Arial" w:eastAsia="Arial" w:hAnsi="Arial"/>
                <w:sz w:val="16"/>
                <w:szCs w:val="16"/>
                <w:color w:val="auto"/>
              </w:rPr>
              <w:t>Regulatory assets, non-current</w:t>
            </w:r>
          </w:p>
        </w:tc>
        <w:tc>
          <w:tcPr>
            <w:tcW w:w="1880" w:type="dxa"/>
            <w:vAlign w:val="bottom"/>
            <w:tcBorders>
              <w:bottom w:val="single" w:sz="8" w:color="auto"/>
            </w:tcBorders>
            <w:shd w:val="clear" w:color="auto" w:fill="CFF0FC"/>
          </w:tcPr>
          <w:p>
            <w:pPr>
              <w:jc w:val="right"/>
              <w:ind w:right="1699"/>
              <w:spacing w:after="0" w:line="169" w:lineRule="exact"/>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FF0FC"/>
          </w:tcPr>
          <w:p>
            <w:pPr>
              <w:jc w:val="right"/>
              <w:ind w:right="19"/>
              <w:spacing w:after="0" w:line="169" w:lineRule="exact"/>
              <w:rPr>
                <w:sz w:val="20"/>
                <w:szCs w:val="20"/>
                <w:color w:val="auto"/>
              </w:rPr>
            </w:pPr>
            <w:r>
              <w:rPr>
                <w:rFonts w:ascii="Arial" w:cs="Arial" w:eastAsia="Arial" w:hAnsi="Arial"/>
                <w:sz w:val="16"/>
                <w:szCs w:val="16"/>
                <w:color w:val="auto"/>
              </w:rPr>
              <w:t>247.8</w:t>
            </w:r>
          </w:p>
        </w:tc>
        <w:tc>
          <w:tcPr>
            <w:tcW w:w="440" w:type="dxa"/>
            <w:vAlign w:val="bottom"/>
            <w:tcBorders>
              <w:bottom w:val="single" w:sz="8" w:color="auto"/>
            </w:tcBorders>
            <w:shd w:val="clear" w:color="auto" w:fill="CFF0FC"/>
          </w:tcPr>
          <w:p>
            <w:pPr>
              <w:jc w:val="right"/>
              <w:ind w:right="239"/>
              <w:spacing w:after="0" w:line="169" w:lineRule="exact"/>
              <w:rPr>
                <w:sz w:val="20"/>
                <w:szCs w:val="20"/>
                <w:color w:val="auto"/>
              </w:rPr>
            </w:pPr>
            <w:r>
              <w:rPr>
                <w:rFonts w:ascii="Arial" w:cs="Arial" w:eastAsia="Arial" w:hAnsi="Arial"/>
                <w:sz w:val="16"/>
                <w:szCs w:val="16"/>
                <w:color w:val="auto"/>
              </w:rPr>
              <w:t>$</w:t>
            </w:r>
          </w:p>
        </w:tc>
        <w:tc>
          <w:tcPr>
            <w:tcW w:w="2140" w:type="dxa"/>
            <w:vAlign w:val="bottom"/>
            <w:tcBorders>
              <w:bottom w:val="single" w:sz="8" w:color="auto"/>
            </w:tcBorders>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rPr>
              <w:t>272.9</w:t>
            </w:r>
          </w:p>
        </w:tc>
      </w:tr>
      <w:tr>
        <w:trPr>
          <w:trHeight w:val="170"/>
        </w:trPr>
        <w:tc>
          <w:tcPr>
            <w:tcW w:w="6100" w:type="dxa"/>
            <w:vAlign w:val="bottom"/>
            <w:gridSpan w:val="2"/>
          </w:tcPr>
          <w:p>
            <w:pPr>
              <w:spacing w:after="0"/>
              <w:rPr>
                <w:sz w:val="14"/>
                <w:szCs w:val="14"/>
                <w:color w:val="auto"/>
              </w:rPr>
            </w:pPr>
          </w:p>
        </w:tc>
        <w:tc>
          <w:tcPr>
            <w:tcW w:w="1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140" w:type="dxa"/>
            <w:vAlign w:val="bottom"/>
          </w:tcPr>
          <w:p>
            <w:pPr>
              <w:spacing w:after="0"/>
              <w:rPr>
                <w:sz w:val="14"/>
                <w:szCs w:val="14"/>
                <w:color w:val="auto"/>
              </w:rPr>
            </w:pPr>
          </w:p>
        </w:tc>
      </w:tr>
      <w:tr>
        <w:trPr>
          <w:trHeight w:val="189"/>
        </w:trPr>
        <w:tc>
          <w:tcPr>
            <w:tcW w:w="61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Regulatory liabilities</w:t>
            </w:r>
          </w:p>
        </w:tc>
        <w:tc>
          <w:tcPr>
            <w:tcW w:w="18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2140" w:type="dxa"/>
            <w:vAlign w:val="bottom"/>
            <w:shd w:val="clear" w:color="auto" w:fill="CFF0FC"/>
          </w:tcPr>
          <w:p>
            <w:pPr>
              <w:spacing w:after="0"/>
              <w:rPr>
                <w:sz w:val="16"/>
                <w:szCs w:val="16"/>
                <w:color w:val="auto"/>
              </w:rPr>
            </w:pPr>
          </w:p>
        </w:tc>
      </w:tr>
      <w:tr>
        <w:trPr>
          <w:trHeight w:val="189"/>
        </w:trPr>
        <w:tc>
          <w:tcPr>
            <w:tcW w:w="6100" w:type="dxa"/>
            <w:vAlign w:val="bottom"/>
            <w:gridSpan w:val="2"/>
          </w:tcPr>
          <w:p>
            <w:pPr>
              <w:ind w:left="60"/>
              <w:spacing w:after="0"/>
              <w:rPr>
                <w:sz w:val="20"/>
                <w:szCs w:val="20"/>
                <w:color w:val="auto"/>
              </w:rPr>
            </w:pPr>
            <w:r>
              <w:rPr>
                <w:rFonts w:ascii="Arial" w:cs="Arial" w:eastAsia="Arial" w:hAnsi="Arial"/>
                <w:sz w:val="16"/>
                <w:szCs w:val="16"/>
                <w:color w:val="auto"/>
              </w:rPr>
              <w:t>Deferred energy and gas costs</w:t>
            </w:r>
          </w:p>
        </w:tc>
        <w:tc>
          <w:tcPr>
            <w:tcW w:w="1880" w:type="dxa"/>
            <w:vAlign w:val="bottom"/>
          </w:tcPr>
          <w:p>
            <w:pPr>
              <w:jc w:val="right"/>
              <w:ind w:right="169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67.5</w:t>
            </w: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2140" w:type="dxa"/>
            <w:vAlign w:val="bottom"/>
          </w:tcPr>
          <w:p>
            <w:pPr>
              <w:jc w:val="right"/>
              <w:ind w:right="39"/>
              <w:spacing w:after="0"/>
              <w:rPr>
                <w:sz w:val="20"/>
                <w:szCs w:val="20"/>
                <w:color w:val="auto"/>
              </w:rPr>
            </w:pPr>
            <w:r>
              <w:rPr>
                <w:rFonts w:ascii="Arial" w:cs="Arial" w:eastAsia="Arial" w:hAnsi="Arial"/>
                <w:sz w:val="16"/>
                <w:szCs w:val="16"/>
                <w:color w:val="auto"/>
              </w:rPr>
              <w:t>67.8</w:t>
            </w:r>
          </w:p>
        </w:tc>
      </w:tr>
      <w:tr>
        <w:trPr>
          <w:trHeight w:val="189"/>
        </w:trPr>
        <w:tc>
          <w:tcPr>
            <w:tcW w:w="6100" w:type="dxa"/>
            <w:vAlign w:val="bottom"/>
            <w:gridSpan w:val="2"/>
            <w:shd w:val="clear" w:color="auto" w:fill="CFF0FC"/>
          </w:tcPr>
          <w:p>
            <w:pPr>
              <w:ind w:left="60"/>
              <w:spacing w:after="0"/>
              <w:rPr>
                <w:sz w:val="20"/>
                <w:szCs w:val="20"/>
                <w:color w:val="auto"/>
              </w:rPr>
            </w:pPr>
            <w:r>
              <w:rPr>
                <w:rFonts w:ascii="Arial" w:cs="Arial" w:eastAsia="Arial" w:hAnsi="Arial"/>
                <w:sz w:val="16"/>
                <w:szCs w:val="16"/>
                <w:color w:val="auto"/>
              </w:rPr>
              <w:t>Employee benefit plan costs and related deferred taxes</w:t>
            </w:r>
          </w:p>
        </w:tc>
        <w:tc>
          <w:tcPr>
            <w:tcW w:w="188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35.5</w:t>
            </w:r>
          </w:p>
        </w:tc>
        <w:tc>
          <w:tcPr>
            <w:tcW w:w="440" w:type="dxa"/>
            <w:vAlign w:val="bottom"/>
            <w:shd w:val="clear" w:color="auto" w:fill="CFF0FC"/>
          </w:tcPr>
          <w:p>
            <w:pPr>
              <w:spacing w:after="0"/>
              <w:rPr>
                <w:sz w:val="16"/>
                <w:szCs w:val="16"/>
                <w:color w:val="auto"/>
              </w:rPr>
            </w:pPr>
          </w:p>
        </w:tc>
        <w:tc>
          <w:tcPr>
            <w:tcW w:w="2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36.7</w:t>
            </w:r>
          </w:p>
        </w:tc>
      </w:tr>
      <w:tr>
        <w:trPr>
          <w:trHeight w:val="189"/>
        </w:trPr>
        <w:tc>
          <w:tcPr>
            <w:tcW w:w="6100" w:type="dxa"/>
            <w:vAlign w:val="bottom"/>
            <w:gridSpan w:val="2"/>
          </w:tcPr>
          <w:p>
            <w:pPr>
              <w:ind w:left="60"/>
              <w:spacing w:after="0"/>
              <w:rPr>
                <w:sz w:val="20"/>
                <w:szCs w:val="20"/>
                <w:color w:val="auto"/>
              </w:rPr>
            </w:pPr>
            <w:r>
              <w:rPr>
                <w:rFonts w:ascii="Arial" w:cs="Arial" w:eastAsia="Arial" w:hAnsi="Arial"/>
                <w:sz w:val="16"/>
                <w:szCs w:val="16"/>
                <w:color w:val="auto"/>
              </w:rPr>
              <w:t>Cost of removal</w:t>
            </w:r>
          </w:p>
        </w:tc>
        <w:tc>
          <w:tcPr>
            <w:tcW w:w="188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206.6</w:t>
            </w:r>
          </w:p>
        </w:tc>
        <w:tc>
          <w:tcPr>
            <w:tcW w:w="440" w:type="dxa"/>
            <w:vAlign w:val="bottom"/>
          </w:tcPr>
          <w:p>
            <w:pPr>
              <w:spacing w:after="0"/>
              <w:rPr>
                <w:sz w:val="16"/>
                <w:szCs w:val="16"/>
                <w:color w:val="auto"/>
              </w:rPr>
            </w:pPr>
          </w:p>
        </w:tc>
        <w:tc>
          <w:tcPr>
            <w:tcW w:w="2140" w:type="dxa"/>
            <w:vAlign w:val="bottom"/>
          </w:tcPr>
          <w:p>
            <w:pPr>
              <w:jc w:val="right"/>
              <w:ind w:right="39"/>
              <w:spacing w:after="0"/>
              <w:rPr>
                <w:sz w:val="20"/>
                <w:szCs w:val="20"/>
                <w:color w:val="auto"/>
              </w:rPr>
            </w:pPr>
            <w:r>
              <w:rPr>
                <w:rFonts w:ascii="Arial" w:cs="Arial" w:eastAsia="Arial" w:hAnsi="Arial"/>
                <w:sz w:val="16"/>
                <w:szCs w:val="16"/>
                <w:color w:val="auto"/>
              </w:rPr>
              <w:t>197.0</w:t>
            </w:r>
          </w:p>
        </w:tc>
      </w:tr>
      <w:tr>
        <w:trPr>
          <w:trHeight w:val="189"/>
        </w:trPr>
        <w:tc>
          <w:tcPr>
            <w:tcW w:w="6100" w:type="dxa"/>
            <w:vAlign w:val="bottom"/>
            <w:gridSpan w:val="2"/>
            <w:shd w:val="clear" w:color="auto" w:fill="CFF0FC"/>
          </w:tcPr>
          <w:p>
            <w:pPr>
              <w:ind w:left="60"/>
              <w:spacing w:after="0"/>
              <w:rPr>
                <w:sz w:val="20"/>
                <w:szCs w:val="20"/>
                <w:color w:val="auto"/>
              </w:rPr>
            </w:pPr>
            <w:r>
              <w:rPr>
                <w:rFonts w:ascii="Arial" w:cs="Arial" w:eastAsia="Arial" w:hAnsi="Arial"/>
                <w:sz w:val="16"/>
                <w:szCs w:val="16"/>
                <w:color w:val="auto"/>
              </w:rPr>
              <w:t>Excess deferred income taxes</w:t>
            </w:r>
          </w:p>
        </w:tc>
        <w:tc>
          <w:tcPr>
            <w:tcW w:w="188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234.1</w:t>
            </w:r>
          </w:p>
        </w:tc>
        <w:tc>
          <w:tcPr>
            <w:tcW w:w="440" w:type="dxa"/>
            <w:vAlign w:val="bottom"/>
            <w:shd w:val="clear" w:color="auto" w:fill="CFF0FC"/>
          </w:tcPr>
          <w:p>
            <w:pPr>
              <w:spacing w:after="0"/>
              <w:rPr>
                <w:sz w:val="16"/>
                <w:szCs w:val="16"/>
                <w:color w:val="auto"/>
              </w:rPr>
            </w:pPr>
          </w:p>
        </w:tc>
        <w:tc>
          <w:tcPr>
            <w:tcW w:w="2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238.5</w:t>
            </w:r>
          </w:p>
        </w:tc>
      </w:tr>
      <w:tr>
        <w:trPr>
          <w:trHeight w:val="189"/>
        </w:trPr>
        <w:tc>
          <w:tcPr>
            <w:tcW w:w="6100" w:type="dxa"/>
            <w:vAlign w:val="bottom"/>
            <w:gridSpan w:val="2"/>
          </w:tcPr>
          <w:p>
            <w:pPr>
              <w:ind w:left="60"/>
              <w:spacing w:after="0" w:line="189" w:lineRule="exact"/>
              <w:rPr>
                <w:sz w:val="20"/>
                <w:szCs w:val="20"/>
                <w:color w:val="auto"/>
              </w:rPr>
            </w:pPr>
            <w:r>
              <w:rPr>
                <w:rFonts w:ascii="Arial" w:cs="Arial" w:eastAsia="Arial" w:hAnsi="Arial"/>
                <w:sz w:val="16"/>
                <w:szCs w:val="16"/>
                <w:color w:val="auto"/>
              </w:rPr>
              <w:t xml:space="preserve">Colorado renewable energy </w:t>
            </w:r>
            <w:r>
              <w:rPr>
                <w:rFonts w:ascii="Arial" w:cs="Arial" w:eastAsia="Arial" w:hAnsi="Arial"/>
                <w:sz w:val="21"/>
                <w:szCs w:val="21"/>
                <w:color w:val="auto"/>
                <w:vertAlign w:val="superscript"/>
              </w:rPr>
              <w:t>(a)</w:t>
            </w:r>
          </w:p>
        </w:tc>
        <w:tc>
          <w:tcPr>
            <w:tcW w:w="188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28.9</w:t>
            </w:r>
          </w:p>
        </w:tc>
        <w:tc>
          <w:tcPr>
            <w:tcW w:w="440" w:type="dxa"/>
            <w:vAlign w:val="bottom"/>
          </w:tcPr>
          <w:p>
            <w:pPr>
              <w:spacing w:after="0"/>
              <w:rPr>
                <w:sz w:val="16"/>
                <w:szCs w:val="16"/>
                <w:color w:val="auto"/>
              </w:rPr>
            </w:pPr>
          </w:p>
        </w:tc>
        <w:tc>
          <w:tcPr>
            <w:tcW w:w="2140" w:type="dxa"/>
            <w:vAlign w:val="bottom"/>
          </w:tcPr>
          <w:p>
            <w:pPr>
              <w:jc w:val="right"/>
              <w:ind w:right="39"/>
              <w:spacing w:after="0"/>
              <w:rPr>
                <w:sz w:val="20"/>
                <w:szCs w:val="20"/>
                <w:color w:val="auto"/>
              </w:rPr>
            </w:pPr>
            <w:r>
              <w:rPr>
                <w:rFonts w:ascii="Arial" w:cs="Arial" w:eastAsia="Arial" w:hAnsi="Arial"/>
                <w:sz w:val="16"/>
                <w:szCs w:val="16"/>
                <w:color w:val="auto"/>
              </w:rPr>
              <w:t>24.1</w:t>
            </w:r>
          </w:p>
        </w:tc>
      </w:tr>
      <w:tr>
        <w:trPr>
          <w:trHeight w:val="189"/>
        </w:trPr>
        <w:tc>
          <w:tcPr>
            <w:tcW w:w="6100" w:type="dxa"/>
            <w:vAlign w:val="bottom"/>
            <w:tcBorders>
              <w:bottom w:val="single" w:sz="8" w:color="CFF0FC"/>
            </w:tcBorders>
            <w:gridSpan w:val="2"/>
            <w:shd w:val="clear" w:color="auto" w:fill="CFF0FC"/>
          </w:tcPr>
          <w:p>
            <w:pPr>
              <w:ind w:left="60"/>
              <w:spacing w:after="0"/>
              <w:rPr>
                <w:sz w:val="20"/>
                <w:szCs w:val="20"/>
                <w:color w:val="auto"/>
              </w:rPr>
            </w:pPr>
            <w:r>
              <w:rPr>
                <w:rFonts w:ascii="Arial" w:cs="Arial" w:eastAsia="Arial" w:hAnsi="Arial"/>
                <w:sz w:val="16"/>
                <w:szCs w:val="16"/>
                <w:color w:val="auto"/>
              </w:rPr>
              <w:t>Other regulatory liabilities</w:t>
            </w:r>
          </w:p>
        </w:tc>
        <w:tc>
          <w:tcPr>
            <w:tcW w:w="1880" w:type="dxa"/>
            <w:vAlign w:val="bottom"/>
            <w:tcBorders>
              <w:bottom w:val="single" w:sz="8" w:color="auto"/>
            </w:tcBorders>
            <w:shd w:val="clear" w:color="auto" w:fill="CFF0FC"/>
          </w:tcPr>
          <w:p>
            <w:pPr>
              <w:spacing w:after="0"/>
              <w:rPr>
                <w:sz w:val="16"/>
                <w:szCs w:val="16"/>
                <w:color w:val="auto"/>
              </w:rPr>
            </w:pPr>
          </w:p>
        </w:tc>
        <w:tc>
          <w:tcPr>
            <w:tcW w:w="6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4.1</w:t>
            </w:r>
          </w:p>
        </w:tc>
        <w:tc>
          <w:tcPr>
            <w:tcW w:w="440" w:type="dxa"/>
            <w:vAlign w:val="bottom"/>
            <w:tcBorders>
              <w:bottom w:val="single" w:sz="8" w:color="auto"/>
            </w:tcBorders>
            <w:shd w:val="clear" w:color="auto" w:fill="CFF0FC"/>
          </w:tcPr>
          <w:p>
            <w:pPr>
              <w:spacing w:after="0"/>
              <w:rPr>
                <w:sz w:val="16"/>
                <w:szCs w:val="16"/>
                <w:color w:val="auto"/>
              </w:rPr>
            </w:pPr>
          </w:p>
        </w:tc>
        <w:tc>
          <w:tcPr>
            <w:tcW w:w="21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4.6</w:t>
            </w:r>
          </w:p>
        </w:tc>
      </w:tr>
      <w:tr>
        <w:trPr>
          <w:trHeight w:val="183"/>
        </w:trPr>
        <w:tc>
          <w:tcPr>
            <w:tcW w:w="6100" w:type="dxa"/>
            <w:vAlign w:val="bottom"/>
            <w:gridSpan w:val="2"/>
          </w:tcPr>
          <w:p>
            <w:pPr>
              <w:spacing w:after="0" w:line="183" w:lineRule="exact"/>
              <w:rPr>
                <w:sz w:val="20"/>
                <w:szCs w:val="20"/>
                <w:color w:val="auto"/>
              </w:rPr>
            </w:pPr>
            <w:r>
              <w:rPr>
                <w:rFonts w:ascii="Arial" w:cs="Arial" w:eastAsia="Arial" w:hAnsi="Arial"/>
                <w:sz w:val="16"/>
                <w:szCs w:val="16"/>
                <w:color w:val="auto"/>
              </w:rPr>
              <w:t>Total regulatory liabilities</w:t>
            </w:r>
          </w:p>
        </w:tc>
        <w:tc>
          <w:tcPr>
            <w:tcW w:w="1880" w:type="dxa"/>
            <w:vAlign w:val="bottom"/>
          </w:tcPr>
          <w:p>
            <w:pPr>
              <w:spacing w:after="0"/>
              <w:rPr>
                <w:sz w:val="15"/>
                <w:szCs w:val="15"/>
                <w:color w:val="auto"/>
              </w:rPr>
            </w:pPr>
          </w:p>
        </w:tc>
        <w:tc>
          <w:tcPr>
            <w:tcW w:w="680" w:type="dxa"/>
            <w:vAlign w:val="bottom"/>
          </w:tcPr>
          <w:p>
            <w:pPr>
              <w:jc w:val="right"/>
              <w:ind w:right="19"/>
              <w:spacing w:after="0" w:line="183" w:lineRule="exact"/>
              <w:rPr>
                <w:sz w:val="20"/>
                <w:szCs w:val="20"/>
                <w:color w:val="auto"/>
              </w:rPr>
            </w:pPr>
            <w:r>
              <w:rPr>
                <w:rFonts w:ascii="Arial" w:cs="Arial" w:eastAsia="Arial" w:hAnsi="Arial"/>
                <w:sz w:val="16"/>
                <w:szCs w:val="16"/>
                <w:color w:val="auto"/>
              </w:rPr>
              <w:t>576.7</w:t>
            </w:r>
          </w:p>
        </w:tc>
        <w:tc>
          <w:tcPr>
            <w:tcW w:w="440" w:type="dxa"/>
            <w:vAlign w:val="bottom"/>
          </w:tcPr>
          <w:p>
            <w:pPr>
              <w:spacing w:after="0"/>
              <w:rPr>
                <w:sz w:val="15"/>
                <w:szCs w:val="15"/>
                <w:color w:val="auto"/>
              </w:rPr>
            </w:pPr>
          </w:p>
        </w:tc>
        <w:tc>
          <w:tcPr>
            <w:tcW w:w="2140" w:type="dxa"/>
            <w:vAlign w:val="bottom"/>
          </w:tcPr>
          <w:p>
            <w:pPr>
              <w:jc w:val="right"/>
              <w:ind w:right="39"/>
              <w:spacing w:after="0" w:line="183" w:lineRule="exact"/>
              <w:rPr>
                <w:sz w:val="20"/>
                <w:szCs w:val="20"/>
                <w:color w:val="auto"/>
              </w:rPr>
            </w:pPr>
            <w:r>
              <w:rPr>
                <w:rFonts w:ascii="Arial" w:cs="Arial" w:eastAsia="Arial" w:hAnsi="Arial"/>
                <w:sz w:val="16"/>
                <w:szCs w:val="16"/>
                <w:color w:val="auto"/>
              </w:rPr>
              <w:t>568.7</w:t>
            </w:r>
          </w:p>
        </w:tc>
      </w:tr>
      <w:tr>
        <w:trPr>
          <w:trHeight w:val="189"/>
        </w:trPr>
        <w:tc>
          <w:tcPr>
            <w:tcW w:w="6100" w:type="dxa"/>
            <w:vAlign w:val="bottom"/>
            <w:tcBorders>
              <w:bottom w:val="single" w:sz="8" w:color="CFF0FC"/>
            </w:tcBorders>
            <w:gridSpan w:val="2"/>
            <w:shd w:val="clear" w:color="auto" w:fill="CFF0FC"/>
          </w:tcPr>
          <w:p>
            <w:pPr>
              <w:ind w:left="60"/>
              <w:spacing w:after="0"/>
              <w:rPr>
                <w:sz w:val="20"/>
                <w:szCs w:val="20"/>
                <w:color w:val="auto"/>
              </w:rPr>
            </w:pPr>
            <w:r>
              <w:rPr>
                <w:rFonts w:ascii="Arial" w:cs="Arial" w:eastAsia="Arial" w:hAnsi="Arial"/>
                <w:sz w:val="16"/>
                <w:szCs w:val="16"/>
                <w:color w:val="auto"/>
              </w:rPr>
              <w:t>Less current regulatory liabilities</w:t>
            </w:r>
          </w:p>
        </w:tc>
        <w:tc>
          <w:tcPr>
            <w:tcW w:w="1880" w:type="dxa"/>
            <w:vAlign w:val="bottom"/>
            <w:tcBorders>
              <w:bottom w:val="single" w:sz="8" w:color="auto"/>
            </w:tcBorders>
            <w:shd w:val="clear" w:color="auto" w:fill="CFF0FC"/>
          </w:tcPr>
          <w:p>
            <w:pPr>
              <w:spacing w:after="0"/>
              <w:rPr>
                <w:sz w:val="16"/>
                <w:szCs w:val="16"/>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(96.6)</w:t>
            </w:r>
          </w:p>
        </w:tc>
        <w:tc>
          <w:tcPr>
            <w:tcW w:w="440" w:type="dxa"/>
            <w:vAlign w:val="bottom"/>
            <w:tcBorders>
              <w:bottom w:val="single" w:sz="8" w:color="auto"/>
            </w:tcBorders>
            <w:shd w:val="clear" w:color="auto" w:fill="CFF0FC"/>
          </w:tcPr>
          <w:p>
            <w:pPr>
              <w:spacing w:after="0"/>
              <w:rPr>
                <w:sz w:val="16"/>
                <w:szCs w:val="16"/>
                <w:color w:val="auto"/>
              </w:rPr>
            </w:pPr>
          </w:p>
        </w:tc>
        <w:tc>
          <w:tcPr>
            <w:tcW w:w="2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(94.1)</w:t>
            </w:r>
          </w:p>
        </w:tc>
      </w:tr>
      <w:tr>
        <w:trPr>
          <w:trHeight w:val="183"/>
        </w:trPr>
        <w:tc>
          <w:tcPr>
            <w:tcW w:w="6100" w:type="dxa"/>
            <w:vAlign w:val="bottom"/>
            <w:gridSpan w:val="2"/>
          </w:tcPr>
          <w:p>
            <w:pPr>
              <w:spacing w:after="0" w:line="169" w:lineRule="exact"/>
              <w:rPr>
                <w:sz w:val="20"/>
                <w:szCs w:val="20"/>
                <w:color w:val="auto"/>
              </w:rPr>
            </w:pPr>
            <w:r>
              <w:rPr>
                <w:rFonts w:ascii="Arial" w:cs="Arial" w:eastAsia="Arial" w:hAnsi="Arial"/>
                <w:sz w:val="16"/>
                <w:szCs w:val="16"/>
                <w:color w:val="auto"/>
              </w:rPr>
              <w:t>Regulatory liabilities, non-current</w:t>
            </w:r>
          </w:p>
        </w:tc>
        <w:tc>
          <w:tcPr>
            <w:tcW w:w="1880" w:type="dxa"/>
            <w:vAlign w:val="bottom"/>
            <w:tcBorders>
              <w:bottom w:val="single" w:sz="8" w:color="auto"/>
            </w:tcBorders>
          </w:tcPr>
          <w:p>
            <w:pPr>
              <w:jc w:val="right"/>
              <w:ind w:right="1699"/>
              <w:spacing w:after="0" w:line="169" w:lineRule="exact"/>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ind w:right="19"/>
              <w:spacing w:after="0" w:line="169" w:lineRule="exact"/>
              <w:rPr>
                <w:sz w:val="20"/>
                <w:szCs w:val="20"/>
                <w:color w:val="auto"/>
              </w:rPr>
            </w:pPr>
            <w:r>
              <w:rPr>
                <w:rFonts w:ascii="Arial" w:cs="Arial" w:eastAsia="Arial" w:hAnsi="Arial"/>
                <w:sz w:val="16"/>
                <w:szCs w:val="16"/>
                <w:color w:val="auto"/>
              </w:rPr>
              <w:t>480.1</w:t>
            </w:r>
          </w:p>
        </w:tc>
        <w:tc>
          <w:tcPr>
            <w:tcW w:w="440" w:type="dxa"/>
            <w:vAlign w:val="bottom"/>
            <w:tcBorders>
              <w:bottom w:val="single" w:sz="8" w:color="auto"/>
            </w:tcBorders>
          </w:tcPr>
          <w:p>
            <w:pPr>
              <w:jc w:val="right"/>
              <w:ind w:right="239"/>
              <w:spacing w:after="0" w:line="169" w:lineRule="exact"/>
              <w:rPr>
                <w:sz w:val="20"/>
                <w:szCs w:val="20"/>
                <w:color w:val="auto"/>
              </w:rPr>
            </w:pPr>
            <w:r>
              <w:rPr>
                <w:rFonts w:ascii="Arial" w:cs="Arial" w:eastAsia="Arial" w:hAnsi="Arial"/>
                <w:sz w:val="16"/>
                <w:szCs w:val="16"/>
                <w:color w:val="auto"/>
              </w:rPr>
              <w:t>$</w:t>
            </w:r>
          </w:p>
        </w:tc>
        <w:tc>
          <w:tcPr>
            <w:tcW w:w="2140" w:type="dxa"/>
            <w:vAlign w:val="bottom"/>
            <w:tcBorders>
              <w:bottom w:val="single" w:sz="8" w:color="auto"/>
            </w:tcBorders>
          </w:tcPr>
          <w:p>
            <w:pPr>
              <w:jc w:val="right"/>
              <w:ind w:right="39"/>
              <w:spacing w:after="0" w:line="169" w:lineRule="exact"/>
              <w:rPr>
                <w:sz w:val="20"/>
                <w:szCs w:val="20"/>
                <w:color w:val="auto"/>
              </w:rPr>
            </w:pPr>
            <w:r>
              <w:rPr>
                <w:rFonts w:ascii="Arial" w:cs="Arial" w:eastAsia="Arial" w:hAnsi="Arial"/>
                <w:sz w:val="16"/>
                <w:szCs w:val="16"/>
                <w:color w:val="auto"/>
              </w:rPr>
              <w:t>474.6</w:t>
            </w:r>
          </w:p>
        </w:tc>
      </w:tr>
      <w:tr>
        <w:trPr>
          <w:trHeight w:val="20"/>
        </w:trPr>
        <w:tc>
          <w:tcPr>
            <w:tcW w:w="36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04584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119" w:lineRule="exact"/>
        <w:rPr>
          <w:sz w:val="20"/>
          <w:szCs w:val="20"/>
          <w:color w:val="auto"/>
        </w:rPr>
      </w:pPr>
    </w:p>
    <w:p>
      <w:pPr>
        <w:ind w:left="520" w:right="80" w:hanging="512"/>
        <w:spacing w:after="0" w:line="256" w:lineRule="auto"/>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Represents Colorado Electric's RESA and CEPR mechanisms, which allow for recovery/repayment of costs, but not a rate of return. Through these mechanisms, which are authorized by the CPUC, Colorado Electric is allowed to charge its retail customers an incremental rate limited to 1.5% per mechanism that provides funding for various renewable energy projects and programs to comply with requirements under the State of Colorado’s emissions reduction legislation. Project costs that are over-recovered through customer rates will be refunded to customers in future periods.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Regulatory Activity</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Colorado Electric</w:t>
      </w:r>
    </w:p>
    <w:p>
      <w:pPr>
        <w:spacing w:after="0" w:line="192"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On June 14, 2024, Colorado Electric filed a rate review with the CPUC seeking recovery of infrastructure investments in its 3,200-mile electric distribution and 600-mile electric transmission systems. On March 17, 2025, Colorado Electric received an order from the CPUC for a general rate increase which was expected to generate approximately $ 17.0 million of new annual revenue based on a weighted average cost of capital of 6.9% with a capital structure in a range of 47% to 49% equity and 51% to 53% debt, and a return on equity in a range of 9.3% to 9.5%. The new rates were effective March 22, 2025. On April 7, 2025, Colorado Electric filed a request with the CPUC for rehearing, re-argument or reconsideration (RRR). On May 6, 2025, Colorado Electric received a final decision from the CPUC related to its RRR request, increasing new annual revenue from approximately $17.0 million to approximately $17.5 million.</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Iowa Gas</w:t>
      </w:r>
    </w:p>
    <w:p>
      <w:pPr>
        <w:spacing w:after="0" w:line="192"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On May 1, 2024, Iowa Gas filed a rate review with the IUC seeking recovery of infrastructure investments in its 5,000-mile natural gas pipeline system. In the fourth quarter of 2024, Iowa Gas received final approval from the IUC for a settlement agreement for a general rate increase. The approved Black-box Settlement is expected to generate $15.0 million of new annual revenue based on a weighted average cost of capital of 7.2%. New rates were enacted on January 1, 2025, which replaced interim rates.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Kansas Gas</w:t>
      </w:r>
    </w:p>
    <w:p>
      <w:pPr>
        <w:spacing w:after="0" w:line="192" w:lineRule="exact"/>
        <w:rPr>
          <w:sz w:val="20"/>
          <w:szCs w:val="20"/>
          <w:color w:val="auto"/>
        </w:rPr>
      </w:pPr>
    </w:p>
    <w:p>
      <w:pPr>
        <w:ind w:right="260"/>
        <w:spacing w:after="0" w:line="254" w:lineRule="auto"/>
        <w:rPr>
          <w:sz w:val="20"/>
          <w:szCs w:val="20"/>
          <w:color w:val="auto"/>
        </w:rPr>
      </w:pPr>
      <w:r>
        <w:rPr>
          <w:rFonts w:ascii="Arial" w:cs="Arial" w:eastAsia="Arial" w:hAnsi="Arial"/>
          <w:sz w:val="16"/>
          <w:szCs w:val="16"/>
          <w:color w:val="auto"/>
        </w:rPr>
        <w:t>On February 3, 2025, Kansas Gas filed a rate review with the KCC seeking recovery of infrastructure investments in its 4,765-mile natural gas pipeline system and increased operations and maintenance costs driven by inflation and operational needs to serve customers. On July 24, 2025, Kansas Gas received final approval from the KCC for a settlement agreement for a general rate increase. The approved Black-box Settlement is expected to generate $10.8 million in new annual revenue and will shift $4.4 million of GSRS rider revenue to base rates. New rates will be effective on August 1, 2025. The settlement also includes approval for Kansas Gas to file an abbreviated case in first quarter of 2026 that includes the addition of capital placed in service through December 31, 2025.</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Nebraska Gas</w:t>
      </w:r>
    </w:p>
    <w:p>
      <w:pPr>
        <w:spacing w:after="0" w:line="192" w:lineRule="exact"/>
        <w:rPr>
          <w:sz w:val="20"/>
          <w:szCs w:val="20"/>
          <w:color w:val="auto"/>
        </w:rPr>
      </w:pPr>
    </w:p>
    <w:p>
      <w:pPr>
        <w:ind w:right="440"/>
        <w:spacing w:after="0" w:line="256" w:lineRule="auto"/>
        <w:rPr>
          <w:sz w:val="20"/>
          <w:szCs w:val="20"/>
          <w:color w:val="auto"/>
        </w:rPr>
      </w:pPr>
      <w:r>
        <w:rPr>
          <w:rFonts w:ascii="Arial" w:cs="Arial" w:eastAsia="Arial" w:hAnsi="Arial"/>
          <w:sz w:val="16"/>
          <w:szCs w:val="16"/>
          <w:color w:val="auto"/>
        </w:rPr>
        <w:t>On May 1, 2025, Nebraska Gas filed a rate review with the NPSC seeking recovery of infrastructure investments in its 12,900-mile natural gas pipeline system and increased operations and maintenance costs driven by inflation and operational needs to serve customers. The rate review requests $34.9 million in new annual revenue with a capital structure of 51% equity and 49% debt and a return on equity of 10.5%. Nebraska statute allows for implementation of interim rates 90 days after filing a rate review and Nebraska Gas plans to implement interim rates, subject to adjustment or refund, effective in August 2025. New rates are expected to be effective in the first quarter of 2026.</w:t>
      </w:r>
    </w:p>
    <w:p>
      <w:pPr>
        <w:spacing w:after="0" w:line="342" w:lineRule="exact"/>
        <w:rPr>
          <w:sz w:val="20"/>
          <w:szCs w:val="20"/>
          <w:color w:val="auto"/>
        </w:rPr>
      </w:pPr>
    </w:p>
    <w:p>
      <w:pPr>
        <w:ind w:left="520" w:hanging="512"/>
        <w:spacing w:after="0"/>
        <w:tabs>
          <w:tab w:leader="none" w:pos="520"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Commitments, Contingencies and Guarantees</w:t>
      </w:r>
    </w:p>
    <w:p>
      <w:pPr>
        <w:spacing w:after="0" w:line="194" w:lineRule="exact"/>
        <w:rPr>
          <w:sz w:val="20"/>
          <w:szCs w:val="20"/>
          <w:color w:val="auto"/>
        </w:rPr>
      </w:pPr>
    </w:p>
    <w:p>
      <w:pPr>
        <w:ind w:right="520"/>
        <w:spacing w:after="0" w:line="286" w:lineRule="auto"/>
        <w:rPr>
          <w:sz w:val="20"/>
          <w:szCs w:val="20"/>
          <w:color w:val="auto"/>
        </w:rPr>
      </w:pPr>
      <w:r>
        <w:rPr>
          <w:rFonts w:ascii="Arial" w:cs="Arial" w:eastAsia="Arial" w:hAnsi="Arial"/>
          <w:sz w:val="16"/>
          <w:szCs w:val="16"/>
          <w:color w:val="auto"/>
        </w:rPr>
        <w:t>There have been no significant changes to commitments, contingencies and guarantees from those previously disclosed in Note 3 of our Notes to the Consolidated Financial Statements in our 2024 Annual Report on Form 10-K except as described below.</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Transfers of Renewable Tax Credits</w:t>
      </w:r>
    </w:p>
    <w:p>
      <w:pPr>
        <w:spacing w:after="0" w:line="192"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 xml:space="preserve">In January 2025, we entered into an agreement with a third party to sell our 2024 generated PTCs. In the agreement, we provided indemnifications associated with the proceeds for PTCs transferred to the third party in the event of an adverse change or interpretation of tax law, including whether the related tax credits meet the qualification requirements. We believe the likelihood of having to make any material cash payments under these indemnifications is remote. See </w:t>
      </w:r>
      <w:r>
        <w:rPr>
          <w:rFonts w:ascii="Arial" w:cs="Arial" w:eastAsia="Arial" w:hAnsi="Arial"/>
          <w:sz w:val="16"/>
          <w:szCs w:val="16"/>
          <w:u w:val="single" w:color="auto"/>
          <w:color w:val="0000FF"/>
        </w:rPr>
        <w:t>Note 11</w:t>
      </w:r>
      <w:r>
        <w:rPr>
          <w:rFonts w:ascii="Arial" w:cs="Arial" w:eastAsia="Arial" w:hAnsi="Arial"/>
          <w:sz w:val="16"/>
          <w:szCs w:val="16"/>
          <w:color w:val="auto"/>
        </w:rPr>
        <w:t xml:space="preserve">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696595</wp:posOffset>
            </wp:positionH>
            <wp:positionV relativeFrom="paragraph">
              <wp:posOffset>-31750</wp:posOffset>
            </wp:positionV>
            <wp:extent cx="36004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Manufactured Gas Plant</w:t>
      </w:r>
    </w:p>
    <w:p>
      <w:pPr>
        <w:spacing w:after="0" w:line="192"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In 2008, we acquired liabilities for a former manufactured gas plant site in Iowa, which was previously used to convert coal to natural gas. The acquisition provided for an insurance recovery, now valued at $1.5 million recorded in Other current assets on our Consolidated Balance Sheets, which will be used to help offset remediation costs. As of December 31, 2024, we had an Accrued liability of $9.7 million on our Consolidated Balance Sheets for the remaining remediation of the manufactured gas plant site in Iowa. During the six months ended June 30, 2025, we completed substantially all remaining remediation work. As of June 30, 2025, $11.5 million of cumulative remediation costs, which are net of our $1.5 million insurance recovery asset, were recorded to a Regulatory asset on our Consolidated Balance Sheets which Iowa Gas intends to seek recovery of during a future rate review. We expect to recover our $1.5 million insurance recovery asset by year-end 2025.</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GT Resources, LLC v. Black Hills Corporation, Case No. 2020CV30751 (District Court for the City and County of Denver, Colorado)</w:t>
      </w:r>
    </w:p>
    <w:p>
      <w:pPr>
        <w:spacing w:after="0" w:line="192"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On April 13, 2022, a jury awarded $41 million for claims made by GT Resources, LLC (“GTR”) against BHC and two of its subsidiaries (Black Hills Exploration and Production, Inc. and Black Hills Gas Resources, Inc.), which ceased oil and natural gas operations in 2018 as part of BHC’s decision to exit the exploration and production business. The claims involved a dispute over a 2.3 million-acre concession award in Costa Rica which was acquired by a BHC subsidiary in 2003. GTR retained rights to receive a royalty interest on any hydrocarbon production from the concession upon the occurrence of contingent events. GTR contended that BHC and its subsidiaries failed to adequately pursue the opportunity and failed to transfer the concession to GTR. We appealed this verdict to the Colorado Court of Appeals. On October 19, 2023, the Appellate Court reversed and remanded the case with directions limiting any retrial to the narrow issue of whether there was improper interference with the prospective conveyance of the concession. The retrial occurred and on May 12, 2025, the jury returned a verdict in favor of BHC and its subsidiaries on all counts, thus resolving any claims without material impact on our financial position, results or operations and cash flows.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6" w:name="page17"/>
    <w:bookmarkEnd w:id="1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20" w:hanging="512"/>
        <w:spacing w:after="0"/>
        <w:tabs>
          <w:tab w:leader="none" w:pos="520"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Revenue</w:t>
      </w:r>
    </w:p>
    <w:p>
      <w:pPr>
        <w:spacing w:after="0" w:line="194"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The following tables depict the disaggregation of revenue, including intercompany revenue, from contracts with customers by customer type and timing of revenue recognition for each of the reportable segments for the three and six months ended June 30, 2025, and 2024. Sales tax and other similar taxes are excluded from revenues.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20" w:type="dxa"/>
            <w:vAlign w:val="bottom"/>
          </w:tcPr>
          <w:p>
            <w:pPr>
              <w:jc w:val="center"/>
              <w:ind w:left="219"/>
              <w:spacing w:after="0"/>
              <w:rPr>
                <w:sz w:val="20"/>
                <w:szCs w:val="20"/>
                <w:color w:val="auto"/>
              </w:rPr>
            </w:pPr>
            <w:r>
              <w:rPr>
                <w:rFonts w:ascii="Arial" w:cs="Arial" w:eastAsia="Arial" w:hAnsi="Arial"/>
                <w:sz w:val="16"/>
                <w:szCs w:val="16"/>
                <w:b w:val="1"/>
                <w:bCs w:val="1"/>
                <w:color w:val="auto"/>
              </w:rPr>
              <w:t>Inter-segment</w:t>
            </w:r>
          </w:p>
        </w:tc>
        <w:tc>
          <w:tcPr>
            <w:tcW w:w="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03"/>
        </w:trPr>
        <w:tc>
          <w:tcPr>
            <w:tcW w:w="354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rPr>
              <w:t>Three Months Ended June 30, 2025</w:t>
            </w:r>
          </w:p>
        </w:tc>
        <w:tc>
          <w:tcPr>
            <w:tcW w:w="6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Electric Utilities</w:t>
            </w:r>
          </w:p>
        </w:tc>
        <w:tc>
          <w:tcPr>
            <w:tcW w:w="3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Gas Utilities</w:t>
            </w:r>
          </w:p>
        </w:tc>
        <w:tc>
          <w:tcPr>
            <w:tcW w:w="1420" w:type="dxa"/>
            <w:vAlign w:val="bottom"/>
            <w:tcBorders>
              <w:bottom w:val="single" w:sz="8" w:color="auto"/>
            </w:tcBorders>
          </w:tcPr>
          <w:p>
            <w:pPr>
              <w:jc w:val="center"/>
              <w:ind w:left="259"/>
              <w:spacing w:after="0"/>
              <w:rPr>
                <w:sz w:val="20"/>
                <w:szCs w:val="20"/>
                <w:color w:val="auto"/>
              </w:rPr>
            </w:pPr>
            <w:r>
              <w:rPr>
                <w:rFonts w:ascii="Arial" w:cs="Arial" w:eastAsia="Arial" w:hAnsi="Arial"/>
                <w:sz w:val="16"/>
                <w:szCs w:val="16"/>
                <w:b w:val="1"/>
                <w:bCs w:val="1"/>
                <w:color w:val="auto"/>
              </w:rPr>
              <w:t>Eliminations</w:t>
            </w:r>
          </w:p>
        </w:tc>
        <w:tc>
          <w:tcPr>
            <w:tcW w:w="3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Total</w:t>
            </w:r>
          </w:p>
        </w:tc>
      </w:tr>
      <w:tr>
        <w:trPr>
          <w:trHeight w:val="169"/>
        </w:trPr>
        <w:tc>
          <w:tcPr>
            <w:tcW w:w="3540" w:type="dxa"/>
            <w:vAlign w:val="bottom"/>
            <w:gridSpan w:val="3"/>
            <w:shd w:val="clear" w:color="auto" w:fill="CFF0FC"/>
          </w:tcPr>
          <w:p>
            <w:pPr>
              <w:spacing w:after="0" w:line="169" w:lineRule="exact"/>
              <w:rPr>
                <w:sz w:val="20"/>
                <w:szCs w:val="20"/>
                <w:color w:val="auto"/>
              </w:rPr>
            </w:pPr>
            <w:r>
              <w:rPr>
                <w:rFonts w:ascii="Arial" w:cs="Arial" w:eastAsia="Arial" w:hAnsi="Arial"/>
                <w:sz w:val="16"/>
                <w:szCs w:val="16"/>
                <w:color w:val="auto"/>
              </w:rPr>
              <w:t>Customer types:</w:t>
            </w:r>
          </w:p>
        </w:tc>
        <w:tc>
          <w:tcPr>
            <w:tcW w:w="6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5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880" w:type="dxa"/>
            <w:vAlign w:val="bottom"/>
            <w:gridSpan w:val="2"/>
            <w:shd w:val="clear" w:color="auto" w:fill="CFF0FC"/>
          </w:tcPr>
          <w:p>
            <w:pPr>
              <w:jc w:val="right"/>
              <w:ind w:right="939"/>
              <w:spacing w:after="0" w:line="169" w:lineRule="exact"/>
              <w:rPr>
                <w:sz w:val="20"/>
                <w:szCs w:val="20"/>
                <w:color w:val="auto"/>
              </w:rPr>
            </w:pPr>
            <w:r>
              <w:rPr>
                <w:rFonts w:ascii="Arial" w:cs="Arial" w:eastAsia="Arial" w:hAnsi="Arial"/>
                <w:sz w:val="16"/>
                <w:szCs w:val="16"/>
                <w:color w:val="auto"/>
              </w:rPr>
              <w:t>(in millions)</w:t>
            </w:r>
          </w:p>
        </w:tc>
        <w:tc>
          <w:tcPr>
            <w:tcW w:w="38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r>
      <w:tr>
        <w:trPr>
          <w:trHeight w:val="27"/>
        </w:trPr>
        <w:tc>
          <w:tcPr>
            <w:tcW w:w="1180" w:type="dxa"/>
            <w:vAlign w:val="bottom"/>
            <w:shd w:val="clear" w:color="auto" w:fill="000000"/>
          </w:tcPr>
          <w:p>
            <w:pPr>
              <w:spacing w:after="0"/>
              <w:rPr>
                <w:sz w:val="2"/>
                <w:szCs w:val="2"/>
                <w:color w:val="auto"/>
              </w:rPr>
            </w:pPr>
          </w:p>
        </w:tc>
        <w:tc>
          <w:tcPr>
            <w:tcW w:w="1000" w:type="dxa"/>
            <w:vAlign w:val="bottom"/>
            <w:shd w:val="clear" w:color="auto" w:fill="CFF0FC"/>
          </w:tcPr>
          <w:p>
            <w:pPr>
              <w:spacing w:after="0"/>
              <w:rPr>
                <w:sz w:val="2"/>
                <w:szCs w:val="2"/>
                <w:color w:val="auto"/>
              </w:rPr>
            </w:pPr>
          </w:p>
        </w:tc>
        <w:tc>
          <w:tcPr>
            <w:tcW w:w="1360" w:type="dxa"/>
            <w:vAlign w:val="bottom"/>
            <w:shd w:val="clear" w:color="auto" w:fill="CFF0FC"/>
          </w:tcPr>
          <w:p>
            <w:pPr>
              <w:spacing w:after="0"/>
              <w:rPr>
                <w:sz w:val="2"/>
                <w:szCs w:val="2"/>
                <w:color w:val="auto"/>
              </w:rPr>
            </w:pPr>
          </w:p>
        </w:tc>
        <w:tc>
          <w:tcPr>
            <w:tcW w:w="64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5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r>
      <w:tr>
        <w:trPr>
          <w:trHeight w:val="189"/>
        </w:trPr>
        <w:tc>
          <w:tcPr>
            <w:tcW w:w="1180" w:type="dxa"/>
            <w:vAlign w:val="bottom"/>
          </w:tcPr>
          <w:p>
            <w:pPr>
              <w:ind w:left="40"/>
              <w:spacing w:after="0"/>
              <w:rPr>
                <w:sz w:val="20"/>
                <w:szCs w:val="20"/>
                <w:color w:val="auto"/>
              </w:rPr>
            </w:pPr>
            <w:r>
              <w:rPr>
                <w:rFonts w:ascii="Arial" w:cs="Arial" w:eastAsia="Arial" w:hAnsi="Arial"/>
                <w:sz w:val="16"/>
                <w:szCs w:val="16"/>
                <w:color w:val="auto"/>
              </w:rPr>
              <w:t>Retail</w:t>
            </w:r>
          </w:p>
        </w:tc>
        <w:tc>
          <w:tcPr>
            <w:tcW w:w="2360" w:type="dxa"/>
            <w:vAlign w:val="bottom"/>
            <w:gridSpan w:val="2"/>
          </w:tcPr>
          <w:p>
            <w:pPr>
              <w:spacing w:after="0"/>
              <w:rPr>
                <w:sz w:val="16"/>
                <w:szCs w:val="16"/>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178.1</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168.5</w:t>
            </w:r>
          </w:p>
        </w:tc>
        <w:tc>
          <w:tcPr>
            <w:tcW w:w="1420" w:type="dxa"/>
            <w:vAlign w:val="bottom"/>
          </w:tcPr>
          <w:p>
            <w:pPr>
              <w:jc w:val="right"/>
              <w:ind w:right="1179"/>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346.6</w:t>
            </w:r>
          </w:p>
        </w:tc>
      </w:tr>
      <w:tr>
        <w:trPr>
          <w:trHeight w:val="189"/>
        </w:trPr>
        <w:tc>
          <w:tcPr>
            <w:tcW w:w="3540" w:type="dxa"/>
            <w:vAlign w:val="bottom"/>
            <w:gridSpan w:val="3"/>
            <w:shd w:val="clear" w:color="auto" w:fill="CFF0FC"/>
          </w:tcPr>
          <w:p>
            <w:pPr>
              <w:ind w:left="40"/>
              <w:spacing w:after="0"/>
              <w:rPr>
                <w:sz w:val="20"/>
                <w:szCs w:val="20"/>
                <w:color w:val="auto"/>
              </w:rPr>
            </w:pPr>
            <w:r>
              <w:rPr>
                <w:rFonts w:ascii="Arial" w:cs="Arial" w:eastAsia="Arial" w:hAnsi="Arial"/>
                <w:sz w:val="16"/>
                <w:szCs w:val="16"/>
                <w:color w:val="auto"/>
              </w:rPr>
              <w:t>Transportation</w:t>
            </w:r>
          </w:p>
        </w:tc>
        <w:tc>
          <w:tcPr>
            <w:tcW w:w="6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6"/>
                <w:szCs w:val="16"/>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42.1</w:t>
            </w:r>
          </w:p>
        </w:tc>
        <w:tc>
          <w:tcPr>
            <w:tcW w:w="1420" w:type="dxa"/>
            <w:vAlign w:val="bottom"/>
            <w:shd w:val="clear" w:color="auto" w:fill="CFF0FC"/>
          </w:tcPr>
          <w:p>
            <w:pPr>
              <w:spacing w:after="0"/>
              <w:rPr>
                <w:sz w:val="16"/>
                <w:szCs w:val="16"/>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w:t>
            </w:r>
          </w:p>
        </w:tc>
        <w:tc>
          <w:tcPr>
            <w:tcW w:w="380" w:type="dxa"/>
            <w:vAlign w:val="bottom"/>
            <w:shd w:val="clear" w:color="auto" w:fill="CFF0FC"/>
          </w:tcPr>
          <w:p>
            <w:pPr>
              <w:spacing w:after="0"/>
              <w:rPr>
                <w:sz w:val="16"/>
                <w:szCs w:val="16"/>
                <w:color w:val="auto"/>
              </w:rPr>
            </w:pPr>
          </w:p>
        </w:tc>
        <w:tc>
          <w:tcPr>
            <w:tcW w:w="14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42.0</w:t>
            </w:r>
          </w:p>
        </w:tc>
      </w:tr>
      <w:tr>
        <w:trPr>
          <w:trHeight w:val="189"/>
        </w:trPr>
        <w:tc>
          <w:tcPr>
            <w:tcW w:w="3540" w:type="dxa"/>
            <w:vAlign w:val="bottom"/>
            <w:gridSpan w:val="3"/>
          </w:tcPr>
          <w:p>
            <w:pPr>
              <w:ind w:left="40"/>
              <w:spacing w:after="0"/>
              <w:rPr>
                <w:sz w:val="20"/>
                <w:szCs w:val="20"/>
                <w:color w:val="auto"/>
              </w:rPr>
            </w:pPr>
            <w:r>
              <w:rPr>
                <w:rFonts w:ascii="Arial" w:cs="Arial" w:eastAsia="Arial" w:hAnsi="Arial"/>
                <w:sz w:val="16"/>
                <w:szCs w:val="16"/>
                <w:color w:val="auto"/>
              </w:rPr>
              <w:t>Wholesale</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4.2</w:t>
            </w:r>
          </w:p>
        </w:tc>
        <w:tc>
          <w:tcPr>
            <w:tcW w:w="3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spacing w:after="0"/>
              <w:rPr>
                <w:sz w:val="16"/>
                <w:szCs w:val="16"/>
                <w:color w:val="auto"/>
              </w:rPr>
            </w:pPr>
          </w:p>
        </w:tc>
        <w:tc>
          <w:tcPr>
            <w:tcW w:w="3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4.2</w:t>
            </w:r>
          </w:p>
        </w:tc>
      </w:tr>
      <w:tr>
        <w:trPr>
          <w:trHeight w:val="189"/>
        </w:trPr>
        <w:tc>
          <w:tcPr>
            <w:tcW w:w="3540" w:type="dxa"/>
            <w:vAlign w:val="bottom"/>
            <w:gridSpan w:val="3"/>
            <w:shd w:val="clear" w:color="auto" w:fill="CFF0FC"/>
          </w:tcPr>
          <w:p>
            <w:pPr>
              <w:ind w:left="40"/>
              <w:spacing w:after="0"/>
              <w:rPr>
                <w:sz w:val="20"/>
                <w:szCs w:val="20"/>
                <w:color w:val="auto"/>
              </w:rPr>
            </w:pPr>
            <w:r>
              <w:rPr>
                <w:rFonts w:ascii="Arial" w:cs="Arial" w:eastAsia="Arial" w:hAnsi="Arial"/>
                <w:sz w:val="16"/>
                <w:szCs w:val="16"/>
                <w:color w:val="auto"/>
              </w:rPr>
              <w:t>Market - off-system sales</w:t>
            </w:r>
          </w:p>
        </w:tc>
        <w:tc>
          <w:tcPr>
            <w:tcW w:w="6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w:t>
            </w:r>
          </w:p>
        </w:tc>
        <w:tc>
          <w:tcPr>
            <w:tcW w:w="300" w:type="dxa"/>
            <w:vAlign w:val="bottom"/>
            <w:shd w:val="clear" w:color="auto" w:fill="CFF0FC"/>
          </w:tcPr>
          <w:p>
            <w:pPr>
              <w:spacing w:after="0"/>
              <w:rPr>
                <w:sz w:val="16"/>
                <w:szCs w:val="16"/>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w:t>
            </w:r>
          </w:p>
        </w:tc>
        <w:tc>
          <w:tcPr>
            <w:tcW w:w="1420" w:type="dxa"/>
            <w:vAlign w:val="bottom"/>
            <w:shd w:val="clear" w:color="auto" w:fill="CFF0FC"/>
          </w:tcPr>
          <w:p>
            <w:pPr>
              <w:spacing w:after="0"/>
              <w:rPr>
                <w:sz w:val="16"/>
                <w:szCs w:val="16"/>
                <w:color w:val="auto"/>
              </w:rPr>
            </w:pPr>
          </w:p>
        </w:tc>
        <w:tc>
          <w:tcPr>
            <w:tcW w:w="3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spacing w:after="0"/>
              <w:rPr>
                <w:sz w:val="16"/>
                <w:szCs w:val="16"/>
                <w:color w:val="auto"/>
              </w:rPr>
            </w:pPr>
          </w:p>
        </w:tc>
        <w:tc>
          <w:tcPr>
            <w:tcW w:w="14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10.8</w:t>
            </w:r>
          </w:p>
        </w:tc>
      </w:tr>
      <w:tr>
        <w:trPr>
          <w:trHeight w:val="189"/>
        </w:trPr>
        <w:tc>
          <w:tcPr>
            <w:tcW w:w="3540" w:type="dxa"/>
            <w:vAlign w:val="bottom"/>
            <w:gridSpan w:val="3"/>
          </w:tcPr>
          <w:p>
            <w:pPr>
              <w:ind w:left="40"/>
              <w:spacing w:after="0"/>
              <w:rPr>
                <w:sz w:val="20"/>
                <w:szCs w:val="20"/>
                <w:color w:val="auto"/>
              </w:rPr>
            </w:pPr>
            <w:r>
              <w:rPr>
                <w:rFonts w:ascii="Arial" w:cs="Arial" w:eastAsia="Arial" w:hAnsi="Arial"/>
                <w:sz w:val="16"/>
                <w:szCs w:val="16"/>
                <w:color w:val="auto"/>
              </w:rPr>
              <w:t>Transmission</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10.0</w:t>
            </w:r>
          </w:p>
        </w:tc>
        <w:tc>
          <w:tcPr>
            <w:tcW w:w="3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0.1</w:t>
            </w:r>
          </w:p>
        </w:tc>
        <w:tc>
          <w:tcPr>
            <w:tcW w:w="1420" w:type="dxa"/>
            <w:vAlign w:val="bottom"/>
          </w:tcPr>
          <w:p>
            <w:pPr>
              <w:spacing w:after="0"/>
              <w:rPr>
                <w:sz w:val="16"/>
                <w:szCs w:val="16"/>
                <w:color w:val="auto"/>
              </w:rPr>
            </w:pPr>
          </w:p>
        </w:tc>
        <w:tc>
          <w:tcPr>
            <w:tcW w:w="3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10.1</w:t>
            </w:r>
          </w:p>
        </w:tc>
      </w:tr>
      <w:tr>
        <w:trPr>
          <w:trHeight w:val="189"/>
        </w:trPr>
        <w:tc>
          <w:tcPr>
            <w:tcW w:w="3540" w:type="dxa"/>
            <w:vAlign w:val="bottom"/>
            <w:tcBorders>
              <w:bottom w:val="single" w:sz="8" w:color="CFF0FC"/>
            </w:tcBorders>
            <w:gridSpan w:val="3"/>
            <w:shd w:val="clear" w:color="auto" w:fill="CFF0FC"/>
          </w:tcPr>
          <w:p>
            <w:pPr>
              <w:ind w:left="40"/>
              <w:spacing w:after="0"/>
              <w:rPr>
                <w:sz w:val="20"/>
                <w:szCs w:val="20"/>
                <w:color w:val="auto"/>
              </w:rPr>
            </w:pPr>
            <w:r>
              <w:rPr>
                <w:rFonts w:ascii="Arial" w:cs="Arial" w:eastAsia="Arial" w:hAnsi="Arial"/>
                <w:sz w:val="16"/>
                <w:szCs w:val="16"/>
                <w:color w:val="auto"/>
              </w:rPr>
              <w:t>Other revenues</w:t>
            </w:r>
          </w:p>
        </w:tc>
        <w:tc>
          <w:tcPr>
            <w:tcW w:w="64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15.6</w:t>
            </w:r>
          </w:p>
        </w:tc>
        <w:tc>
          <w:tcPr>
            <w:tcW w:w="300" w:type="dxa"/>
            <w:vAlign w:val="bottom"/>
            <w:tcBorders>
              <w:bottom w:val="single" w:sz="8" w:color="auto"/>
            </w:tcBorders>
            <w:shd w:val="clear" w:color="auto" w:fill="CFF0FC"/>
          </w:tcPr>
          <w:p>
            <w:pPr>
              <w:spacing w:after="0"/>
              <w:rPr>
                <w:sz w:val="16"/>
                <w:szCs w:val="16"/>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10.2</w:t>
            </w:r>
          </w:p>
        </w:tc>
        <w:tc>
          <w:tcPr>
            <w:tcW w:w="1420" w:type="dxa"/>
            <w:vAlign w:val="bottom"/>
            <w:tcBorders>
              <w:bottom w:val="single" w:sz="8" w:color="auto"/>
            </w:tcBorders>
            <w:shd w:val="clear" w:color="auto" w:fill="CFF0FC"/>
          </w:tcPr>
          <w:p>
            <w:pPr>
              <w:spacing w:after="0"/>
              <w:rPr>
                <w:sz w:val="16"/>
                <w:szCs w:val="16"/>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w:t>
            </w:r>
          </w:p>
        </w:tc>
        <w:tc>
          <w:tcPr>
            <w:tcW w:w="380" w:type="dxa"/>
            <w:vAlign w:val="bottom"/>
            <w:tcBorders>
              <w:bottom w:val="single" w:sz="8" w:color="auto"/>
            </w:tcBorders>
            <w:shd w:val="clear" w:color="auto" w:fill="CFF0FC"/>
          </w:tcPr>
          <w:p>
            <w:pPr>
              <w:spacing w:after="0"/>
              <w:rPr>
                <w:sz w:val="16"/>
                <w:szCs w:val="16"/>
                <w:color w:val="auto"/>
              </w:rPr>
            </w:pPr>
          </w:p>
        </w:tc>
        <w:tc>
          <w:tcPr>
            <w:tcW w:w="14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22.0</w:t>
            </w:r>
          </w:p>
        </w:tc>
      </w:tr>
      <w:tr>
        <w:trPr>
          <w:trHeight w:val="183"/>
        </w:trPr>
        <w:tc>
          <w:tcPr>
            <w:tcW w:w="3540" w:type="dxa"/>
            <w:vAlign w:val="bottom"/>
            <w:gridSpan w:val="3"/>
          </w:tcPr>
          <w:p>
            <w:pPr>
              <w:ind w:left="40"/>
              <w:spacing w:after="0" w:line="183" w:lineRule="exact"/>
              <w:rPr>
                <w:sz w:val="20"/>
                <w:szCs w:val="20"/>
                <w:color w:val="auto"/>
              </w:rPr>
            </w:pPr>
            <w:r>
              <w:rPr>
                <w:rFonts w:ascii="Arial" w:cs="Arial" w:eastAsia="Arial" w:hAnsi="Arial"/>
                <w:sz w:val="16"/>
                <w:szCs w:val="16"/>
                <w:color w:val="auto"/>
              </w:rPr>
              <w:t>Revenue from contracts with customers</w:t>
            </w:r>
          </w:p>
        </w:tc>
        <w:tc>
          <w:tcPr>
            <w:tcW w:w="800" w:type="dxa"/>
            <w:vAlign w:val="bottom"/>
            <w:gridSpan w:val="2"/>
          </w:tcPr>
          <w:p>
            <w:pPr>
              <w:jc w:val="right"/>
              <w:ind w:right="80"/>
              <w:spacing w:after="0" w:line="183" w:lineRule="exact"/>
              <w:rPr>
                <w:sz w:val="20"/>
                <w:szCs w:val="20"/>
                <w:color w:val="auto"/>
              </w:rPr>
            </w:pPr>
            <w:r>
              <w:rPr>
                <w:rFonts w:ascii="Arial" w:cs="Arial" w:eastAsia="Arial" w:hAnsi="Arial"/>
                <w:sz w:val="16"/>
                <w:szCs w:val="16"/>
                <w:color w:val="auto"/>
              </w:rPr>
              <w:t>$</w:t>
            </w:r>
          </w:p>
        </w:tc>
        <w:tc>
          <w:tcPr>
            <w:tcW w:w="1560" w:type="dxa"/>
            <w:vAlign w:val="bottom"/>
          </w:tcPr>
          <w:p>
            <w:pPr>
              <w:jc w:val="right"/>
              <w:spacing w:after="0" w:line="183" w:lineRule="exact"/>
              <w:rPr>
                <w:sz w:val="20"/>
                <w:szCs w:val="20"/>
                <w:color w:val="auto"/>
              </w:rPr>
            </w:pPr>
            <w:r>
              <w:rPr>
                <w:rFonts w:ascii="Arial" w:cs="Arial" w:eastAsia="Arial" w:hAnsi="Arial"/>
                <w:sz w:val="16"/>
                <w:szCs w:val="16"/>
                <w:color w:val="auto"/>
              </w:rPr>
              <w:t>218.6</w:t>
            </w:r>
          </w:p>
        </w:tc>
        <w:tc>
          <w:tcPr>
            <w:tcW w:w="300" w:type="dxa"/>
            <w:vAlign w:val="bottom"/>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1460" w:type="dxa"/>
            <w:vAlign w:val="bottom"/>
          </w:tcPr>
          <w:p>
            <w:pPr>
              <w:jc w:val="right"/>
              <w:spacing w:after="0" w:line="183" w:lineRule="exact"/>
              <w:rPr>
                <w:sz w:val="20"/>
                <w:szCs w:val="20"/>
                <w:color w:val="auto"/>
              </w:rPr>
            </w:pPr>
            <w:r>
              <w:rPr>
                <w:rFonts w:ascii="Arial" w:cs="Arial" w:eastAsia="Arial" w:hAnsi="Arial"/>
                <w:sz w:val="16"/>
                <w:szCs w:val="16"/>
                <w:color w:val="auto"/>
              </w:rPr>
              <w:t>221.0</w:t>
            </w:r>
          </w:p>
        </w:tc>
        <w:tc>
          <w:tcPr>
            <w:tcW w:w="1420" w:type="dxa"/>
            <w:vAlign w:val="bottom"/>
          </w:tcPr>
          <w:p>
            <w:pPr>
              <w:jc w:val="right"/>
              <w:ind w:right="1179"/>
              <w:spacing w:after="0" w:line="183" w:lineRule="exact"/>
              <w:rPr>
                <w:sz w:val="20"/>
                <w:szCs w:val="20"/>
                <w:color w:val="auto"/>
              </w:rPr>
            </w:pPr>
            <w:r>
              <w:rPr>
                <w:rFonts w:ascii="Arial" w:cs="Arial" w:eastAsia="Arial" w:hAnsi="Arial"/>
                <w:sz w:val="16"/>
                <w:szCs w:val="16"/>
                <w:color w:val="auto"/>
              </w:rPr>
              <w:t>$</w:t>
            </w:r>
          </w:p>
        </w:tc>
        <w:tc>
          <w:tcPr>
            <w:tcW w:w="380" w:type="dxa"/>
            <w:vAlign w:val="bottom"/>
          </w:tcPr>
          <w:p>
            <w:pPr>
              <w:jc w:val="right"/>
              <w:spacing w:after="0" w:line="183" w:lineRule="exact"/>
              <w:rPr>
                <w:sz w:val="20"/>
                <w:szCs w:val="20"/>
                <w:color w:val="auto"/>
              </w:rPr>
            </w:pPr>
            <w:r>
              <w:rPr>
                <w:rFonts w:ascii="Arial" w:cs="Arial" w:eastAsia="Arial" w:hAnsi="Arial"/>
                <w:sz w:val="16"/>
                <w:szCs w:val="16"/>
                <w:color w:val="auto"/>
              </w:rPr>
              <w:t>(3.9)</w:t>
            </w:r>
          </w:p>
        </w:tc>
        <w:tc>
          <w:tcPr>
            <w:tcW w:w="380" w:type="dxa"/>
            <w:vAlign w:val="bottom"/>
          </w:tcPr>
          <w:p>
            <w:pPr>
              <w:jc w:val="right"/>
              <w:ind w:right="179"/>
              <w:spacing w:after="0" w:line="183" w:lineRule="exact"/>
              <w:rPr>
                <w:sz w:val="20"/>
                <w:szCs w:val="20"/>
                <w:color w:val="auto"/>
              </w:rPr>
            </w:pPr>
            <w:r>
              <w:rPr>
                <w:rFonts w:ascii="Arial" w:cs="Arial" w:eastAsia="Arial" w:hAnsi="Arial"/>
                <w:sz w:val="16"/>
                <w:szCs w:val="16"/>
                <w:color w:val="auto"/>
              </w:rPr>
              <w:t>$</w:t>
            </w:r>
          </w:p>
        </w:tc>
        <w:tc>
          <w:tcPr>
            <w:tcW w:w="1400" w:type="dxa"/>
            <w:vAlign w:val="bottom"/>
          </w:tcPr>
          <w:p>
            <w:pPr>
              <w:jc w:val="right"/>
              <w:ind w:right="39"/>
              <w:spacing w:after="0" w:line="183" w:lineRule="exact"/>
              <w:rPr>
                <w:sz w:val="20"/>
                <w:szCs w:val="20"/>
                <w:color w:val="auto"/>
              </w:rPr>
            </w:pPr>
            <w:r>
              <w:rPr>
                <w:rFonts w:ascii="Arial" w:cs="Arial" w:eastAsia="Arial" w:hAnsi="Arial"/>
                <w:sz w:val="16"/>
                <w:szCs w:val="16"/>
                <w:color w:val="auto"/>
              </w:rPr>
              <w:t>435.7</w:t>
            </w:r>
          </w:p>
        </w:tc>
      </w:tr>
      <w:tr>
        <w:trPr>
          <w:trHeight w:val="189"/>
        </w:trPr>
        <w:tc>
          <w:tcPr>
            <w:tcW w:w="3540" w:type="dxa"/>
            <w:vAlign w:val="bottom"/>
            <w:tcBorders>
              <w:bottom w:val="single" w:sz="8" w:color="CFF0FC"/>
            </w:tcBorders>
            <w:gridSpan w:val="3"/>
            <w:shd w:val="clear" w:color="auto" w:fill="CFF0FC"/>
          </w:tcPr>
          <w:p>
            <w:pPr>
              <w:ind w:left="40"/>
              <w:spacing w:after="0"/>
              <w:rPr>
                <w:sz w:val="20"/>
                <w:szCs w:val="20"/>
                <w:color w:val="auto"/>
              </w:rPr>
            </w:pPr>
            <w:r>
              <w:rPr>
                <w:rFonts w:ascii="Arial" w:cs="Arial" w:eastAsia="Arial" w:hAnsi="Arial"/>
                <w:sz w:val="16"/>
                <w:szCs w:val="16"/>
                <w:color w:val="auto"/>
              </w:rPr>
              <w:t>Alternative revenue and other</w:t>
            </w:r>
          </w:p>
        </w:tc>
        <w:tc>
          <w:tcPr>
            <w:tcW w:w="64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w:t>
            </w:r>
          </w:p>
        </w:tc>
        <w:tc>
          <w:tcPr>
            <w:tcW w:w="300" w:type="dxa"/>
            <w:vAlign w:val="bottom"/>
            <w:tcBorders>
              <w:bottom w:val="single" w:sz="8" w:color="auto"/>
            </w:tcBorders>
            <w:shd w:val="clear" w:color="auto" w:fill="CFF0FC"/>
          </w:tcPr>
          <w:p>
            <w:pPr>
              <w:spacing w:after="0"/>
              <w:rPr>
                <w:sz w:val="16"/>
                <w:szCs w:val="16"/>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w:t>
            </w:r>
          </w:p>
        </w:tc>
        <w:tc>
          <w:tcPr>
            <w:tcW w:w="1420" w:type="dxa"/>
            <w:vAlign w:val="bottom"/>
            <w:tcBorders>
              <w:bottom w:val="single" w:sz="8" w:color="auto"/>
            </w:tcBorders>
            <w:shd w:val="clear" w:color="auto" w:fill="CFF0FC"/>
          </w:tcPr>
          <w:p>
            <w:pPr>
              <w:spacing w:after="0"/>
              <w:rPr>
                <w:sz w:val="16"/>
                <w:szCs w:val="16"/>
                <w:color w:val="auto"/>
              </w:rPr>
            </w:pPr>
          </w:p>
        </w:tc>
        <w:tc>
          <w:tcPr>
            <w:tcW w:w="3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CFF0FC"/>
          </w:tcPr>
          <w:p>
            <w:pPr>
              <w:spacing w:after="0"/>
              <w:rPr>
                <w:sz w:val="16"/>
                <w:szCs w:val="16"/>
                <w:color w:val="auto"/>
              </w:rPr>
            </w:pPr>
          </w:p>
        </w:tc>
        <w:tc>
          <w:tcPr>
            <w:tcW w:w="14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3.3</w:t>
            </w:r>
          </w:p>
        </w:tc>
      </w:tr>
      <w:tr>
        <w:trPr>
          <w:trHeight w:val="183"/>
        </w:trPr>
        <w:tc>
          <w:tcPr>
            <w:tcW w:w="3540" w:type="dxa"/>
            <w:vAlign w:val="bottom"/>
            <w:gridSpan w:val="3"/>
          </w:tcPr>
          <w:p>
            <w:pPr>
              <w:spacing w:after="0" w:line="169" w:lineRule="exact"/>
              <w:rPr>
                <w:sz w:val="20"/>
                <w:szCs w:val="20"/>
                <w:color w:val="auto"/>
              </w:rPr>
            </w:pPr>
            <w:r>
              <w:rPr>
                <w:rFonts w:ascii="Arial" w:cs="Arial" w:eastAsia="Arial" w:hAnsi="Arial"/>
                <w:sz w:val="16"/>
                <w:szCs w:val="16"/>
                <w:color w:val="auto"/>
              </w:rPr>
              <w:t>Total revenues</w:t>
            </w:r>
          </w:p>
        </w:tc>
        <w:tc>
          <w:tcPr>
            <w:tcW w:w="800" w:type="dxa"/>
            <w:vAlign w:val="bottom"/>
            <w:gridSpan w:val="2"/>
          </w:tcPr>
          <w:p>
            <w:pPr>
              <w:jc w:val="right"/>
              <w:ind w:right="80"/>
              <w:spacing w:after="0" w:line="169" w:lineRule="exact"/>
              <w:rPr>
                <w:sz w:val="20"/>
                <w:szCs w:val="20"/>
                <w:color w:val="auto"/>
              </w:rPr>
            </w:pPr>
            <w:r>
              <w:rPr>
                <w:rFonts w:ascii="Arial" w:cs="Arial" w:eastAsia="Arial" w:hAnsi="Arial"/>
                <w:sz w:val="16"/>
                <w:szCs w:val="16"/>
                <w:color w:val="auto"/>
              </w:rPr>
              <w:t>$</w:t>
            </w:r>
          </w:p>
        </w:tc>
        <w:tc>
          <w:tcPr>
            <w:tcW w:w="1560" w:type="dxa"/>
            <w:vAlign w:val="bottom"/>
          </w:tcPr>
          <w:p>
            <w:pPr>
              <w:jc w:val="right"/>
              <w:spacing w:after="0" w:line="169" w:lineRule="exact"/>
              <w:rPr>
                <w:sz w:val="20"/>
                <w:szCs w:val="20"/>
                <w:color w:val="auto"/>
              </w:rPr>
            </w:pPr>
            <w:r>
              <w:rPr>
                <w:rFonts w:ascii="Arial" w:cs="Arial" w:eastAsia="Arial" w:hAnsi="Arial"/>
                <w:sz w:val="16"/>
                <w:szCs w:val="16"/>
                <w:color w:val="auto"/>
              </w:rPr>
              <w:t>219.9</w:t>
            </w:r>
          </w:p>
        </w:tc>
        <w:tc>
          <w:tcPr>
            <w:tcW w:w="300" w:type="dxa"/>
            <w:vAlign w:val="bottom"/>
          </w:tcPr>
          <w:p>
            <w:pPr>
              <w:jc w:val="right"/>
              <w:ind w:right="59"/>
              <w:spacing w:after="0" w:line="169" w:lineRule="exact"/>
              <w:rPr>
                <w:sz w:val="20"/>
                <w:szCs w:val="20"/>
                <w:color w:val="auto"/>
              </w:rPr>
            </w:pPr>
            <w:r>
              <w:rPr>
                <w:rFonts w:ascii="Arial" w:cs="Arial" w:eastAsia="Arial" w:hAnsi="Arial"/>
                <w:sz w:val="16"/>
                <w:szCs w:val="16"/>
                <w:color w:val="auto"/>
              </w:rPr>
              <w:t>$</w:t>
            </w:r>
          </w:p>
        </w:tc>
        <w:tc>
          <w:tcPr>
            <w:tcW w:w="1460" w:type="dxa"/>
            <w:vAlign w:val="bottom"/>
          </w:tcPr>
          <w:p>
            <w:pPr>
              <w:jc w:val="right"/>
              <w:spacing w:after="0" w:line="169" w:lineRule="exact"/>
              <w:rPr>
                <w:sz w:val="20"/>
                <w:szCs w:val="20"/>
                <w:color w:val="auto"/>
              </w:rPr>
            </w:pPr>
            <w:r>
              <w:rPr>
                <w:rFonts w:ascii="Arial" w:cs="Arial" w:eastAsia="Arial" w:hAnsi="Arial"/>
                <w:sz w:val="16"/>
                <w:szCs w:val="16"/>
                <w:color w:val="auto"/>
              </w:rPr>
              <w:t>223.0</w:t>
            </w:r>
          </w:p>
        </w:tc>
        <w:tc>
          <w:tcPr>
            <w:tcW w:w="1420" w:type="dxa"/>
            <w:vAlign w:val="bottom"/>
          </w:tcPr>
          <w:p>
            <w:pPr>
              <w:jc w:val="right"/>
              <w:ind w:right="1179"/>
              <w:spacing w:after="0" w:line="169" w:lineRule="exact"/>
              <w:rPr>
                <w:sz w:val="20"/>
                <w:szCs w:val="20"/>
                <w:color w:val="auto"/>
              </w:rPr>
            </w:pPr>
            <w:r>
              <w:rPr>
                <w:rFonts w:ascii="Arial" w:cs="Arial" w:eastAsia="Arial" w:hAnsi="Arial"/>
                <w:sz w:val="16"/>
                <w:szCs w:val="16"/>
                <w:color w:val="auto"/>
              </w:rPr>
              <w:t>$</w:t>
            </w:r>
          </w:p>
        </w:tc>
        <w:tc>
          <w:tcPr>
            <w:tcW w:w="380" w:type="dxa"/>
            <w:vAlign w:val="bottom"/>
          </w:tcPr>
          <w:p>
            <w:pPr>
              <w:jc w:val="right"/>
              <w:spacing w:after="0" w:line="169" w:lineRule="exact"/>
              <w:rPr>
                <w:sz w:val="20"/>
                <w:szCs w:val="20"/>
                <w:color w:val="auto"/>
              </w:rPr>
            </w:pPr>
            <w:r>
              <w:rPr>
                <w:rFonts w:ascii="Arial" w:cs="Arial" w:eastAsia="Arial" w:hAnsi="Arial"/>
                <w:sz w:val="16"/>
                <w:szCs w:val="16"/>
                <w:color w:val="auto"/>
              </w:rPr>
              <w:t>(3.9)</w:t>
            </w:r>
          </w:p>
        </w:tc>
        <w:tc>
          <w:tcPr>
            <w:tcW w:w="380" w:type="dxa"/>
            <w:vAlign w:val="bottom"/>
          </w:tcPr>
          <w:p>
            <w:pPr>
              <w:jc w:val="right"/>
              <w:ind w:right="179"/>
              <w:spacing w:after="0" w:line="169" w:lineRule="exact"/>
              <w:rPr>
                <w:sz w:val="20"/>
                <w:szCs w:val="20"/>
                <w:color w:val="auto"/>
              </w:rPr>
            </w:pPr>
            <w:r>
              <w:rPr>
                <w:rFonts w:ascii="Arial" w:cs="Arial" w:eastAsia="Arial" w:hAnsi="Arial"/>
                <w:sz w:val="16"/>
                <w:szCs w:val="16"/>
                <w:color w:val="auto"/>
              </w:rPr>
              <w:t>$</w:t>
            </w:r>
          </w:p>
        </w:tc>
        <w:tc>
          <w:tcPr>
            <w:tcW w:w="1400" w:type="dxa"/>
            <w:vAlign w:val="bottom"/>
          </w:tcPr>
          <w:p>
            <w:pPr>
              <w:jc w:val="right"/>
              <w:ind w:right="39"/>
              <w:spacing w:after="0" w:line="169" w:lineRule="exact"/>
              <w:rPr>
                <w:sz w:val="20"/>
                <w:szCs w:val="20"/>
                <w:color w:val="auto"/>
              </w:rPr>
            </w:pPr>
            <w:r>
              <w:rPr>
                <w:rFonts w:ascii="Arial" w:cs="Arial" w:eastAsia="Arial" w:hAnsi="Arial"/>
                <w:sz w:val="16"/>
                <w:szCs w:val="16"/>
                <w:color w:val="auto"/>
              </w:rPr>
              <w:t>439.0</w:t>
            </w:r>
          </w:p>
        </w:tc>
      </w:tr>
      <w:tr>
        <w:trPr>
          <w:trHeight w:val="20"/>
        </w:trPr>
        <w:tc>
          <w:tcPr>
            <w:tcW w:w="1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169"/>
        </w:trPr>
        <w:tc>
          <w:tcPr>
            <w:tcW w:w="118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5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r>
      <w:tr>
        <w:trPr>
          <w:trHeight w:val="162"/>
        </w:trPr>
        <w:tc>
          <w:tcPr>
            <w:tcW w:w="3540" w:type="dxa"/>
            <w:vAlign w:val="bottom"/>
            <w:gridSpan w:val="3"/>
          </w:tcPr>
          <w:p>
            <w:pPr>
              <w:spacing w:after="0" w:line="162" w:lineRule="exact"/>
              <w:rPr>
                <w:sz w:val="20"/>
                <w:szCs w:val="20"/>
                <w:color w:val="auto"/>
              </w:rPr>
            </w:pPr>
            <w:r>
              <w:rPr>
                <w:rFonts w:ascii="Arial" w:cs="Arial" w:eastAsia="Arial" w:hAnsi="Arial"/>
                <w:sz w:val="16"/>
                <w:szCs w:val="16"/>
                <w:color w:val="auto"/>
              </w:rPr>
              <w:t>Timing of revenue recognition:</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27"/>
        </w:trPr>
        <w:tc>
          <w:tcPr>
            <w:tcW w:w="11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189"/>
        </w:trPr>
        <w:tc>
          <w:tcPr>
            <w:tcW w:w="3540" w:type="dxa"/>
            <w:vAlign w:val="bottom"/>
            <w:gridSpan w:val="3"/>
            <w:shd w:val="clear" w:color="auto" w:fill="CFF0FC"/>
          </w:tcPr>
          <w:p>
            <w:pPr>
              <w:ind w:left="40"/>
              <w:spacing w:after="0"/>
              <w:rPr>
                <w:sz w:val="20"/>
                <w:szCs w:val="20"/>
                <w:color w:val="auto"/>
              </w:rPr>
            </w:pPr>
            <w:r>
              <w:rPr>
                <w:rFonts w:ascii="Arial" w:cs="Arial" w:eastAsia="Arial" w:hAnsi="Arial"/>
                <w:sz w:val="16"/>
                <w:szCs w:val="16"/>
                <w:color w:val="auto"/>
              </w:rPr>
              <w:t>Services transferred at a point in time</w:t>
            </w: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w:t>
            </w:r>
          </w:p>
        </w:tc>
        <w:tc>
          <w:tcPr>
            <w:tcW w:w="3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FF0FC"/>
          </w:tcPr>
          <w:p>
            <w:pPr>
              <w:jc w:val="right"/>
              <w:ind w:right="1179"/>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9.1</w:t>
            </w:r>
          </w:p>
        </w:tc>
      </w:tr>
      <w:tr>
        <w:trPr>
          <w:trHeight w:val="189"/>
        </w:trPr>
        <w:tc>
          <w:tcPr>
            <w:tcW w:w="3540" w:type="dxa"/>
            <w:vAlign w:val="bottom"/>
            <w:gridSpan w:val="3"/>
          </w:tcPr>
          <w:p>
            <w:pPr>
              <w:ind w:left="40"/>
              <w:spacing w:after="0"/>
              <w:rPr>
                <w:sz w:val="20"/>
                <w:szCs w:val="20"/>
                <w:color w:val="auto"/>
              </w:rPr>
            </w:pPr>
            <w:r>
              <w:rPr>
                <w:rFonts w:ascii="Arial" w:cs="Arial" w:eastAsia="Arial" w:hAnsi="Arial"/>
                <w:sz w:val="16"/>
                <w:szCs w:val="16"/>
                <w:color w:val="auto"/>
              </w:rPr>
              <w:t>Services transferred over time</w:t>
            </w:r>
          </w:p>
        </w:tc>
        <w:tc>
          <w:tcPr>
            <w:tcW w:w="6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209.5</w:t>
            </w: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221.0</w:t>
            </w:r>
          </w:p>
        </w:tc>
        <w:tc>
          <w:tcPr>
            <w:tcW w:w="14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3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426.6</w:t>
            </w:r>
          </w:p>
        </w:tc>
      </w:tr>
      <w:tr>
        <w:trPr>
          <w:trHeight w:val="223"/>
        </w:trPr>
        <w:tc>
          <w:tcPr>
            <w:tcW w:w="3540" w:type="dxa"/>
            <w:vAlign w:val="bottom"/>
            <w:gridSpan w:val="3"/>
            <w:shd w:val="clear" w:color="auto" w:fill="CFF0FC"/>
          </w:tcPr>
          <w:p>
            <w:pPr>
              <w:ind w:left="40"/>
              <w:spacing w:after="0" w:line="169" w:lineRule="exact"/>
              <w:rPr>
                <w:sz w:val="20"/>
                <w:szCs w:val="20"/>
                <w:color w:val="auto"/>
              </w:rPr>
            </w:pPr>
            <w:r>
              <w:rPr>
                <w:rFonts w:ascii="Arial" w:cs="Arial" w:eastAsia="Arial" w:hAnsi="Arial"/>
                <w:sz w:val="16"/>
                <w:szCs w:val="16"/>
                <w:color w:val="auto"/>
              </w:rPr>
              <w:t>Revenue from contracts with customers</w:t>
            </w:r>
          </w:p>
        </w:tc>
        <w:tc>
          <w:tcPr>
            <w:tcW w:w="800" w:type="dxa"/>
            <w:vAlign w:val="bottom"/>
            <w:gridSpan w:val="2"/>
            <w:shd w:val="clear" w:color="auto" w:fill="CFF0FC"/>
          </w:tcPr>
          <w:p>
            <w:pPr>
              <w:jc w:val="right"/>
              <w:ind w:right="80"/>
              <w:spacing w:after="0" w:line="169" w:lineRule="exact"/>
              <w:rPr>
                <w:sz w:val="20"/>
                <w:szCs w:val="20"/>
                <w:color w:val="auto"/>
              </w:rPr>
            </w:pPr>
            <w:r>
              <w:rPr>
                <w:rFonts w:ascii="Arial" w:cs="Arial" w:eastAsia="Arial" w:hAnsi="Arial"/>
                <w:sz w:val="16"/>
                <w:szCs w:val="16"/>
                <w:color w:val="auto"/>
              </w:rPr>
              <w:t>$</w:t>
            </w:r>
          </w:p>
        </w:tc>
        <w:tc>
          <w:tcPr>
            <w:tcW w:w="156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218.6</w:t>
            </w:r>
          </w:p>
        </w:tc>
        <w:tc>
          <w:tcPr>
            <w:tcW w:w="300" w:type="dxa"/>
            <w:vAlign w:val="bottom"/>
            <w:shd w:val="clear" w:color="auto" w:fill="CFF0FC"/>
          </w:tcPr>
          <w:p>
            <w:pPr>
              <w:jc w:val="right"/>
              <w:ind w:right="59"/>
              <w:spacing w:after="0" w:line="169" w:lineRule="exact"/>
              <w:rPr>
                <w:sz w:val="20"/>
                <w:szCs w:val="20"/>
                <w:color w:val="auto"/>
              </w:rPr>
            </w:pPr>
            <w:r>
              <w:rPr>
                <w:rFonts w:ascii="Arial" w:cs="Arial" w:eastAsia="Arial" w:hAnsi="Arial"/>
                <w:sz w:val="16"/>
                <w:szCs w:val="16"/>
                <w:color w:val="auto"/>
              </w:rPr>
              <w:t>$</w:t>
            </w:r>
          </w:p>
        </w:tc>
        <w:tc>
          <w:tcPr>
            <w:tcW w:w="146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221.0</w:t>
            </w:r>
          </w:p>
        </w:tc>
        <w:tc>
          <w:tcPr>
            <w:tcW w:w="1420" w:type="dxa"/>
            <w:vAlign w:val="bottom"/>
            <w:shd w:val="clear" w:color="auto" w:fill="CFF0FC"/>
          </w:tcPr>
          <w:p>
            <w:pPr>
              <w:jc w:val="right"/>
              <w:ind w:right="1179"/>
              <w:spacing w:after="0" w:line="169" w:lineRule="exact"/>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(3.9)</w:t>
            </w:r>
          </w:p>
        </w:tc>
        <w:tc>
          <w:tcPr>
            <w:tcW w:w="380" w:type="dxa"/>
            <w:vAlign w:val="bottom"/>
            <w:shd w:val="clear" w:color="auto" w:fill="CFF0FC"/>
          </w:tcPr>
          <w:p>
            <w:pPr>
              <w:jc w:val="right"/>
              <w:ind w:right="179"/>
              <w:spacing w:after="0" w:line="169" w:lineRule="exact"/>
              <w:rPr>
                <w:sz w:val="20"/>
                <w:szCs w:val="20"/>
                <w:color w:val="auto"/>
              </w:rPr>
            </w:pPr>
            <w:r>
              <w:rPr>
                <w:rFonts w:ascii="Arial" w:cs="Arial" w:eastAsia="Arial" w:hAnsi="Arial"/>
                <w:sz w:val="16"/>
                <w:szCs w:val="16"/>
                <w:color w:val="auto"/>
              </w:rPr>
              <w:t>$</w:t>
            </w:r>
          </w:p>
        </w:tc>
        <w:tc>
          <w:tcPr>
            <w:tcW w:w="1400" w:type="dxa"/>
            <w:vAlign w:val="bottom"/>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rPr>
              <w:t>435.7</w:t>
            </w:r>
          </w:p>
        </w:tc>
      </w:tr>
      <w:tr>
        <w:trPr>
          <w:trHeight w:val="344"/>
        </w:trPr>
        <w:tc>
          <w:tcPr>
            <w:tcW w:w="1180" w:type="dxa"/>
            <w:vAlign w:val="bottom"/>
            <w:tcBorders>
              <w:top w:val="single" w:sz="8" w:color="CFF0FC"/>
            </w:tcBorders>
          </w:tcPr>
          <w:p>
            <w:pPr>
              <w:spacing w:after="0"/>
              <w:rPr>
                <w:sz w:val="24"/>
                <w:szCs w:val="24"/>
                <w:color w:val="auto"/>
              </w:rPr>
            </w:pPr>
          </w:p>
        </w:tc>
        <w:tc>
          <w:tcPr>
            <w:tcW w:w="1000" w:type="dxa"/>
            <w:vAlign w:val="bottom"/>
            <w:tcBorders>
              <w:top w:val="single" w:sz="8" w:color="CFF0FC"/>
            </w:tcBorders>
          </w:tcPr>
          <w:p>
            <w:pPr>
              <w:spacing w:after="0"/>
              <w:rPr>
                <w:sz w:val="24"/>
                <w:szCs w:val="24"/>
                <w:color w:val="auto"/>
              </w:rPr>
            </w:pPr>
          </w:p>
        </w:tc>
        <w:tc>
          <w:tcPr>
            <w:tcW w:w="1360" w:type="dxa"/>
            <w:vAlign w:val="bottom"/>
            <w:tcBorders>
              <w:top w:val="single" w:sz="8" w:color="CFF0FC"/>
            </w:tcBorders>
          </w:tcPr>
          <w:p>
            <w:pPr>
              <w:spacing w:after="0"/>
              <w:rPr>
                <w:sz w:val="24"/>
                <w:szCs w:val="24"/>
                <w:color w:val="auto"/>
              </w:rPr>
            </w:pPr>
          </w:p>
        </w:tc>
        <w:tc>
          <w:tcPr>
            <w:tcW w:w="64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jc w:val="center"/>
              <w:ind w:left="219"/>
              <w:spacing w:after="0"/>
              <w:rPr>
                <w:sz w:val="20"/>
                <w:szCs w:val="20"/>
                <w:color w:val="auto"/>
              </w:rPr>
            </w:pPr>
            <w:r>
              <w:rPr>
                <w:rFonts w:ascii="Arial" w:cs="Arial" w:eastAsia="Arial" w:hAnsi="Arial"/>
                <w:sz w:val="16"/>
                <w:szCs w:val="16"/>
                <w:b w:val="1"/>
                <w:bCs w:val="1"/>
                <w:color w:val="auto"/>
              </w:rPr>
              <w:t>Inter-segment</w:t>
            </w:r>
          </w:p>
        </w:tc>
        <w:tc>
          <w:tcPr>
            <w:tcW w:w="38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r>
      <w:tr>
        <w:trPr>
          <w:trHeight w:val="203"/>
        </w:trPr>
        <w:tc>
          <w:tcPr>
            <w:tcW w:w="354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rPr>
              <w:t>Three Months Ended June 30, 2024</w:t>
            </w:r>
          </w:p>
        </w:tc>
        <w:tc>
          <w:tcPr>
            <w:tcW w:w="6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Electric Utilities</w:t>
            </w:r>
          </w:p>
        </w:tc>
        <w:tc>
          <w:tcPr>
            <w:tcW w:w="3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Gas Utilities</w:t>
            </w:r>
          </w:p>
        </w:tc>
        <w:tc>
          <w:tcPr>
            <w:tcW w:w="1420" w:type="dxa"/>
            <w:vAlign w:val="bottom"/>
            <w:tcBorders>
              <w:bottom w:val="single" w:sz="8" w:color="auto"/>
            </w:tcBorders>
          </w:tcPr>
          <w:p>
            <w:pPr>
              <w:jc w:val="center"/>
              <w:ind w:left="259"/>
              <w:spacing w:after="0"/>
              <w:rPr>
                <w:sz w:val="20"/>
                <w:szCs w:val="20"/>
                <w:color w:val="auto"/>
              </w:rPr>
            </w:pPr>
            <w:r>
              <w:rPr>
                <w:rFonts w:ascii="Arial" w:cs="Arial" w:eastAsia="Arial" w:hAnsi="Arial"/>
                <w:sz w:val="16"/>
                <w:szCs w:val="16"/>
                <w:b w:val="1"/>
                <w:bCs w:val="1"/>
                <w:color w:val="auto"/>
              </w:rPr>
              <w:t>Eliminations</w:t>
            </w:r>
          </w:p>
        </w:tc>
        <w:tc>
          <w:tcPr>
            <w:tcW w:w="3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Total</w:t>
            </w:r>
          </w:p>
        </w:tc>
      </w:tr>
      <w:tr>
        <w:trPr>
          <w:trHeight w:val="169"/>
        </w:trPr>
        <w:tc>
          <w:tcPr>
            <w:tcW w:w="3540" w:type="dxa"/>
            <w:vAlign w:val="bottom"/>
            <w:gridSpan w:val="3"/>
            <w:shd w:val="clear" w:color="auto" w:fill="CFF0FC"/>
          </w:tcPr>
          <w:p>
            <w:pPr>
              <w:spacing w:after="0" w:line="169" w:lineRule="exact"/>
              <w:rPr>
                <w:sz w:val="20"/>
                <w:szCs w:val="20"/>
                <w:color w:val="auto"/>
              </w:rPr>
            </w:pPr>
            <w:r>
              <w:rPr>
                <w:rFonts w:ascii="Arial" w:cs="Arial" w:eastAsia="Arial" w:hAnsi="Arial"/>
                <w:sz w:val="16"/>
                <w:szCs w:val="16"/>
                <w:color w:val="auto"/>
              </w:rPr>
              <w:t>Customer types:</w:t>
            </w:r>
          </w:p>
        </w:tc>
        <w:tc>
          <w:tcPr>
            <w:tcW w:w="6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5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880" w:type="dxa"/>
            <w:vAlign w:val="bottom"/>
            <w:gridSpan w:val="2"/>
            <w:shd w:val="clear" w:color="auto" w:fill="CFF0FC"/>
          </w:tcPr>
          <w:p>
            <w:pPr>
              <w:jc w:val="right"/>
              <w:ind w:right="939"/>
              <w:spacing w:after="0" w:line="169" w:lineRule="exact"/>
              <w:rPr>
                <w:sz w:val="20"/>
                <w:szCs w:val="20"/>
                <w:color w:val="auto"/>
              </w:rPr>
            </w:pPr>
            <w:r>
              <w:rPr>
                <w:rFonts w:ascii="Arial" w:cs="Arial" w:eastAsia="Arial" w:hAnsi="Arial"/>
                <w:sz w:val="16"/>
                <w:szCs w:val="16"/>
                <w:color w:val="auto"/>
              </w:rPr>
              <w:t>(in millions)</w:t>
            </w:r>
          </w:p>
        </w:tc>
        <w:tc>
          <w:tcPr>
            <w:tcW w:w="38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r>
      <w:tr>
        <w:trPr>
          <w:trHeight w:val="27"/>
        </w:trPr>
        <w:tc>
          <w:tcPr>
            <w:tcW w:w="1180" w:type="dxa"/>
            <w:vAlign w:val="bottom"/>
            <w:shd w:val="clear" w:color="auto" w:fill="000000"/>
          </w:tcPr>
          <w:p>
            <w:pPr>
              <w:spacing w:after="0"/>
              <w:rPr>
                <w:sz w:val="2"/>
                <w:szCs w:val="2"/>
                <w:color w:val="auto"/>
              </w:rPr>
            </w:pPr>
          </w:p>
        </w:tc>
        <w:tc>
          <w:tcPr>
            <w:tcW w:w="1000" w:type="dxa"/>
            <w:vAlign w:val="bottom"/>
            <w:shd w:val="clear" w:color="auto" w:fill="CFF0FC"/>
          </w:tcPr>
          <w:p>
            <w:pPr>
              <w:spacing w:after="0"/>
              <w:rPr>
                <w:sz w:val="2"/>
                <w:szCs w:val="2"/>
                <w:color w:val="auto"/>
              </w:rPr>
            </w:pPr>
          </w:p>
        </w:tc>
        <w:tc>
          <w:tcPr>
            <w:tcW w:w="1360" w:type="dxa"/>
            <w:vAlign w:val="bottom"/>
            <w:shd w:val="clear" w:color="auto" w:fill="CFF0FC"/>
          </w:tcPr>
          <w:p>
            <w:pPr>
              <w:spacing w:after="0"/>
              <w:rPr>
                <w:sz w:val="2"/>
                <w:szCs w:val="2"/>
                <w:color w:val="auto"/>
              </w:rPr>
            </w:pPr>
          </w:p>
        </w:tc>
        <w:tc>
          <w:tcPr>
            <w:tcW w:w="64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5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r>
      <w:tr>
        <w:trPr>
          <w:trHeight w:val="189"/>
        </w:trPr>
        <w:tc>
          <w:tcPr>
            <w:tcW w:w="1180" w:type="dxa"/>
            <w:vAlign w:val="bottom"/>
          </w:tcPr>
          <w:p>
            <w:pPr>
              <w:ind w:left="40"/>
              <w:spacing w:after="0"/>
              <w:rPr>
                <w:sz w:val="20"/>
                <w:szCs w:val="20"/>
                <w:color w:val="auto"/>
              </w:rPr>
            </w:pPr>
            <w:r>
              <w:rPr>
                <w:rFonts w:ascii="Arial" w:cs="Arial" w:eastAsia="Arial" w:hAnsi="Arial"/>
                <w:sz w:val="16"/>
                <w:szCs w:val="16"/>
                <w:color w:val="auto"/>
              </w:rPr>
              <w:t>Retail</w:t>
            </w:r>
          </w:p>
        </w:tc>
        <w:tc>
          <w:tcPr>
            <w:tcW w:w="2360" w:type="dxa"/>
            <w:vAlign w:val="bottom"/>
            <w:gridSpan w:val="2"/>
          </w:tcPr>
          <w:p>
            <w:pPr>
              <w:spacing w:after="0"/>
              <w:rPr>
                <w:sz w:val="16"/>
                <w:szCs w:val="16"/>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163.4</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152.9</w:t>
            </w:r>
          </w:p>
        </w:tc>
        <w:tc>
          <w:tcPr>
            <w:tcW w:w="1420" w:type="dxa"/>
            <w:vAlign w:val="bottom"/>
          </w:tcPr>
          <w:p>
            <w:pPr>
              <w:jc w:val="right"/>
              <w:ind w:right="1179"/>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316.3</w:t>
            </w:r>
          </w:p>
        </w:tc>
      </w:tr>
      <w:tr>
        <w:trPr>
          <w:trHeight w:val="189"/>
        </w:trPr>
        <w:tc>
          <w:tcPr>
            <w:tcW w:w="3540" w:type="dxa"/>
            <w:vAlign w:val="bottom"/>
            <w:gridSpan w:val="3"/>
            <w:shd w:val="clear" w:color="auto" w:fill="CFF0FC"/>
          </w:tcPr>
          <w:p>
            <w:pPr>
              <w:ind w:left="40"/>
              <w:spacing w:after="0"/>
              <w:rPr>
                <w:sz w:val="20"/>
                <w:szCs w:val="20"/>
                <w:color w:val="auto"/>
              </w:rPr>
            </w:pPr>
            <w:r>
              <w:rPr>
                <w:rFonts w:ascii="Arial" w:cs="Arial" w:eastAsia="Arial" w:hAnsi="Arial"/>
                <w:sz w:val="16"/>
                <w:szCs w:val="16"/>
                <w:color w:val="auto"/>
              </w:rPr>
              <w:t>Transportation</w:t>
            </w:r>
          </w:p>
        </w:tc>
        <w:tc>
          <w:tcPr>
            <w:tcW w:w="6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6"/>
                <w:szCs w:val="16"/>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36.0</w:t>
            </w:r>
          </w:p>
        </w:tc>
        <w:tc>
          <w:tcPr>
            <w:tcW w:w="1420" w:type="dxa"/>
            <w:vAlign w:val="bottom"/>
            <w:shd w:val="clear" w:color="auto" w:fill="CFF0FC"/>
          </w:tcPr>
          <w:p>
            <w:pPr>
              <w:spacing w:after="0"/>
              <w:rPr>
                <w:sz w:val="16"/>
                <w:szCs w:val="16"/>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(0.2)</w:t>
            </w:r>
          </w:p>
        </w:tc>
        <w:tc>
          <w:tcPr>
            <w:tcW w:w="380" w:type="dxa"/>
            <w:vAlign w:val="bottom"/>
            <w:shd w:val="clear" w:color="auto" w:fill="CFF0FC"/>
          </w:tcPr>
          <w:p>
            <w:pPr>
              <w:spacing w:after="0"/>
              <w:rPr>
                <w:sz w:val="16"/>
                <w:szCs w:val="16"/>
                <w:color w:val="auto"/>
              </w:rPr>
            </w:pPr>
          </w:p>
        </w:tc>
        <w:tc>
          <w:tcPr>
            <w:tcW w:w="14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35.8</w:t>
            </w:r>
          </w:p>
        </w:tc>
      </w:tr>
      <w:tr>
        <w:trPr>
          <w:trHeight w:val="189"/>
        </w:trPr>
        <w:tc>
          <w:tcPr>
            <w:tcW w:w="3540" w:type="dxa"/>
            <w:vAlign w:val="bottom"/>
            <w:gridSpan w:val="3"/>
          </w:tcPr>
          <w:p>
            <w:pPr>
              <w:ind w:left="40"/>
              <w:spacing w:after="0"/>
              <w:rPr>
                <w:sz w:val="20"/>
                <w:szCs w:val="20"/>
                <w:color w:val="auto"/>
              </w:rPr>
            </w:pPr>
            <w:r>
              <w:rPr>
                <w:rFonts w:ascii="Arial" w:cs="Arial" w:eastAsia="Arial" w:hAnsi="Arial"/>
                <w:sz w:val="16"/>
                <w:szCs w:val="16"/>
                <w:color w:val="auto"/>
              </w:rPr>
              <w:t>Wholesale</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6.5</w:t>
            </w:r>
          </w:p>
        </w:tc>
        <w:tc>
          <w:tcPr>
            <w:tcW w:w="3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spacing w:after="0"/>
              <w:rPr>
                <w:sz w:val="16"/>
                <w:szCs w:val="16"/>
                <w:color w:val="auto"/>
              </w:rPr>
            </w:pPr>
          </w:p>
        </w:tc>
        <w:tc>
          <w:tcPr>
            <w:tcW w:w="3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6.5</w:t>
            </w:r>
          </w:p>
        </w:tc>
      </w:tr>
      <w:tr>
        <w:trPr>
          <w:trHeight w:val="189"/>
        </w:trPr>
        <w:tc>
          <w:tcPr>
            <w:tcW w:w="3540" w:type="dxa"/>
            <w:vAlign w:val="bottom"/>
            <w:gridSpan w:val="3"/>
            <w:shd w:val="clear" w:color="auto" w:fill="CFF0FC"/>
          </w:tcPr>
          <w:p>
            <w:pPr>
              <w:ind w:left="40"/>
              <w:spacing w:after="0"/>
              <w:rPr>
                <w:sz w:val="20"/>
                <w:szCs w:val="20"/>
                <w:color w:val="auto"/>
              </w:rPr>
            </w:pPr>
            <w:r>
              <w:rPr>
                <w:rFonts w:ascii="Arial" w:cs="Arial" w:eastAsia="Arial" w:hAnsi="Arial"/>
                <w:sz w:val="16"/>
                <w:szCs w:val="16"/>
                <w:color w:val="auto"/>
              </w:rPr>
              <w:t>Market - off-system sales</w:t>
            </w:r>
          </w:p>
        </w:tc>
        <w:tc>
          <w:tcPr>
            <w:tcW w:w="6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w:t>
            </w:r>
          </w:p>
        </w:tc>
        <w:tc>
          <w:tcPr>
            <w:tcW w:w="300" w:type="dxa"/>
            <w:vAlign w:val="bottom"/>
            <w:shd w:val="clear" w:color="auto" w:fill="CFF0FC"/>
          </w:tcPr>
          <w:p>
            <w:pPr>
              <w:spacing w:after="0"/>
              <w:rPr>
                <w:sz w:val="16"/>
                <w:szCs w:val="16"/>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FF0FC"/>
          </w:tcPr>
          <w:p>
            <w:pPr>
              <w:spacing w:after="0"/>
              <w:rPr>
                <w:sz w:val="16"/>
                <w:szCs w:val="16"/>
                <w:color w:val="auto"/>
              </w:rPr>
            </w:pPr>
          </w:p>
        </w:tc>
        <w:tc>
          <w:tcPr>
            <w:tcW w:w="3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spacing w:after="0"/>
              <w:rPr>
                <w:sz w:val="16"/>
                <w:szCs w:val="16"/>
                <w:color w:val="auto"/>
              </w:rPr>
            </w:pPr>
          </w:p>
        </w:tc>
        <w:tc>
          <w:tcPr>
            <w:tcW w:w="14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5.5</w:t>
            </w:r>
          </w:p>
        </w:tc>
      </w:tr>
      <w:tr>
        <w:trPr>
          <w:trHeight w:val="189"/>
        </w:trPr>
        <w:tc>
          <w:tcPr>
            <w:tcW w:w="3540" w:type="dxa"/>
            <w:vAlign w:val="bottom"/>
            <w:gridSpan w:val="3"/>
          </w:tcPr>
          <w:p>
            <w:pPr>
              <w:ind w:left="40"/>
              <w:spacing w:after="0"/>
              <w:rPr>
                <w:sz w:val="20"/>
                <w:szCs w:val="20"/>
                <w:color w:val="auto"/>
              </w:rPr>
            </w:pPr>
            <w:r>
              <w:rPr>
                <w:rFonts w:ascii="Arial" w:cs="Arial" w:eastAsia="Arial" w:hAnsi="Arial"/>
                <w:sz w:val="16"/>
                <w:szCs w:val="16"/>
                <w:color w:val="auto"/>
              </w:rPr>
              <w:t>Transmission</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12.9</w:t>
            </w:r>
          </w:p>
        </w:tc>
        <w:tc>
          <w:tcPr>
            <w:tcW w:w="3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0.1</w:t>
            </w:r>
          </w:p>
        </w:tc>
        <w:tc>
          <w:tcPr>
            <w:tcW w:w="1420" w:type="dxa"/>
            <w:vAlign w:val="bottom"/>
          </w:tcPr>
          <w:p>
            <w:pPr>
              <w:spacing w:after="0"/>
              <w:rPr>
                <w:sz w:val="16"/>
                <w:szCs w:val="16"/>
                <w:color w:val="auto"/>
              </w:rPr>
            </w:pPr>
          </w:p>
        </w:tc>
        <w:tc>
          <w:tcPr>
            <w:tcW w:w="3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13.0</w:t>
            </w:r>
          </w:p>
        </w:tc>
      </w:tr>
      <w:tr>
        <w:trPr>
          <w:trHeight w:val="189"/>
        </w:trPr>
        <w:tc>
          <w:tcPr>
            <w:tcW w:w="3540" w:type="dxa"/>
            <w:vAlign w:val="bottom"/>
            <w:tcBorders>
              <w:bottom w:val="single" w:sz="8" w:color="CFF0FC"/>
            </w:tcBorders>
            <w:gridSpan w:val="3"/>
            <w:shd w:val="clear" w:color="auto" w:fill="CFF0FC"/>
          </w:tcPr>
          <w:p>
            <w:pPr>
              <w:ind w:left="40"/>
              <w:spacing w:after="0"/>
              <w:rPr>
                <w:sz w:val="20"/>
                <w:szCs w:val="20"/>
                <w:color w:val="auto"/>
              </w:rPr>
            </w:pPr>
            <w:r>
              <w:rPr>
                <w:rFonts w:ascii="Arial" w:cs="Arial" w:eastAsia="Arial" w:hAnsi="Arial"/>
                <w:sz w:val="16"/>
                <w:szCs w:val="16"/>
                <w:color w:val="auto"/>
              </w:rPr>
              <w:t>Other revenues</w:t>
            </w:r>
          </w:p>
        </w:tc>
        <w:tc>
          <w:tcPr>
            <w:tcW w:w="64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14.4</w:t>
            </w:r>
          </w:p>
        </w:tc>
        <w:tc>
          <w:tcPr>
            <w:tcW w:w="300" w:type="dxa"/>
            <w:vAlign w:val="bottom"/>
            <w:tcBorders>
              <w:bottom w:val="single" w:sz="8" w:color="auto"/>
            </w:tcBorders>
            <w:shd w:val="clear" w:color="auto" w:fill="CFF0FC"/>
          </w:tcPr>
          <w:p>
            <w:pPr>
              <w:spacing w:after="0"/>
              <w:rPr>
                <w:sz w:val="16"/>
                <w:szCs w:val="16"/>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9.9</w:t>
            </w:r>
          </w:p>
        </w:tc>
        <w:tc>
          <w:tcPr>
            <w:tcW w:w="1420" w:type="dxa"/>
            <w:vAlign w:val="bottom"/>
            <w:tcBorders>
              <w:bottom w:val="single" w:sz="8" w:color="auto"/>
            </w:tcBorders>
            <w:shd w:val="clear" w:color="auto" w:fill="CFF0FC"/>
          </w:tcPr>
          <w:p>
            <w:pPr>
              <w:spacing w:after="0"/>
              <w:rPr>
                <w:sz w:val="16"/>
                <w:szCs w:val="16"/>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(4.3)</w:t>
            </w:r>
          </w:p>
        </w:tc>
        <w:tc>
          <w:tcPr>
            <w:tcW w:w="380" w:type="dxa"/>
            <w:vAlign w:val="bottom"/>
            <w:tcBorders>
              <w:bottom w:val="single" w:sz="8" w:color="auto"/>
            </w:tcBorders>
            <w:shd w:val="clear" w:color="auto" w:fill="CFF0FC"/>
          </w:tcPr>
          <w:p>
            <w:pPr>
              <w:spacing w:after="0"/>
              <w:rPr>
                <w:sz w:val="16"/>
                <w:szCs w:val="16"/>
                <w:color w:val="auto"/>
              </w:rPr>
            </w:pPr>
          </w:p>
        </w:tc>
        <w:tc>
          <w:tcPr>
            <w:tcW w:w="14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20.0</w:t>
            </w:r>
          </w:p>
        </w:tc>
      </w:tr>
      <w:tr>
        <w:trPr>
          <w:trHeight w:val="183"/>
        </w:trPr>
        <w:tc>
          <w:tcPr>
            <w:tcW w:w="3540" w:type="dxa"/>
            <w:vAlign w:val="bottom"/>
            <w:gridSpan w:val="3"/>
          </w:tcPr>
          <w:p>
            <w:pPr>
              <w:ind w:left="40"/>
              <w:spacing w:after="0" w:line="183" w:lineRule="exact"/>
              <w:rPr>
                <w:sz w:val="20"/>
                <w:szCs w:val="20"/>
                <w:color w:val="auto"/>
              </w:rPr>
            </w:pPr>
            <w:r>
              <w:rPr>
                <w:rFonts w:ascii="Arial" w:cs="Arial" w:eastAsia="Arial" w:hAnsi="Arial"/>
                <w:sz w:val="16"/>
                <w:szCs w:val="16"/>
                <w:color w:val="auto"/>
              </w:rPr>
              <w:t>Revenue from contracts with customers</w:t>
            </w:r>
          </w:p>
        </w:tc>
        <w:tc>
          <w:tcPr>
            <w:tcW w:w="800" w:type="dxa"/>
            <w:vAlign w:val="bottom"/>
            <w:gridSpan w:val="2"/>
          </w:tcPr>
          <w:p>
            <w:pPr>
              <w:jc w:val="right"/>
              <w:ind w:right="80"/>
              <w:spacing w:after="0" w:line="183" w:lineRule="exact"/>
              <w:rPr>
                <w:sz w:val="20"/>
                <w:szCs w:val="20"/>
                <w:color w:val="auto"/>
              </w:rPr>
            </w:pPr>
            <w:r>
              <w:rPr>
                <w:rFonts w:ascii="Arial" w:cs="Arial" w:eastAsia="Arial" w:hAnsi="Arial"/>
                <w:sz w:val="16"/>
                <w:szCs w:val="16"/>
                <w:color w:val="auto"/>
              </w:rPr>
              <w:t>$</w:t>
            </w:r>
          </w:p>
        </w:tc>
        <w:tc>
          <w:tcPr>
            <w:tcW w:w="1560" w:type="dxa"/>
            <w:vAlign w:val="bottom"/>
          </w:tcPr>
          <w:p>
            <w:pPr>
              <w:jc w:val="right"/>
              <w:spacing w:after="0" w:line="183" w:lineRule="exact"/>
              <w:rPr>
                <w:sz w:val="20"/>
                <w:szCs w:val="20"/>
                <w:color w:val="auto"/>
              </w:rPr>
            </w:pPr>
            <w:r>
              <w:rPr>
                <w:rFonts w:ascii="Arial" w:cs="Arial" w:eastAsia="Arial" w:hAnsi="Arial"/>
                <w:sz w:val="16"/>
                <w:szCs w:val="16"/>
                <w:color w:val="auto"/>
              </w:rPr>
              <w:t>202.7</w:t>
            </w:r>
          </w:p>
        </w:tc>
        <w:tc>
          <w:tcPr>
            <w:tcW w:w="300" w:type="dxa"/>
            <w:vAlign w:val="bottom"/>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1460" w:type="dxa"/>
            <w:vAlign w:val="bottom"/>
          </w:tcPr>
          <w:p>
            <w:pPr>
              <w:jc w:val="right"/>
              <w:spacing w:after="0" w:line="183" w:lineRule="exact"/>
              <w:rPr>
                <w:sz w:val="20"/>
                <w:szCs w:val="20"/>
                <w:color w:val="auto"/>
              </w:rPr>
            </w:pPr>
            <w:r>
              <w:rPr>
                <w:rFonts w:ascii="Arial" w:cs="Arial" w:eastAsia="Arial" w:hAnsi="Arial"/>
                <w:sz w:val="16"/>
                <w:szCs w:val="16"/>
                <w:color w:val="auto"/>
              </w:rPr>
              <w:t>198.9</w:t>
            </w:r>
          </w:p>
        </w:tc>
        <w:tc>
          <w:tcPr>
            <w:tcW w:w="1420" w:type="dxa"/>
            <w:vAlign w:val="bottom"/>
          </w:tcPr>
          <w:p>
            <w:pPr>
              <w:jc w:val="right"/>
              <w:ind w:right="1179"/>
              <w:spacing w:after="0" w:line="183" w:lineRule="exact"/>
              <w:rPr>
                <w:sz w:val="20"/>
                <w:szCs w:val="20"/>
                <w:color w:val="auto"/>
              </w:rPr>
            </w:pPr>
            <w:r>
              <w:rPr>
                <w:rFonts w:ascii="Arial" w:cs="Arial" w:eastAsia="Arial" w:hAnsi="Arial"/>
                <w:sz w:val="16"/>
                <w:szCs w:val="16"/>
                <w:color w:val="auto"/>
              </w:rPr>
              <w:t>$</w:t>
            </w:r>
          </w:p>
        </w:tc>
        <w:tc>
          <w:tcPr>
            <w:tcW w:w="380" w:type="dxa"/>
            <w:vAlign w:val="bottom"/>
          </w:tcPr>
          <w:p>
            <w:pPr>
              <w:jc w:val="right"/>
              <w:spacing w:after="0" w:line="183" w:lineRule="exact"/>
              <w:rPr>
                <w:sz w:val="20"/>
                <w:szCs w:val="20"/>
                <w:color w:val="auto"/>
              </w:rPr>
            </w:pPr>
            <w:r>
              <w:rPr>
                <w:rFonts w:ascii="Arial" w:cs="Arial" w:eastAsia="Arial" w:hAnsi="Arial"/>
                <w:sz w:val="16"/>
                <w:szCs w:val="16"/>
                <w:color w:val="auto"/>
              </w:rPr>
              <w:t>(4.5)</w:t>
            </w:r>
          </w:p>
        </w:tc>
        <w:tc>
          <w:tcPr>
            <w:tcW w:w="380" w:type="dxa"/>
            <w:vAlign w:val="bottom"/>
          </w:tcPr>
          <w:p>
            <w:pPr>
              <w:jc w:val="right"/>
              <w:ind w:right="179"/>
              <w:spacing w:after="0" w:line="183" w:lineRule="exact"/>
              <w:rPr>
                <w:sz w:val="20"/>
                <w:szCs w:val="20"/>
                <w:color w:val="auto"/>
              </w:rPr>
            </w:pPr>
            <w:r>
              <w:rPr>
                <w:rFonts w:ascii="Arial" w:cs="Arial" w:eastAsia="Arial" w:hAnsi="Arial"/>
                <w:sz w:val="16"/>
                <w:szCs w:val="16"/>
                <w:color w:val="auto"/>
              </w:rPr>
              <w:t>$</w:t>
            </w:r>
          </w:p>
        </w:tc>
        <w:tc>
          <w:tcPr>
            <w:tcW w:w="1400" w:type="dxa"/>
            <w:vAlign w:val="bottom"/>
          </w:tcPr>
          <w:p>
            <w:pPr>
              <w:jc w:val="right"/>
              <w:ind w:right="39"/>
              <w:spacing w:after="0" w:line="183" w:lineRule="exact"/>
              <w:rPr>
                <w:sz w:val="20"/>
                <w:szCs w:val="20"/>
                <w:color w:val="auto"/>
              </w:rPr>
            </w:pPr>
            <w:r>
              <w:rPr>
                <w:rFonts w:ascii="Arial" w:cs="Arial" w:eastAsia="Arial" w:hAnsi="Arial"/>
                <w:sz w:val="16"/>
                <w:szCs w:val="16"/>
                <w:color w:val="auto"/>
              </w:rPr>
              <w:t>397.1</w:t>
            </w:r>
          </w:p>
        </w:tc>
      </w:tr>
      <w:tr>
        <w:trPr>
          <w:trHeight w:val="189"/>
        </w:trPr>
        <w:tc>
          <w:tcPr>
            <w:tcW w:w="3540" w:type="dxa"/>
            <w:vAlign w:val="bottom"/>
            <w:tcBorders>
              <w:bottom w:val="single" w:sz="8" w:color="CFF0FC"/>
            </w:tcBorders>
            <w:gridSpan w:val="3"/>
            <w:shd w:val="clear" w:color="auto" w:fill="CFF0FC"/>
          </w:tcPr>
          <w:p>
            <w:pPr>
              <w:ind w:left="40"/>
              <w:spacing w:after="0"/>
              <w:rPr>
                <w:sz w:val="20"/>
                <w:szCs w:val="20"/>
                <w:color w:val="auto"/>
              </w:rPr>
            </w:pPr>
            <w:r>
              <w:rPr>
                <w:rFonts w:ascii="Arial" w:cs="Arial" w:eastAsia="Arial" w:hAnsi="Arial"/>
                <w:sz w:val="16"/>
                <w:szCs w:val="16"/>
                <w:color w:val="auto"/>
              </w:rPr>
              <w:t>Alternative revenue and other</w:t>
            </w:r>
          </w:p>
        </w:tc>
        <w:tc>
          <w:tcPr>
            <w:tcW w:w="64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w:t>
            </w:r>
          </w:p>
        </w:tc>
        <w:tc>
          <w:tcPr>
            <w:tcW w:w="300" w:type="dxa"/>
            <w:vAlign w:val="bottom"/>
            <w:tcBorders>
              <w:bottom w:val="single" w:sz="8" w:color="auto"/>
            </w:tcBorders>
            <w:shd w:val="clear" w:color="auto" w:fill="CFF0FC"/>
          </w:tcPr>
          <w:p>
            <w:pPr>
              <w:spacing w:after="0"/>
              <w:rPr>
                <w:sz w:val="16"/>
                <w:szCs w:val="16"/>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w:t>
            </w:r>
          </w:p>
        </w:tc>
        <w:tc>
          <w:tcPr>
            <w:tcW w:w="1420" w:type="dxa"/>
            <w:vAlign w:val="bottom"/>
            <w:tcBorders>
              <w:bottom w:val="single" w:sz="8" w:color="auto"/>
            </w:tcBorders>
            <w:shd w:val="clear" w:color="auto" w:fill="CFF0FC"/>
          </w:tcPr>
          <w:p>
            <w:pPr>
              <w:spacing w:after="0"/>
              <w:rPr>
                <w:sz w:val="16"/>
                <w:szCs w:val="16"/>
                <w:color w:val="auto"/>
              </w:rPr>
            </w:pPr>
          </w:p>
        </w:tc>
        <w:tc>
          <w:tcPr>
            <w:tcW w:w="3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CFF0FC"/>
          </w:tcPr>
          <w:p>
            <w:pPr>
              <w:spacing w:after="0"/>
              <w:rPr>
                <w:sz w:val="16"/>
                <w:szCs w:val="16"/>
                <w:color w:val="auto"/>
              </w:rPr>
            </w:pPr>
          </w:p>
        </w:tc>
        <w:tc>
          <w:tcPr>
            <w:tcW w:w="14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5.5</w:t>
            </w:r>
          </w:p>
        </w:tc>
      </w:tr>
      <w:tr>
        <w:trPr>
          <w:trHeight w:val="183"/>
        </w:trPr>
        <w:tc>
          <w:tcPr>
            <w:tcW w:w="3540" w:type="dxa"/>
            <w:vAlign w:val="bottom"/>
            <w:gridSpan w:val="3"/>
          </w:tcPr>
          <w:p>
            <w:pPr>
              <w:spacing w:after="0" w:line="169" w:lineRule="exact"/>
              <w:rPr>
                <w:sz w:val="20"/>
                <w:szCs w:val="20"/>
                <w:color w:val="auto"/>
              </w:rPr>
            </w:pPr>
            <w:r>
              <w:rPr>
                <w:rFonts w:ascii="Arial" w:cs="Arial" w:eastAsia="Arial" w:hAnsi="Arial"/>
                <w:sz w:val="16"/>
                <w:szCs w:val="16"/>
                <w:color w:val="auto"/>
              </w:rPr>
              <w:t>Total revenues</w:t>
            </w:r>
          </w:p>
        </w:tc>
        <w:tc>
          <w:tcPr>
            <w:tcW w:w="800" w:type="dxa"/>
            <w:vAlign w:val="bottom"/>
            <w:gridSpan w:val="2"/>
          </w:tcPr>
          <w:p>
            <w:pPr>
              <w:jc w:val="right"/>
              <w:ind w:right="80"/>
              <w:spacing w:after="0" w:line="169" w:lineRule="exact"/>
              <w:rPr>
                <w:sz w:val="20"/>
                <w:szCs w:val="20"/>
                <w:color w:val="auto"/>
              </w:rPr>
            </w:pPr>
            <w:r>
              <w:rPr>
                <w:rFonts w:ascii="Arial" w:cs="Arial" w:eastAsia="Arial" w:hAnsi="Arial"/>
                <w:sz w:val="16"/>
                <w:szCs w:val="16"/>
                <w:color w:val="auto"/>
              </w:rPr>
              <w:t>$</w:t>
            </w:r>
          </w:p>
        </w:tc>
        <w:tc>
          <w:tcPr>
            <w:tcW w:w="1560" w:type="dxa"/>
            <w:vAlign w:val="bottom"/>
          </w:tcPr>
          <w:p>
            <w:pPr>
              <w:jc w:val="right"/>
              <w:spacing w:after="0" w:line="169" w:lineRule="exact"/>
              <w:rPr>
                <w:sz w:val="20"/>
                <w:szCs w:val="20"/>
                <w:color w:val="auto"/>
              </w:rPr>
            </w:pPr>
            <w:r>
              <w:rPr>
                <w:rFonts w:ascii="Arial" w:cs="Arial" w:eastAsia="Arial" w:hAnsi="Arial"/>
                <w:sz w:val="16"/>
                <w:szCs w:val="16"/>
                <w:color w:val="auto"/>
              </w:rPr>
              <w:t>205.1</w:t>
            </w:r>
          </w:p>
        </w:tc>
        <w:tc>
          <w:tcPr>
            <w:tcW w:w="300" w:type="dxa"/>
            <w:vAlign w:val="bottom"/>
          </w:tcPr>
          <w:p>
            <w:pPr>
              <w:jc w:val="right"/>
              <w:ind w:right="59"/>
              <w:spacing w:after="0" w:line="169" w:lineRule="exact"/>
              <w:rPr>
                <w:sz w:val="20"/>
                <w:szCs w:val="20"/>
                <w:color w:val="auto"/>
              </w:rPr>
            </w:pPr>
            <w:r>
              <w:rPr>
                <w:rFonts w:ascii="Arial" w:cs="Arial" w:eastAsia="Arial" w:hAnsi="Arial"/>
                <w:sz w:val="16"/>
                <w:szCs w:val="16"/>
                <w:color w:val="auto"/>
              </w:rPr>
              <w:t>$</w:t>
            </w:r>
          </w:p>
        </w:tc>
        <w:tc>
          <w:tcPr>
            <w:tcW w:w="1460" w:type="dxa"/>
            <w:vAlign w:val="bottom"/>
          </w:tcPr>
          <w:p>
            <w:pPr>
              <w:jc w:val="right"/>
              <w:spacing w:after="0" w:line="169" w:lineRule="exact"/>
              <w:rPr>
                <w:sz w:val="20"/>
                <w:szCs w:val="20"/>
                <w:color w:val="auto"/>
              </w:rPr>
            </w:pPr>
            <w:r>
              <w:rPr>
                <w:rFonts w:ascii="Arial" w:cs="Arial" w:eastAsia="Arial" w:hAnsi="Arial"/>
                <w:sz w:val="16"/>
                <w:szCs w:val="16"/>
                <w:color w:val="auto"/>
              </w:rPr>
              <w:t>202.0</w:t>
            </w:r>
          </w:p>
        </w:tc>
        <w:tc>
          <w:tcPr>
            <w:tcW w:w="1420" w:type="dxa"/>
            <w:vAlign w:val="bottom"/>
          </w:tcPr>
          <w:p>
            <w:pPr>
              <w:jc w:val="right"/>
              <w:ind w:right="1179"/>
              <w:spacing w:after="0" w:line="169" w:lineRule="exact"/>
              <w:rPr>
                <w:sz w:val="20"/>
                <w:szCs w:val="20"/>
                <w:color w:val="auto"/>
              </w:rPr>
            </w:pPr>
            <w:r>
              <w:rPr>
                <w:rFonts w:ascii="Arial" w:cs="Arial" w:eastAsia="Arial" w:hAnsi="Arial"/>
                <w:sz w:val="16"/>
                <w:szCs w:val="16"/>
                <w:color w:val="auto"/>
              </w:rPr>
              <w:t>$</w:t>
            </w:r>
          </w:p>
        </w:tc>
        <w:tc>
          <w:tcPr>
            <w:tcW w:w="380" w:type="dxa"/>
            <w:vAlign w:val="bottom"/>
          </w:tcPr>
          <w:p>
            <w:pPr>
              <w:jc w:val="right"/>
              <w:spacing w:after="0" w:line="169" w:lineRule="exact"/>
              <w:rPr>
                <w:sz w:val="20"/>
                <w:szCs w:val="20"/>
                <w:color w:val="auto"/>
              </w:rPr>
            </w:pPr>
            <w:r>
              <w:rPr>
                <w:rFonts w:ascii="Arial" w:cs="Arial" w:eastAsia="Arial" w:hAnsi="Arial"/>
                <w:sz w:val="16"/>
                <w:szCs w:val="16"/>
                <w:color w:val="auto"/>
              </w:rPr>
              <w:t>(4.5)</w:t>
            </w:r>
          </w:p>
        </w:tc>
        <w:tc>
          <w:tcPr>
            <w:tcW w:w="380" w:type="dxa"/>
            <w:vAlign w:val="bottom"/>
          </w:tcPr>
          <w:p>
            <w:pPr>
              <w:jc w:val="right"/>
              <w:ind w:right="179"/>
              <w:spacing w:after="0" w:line="169" w:lineRule="exact"/>
              <w:rPr>
                <w:sz w:val="20"/>
                <w:szCs w:val="20"/>
                <w:color w:val="auto"/>
              </w:rPr>
            </w:pPr>
            <w:r>
              <w:rPr>
                <w:rFonts w:ascii="Arial" w:cs="Arial" w:eastAsia="Arial" w:hAnsi="Arial"/>
                <w:sz w:val="16"/>
                <w:szCs w:val="16"/>
                <w:color w:val="auto"/>
              </w:rPr>
              <w:t>$</w:t>
            </w:r>
          </w:p>
        </w:tc>
        <w:tc>
          <w:tcPr>
            <w:tcW w:w="1400" w:type="dxa"/>
            <w:vAlign w:val="bottom"/>
          </w:tcPr>
          <w:p>
            <w:pPr>
              <w:jc w:val="right"/>
              <w:ind w:right="39"/>
              <w:spacing w:after="0" w:line="169" w:lineRule="exact"/>
              <w:rPr>
                <w:sz w:val="20"/>
                <w:szCs w:val="20"/>
                <w:color w:val="auto"/>
              </w:rPr>
            </w:pPr>
            <w:r>
              <w:rPr>
                <w:rFonts w:ascii="Arial" w:cs="Arial" w:eastAsia="Arial" w:hAnsi="Arial"/>
                <w:sz w:val="16"/>
                <w:szCs w:val="16"/>
                <w:color w:val="auto"/>
              </w:rPr>
              <w:t>402.6</w:t>
            </w:r>
          </w:p>
        </w:tc>
      </w:tr>
      <w:tr>
        <w:trPr>
          <w:trHeight w:val="20"/>
        </w:trPr>
        <w:tc>
          <w:tcPr>
            <w:tcW w:w="1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170"/>
        </w:trPr>
        <w:tc>
          <w:tcPr>
            <w:tcW w:w="118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5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r>
      <w:tr>
        <w:trPr>
          <w:trHeight w:val="162"/>
        </w:trPr>
        <w:tc>
          <w:tcPr>
            <w:tcW w:w="3540" w:type="dxa"/>
            <w:vAlign w:val="bottom"/>
            <w:gridSpan w:val="3"/>
          </w:tcPr>
          <w:p>
            <w:pPr>
              <w:spacing w:after="0" w:line="162" w:lineRule="exact"/>
              <w:rPr>
                <w:sz w:val="20"/>
                <w:szCs w:val="20"/>
                <w:color w:val="auto"/>
              </w:rPr>
            </w:pPr>
            <w:r>
              <w:rPr>
                <w:rFonts w:ascii="Arial" w:cs="Arial" w:eastAsia="Arial" w:hAnsi="Arial"/>
                <w:sz w:val="16"/>
                <w:szCs w:val="16"/>
                <w:color w:val="auto"/>
              </w:rPr>
              <w:t>Timing of revenue recognition:</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27"/>
        </w:trPr>
        <w:tc>
          <w:tcPr>
            <w:tcW w:w="11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189"/>
        </w:trPr>
        <w:tc>
          <w:tcPr>
            <w:tcW w:w="3540" w:type="dxa"/>
            <w:vAlign w:val="bottom"/>
            <w:gridSpan w:val="3"/>
            <w:shd w:val="clear" w:color="auto" w:fill="CFF0FC"/>
          </w:tcPr>
          <w:p>
            <w:pPr>
              <w:ind w:left="40"/>
              <w:spacing w:after="0"/>
              <w:rPr>
                <w:sz w:val="20"/>
                <w:szCs w:val="20"/>
                <w:color w:val="auto"/>
              </w:rPr>
            </w:pPr>
            <w:r>
              <w:rPr>
                <w:rFonts w:ascii="Arial" w:cs="Arial" w:eastAsia="Arial" w:hAnsi="Arial"/>
                <w:sz w:val="16"/>
                <w:szCs w:val="16"/>
                <w:color w:val="auto"/>
              </w:rPr>
              <w:t>Services transferred at a point in time</w:t>
            </w: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w:t>
            </w:r>
          </w:p>
        </w:tc>
        <w:tc>
          <w:tcPr>
            <w:tcW w:w="3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FF0FC"/>
          </w:tcPr>
          <w:p>
            <w:pPr>
              <w:jc w:val="right"/>
              <w:ind w:right="1179"/>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7.8</w:t>
            </w:r>
          </w:p>
        </w:tc>
      </w:tr>
      <w:tr>
        <w:trPr>
          <w:trHeight w:val="189"/>
        </w:trPr>
        <w:tc>
          <w:tcPr>
            <w:tcW w:w="3540" w:type="dxa"/>
            <w:vAlign w:val="bottom"/>
            <w:gridSpan w:val="3"/>
          </w:tcPr>
          <w:p>
            <w:pPr>
              <w:ind w:left="40"/>
              <w:spacing w:after="0"/>
              <w:rPr>
                <w:sz w:val="20"/>
                <w:szCs w:val="20"/>
                <w:color w:val="auto"/>
              </w:rPr>
            </w:pPr>
            <w:r>
              <w:rPr>
                <w:rFonts w:ascii="Arial" w:cs="Arial" w:eastAsia="Arial" w:hAnsi="Arial"/>
                <w:sz w:val="16"/>
                <w:szCs w:val="16"/>
                <w:color w:val="auto"/>
              </w:rPr>
              <w:t>Services transferred over time</w:t>
            </w:r>
          </w:p>
        </w:tc>
        <w:tc>
          <w:tcPr>
            <w:tcW w:w="6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194.9</w:t>
            </w: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198.9</w:t>
            </w:r>
          </w:p>
        </w:tc>
        <w:tc>
          <w:tcPr>
            <w:tcW w:w="14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3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389.3</w:t>
            </w:r>
          </w:p>
        </w:tc>
      </w:tr>
      <w:tr>
        <w:trPr>
          <w:trHeight w:val="223"/>
        </w:trPr>
        <w:tc>
          <w:tcPr>
            <w:tcW w:w="3540" w:type="dxa"/>
            <w:vAlign w:val="bottom"/>
            <w:gridSpan w:val="3"/>
            <w:shd w:val="clear" w:color="auto" w:fill="CFF0FC"/>
          </w:tcPr>
          <w:p>
            <w:pPr>
              <w:ind w:left="40"/>
              <w:spacing w:after="0" w:line="169" w:lineRule="exact"/>
              <w:rPr>
                <w:sz w:val="20"/>
                <w:szCs w:val="20"/>
                <w:color w:val="auto"/>
              </w:rPr>
            </w:pPr>
            <w:r>
              <w:rPr>
                <w:rFonts w:ascii="Arial" w:cs="Arial" w:eastAsia="Arial" w:hAnsi="Arial"/>
                <w:sz w:val="16"/>
                <w:szCs w:val="16"/>
                <w:color w:val="auto"/>
              </w:rPr>
              <w:t>Revenue from contracts with customers</w:t>
            </w:r>
          </w:p>
        </w:tc>
        <w:tc>
          <w:tcPr>
            <w:tcW w:w="800" w:type="dxa"/>
            <w:vAlign w:val="bottom"/>
            <w:gridSpan w:val="2"/>
            <w:shd w:val="clear" w:color="auto" w:fill="CFF0FC"/>
          </w:tcPr>
          <w:p>
            <w:pPr>
              <w:jc w:val="right"/>
              <w:ind w:right="80"/>
              <w:spacing w:after="0" w:line="169" w:lineRule="exact"/>
              <w:rPr>
                <w:sz w:val="20"/>
                <w:szCs w:val="20"/>
                <w:color w:val="auto"/>
              </w:rPr>
            </w:pPr>
            <w:r>
              <w:rPr>
                <w:rFonts w:ascii="Arial" w:cs="Arial" w:eastAsia="Arial" w:hAnsi="Arial"/>
                <w:sz w:val="16"/>
                <w:szCs w:val="16"/>
                <w:color w:val="auto"/>
              </w:rPr>
              <w:t>$</w:t>
            </w:r>
          </w:p>
        </w:tc>
        <w:tc>
          <w:tcPr>
            <w:tcW w:w="156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202.7</w:t>
            </w:r>
          </w:p>
        </w:tc>
        <w:tc>
          <w:tcPr>
            <w:tcW w:w="300" w:type="dxa"/>
            <w:vAlign w:val="bottom"/>
            <w:shd w:val="clear" w:color="auto" w:fill="CFF0FC"/>
          </w:tcPr>
          <w:p>
            <w:pPr>
              <w:jc w:val="right"/>
              <w:ind w:right="59"/>
              <w:spacing w:after="0" w:line="169" w:lineRule="exact"/>
              <w:rPr>
                <w:sz w:val="20"/>
                <w:szCs w:val="20"/>
                <w:color w:val="auto"/>
              </w:rPr>
            </w:pPr>
            <w:r>
              <w:rPr>
                <w:rFonts w:ascii="Arial" w:cs="Arial" w:eastAsia="Arial" w:hAnsi="Arial"/>
                <w:sz w:val="16"/>
                <w:szCs w:val="16"/>
                <w:color w:val="auto"/>
              </w:rPr>
              <w:t>$</w:t>
            </w:r>
          </w:p>
        </w:tc>
        <w:tc>
          <w:tcPr>
            <w:tcW w:w="146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198.9</w:t>
            </w:r>
          </w:p>
        </w:tc>
        <w:tc>
          <w:tcPr>
            <w:tcW w:w="1420" w:type="dxa"/>
            <w:vAlign w:val="bottom"/>
            <w:shd w:val="clear" w:color="auto" w:fill="CFF0FC"/>
          </w:tcPr>
          <w:p>
            <w:pPr>
              <w:jc w:val="right"/>
              <w:ind w:right="1179"/>
              <w:spacing w:after="0" w:line="169" w:lineRule="exact"/>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(4.5)</w:t>
            </w:r>
          </w:p>
        </w:tc>
        <w:tc>
          <w:tcPr>
            <w:tcW w:w="380" w:type="dxa"/>
            <w:vAlign w:val="bottom"/>
            <w:shd w:val="clear" w:color="auto" w:fill="CFF0FC"/>
          </w:tcPr>
          <w:p>
            <w:pPr>
              <w:jc w:val="right"/>
              <w:ind w:right="179"/>
              <w:spacing w:after="0" w:line="169" w:lineRule="exact"/>
              <w:rPr>
                <w:sz w:val="20"/>
                <w:szCs w:val="20"/>
                <w:color w:val="auto"/>
              </w:rPr>
            </w:pPr>
            <w:r>
              <w:rPr>
                <w:rFonts w:ascii="Arial" w:cs="Arial" w:eastAsia="Arial" w:hAnsi="Arial"/>
                <w:sz w:val="16"/>
                <w:szCs w:val="16"/>
                <w:color w:val="auto"/>
              </w:rPr>
              <w:t>$</w:t>
            </w:r>
          </w:p>
        </w:tc>
        <w:tc>
          <w:tcPr>
            <w:tcW w:w="1400" w:type="dxa"/>
            <w:vAlign w:val="bottom"/>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rPr>
              <w:t>397.1</w:t>
            </w:r>
          </w:p>
        </w:tc>
      </w:tr>
      <w:tr>
        <w:trPr>
          <w:trHeight w:val="344"/>
        </w:trPr>
        <w:tc>
          <w:tcPr>
            <w:tcW w:w="1180" w:type="dxa"/>
            <w:vAlign w:val="bottom"/>
            <w:tcBorders>
              <w:top w:val="single" w:sz="8" w:color="CFF0FC"/>
            </w:tcBorders>
          </w:tcPr>
          <w:p>
            <w:pPr>
              <w:spacing w:after="0"/>
              <w:rPr>
                <w:sz w:val="24"/>
                <w:szCs w:val="24"/>
                <w:color w:val="auto"/>
              </w:rPr>
            </w:pPr>
          </w:p>
        </w:tc>
        <w:tc>
          <w:tcPr>
            <w:tcW w:w="1000" w:type="dxa"/>
            <w:vAlign w:val="bottom"/>
            <w:tcBorders>
              <w:top w:val="single" w:sz="8" w:color="CFF0FC"/>
            </w:tcBorders>
          </w:tcPr>
          <w:p>
            <w:pPr>
              <w:spacing w:after="0"/>
              <w:rPr>
                <w:sz w:val="24"/>
                <w:szCs w:val="24"/>
                <w:color w:val="auto"/>
              </w:rPr>
            </w:pPr>
          </w:p>
        </w:tc>
        <w:tc>
          <w:tcPr>
            <w:tcW w:w="1360" w:type="dxa"/>
            <w:vAlign w:val="bottom"/>
            <w:tcBorders>
              <w:top w:val="single" w:sz="8" w:color="CFF0FC"/>
            </w:tcBorders>
          </w:tcPr>
          <w:p>
            <w:pPr>
              <w:spacing w:after="0"/>
              <w:rPr>
                <w:sz w:val="24"/>
                <w:szCs w:val="24"/>
                <w:color w:val="auto"/>
              </w:rPr>
            </w:pPr>
          </w:p>
        </w:tc>
        <w:tc>
          <w:tcPr>
            <w:tcW w:w="64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jc w:val="center"/>
              <w:ind w:left="219"/>
              <w:spacing w:after="0"/>
              <w:rPr>
                <w:sz w:val="20"/>
                <w:szCs w:val="20"/>
                <w:color w:val="auto"/>
              </w:rPr>
            </w:pPr>
            <w:r>
              <w:rPr>
                <w:rFonts w:ascii="Arial" w:cs="Arial" w:eastAsia="Arial" w:hAnsi="Arial"/>
                <w:sz w:val="16"/>
                <w:szCs w:val="16"/>
                <w:b w:val="1"/>
                <w:bCs w:val="1"/>
                <w:color w:val="auto"/>
              </w:rPr>
              <w:t>Inter-segment</w:t>
            </w:r>
          </w:p>
        </w:tc>
        <w:tc>
          <w:tcPr>
            <w:tcW w:w="38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r>
      <w:tr>
        <w:trPr>
          <w:trHeight w:val="203"/>
        </w:trPr>
        <w:tc>
          <w:tcPr>
            <w:tcW w:w="354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rPr>
              <w:t>Six Months Ended June 30, 2025</w:t>
            </w:r>
          </w:p>
        </w:tc>
        <w:tc>
          <w:tcPr>
            <w:tcW w:w="6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Electric Utilities</w:t>
            </w:r>
          </w:p>
        </w:tc>
        <w:tc>
          <w:tcPr>
            <w:tcW w:w="3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Gas Utilities</w:t>
            </w:r>
          </w:p>
        </w:tc>
        <w:tc>
          <w:tcPr>
            <w:tcW w:w="1420" w:type="dxa"/>
            <w:vAlign w:val="bottom"/>
            <w:tcBorders>
              <w:bottom w:val="single" w:sz="8" w:color="auto"/>
            </w:tcBorders>
          </w:tcPr>
          <w:p>
            <w:pPr>
              <w:jc w:val="center"/>
              <w:ind w:left="259"/>
              <w:spacing w:after="0"/>
              <w:rPr>
                <w:sz w:val="20"/>
                <w:szCs w:val="20"/>
                <w:color w:val="auto"/>
              </w:rPr>
            </w:pPr>
            <w:r>
              <w:rPr>
                <w:rFonts w:ascii="Arial" w:cs="Arial" w:eastAsia="Arial" w:hAnsi="Arial"/>
                <w:sz w:val="16"/>
                <w:szCs w:val="16"/>
                <w:b w:val="1"/>
                <w:bCs w:val="1"/>
                <w:color w:val="auto"/>
              </w:rPr>
              <w:t>Eliminations</w:t>
            </w:r>
          </w:p>
        </w:tc>
        <w:tc>
          <w:tcPr>
            <w:tcW w:w="3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Total</w:t>
            </w:r>
          </w:p>
        </w:tc>
      </w:tr>
      <w:tr>
        <w:trPr>
          <w:trHeight w:val="169"/>
        </w:trPr>
        <w:tc>
          <w:tcPr>
            <w:tcW w:w="3540" w:type="dxa"/>
            <w:vAlign w:val="bottom"/>
            <w:gridSpan w:val="3"/>
            <w:shd w:val="clear" w:color="auto" w:fill="CFF0FC"/>
          </w:tcPr>
          <w:p>
            <w:pPr>
              <w:spacing w:after="0" w:line="169" w:lineRule="exact"/>
              <w:rPr>
                <w:sz w:val="20"/>
                <w:szCs w:val="20"/>
                <w:color w:val="auto"/>
              </w:rPr>
            </w:pPr>
            <w:r>
              <w:rPr>
                <w:rFonts w:ascii="Arial" w:cs="Arial" w:eastAsia="Arial" w:hAnsi="Arial"/>
                <w:sz w:val="16"/>
                <w:szCs w:val="16"/>
                <w:color w:val="auto"/>
              </w:rPr>
              <w:t>Customer types:</w:t>
            </w:r>
          </w:p>
        </w:tc>
        <w:tc>
          <w:tcPr>
            <w:tcW w:w="6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5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880" w:type="dxa"/>
            <w:vAlign w:val="bottom"/>
            <w:gridSpan w:val="2"/>
            <w:shd w:val="clear" w:color="auto" w:fill="CFF0FC"/>
          </w:tcPr>
          <w:p>
            <w:pPr>
              <w:jc w:val="right"/>
              <w:ind w:right="939"/>
              <w:spacing w:after="0" w:line="169" w:lineRule="exact"/>
              <w:rPr>
                <w:sz w:val="20"/>
                <w:szCs w:val="20"/>
                <w:color w:val="auto"/>
              </w:rPr>
            </w:pPr>
            <w:r>
              <w:rPr>
                <w:rFonts w:ascii="Arial" w:cs="Arial" w:eastAsia="Arial" w:hAnsi="Arial"/>
                <w:sz w:val="16"/>
                <w:szCs w:val="16"/>
                <w:color w:val="auto"/>
              </w:rPr>
              <w:t>(in millions)</w:t>
            </w:r>
          </w:p>
        </w:tc>
        <w:tc>
          <w:tcPr>
            <w:tcW w:w="38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r>
      <w:tr>
        <w:trPr>
          <w:trHeight w:val="27"/>
        </w:trPr>
        <w:tc>
          <w:tcPr>
            <w:tcW w:w="1180" w:type="dxa"/>
            <w:vAlign w:val="bottom"/>
            <w:shd w:val="clear" w:color="auto" w:fill="000000"/>
          </w:tcPr>
          <w:p>
            <w:pPr>
              <w:spacing w:after="0"/>
              <w:rPr>
                <w:sz w:val="2"/>
                <w:szCs w:val="2"/>
                <w:color w:val="auto"/>
              </w:rPr>
            </w:pPr>
          </w:p>
        </w:tc>
        <w:tc>
          <w:tcPr>
            <w:tcW w:w="1000" w:type="dxa"/>
            <w:vAlign w:val="bottom"/>
            <w:shd w:val="clear" w:color="auto" w:fill="CFF0FC"/>
          </w:tcPr>
          <w:p>
            <w:pPr>
              <w:spacing w:after="0"/>
              <w:rPr>
                <w:sz w:val="2"/>
                <w:szCs w:val="2"/>
                <w:color w:val="auto"/>
              </w:rPr>
            </w:pPr>
          </w:p>
        </w:tc>
        <w:tc>
          <w:tcPr>
            <w:tcW w:w="1360" w:type="dxa"/>
            <w:vAlign w:val="bottom"/>
            <w:shd w:val="clear" w:color="auto" w:fill="CFF0FC"/>
          </w:tcPr>
          <w:p>
            <w:pPr>
              <w:spacing w:after="0"/>
              <w:rPr>
                <w:sz w:val="2"/>
                <w:szCs w:val="2"/>
                <w:color w:val="auto"/>
              </w:rPr>
            </w:pPr>
          </w:p>
        </w:tc>
        <w:tc>
          <w:tcPr>
            <w:tcW w:w="64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5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r>
      <w:tr>
        <w:trPr>
          <w:trHeight w:val="189"/>
        </w:trPr>
        <w:tc>
          <w:tcPr>
            <w:tcW w:w="1180" w:type="dxa"/>
            <w:vAlign w:val="bottom"/>
          </w:tcPr>
          <w:p>
            <w:pPr>
              <w:ind w:left="40"/>
              <w:spacing w:after="0"/>
              <w:rPr>
                <w:sz w:val="20"/>
                <w:szCs w:val="20"/>
                <w:color w:val="auto"/>
              </w:rPr>
            </w:pPr>
            <w:r>
              <w:rPr>
                <w:rFonts w:ascii="Arial" w:cs="Arial" w:eastAsia="Arial" w:hAnsi="Arial"/>
                <w:sz w:val="16"/>
                <w:szCs w:val="16"/>
                <w:color w:val="auto"/>
              </w:rPr>
              <w:t>Retail</w:t>
            </w:r>
          </w:p>
        </w:tc>
        <w:tc>
          <w:tcPr>
            <w:tcW w:w="2360" w:type="dxa"/>
            <w:vAlign w:val="bottom"/>
            <w:gridSpan w:val="2"/>
          </w:tcPr>
          <w:p>
            <w:pPr>
              <w:spacing w:after="0"/>
              <w:rPr>
                <w:sz w:val="16"/>
                <w:szCs w:val="16"/>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369.3</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668.3</w:t>
            </w:r>
          </w:p>
        </w:tc>
        <w:tc>
          <w:tcPr>
            <w:tcW w:w="1420" w:type="dxa"/>
            <w:vAlign w:val="bottom"/>
          </w:tcPr>
          <w:p>
            <w:pPr>
              <w:jc w:val="right"/>
              <w:ind w:right="1179"/>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1,037.6</w:t>
            </w:r>
          </w:p>
        </w:tc>
      </w:tr>
      <w:tr>
        <w:trPr>
          <w:trHeight w:val="189"/>
        </w:trPr>
        <w:tc>
          <w:tcPr>
            <w:tcW w:w="3540" w:type="dxa"/>
            <w:vAlign w:val="bottom"/>
            <w:gridSpan w:val="3"/>
            <w:shd w:val="clear" w:color="auto" w:fill="CFF0FC"/>
          </w:tcPr>
          <w:p>
            <w:pPr>
              <w:ind w:left="40"/>
              <w:spacing w:after="0"/>
              <w:rPr>
                <w:sz w:val="20"/>
                <w:szCs w:val="20"/>
                <w:color w:val="auto"/>
              </w:rPr>
            </w:pPr>
            <w:r>
              <w:rPr>
                <w:rFonts w:ascii="Arial" w:cs="Arial" w:eastAsia="Arial" w:hAnsi="Arial"/>
                <w:sz w:val="16"/>
                <w:szCs w:val="16"/>
                <w:color w:val="auto"/>
              </w:rPr>
              <w:t>Transportation</w:t>
            </w:r>
          </w:p>
        </w:tc>
        <w:tc>
          <w:tcPr>
            <w:tcW w:w="6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6"/>
                <w:szCs w:val="16"/>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99.8</w:t>
            </w:r>
          </w:p>
        </w:tc>
        <w:tc>
          <w:tcPr>
            <w:tcW w:w="1420" w:type="dxa"/>
            <w:vAlign w:val="bottom"/>
            <w:shd w:val="clear" w:color="auto" w:fill="CFF0FC"/>
          </w:tcPr>
          <w:p>
            <w:pPr>
              <w:spacing w:after="0"/>
              <w:rPr>
                <w:sz w:val="16"/>
                <w:szCs w:val="16"/>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(0.2)</w:t>
            </w:r>
          </w:p>
        </w:tc>
        <w:tc>
          <w:tcPr>
            <w:tcW w:w="380" w:type="dxa"/>
            <w:vAlign w:val="bottom"/>
            <w:shd w:val="clear" w:color="auto" w:fill="CFF0FC"/>
          </w:tcPr>
          <w:p>
            <w:pPr>
              <w:spacing w:after="0"/>
              <w:rPr>
                <w:sz w:val="16"/>
                <w:szCs w:val="16"/>
                <w:color w:val="auto"/>
              </w:rPr>
            </w:pPr>
          </w:p>
        </w:tc>
        <w:tc>
          <w:tcPr>
            <w:tcW w:w="14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99.6</w:t>
            </w:r>
          </w:p>
        </w:tc>
      </w:tr>
      <w:tr>
        <w:trPr>
          <w:trHeight w:val="189"/>
        </w:trPr>
        <w:tc>
          <w:tcPr>
            <w:tcW w:w="3540" w:type="dxa"/>
            <w:vAlign w:val="bottom"/>
            <w:gridSpan w:val="3"/>
          </w:tcPr>
          <w:p>
            <w:pPr>
              <w:ind w:left="40"/>
              <w:spacing w:after="0"/>
              <w:rPr>
                <w:sz w:val="20"/>
                <w:szCs w:val="20"/>
                <w:color w:val="auto"/>
              </w:rPr>
            </w:pPr>
            <w:r>
              <w:rPr>
                <w:rFonts w:ascii="Arial" w:cs="Arial" w:eastAsia="Arial" w:hAnsi="Arial"/>
                <w:sz w:val="16"/>
                <w:szCs w:val="16"/>
                <w:color w:val="auto"/>
              </w:rPr>
              <w:t>Wholesale</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11.3</w:t>
            </w:r>
          </w:p>
        </w:tc>
        <w:tc>
          <w:tcPr>
            <w:tcW w:w="3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spacing w:after="0"/>
              <w:rPr>
                <w:sz w:val="16"/>
                <w:szCs w:val="16"/>
                <w:color w:val="auto"/>
              </w:rPr>
            </w:pPr>
          </w:p>
        </w:tc>
        <w:tc>
          <w:tcPr>
            <w:tcW w:w="3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11.3</w:t>
            </w:r>
          </w:p>
        </w:tc>
      </w:tr>
      <w:tr>
        <w:trPr>
          <w:trHeight w:val="189"/>
        </w:trPr>
        <w:tc>
          <w:tcPr>
            <w:tcW w:w="3540" w:type="dxa"/>
            <w:vAlign w:val="bottom"/>
            <w:gridSpan w:val="3"/>
            <w:shd w:val="clear" w:color="auto" w:fill="CFF0FC"/>
          </w:tcPr>
          <w:p>
            <w:pPr>
              <w:ind w:left="40"/>
              <w:spacing w:after="0"/>
              <w:rPr>
                <w:sz w:val="20"/>
                <w:szCs w:val="20"/>
                <w:color w:val="auto"/>
              </w:rPr>
            </w:pPr>
            <w:r>
              <w:rPr>
                <w:rFonts w:ascii="Arial" w:cs="Arial" w:eastAsia="Arial" w:hAnsi="Arial"/>
                <w:sz w:val="16"/>
                <w:szCs w:val="16"/>
                <w:color w:val="auto"/>
              </w:rPr>
              <w:t>Market - off-system sales</w:t>
            </w:r>
          </w:p>
        </w:tc>
        <w:tc>
          <w:tcPr>
            <w:tcW w:w="6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22.0</w:t>
            </w:r>
          </w:p>
        </w:tc>
        <w:tc>
          <w:tcPr>
            <w:tcW w:w="300" w:type="dxa"/>
            <w:vAlign w:val="bottom"/>
            <w:shd w:val="clear" w:color="auto" w:fill="CFF0FC"/>
          </w:tcPr>
          <w:p>
            <w:pPr>
              <w:spacing w:after="0"/>
              <w:rPr>
                <w:sz w:val="16"/>
                <w:szCs w:val="16"/>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w:t>
            </w:r>
          </w:p>
        </w:tc>
        <w:tc>
          <w:tcPr>
            <w:tcW w:w="1420" w:type="dxa"/>
            <w:vAlign w:val="bottom"/>
            <w:shd w:val="clear" w:color="auto" w:fill="CFF0FC"/>
          </w:tcPr>
          <w:p>
            <w:pPr>
              <w:spacing w:after="0"/>
              <w:rPr>
                <w:sz w:val="16"/>
                <w:szCs w:val="16"/>
                <w:color w:val="auto"/>
              </w:rPr>
            </w:pPr>
          </w:p>
        </w:tc>
        <w:tc>
          <w:tcPr>
            <w:tcW w:w="3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spacing w:after="0"/>
              <w:rPr>
                <w:sz w:val="16"/>
                <w:szCs w:val="16"/>
                <w:color w:val="auto"/>
              </w:rPr>
            </w:pPr>
          </w:p>
        </w:tc>
        <w:tc>
          <w:tcPr>
            <w:tcW w:w="14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22.1</w:t>
            </w:r>
          </w:p>
        </w:tc>
      </w:tr>
      <w:tr>
        <w:trPr>
          <w:trHeight w:val="189"/>
        </w:trPr>
        <w:tc>
          <w:tcPr>
            <w:tcW w:w="3540" w:type="dxa"/>
            <w:vAlign w:val="bottom"/>
            <w:gridSpan w:val="3"/>
          </w:tcPr>
          <w:p>
            <w:pPr>
              <w:ind w:left="40"/>
              <w:spacing w:after="0"/>
              <w:rPr>
                <w:sz w:val="20"/>
                <w:szCs w:val="20"/>
                <w:color w:val="auto"/>
              </w:rPr>
            </w:pPr>
            <w:r>
              <w:rPr>
                <w:rFonts w:ascii="Arial" w:cs="Arial" w:eastAsia="Arial" w:hAnsi="Arial"/>
                <w:sz w:val="16"/>
                <w:szCs w:val="16"/>
                <w:color w:val="auto"/>
              </w:rPr>
              <w:t>Transmission</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22.2</w:t>
            </w:r>
          </w:p>
        </w:tc>
        <w:tc>
          <w:tcPr>
            <w:tcW w:w="3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0.3</w:t>
            </w:r>
          </w:p>
        </w:tc>
        <w:tc>
          <w:tcPr>
            <w:tcW w:w="1420" w:type="dxa"/>
            <w:vAlign w:val="bottom"/>
          </w:tcPr>
          <w:p>
            <w:pPr>
              <w:spacing w:after="0"/>
              <w:rPr>
                <w:sz w:val="16"/>
                <w:szCs w:val="16"/>
                <w:color w:val="auto"/>
              </w:rPr>
            </w:pPr>
          </w:p>
        </w:tc>
        <w:tc>
          <w:tcPr>
            <w:tcW w:w="3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22.5</w:t>
            </w:r>
          </w:p>
        </w:tc>
      </w:tr>
      <w:tr>
        <w:trPr>
          <w:trHeight w:val="189"/>
        </w:trPr>
        <w:tc>
          <w:tcPr>
            <w:tcW w:w="3540" w:type="dxa"/>
            <w:vAlign w:val="bottom"/>
            <w:tcBorders>
              <w:bottom w:val="single" w:sz="8" w:color="CFF0FC"/>
            </w:tcBorders>
            <w:gridSpan w:val="3"/>
            <w:shd w:val="clear" w:color="auto" w:fill="CFF0FC"/>
          </w:tcPr>
          <w:p>
            <w:pPr>
              <w:ind w:left="40"/>
              <w:spacing w:after="0"/>
              <w:rPr>
                <w:sz w:val="20"/>
                <w:szCs w:val="20"/>
                <w:color w:val="auto"/>
              </w:rPr>
            </w:pPr>
            <w:r>
              <w:rPr>
                <w:rFonts w:ascii="Arial" w:cs="Arial" w:eastAsia="Arial" w:hAnsi="Arial"/>
                <w:sz w:val="16"/>
                <w:szCs w:val="16"/>
                <w:color w:val="auto"/>
              </w:rPr>
              <w:t>Other revenues</w:t>
            </w:r>
          </w:p>
        </w:tc>
        <w:tc>
          <w:tcPr>
            <w:tcW w:w="64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29.4</w:t>
            </w:r>
          </w:p>
        </w:tc>
        <w:tc>
          <w:tcPr>
            <w:tcW w:w="300" w:type="dxa"/>
            <w:vAlign w:val="bottom"/>
            <w:tcBorders>
              <w:bottom w:val="single" w:sz="8" w:color="auto"/>
            </w:tcBorders>
            <w:shd w:val="clear" w:color="auto" w:fill="CFF0FC"/>
          </w:tcPr>
          <w:p>
            <w:pPr>
              <w:spacing w:after="0"/>
              <w:rPr>
                <w:sz w:val="16"/>
                <w:szCs w:val="16"/>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21.2</w:t>
            </w:r>
          </w:p>
        </w:tc>
        <w:tc>
          <w:tcPr>
            <w:tcW w:w="1420" w:type="dxa"/>
            <w:vAlign w:val="bottom"/>
            <w:tcBorders>
              <w:bottom w:val="single" w:sz="8" w:color="auto"/>
            </w:tcBorders>
            <w:shd w:val="clear" w:color="auto" w:fill="CFF0FC"/>
          </w:tcPr>
          <w:p>
            <w:pPr>
              <w:spacing w:after="0"/>
              <w:rPr>
                <w:sz w:val="16"/>
                <w:szCs w:val="16"/>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(7.6)</w:t>
            </w:r>
          </w:p>
        </w:tc>
        <w:tc>
          <w:tcPr>
            <w:tcW w:w="380" w:type="dxa"/>
            <w:vAlign w:val="bottom"/>
            <w:tcBorders>
              <w:bottom w:val="single" w:sz="8" w:color="auto"/>
            </w:tcBorders>
            <w:shd w:val="clear" w:color="auto" w:fill="CFF0FC"/>
          </w:tcPr>
          <w:p>
            <w:pPr>
              <w:spacing w:after="0"/>
              <w:rPr>
                <w:sz w:val="16"/>
                <w:szCs w:val="16"/>
                <w:color w:val="auto"/>
              </w:rPr>
            </w:pPr>
          </w:p>
        </w:tc>
        <w:tc>
          <w:tcPr>
            <w:tcW w:w="14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43.0</w:t>
            </w:r>
          </w:p>
        </w:tc>
      </w:tr>
      <w:tr>
        <w:trPr>
          <w:trHeight w:val="183"/>
        </w:trPr>
        <w:tc>
          <w:tcPr>
            <w:tcW w:w="3540" w:type="dxa"/>
            <w:vAlign w:val="bottom"/>
            <w:gridSpan w:val="3"/>
          </w:tcPr>
          <w:p>
            <w:pPr>
              <w:ind w:left="40"/>
              <w:spacing w:after="0" w:line="183" w:lineRule="exact"/>
              <w:rPr>
                <w:sz w:val="20"/>
                <w:szCs w:val="20"/>
                <w:color w:val="auto"/>
              </w:rPr>
            </w:pPr>
            <w:r>
              <w:rPr>
                <w:rFonts w:ascii="Arial" w:cs="Arial" w:eastAsia="Arial" w:hAnsi="Arial"/>
                <w:sz w:val="16"/>
                <w:szCs w:val="16"/>
                <w:color w:val="auto"/>
              </w:rPr>
              <w:t>Revenue from contracts with customers</w:t>
            </w:r>
          </w:p>
        </w:tc>
        <w:tc>
          <w:tcPr>
            <w:tcW w:w="800" w:type="dxa"/>
            <w:vAlign w:val="bottom"/>
            <w:gridSpan w:val="2"/>
          </w:tcPr>
          <w:p>
            <w:pPr>
              <w:jc w:val="right"/>
              <w:ind w:right="80"/>
              <w:spacing w:after="0" w:line="183" w:lineRule="exact"/>
              <w:rPr>
                <w:sz w:val="20"/>
                <w:szCs w:val="20"/>
                <w:color w:val="auto"/>
              </w:rPr>
            </w:pPr>
            <w:r>
              <w:rPr>
                <w:rFonts w:ascii="Arial" w:cs="Arial" w:eastAsia="Arial" w:hAnsi="Arial"/>
                <w:sz w:val="16"/>
                <w:szCs w:val="16"/>
                <w:color w:val="auto"/>
              </w:rPr>
              <w:t>$</w:t>
            </w:r>
          </w:p>
        </w:tc>
        <w:tc>
          <w:tcPr>
            <w:tcW w:w="1560" w:type="dxa"/>
            <w:vAlign w:val="bottom"/>
          </w:tcPr>
          <w:p>
            <w:pPr>
              <w:jc w:val="right"/>
              <w:spacing w:after="0" w:line="183" w:lineRule="exact"/>
              <w:rPr>
                <w:sz w:val="20"/>
                <w:szCs w:val="20"/>
                <w:color w:val="auto"/>
              </w:rPr>
            </w:pPr>
            <w:r>
              <w:rPr>
                <w:rFonts w:ascii="Arial" w:cs="Arial" w:eastAsia="Arial" w:hAnsi="Arial"/>
                <w:sz w:val="16"/>
                <w:szCs w:val="16"/>
                <w:color w:val="auto"/>
              </w:rPr>
              <w:t>454.2</w:t>
            </w:r>
          </w:p>
        </w:tc>
        <w:tc>
          <w:tcPr>
            <w:tcW w:w="300" w:type="dxa"/>
            <w:vAlign w:val="bottom"/>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1460" w:type="dxa"/>
            <w:vAlign w:val="bottom"/>
          </w:tcPr>
          <w:p>
            <w:pPr>
              <w:jc w:val="right"/>
              <w:spacing w:after="0" w:line="183" w:lineRule="exact"/>
              <w:rPr>
                <w:sz w:val="20"/>
                <w:szCs w:val="20"/>
                <w:color w:val="auto"/>
              </w:rPr>
            </w:pPr>
            <w:r>
              <w:rPr>
                <w:rFonts w:ascii="Arial" w:cs="Arial" w:eastAsia="Arial" w:hAnsi="Arial"/>
                <w:sz w:val="16"/>
                <w:szCs w:val="16"/>
                <w:color w:val="auto"/>
              </w:rPr>
              <w:t>789.7</w:t>
            </w:r>
          </w:p>
        </w:tc>
        <w:tc>
          <w:tcPr>
            <w:tcW w:w="1420" w:type="dxa"/>
            <w:vAlign w:val="bottom"/>
          </w:tcPr>
          <w:p>
            <w:pPr>
              <w:jc w:val="right"/>
              <w:ind w:right="1179"/>
              <w:spacing w:after="0" w:line="183" w:lineRule="exact"/>
              <w:rPr>
                <w:sz w:val="20"/>
                <w:szCs w:val="20"/>
                <w:color w:val="auto"/>
              </w:rPr>
            </w:pPr>
            <w:r>
              <w:rPr>
                <w:rFonts w:ascii="Arial" w:cs="Arial" w:eastAsia="Arial" w:hAnsi="Arial"/>
                <w:sz w:val="16"/>
                <w:szCs w:val="16"/>
                <w:color w:val="auto"/>
              </w:rPr>
              <w:t>$</w:t>
            </w:r>
          </w:p>
        </w:tc>
        <w:tc>
          <w:tcPr>
            <w:tcW w:w="380" w:type="dxa"/>
            <w:vAlign w:val="bottom"/>
          </w:tcPr>
          <w:p>
            <w:pPr>
              <w:jc w:val="right"/>
              <w:spacing w:after="0" w:line="183" w:lineRule="exact"/>
              <w:rPr>
                <w:sz w:val="20"/>
                <w:szCs w:val="20"/>
                <w:color w:val="auto"/>
              </w:rPr>
            </w:pPr>
            <w:r>
              <w:rPr>
                <w:rFonts w:ascii="Arial" w:cs="Arial" w:eastAsia="Arial" w:hAnsi="Arial"/>
                <w:sz w:val="16"/>
                <w:szCs w:val="16"/>
                <w:color w:val="auto"/>
              </w:rPr>
              <w:t>(7.8)</w:t>
            </w:r>
          </w:p>
        </w:tc>
        <w:tc>
          <w:tcPr>
            <w:tcW w:w="380" w:type="dxa"/>
            <w:vAlign w:val="bottom"/>
          </w:tcPr>
          <w:p>
            <w:pPr>
              <w:jc w:val="right"/>
              <w:ind w:right="179"/>
              <w:spacing w:after="0" w:line="183" w:lineRule="exact"/>
              <w:rPr>
                <w:sz w:val="20"/>
                <w:szCs w:val="20"/>
                <w:color w:val="auto"/>
              </w:rPr>
            </w:pPr>
            <w:r>
              <w:rPr>
                <w:rFonts w:ascii="Arial" w:cs="Arial" w:eastAsia="Arial" w:hAnsi="Arial"/>
                <w:sz w:val="16"/>
                <w:szCs w:val="16"/>
                <w:color w:val="auto"/>
              </w:rPr>
              <w:t>$</w:t>
            </w:r>
          </w:p>
        </w:tc>
        <w:tc>
          <w:tcPr>
            <w:tcW w:w="1400" w:type="dxa"/>
            <w:vAlign w:val="bottom"/>
          </w:tcPr>
          <w:p>
            <w:pPr>
              <w:jc w:val="right"/>
              <w:ind w:right="39"/>
              <w:spacing w:after="0" w:line="183" w:lineRule="exact"/>
              <w:rPr>
                <w:sz w:val="20"/>
                <w:szCs w:val="20"/>
                <w:color w:val="auto"/>
              </w:rPr>
            </w:pPr>
            <w:r>
              <w:rPr>
                <w:rFonts w:ascii="Arial" w:cs="Arial" w:eastAsia="Arial" w:hAnsi="Arial"/>
                <w:sz w:val="16"/>
                <w:szCs w:val="16"/>
                <w:color w:val="auto"/>
              </w:rPr>
              <w:t>1,236.1</w:t>
            </w:r>
          </w:p>
        </w:tc>
      </w:tr>
      <w:tr>
        <w:trPr>
          <w:trHeight w:val="189"/>
        </w:trPr>
        <w:tc>
          <w:tcPr>
            <w:tcW w:w="3540" w:type="dxa"/>
            <w:vAlign w:val="bottom"/>
            <w:tcBorders>
              <w:bottom w:val="single" w:sz="8" w:color="CFF0FC"/>
            </w:tcBorders>
            <w:gridSpan w:val="3"/>
            <w:shd w:val="clear" w:color="auto" w:fill="CFF0FC"/>
          </w:tcPr>
          <w:p>
            <w:pPr>
              <w:ind w:left="40"/>
              <w:spacing w:after="0"/>
              <w:rPr>
                <w:sz w:val="20"/>
                <w:szCs w:val="20"/>
                <w:color w:val="auto"/>
              </w:rPr>
            </w:pPr>
            <w:r>
              <w:rPr>
                <w:rFonts w:ascii="Arial" w:cs="Arial" w:eastAsia="Arial" w:hAnsi="Arial"/>
                <w:sz w:val="16"/>
                <w:szCs w:val="16"/>
                <w:color w:val="auto"/>
              </w:rPr>
              <w:t>Alternative revenue and other</w:t>
            </w:r>
          </w:p>
        </w:tc>
        <w:tc>
          <w:tcPr>
            <w:tcW w:w="64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w:t>
            </w:r>
          </w:p>
        </w:tc>
        <w:tc>
          <w:tcPr>
            <w:tcW w:w="300" w:type="dxa"/>
            <w:vAlign w:val="bottom"/>
            <w:tcBorders>
              <w:bottom w:val="single" w:sz="8" w:color="auto"/>
            </w:tcBorders>
            <w:shd w:val="clear" w:color="auto" w:fill="CFF0FC"/>
          </w:tcPr>
          <w:p>
            <w:pPr>
              <w:spacing w:after="0"/>
              <w:rPr>
                <w:sz w:val="16"/>
                <w:szCs w:val="16"/>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5.7</w:t>
            </w:r>
          </w:p>
        </w:tc>
        <w:tc>
          <w:tcPr>
            <w:tcW w:w="1420" w:type="dxa"/>
            <w:vAlign w:val="bottom"/>
            <w:tcBorders>
              <w:bottom w:val="single" w:sz="8" w:color="auto"/>
            </w:tcBorders>
            <w:shd w:val="clear" w:color="auto" w:fill="CFF0FC"/>
          </w:tcPr>
          <w:p>
            <w:pPr>
              <w:spacing w:after="0"/>
              <w:rPr>
                <w:sz w:val="16"/>
                <w:szCs w:val="16"/>
                <w:color w:val="auto"/>
              </w:rPr>
            </w:pPr>
          </w:p>
        </w:tc>
        <w:tc>
          <w:tcPr>
            <w:tcW w:w="3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CFF0FC"/>
          </w:tcPr>
          <w:p>
            <w:pPr>
              <w:spacing w:after="0"/>
              <w:rPr>
                <w:sz w:val="16"/>
                <w:szCs w:val="16"/>
                <w:color w:val="auto"/>
              </w:rPr>
            </w:pPr>
          </w:p>
        </w:tc>
        <w:tc>
          <w:tcPr>
            <w:tcW w:w="14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8.1</w:t>
            </w:r>
          </w:p>
        </w:tc>
      </w:tr>
      <w:tr>
        <w:trPr>
          <w:trHeight w:val="183"/>
        </w:trPr>
        <w:tc>
          <w:tcPr>
            <w:tcW w:w="3540" w:type="dxa"/>
            <w:vAlign w:val="bottom"/>
            <w:gridSpan w:val="3"/>
          </w:tcPr>
          <w:p>
            <w:pPr>
              <w:spacing w:after="0" w:line="169" w:lineRule="exact"/>
              <w:rPr>
                <w:sz w:val="20"/>
                <w:szCs w:val="20"/>
                <w:color w:val="auto"/>
              </w:rPr>
            </w:pPr>
            <w:r>
              <w:rPr>
                <w:rFonts w:ascii="Arial" w:cs="Arial" w:eastAsia="Arial" w:hAnsi="Arial"/>
                <w:sz w:val="16"/>
                <w:szCs w:val="16"/>
                <w:color w:val="auto"/>
              </w:rPr>
              <w:t>Total revenues</w:t>
            </w:r>
          </w:p>
        </w:tc>
        <w:tc>
          <w:tcPr>
            <w:tcW w:w="800" w:type="dxa"/>
            <w:vAlign w:val="bottom"/>
            <w:gridSpan w:val="2"/>
          </w:tcPr>
          <w:p>
            <w:pPr>
              <w:jc w:val="right"/>
              <w:ind w:right="80"/>
              <w:spacing w:after="0" w:line="169" w:lineRule="exact"/>
              <w:rPr>
                <w:sz w:val="20"/>
                <w:szCs w:val="20"/>
                <w:color w:val="auto"/>
              </w:rPr>
            </w:pPr>
            <w:r>
              <w:rPr>
                <w:rFonts w:ascii="Arial" w:cs="Arial" w:eastAsia="Arial" w:hAnsi="Arial"/>
                <w:sz w:val="16"/>
                <w:szCs w:val="16"/>
                <w:color w:val="auto"/>
              </w:rPr>
              <w:t>$</w:t>
            </w:r>
          </w:p>
        </w:tc>
        <w:tc>
          <w:tcPr>
            <w:tcW w:w="1560" w:type="dxa"/>
            <w:vAlign w:val="bottom"/>
          </w:tcPr>
          <w:p>
            <w:pPr>
              <w:jc w:val="right"/>
              <w:spacing w:after="0" w:line="169" w:lineRule="exact"/>
              <w:rPr>
                <w:sz w:val="20"/>
                <w:szCs w:val="20"/>
                <w:color w:val="auto"/>
              </w:rPr>
            </w:pPr>
            <w:r>
              <w:rPr>
                <w:rFonts w:ascii="Arial" w:cs="Arial" w:eastAsia="Arial" w:hAnsi="Arial"/>
                <w:sz w:val="16"/>
                <w:szCs w:val="16"/>
                <w:color w:val="auto"/>
              </w:rPr>
              <w:t>456.6</w:t>
            </w:r>
          </w:p>
        </w:tc>
        <w:tc>
          <w:tcPr>
            <w:tcW w:w="300" w:type="dxa"/>
            <w:vAlign w:val="bottom"/>
          </w:tcPr>
          <w:p>
            <w:pPr>
              <w:jc w:val="right"/>
              <w:ind w:right="59"/>
              <w:spacing w:after="0" w:line="169" w:lineRule="exact"/>
              <w:rPr>
                <w:sz w:val="20"/>
                <w:szCs w:val="20"/>
                <w:color w:val="auto"/>
              </w:rPr>
            </w:pPr>
            <w:r>
              <w:rPr>
                <w:rFonts w:ascii="Arial" w:cs="Arial" w:eastAsia="Arial" w:hAnsi="Arial"/>
                <w:sz w:val="16"/>
                <w:szCs w:val="16"/>
                <w:color w:val="auto"/>
              </w:rPr>
              <w:t>$</w:t>
            </w:r>
          </w:p>
        </w:tc>
        <w:tc>
          <w:tcPr>
            <w:tcW w:w="1460" w:type="dxa"/>
            <w:vAlign w:val="bottom"/>
          </w:tcPr>
          <w:p>
            <w:pPr>
              <w:jc w:val="right"/>
              <w:spacing w:after="0" w:line="169" w:lineRule="exact"/>
              <w:rPr>
                <w:sz w:val="20"/>
                <w:szCs w:val="20"/>
                <w:color w:val="auto"/>
              </w:rPr>
            </w:pPr>
            <w:r>
              <w:rPr>
                <w:rFonts w:ascii="Arial" w:cs="Arial" w:eastAsia="Arial" w:hAnsi="Arial"/>
                <w:sz w:val="16"/>
                <w:szCs w:val="16"/>
                <w:color w:val="auto"/>
              </w:rPr>
              <w:t>795.4</w:t>
            </w:r>
          </w:p>
        </w:tc>
        <w:tc>
          <w:tcPr>
            <w:tcW w:w="1420" w:type="dxa"/>
            <w:vAlign w:val="bottom"/>
          </w:tcPr>
          <w:p>
            <w:pPr>
              <w:jc w:val="right"/>
              <w:ind w:right="1179"/>
              <w:spacing w:after="0" w:line="169" w:lineRule="exact"/>
              <w:rPr>
                <w:sz w:val="20"/>
                <w:szCs w:val="20"/>
                <w:color w:val="auto"/>
              </w:rPr>
            </w:pPr>
            <w:r>
              <w:rPr>
                <w:rFonts w:ascii="Arial" w:cs="Arial" w:eastAsia="Arial" w:hAnsi="Arial"/>
                <w:sz w:val="16"/>
                <w:szCs w:val="16"/>
                <w:color w:val="auto"/>
              </w:rPr>
              <w:t>$</w:t>
            </w:r>
          </w:p>
        </w:tc>
        <w:tc>
          <w:tcPr>
            <w:tcW w:w="380" w:type="dxa"/>
            <w:vAlign w:val="bottom"/>
          </w:tcPr>
          <w:p>
            <w:pPr>
              <w:jc w:val="right"/>
              <w:spacing w:after="0" w:line="169" w:lineRule="exact"/>
              <w:rPr>
                <w:sz w:val="20"/>
                <w:szCs w:val="20"/>
                <w:color w:val="auto"/>
              </w:rPr>
            </w:pPr>
            <w:r>
              <w:rPr>
                <w:rFonts w:ascii="Arial" w:cs="Arial" w:eastAsia="Arial" w:hAnsi="Arial"/>
                <w:sz w:val="16"/>
                <w:szCs w:val="16"/>
                <w:color w:val="auto"/>
              </w:rPr>
              <w:t>(7.8)</w:t>
            </w:r>
          </w:p>
        </w:tc>
        <w:tc>
          <w:tcPr>
            <w:tcW w:w="380" w:type="dxa"/>
            <w:vAlign w:val="bottom"/>
          </w:tcPr>
          <w:p>
            <w:pPr>
              <w:jc w:val="right"/>
              <w:ind w:right="179"/>
              <w:spacing w:after="0" w:line="169" w:lineRule="exact"/>
              <w:rPr>
                <w:sz w:val="20"/>
                <w:szCs w:val="20"/>
                <w:color w:val="auto"/>
              </w:rPr>
            </w:pPr>
            <w:r>
              <w:rPr>
                <w:rFonts w:ascii="Arial" w:cs="Arial" w:eastAsia="Arial" w:hAnsi="Arial"/>
                <w:sz w:val="16"/>
                <w:szCs w:val="16"/>
                <w:color w:val="auto"/>
              </w:rPr>
              <w:t>$</w:t>
            </w:r>
          </w:p>
        </w:tc>
        <w:tc>
          <w:tcPr>
            <w:tcW w:w="1400" w:type="dxa"/>
            <w:vAlign w:val="bottom"/>
          </w:tcPr>
          <w:p>
            <w:pPr>
              <w:jc w:val="right"/>
              <w:ind w:right="39"/>
              <w:spacing w:after="0" w:line="169" w:lineRule="exact"/>
              <w:rPr>
                <w:sz w:val="20"/>
                <w:szCs w:val="20"/>
                <w:color w:val="auto"/>
              </w:rPr>
            </w:pPr>
            <w:r>
              <w:rPr>
                <w:rFonts w:ascii="Arial" w:cs="Arial" w:eastAsia="Arial" w:hAnsi="Arial"/>
                <w:sz w:val="16"/>
                <w:szCs w:val="16"/>
                <w:color w:val="auto"/>
              </w:rPr>
              <w:t>1,244.2</w:t>
            </w:r>
          </w:p>
        </w:tc>
      </w:tr>
      <w:tr>
        <w:trPr>
          <w:trHeight w:val="20"/>
        </w:trPr>
        <w:tc>
          <w:tcPr>
            <w:tcW w:w="1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169"/>
        </w:trPr>
        <w:tc>
          <w:tcPr>
            <w:tcW w:w="118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5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r>
      <w:tr>
        <w:trPr>
          <w:trHeight w:val="162"/>
        </w:trPr>
        <w:tc>
          <w:tcPr>
            <w:tcW w:w="3540" w:type="dxa"/>
            <w:vAlign w:val="bottom"/>
            <w:gridSpan w:val="3"/>
          </w:tcPr>
          <w:p>
            <w:pPr>
              <w:spacing w:after="0" w:line="162" w:lineRule="exact"/>
              <w:rPr>
                <w:sz w:val="20"/>
                <w:szCs w:val="20"/>
                <w:color w:val="auto"/>
              </w:rPr>
            </w:pPr>
            <w:r>
              <w:rPr>
                <w:rFonts w:ascii="Arial" w:cs="Arial" w:eastAsia="Arial" w:hAnsi="Arial"/>
                <w:sz w:val="16"/>
                <w:szCs w:val="16"/>
                <w:color w:val="auto"/>
              </w:rPr>
              <w:t>Timing of revenue recognition:</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27"/>
        </w:trPr>
        <w:tc>
          <w:tcPr>
            <w:tcW w:w="11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189"/>
        </w:trPr>
        <w:tc>
          <w:tcPr>
            <w:tcW w:w="3540" w:type="dxa"/>
            <w:vAlign w:val="bottom"/>
            <w:gridSpan w:val="3"/>
            <w:shd w:val="clear" w:color="auto" w:fill="CFF0FC"/>
          </w:tcPr>
          <w:p>
            <w:pPr>
              <w:ind w:left="40"/>
              <w:spacing w:after="0"/>
              <w:rPr>
                <w:sz w:val="20"/>
                <w:szCs w:val="20"/>
                <w:color w:val="auto"/>
              </w:rPr>
            </w:pPr>
            <w:r>
              <w:rPr>
                <w:rFonts w:ascii="Arial" w:cs="Arial" w:eastAsia="Arial" w:hAnsi="Arial"/>
                <w:sz w:val="16"/>
                <w:szCs w:val="16"/>
                <w:color w:val="auto"/>
              </w:rPr>
              <w:t>Services transferred at a point in time</w:t>
            </w: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17.2</w:t>
            </w:r>
          </w:p>
        </w:tc>
        <w:tc>
          <w:tcPr>
            <w:tcW w:w="3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FF0FC"/>
          </w:tcPr>
          <w:p>
            <w:pPr>
              <w:jc w:val="right"/>
              <w:ind w:right="1179"/>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17.2</w:t>
            </w:r>
          </w:p>
        </w:tc>
      </w:tr>
      <w:tr>
        <w:trPr>
          <w:trHeight w:val="189"/>
        </w:trPr>
        <w:tc>
          <w:tcPr>
            <w:tcW w:w="3540" w:type="dxa"/>
            <w:vAlign w:val="bottom"/>
            <w:gridSpan w:val="3"/>
          </w:tcPr>
          <w:p>
            <w:pPr>
              <w:ind w:left="40"/>
              <w:spacing w:after="0"/>
              <w:rPr>
                <w:sz w:val="20"/>
                <w:szCs w:val="20"/>
                <w:color w:val="auto"/>
              </w:rPr>
            </w:pPr>
            <w:r>
              <w:rPr>
                <w:rFonts w:ascii="Arial" w:cs="Arial" w:eastAsia="Arial" w:hAnsi="Arial"/>
                <w:sz w:val="16"/>
                <w:szCs w:val="16"/>
                <w:color w:val="auto"/>
              </w:rPr>
              <w:t>Services transferred over time</w:t>
            </w:r>
          </w:p>
        </w:tc>
        <w:tc>
          <w:tcPr>
            <w:tcW w:w="6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437.0</w:t>
            </w: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789.7</w:t>
            </w:r>
          </w:p>
        </w:tc>
        <w:tc>
          <w:tcPr>
            <w:tcW w:w="14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w:t>
            </w:r>
          </w:p>
        </w:tc>
        <w:tc>
          <w:tcPr>
            <w:tcW w:w="3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1,218.9</w:t>
            </w:r>
          </w:p>
        </w:tc>
      </w:tr>
      <w:tr>
        <w:trPr>
          <w:trHeight w:val="202"/>
        </w:trPr>
        <w:tc>
          <w:tcPr>
            <w:tcW w:w="3540" w:type="dxa"/>
            <w:vAlign w:val="bottom"/>
            <w:gridSpan w:val="3"/>
            <w:shd w:val="clear" w:color="auto" w:fill="CFF0FC"/>
          </w:tcPr>
          <w:p>
            <w:pPr>
              <w:ind w:left="40"/>
              <w:spacing w:after="0" w:line="169" w:lineRule="exact"/>
              <w:rPr>
                <w:sz w:val="20"/>
                <w:szCs w:val="20"/>
                <w:color w:val="auto"/>
              </w:rPr>
            </w:pPr>
            <w:r>
              <w:rPr>
                <w:rFonts w:ascii="Arial" w:cs="Arial" w:eastAsia="Arial" w:hAnsi="Arial"/>
                <w:sz w:val="16"/>
                <w:szCs w:val="16"/>
                <w:color w:val="auto"/>
              </w:rPr>
              <w:t>Revenue from contracts with customers</w:t>
            </w:r>
          </w:p>
        </w:tc>
        <w:tc>
          <w:tcPr>
            <w:tcW w:w="800" w:type="dxa"/>
            <w:vAlign w:val="bottom"/>
            <w:gridSpan w:val="2"/>
            <w:shd w:val="clear" w:color="auto" w:fill="CFF0FC"/>
          </w:tcPr>
          <w:p>
            <w:pPr>
              <w:jc w:val="right"/>
              <w:ind w:right="80"/>
              <w:spacing w:after="0" w:line="169" w:lineRule="exact"/>
              <w:rPr>
                <w:sz w:val="20"/>
                <w:szCs w:val="20"/>
                <w:color w:val="auto"/>
              </w:rPr>
            </w:pPr>
            <w:r>
              <w:rPr>
                <w:rFonts w:ascii="Arial" w:cs="Arial" w:eastAsia="Arial" w:hAnsi="Arial"/>
                <w:sz w:val="16"/>
                <w:szCs w:val="16"/>
                <w:color w:val="auto"/>
              </w:rPr>
              <w:t>$</w:t>
            </w:r>
          </w:p>
        </w:tc>
        <w:tc>
          <w:tcPr>
            <w:tcW w:w="156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454.2</w:t>
            </w:r>
          </w:p>
        </w:tc>
        <w:tc>
          <w:tcPr>
            <w:tcW w:w="300" w:type="dxa"/>
            <w:vAlign w:val="bottom"/>
            <w:shd w:val="clear" w:color="auto" w:fill="CFF0FC"/>
          </w:tcPr>
          <w:p>
            <w:pPr>
              <w:jc w:val="right"/>
              <w:ind w:right="59"/>
              <w:spacing w:after="0" w:line="169" w:lineRule="exact"/>
              <w:rPr>
                <w:sz w:val="20"/>
                <w:szCs w:val="20"/>
                <w:color w:val="auto"/>
              </w:rPr>
            </w:pPr>
            <w:r>
              <w:rPr>
                <w:rFonts w:ascii="Arial" w:cs="Arial" w:eastAsia="Arial" w:hAnsi="Arial"/>
                <w:sz w:val="16"/>
                <w:szCs w:val="16"/>
                <w:color w:val="auto"/>
              </w:rPr>
              <w:t>$</w:t>
            </w:r>
          </w:p>
        </w:tc>
        <w:tc>
          <w:tcPr>
            <w:tcW w:w="146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789.7</w:t>
            </w:r>
          </w:p>
        </w:tc>
        <w:tc>
          <w:tcPr>
            <w:tcW w:w="1420" w:type="dxa"/>
            <w:vAlign w:val="bottom"/>
            <w:shd w:val="clear" w:color="auto" w:fill="CFF0FC"/>
          </w:tcPr>
          <w:p>
            <w:pPr>
              <w:jc w:val="right"/>
              <w:ind w:right="1179"/>
              <w:spacing w:after="0" w:line="169" w:lineRule="exact"/>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(7.8)</w:t>
            </w:r>
          </w:p>
        </w:tc>
        <w:tc>
          <w:tcPr>
            <w:tcW w:w="380" w:type="dxa"/>
            <w:vAlign w:val="bottom"/>
            <w:shd w:val="clear" w:color="auto" w:fill="CFF0FC"/>
          </w:tcPr>
          <w:p>
            <w:pPr>
              <w:jc w:val="right"/>
              <w:ind w:right="179"/>
              <w:spacing w:after="0" w:line="169" w:lineRule="exact"/>
              <w:rPr>
                <w:sz w:val="20"/>
                <w:szCs w:val="20"/>
                <w:color w:val="auto"/>
              </w:rPr>
            </w:pPr>
            <w:r>
              <w:rPr>
                <w:rFonts w:ascii="Arial" w:cs="Arial" w:eastAsia="Arial" w:hAnsi="Arial"/>
                <w:sz w:val="16"/>
                <w:szCs w:val="16"/>
                <w:color w:val="auto"/>
              </w:rPr>
              <w:t>$</w:t>
            </w:r>
          </w:p>
        </w:tc>
        <w:tc>
          <w:tcPr>
            <w:tcW w:w="1400" w:type="dxa"/>
            <w:vAlign w:val="bottom"/>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rPr>
              <w:t>1,236.1</w:t>
            </w:r>
          </w:p>
        </w:tc>
      </w:tr>
      <w:tr>
        <w:trPr>
          <w:trHeight w:val="20"/>
        </w:trPr>
        <w:tc>
          <w:tcPr>
            <w:tcW w:w="118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136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Inter-segment</w:t>
            </w:r>
          </w:p>
        </w:tc>
        <w:tc>
          <w:tcPr>
            <w:tcW w:w="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03"/>
        </w:trPr>
        <w:tc>
          <w:tcPr>
            <w:tcW w:w="3540" w:type="dxa"/>
            <w:vAlign w:val="bottom"/>
            <w:tcBorders>
              <w:bottom w:val="single" w:sz="8" w:color="auto"/>
            </w:tcBorders>
            <w:gridSpan w:val="4"/>
          </w:tcPr>
          <w:p>
            <w:pPr>
              <w:spacing w:after="0"/>
              <w:rPr>
                <w:sz w:val="20"/>
                <w:szCs w:val="20"/>
                <w:color w:val="auto"/>
              </w:rPr>
            </w:pPr>
            <w:r>
              <w:rPr>
                <w:rFonts w:ascii="Arial" w:cs="Arial" w:eastAsia="Arial" w:hAnsi="Arial"/>
                <w:sz w:val="16"/>
                <w:szCs w:val="16"/>
                <w:b w:val="1"/>
                <w:bCs w:val="1"/>
                <w:color w:val="auto"/>
              </w:rPr>
              <w:t>Six Months Ended June 30, 2024</w:t>
            </w:r>
          </w:p>
        </w:tc>
        <w:tc>
          <w:tcPr>
            <w:tcW w:w="6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Electric Utilities</w:t>
            </w:r>
          </w:p>
        </w:tc>
        <w:tc>
          <w:tcPr>
            <w:tcW w:w="3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Gas Utilities</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Eliminations</w:t>
            </w:r>
          </w:p>
        </w:tc>
        <w:tc>
          <w:tcPr>
            <w:tcW w:w="3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Total</w:t>
            </w:r>
          </w:p>
        </w:tc>
      </w:tr>
      <w:tr>
        <w:trPr>
          <w:trHeight w:val="169"/>
        </w:trPr>
        <w:tc>
          <w:tcPr>
            <w:tcW w:w="3540" w:type="dxa"/>
            <w:vAlign w:val="bottom"/>
            <w:gridSpan w:val="4"/>
            <w:shd w:val="clear" w:color="auto" w:fill="CFF0FC"/>
          </w:tcPr>
          <w:p>
            <w:pPr>
              <w:spacing w:after="0" w:line="169" w:lineRule="exact"/>
              <w:rPr>
                <w:sz w:val="20"/>
                <w:szCs w:val="20"/>
                <w:color w:val="auto"/>
              </w:rPr>
            </w:pPr>
            <w:r>
              <w:rPr>
                <w:rFonts w:ascii="Arial" w:cs="Arial" w:eastAsia="Arial" w:hAnsi="Arial"/>
                <w:sz w:val="16"/>
                <w:szCs w:val="16"/>
                <w:color w:val="auto"/>
              </w:rPr>
              <w:t>Customer types:</w:t>
            </w:r>
          </w:p>
        </w:tc>
        <w:tc>
          <w:tcPr>
            <w:tcW w:w="6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5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880" w:type="dxa"/>
            <w:vAlign w:val="bottom"/>
            <w:gridSpan w:val="2"/>
            <w:shd w:val="clear" w:color="auto" w:fill="CFF0FC"/>
          </w:tcPr>
          <w:p>
            <w:pPr>
              <w:jc w:val="right"/>
              <w:ind w:right="939"/>
              <w:spacing w:after="0" w:line="169" w:lineRule="exact"/>
              <w:rPr>
                <w:sz w:val="20"/>
                <w:szCs w:val="20"/>
                <w:color w:val="auto"/>
              </w:rPr>
            </w:pPr>
            <w:r>
              <w:rPr>
                <w:rFonts w:ascii="Arial" w:cs="Arial" w:eastAsia="Arial" w:hAnsi="Arial"/>
                <w:sz w:val="16"/>
                <w:szCs w:val="16"/>
                <w:color w:val="auto"/>
              </w:rPr>
              <w:t>(in millions)</w:t>
            </w:r>
          </w:p>
        </w:tc>
        <w:tc>
          <w:tcPr>
            <w:tcW w:w="38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r>
      <w:tr>
        <w:trPr>
          <w:trHeight w:val="27"/>
        </w:trPr>
        <w:tc>
          <w:tcPr>
            <w:tcW w:w="4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0" w:type="dxa"/>
            <w:vAlign w:val="bottom"/>
            <w:shd w:val="clear" w:color="auto" w:fill="CFF0FC"/>
          </w:tcPr>
          <w:p>
            <w:pPr>
              <w:spacing w:after="0"/>
              <w:rPr>
                <w:sz w:val="2"/>
                <w:szCs w:val="2"/>
                <w:color w:val="auto"/>
              </w:rPr>
            </w:pPr>
          </w:p>
        </w:tc>
        <w:tc>
          <w:tcPr>
            <w:tcW w:w="1360" w:type="dxa"/>
            <w:vAlign w:val="bottom"/>
            <w:shd w:val="clear" w:color="auto" w:fill="CFF0FC"/>
          </w:tcPr>
          <w:p>
            <w:pPr>
              <w:spacing w:after="0"/>
              <w:rPr>
                <w:sz w:val="2"/>
                <w:szCs w:val="2"/>
                <w:color w:val="auto"/>
              </w:rPr>
            </w:pPr>
          </w:p>
        </w:tc>
        <w:tc>
          <w:tcPr>
            <w:tcW w:w="64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5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r>
      <w:tr>
        <w:trPr>
          <w:trHeight w:val="189"/>
        </w:trPr>
        <w:tc>
          <w:tcPr>
            <w:tcW w:w="480" w:type="dxa"/>
            <w:vAlign w:val="bottom"/>
          </w:tcPr>
          <w:p>
            <w:pPr>
              <w:ind w:left="40"/>
              <w:spacing w:after="0"/>
              <w:rPr>
                <w:sz w:val="20"/>
                <w:szCs w:val="20"/>
                <w:color w:val="auto"/>
              </w:rPr>
            </w:pPr>
            <w:r>
              <w:rPr>
                <w:rFonts w:ascii="Arial" w:cs="Arial" w:eastAsia="Arial" w:hAnsi="Arial"/>
                <w:sz w:val="16"/>
                <w:szCs w:val="16"/>
                <w:color w:val="auto"/>
              </w:rPr>
              <w:t>Retail</w:t>
            </w:r>
          </w:p>
        </w:tc>
        <w:tc>
          <w:tcPr>
            <w:tcW w:w="7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343.0</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590.3</w:t>
            </w:r>
          </w:p>
        </w:tc>
        <w:tc>
          <w:tcPr>
            <w:tcW w:w="1420" w:type="dxa"/>
            <w:vAlign w:val="bottom"/>
          </w:tcPr>
          <w:p>
            <w:pPr>
              <w:jc w:val="right"/>
              <w:ind w:right="1179"/>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933.3</w:t>
            </w:r>
          </w:p>
        </w:tc>
      </w:tr>
      <w:tr>
        <w:trPr>
          <w:trHeight w:val="189"/>
        </w:trPr>
        <w:tc>
          <w:tcPr>
            <w:tcW w:w="3540" w:type="dxa"/>
            <w:vAlign w:val="bottom"/>
            <w:gridSpan w:val="4"/>
            <w:shd w:val="clear" w:color="auto" w:fill="CFF0FC"/>
          </w:tcPr>
          <w:p>
            <w:pPr>
              <w:ind w:left="40"/>
              <w:spacing w:after="0"/>
              <w:rPr>
                <w:sz w:val="20"/>
                <w:szCs w:val="20"/>
                <w:color w:val="auto"/>
              </w:rPr>
            </w:pPr>
            <w:r>
              <w:rPr>
                <w:rFonts w:ascii="Arial" w:cs="Arial" w:eastAsia="Arial" w:hAnsi="Arial"/>
                <w:sz w:val="16"/>
                <w:szCs w:val="16"/>
                <w:color w:val="auto"/>
              </w:rPr>
              <w:t>Transportation</w:t>
            </w:r>
          </w:p>
        </w:tc>
        <w:tc>
          <w:tcPr>
            <w:tcW w:w="6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6"/>
                <w:szCs w:val="16"/>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87.6</w:t>
            </w:r>
          </w:p>
        </w:tc>
        <w:tc>
          <w:tcPr>
            <w:tcW w:w="1420" w:type="dxa"/>
            <w:vAlign w:val="bottom"/>
            <w:shd w:val="clear" w:color="auto" w:fill="CFF0FC"/>
          </w:tcPr>
          <w:p>
            <w:pPr>
              <w:spacing w:after="0"/>
              <w:rPr>
                <w:sz w:val="16"/>
                <w:szCs w:val="16"/>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(0.2)</w:t>
            </w:r>
          </w:p>
        </w:tc>
        <w:tc>
          <w:tcPr>
            <w:tcW w:w="380" w:type="dxa"/>
            <w:vAlign w:val="bottom"/>
            <w:shd w:val="clear" w:color="auto" w:fill="CFF0FC"/>
          </w:tcPr>
          <w:p>
            <w:pPr>
              <w:spacing w:after="0"/>
              <w:rPr>
                <w:sz w:val="16"/>
                <w:szCs w:val="16"/>
                <w:color w:val="auto"/>
              </w:rPr>
            </w:pPr>
          </w:p>
        </w:tc>
        <w:tc>
          <w:tcPr>
            <w:tcW w:w="14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87.4</w:t>
            </w:r>
          </w:p>
        </w:tc>
      </w:tr>
      <w:tr>
        <w:trPr>
          <w:trHeight w:val="189"/>
        </w:trPr>
        <w:tc>
          <w:tcPr>
            <w:tcW w:w="3540" w:type="dxa"/>
            <w:vAlign w:val="bottom"/>
            <w:gridSpan w:val="4"/>
          </w:tcPr>
          <w:p>
            <w:pPr>
              <w:ind w:left="40"/>
              <w:spacing w:after="0"/>
              <w:rPr>
                <w:sz w:val="20"/>
                <w:szCs w:val="20"/>
                <w:color w:val="auto"/>
              </w:rPr>
            </w:pPr>
            <w:r>
              <w:rPr>
                <w:rFonts w:ascii="Arial" w:cs="Arial" w:eastAsia="Arial" w:hAnsi="Arial"/>
                <w:sz w:val="16"/>
                <w:szCs w:val="16"/>
                <w:color w:val="auto"/>
              </w:rPr>
              <w:t>Wholesale</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15.0</w:t>
            </w:r>
          </w:p>
        </w:tc>
        <w:tc>
          <w:tcPr>
            <w:tcW w:w="3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spacing w:after="0"/>
              <w:rPr>
                <w:sz w:val="16"/>
                <w:szCs w:val="16"/>
                <w:color w:val="auto"/>
              </w:rPr>
            </w:pPr>
          </w:p>
        </w:tc>
        <w:tc>
          <w:tcPr>
            <w:tcW w:w="3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15.0</w:t>
            </w:r>
          </w:p>
        </w:tc>
      </w:tr>
      <w:tr>
        <w:trPr>
          <w:trHeight w:val="189"/>
        </w:trPr>
        <w:tc>
          <w:tcPr>
            <w:tcW w:w="3540" w:type="dxa"/>
            <w:vAlign w:val="bottom"/>
            <w:gridSpan w:val="4"/>
            <w:shd w:val="clear" w:color="auto" w:fill="CFF0FC"/>
          </w:tcPr>
          <w:p>
            <w:pPr>
              <w:ind w:left="40"/>
              <w:spacing w:after="0"/>
              <w:rPr>
                <w:sz w:val="20"/>
                <w:szCs w:val="20"/>
                <w:color w:val="auto"/>
              </w:rPr>
            </w:pPr>
            <w:r>
              <w:rPr>
                <w:rFonts w:ascii="Arial" w:cs="Arial" w:eastAsia="Arial" w:hAnsi="Arial"/>
                <w:sz w:val="16"/>
                <w:szCs w:val="16"/>
                <w:color w:val="auto"/>
              </w:rPr>
              <w:t>Market - off-system sales</w:t>
            </w:r>
          </w:p>
        </w:tc>
        <w:tc>
          <w:tcPr>
            <w:tcW w:w="6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12.0</w:t>
            </w:r>
          </w:p>
        </w:tc>
        <w:tc>
          <w:tcPr>
            <w:tcW w:w="300" w:type="dxa"/>
            <w:vAlign w:val="bottom"/>
            <w:shd w:val="clear" w:color="auto" w:fill="CFF0FC"/>
          </w:tcPr>
          <w:p>
            <w:pPr>
              <w:spacing w:after="0"/>
              <w:rPr>
                <w:sz w:val="16"/>
                <w:szCs w:val="16"/>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FF0FC"/>
          </w:tcPr>
          <w:p>
            <w:pPr>
              <w:spacing w:after="0"/>
              <w:rPr>
                <w:sz w:val="16"/>
                <w:szCs w:val="16"/>
                <w:color w:val="auto"/>
              </w:rPr>
            </w:pPr>
          </w:p>
        </w:tc>
        <w:tc>
          <w:tcPr>
            <w:tcW w:w="3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spacing w:after="0"/>
              <w:rPr>
                <w:sz w:val="16"/>
                <w:szCs w:val="16"/>
                <w:color w:val="auto"/>
              </w:rPr>
            </w:pPr>
          </w:p>
        </w:tc>
        <w:tc>
          <w:tcPr>
            <w:tcW w:w="14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12.0</w:t>
            </w:r>
          </w:p>
        </w:tc>
      </w:tr>
      <w:tr>
        <w:trPr>
          <w:trHeight w:val="189"/>
        </w:trPr>
        <w:tc>
          <w:tcPr>
            <w:tcW w:w="3540" w:type="dxa"/>
            <w:vAlign w:val="bottom"/>
            <w:gridSpan w:val="4"/>
          </w:tcPr>
          <w:p>
            <w:pPr>
              <w:ind w:left="40"/>
              <w:spacing w:after="0"/>
              <w:rPr>
                <w:sz w:val="20"/>
                <w:szCs w:val="20"/>
                <w:color w:val="auto"/>
              </w:rPr>
            </w:pPr>
            <w:r>
              <w:rPr>
                <w:rFonts w:ascii="Arial" w:cs="Arial" w:eastAsia="Arial" w:hAnsi="Arial"/>
                <w:sz w:val="16"/>
                <w:szCs w:val="16"/>
                <w:color w:val="auto"/>
              </w:rPr>
              <w:t>Transmission</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25.6</w:t>
            </w:r>
          </w:p>
        </w:tc>
        <w:tc>
          <w:tcPr>
            <w:tcW w:w="3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0.4</w:t>
            </w:r>
          </w:p>
        </w:tc>
        <w:tc>
          <w:tcPr>
            <w:tcW w:w="1420" w:type="dxa"/>
            <w:vAlign w:val="bottom"/>
          </w:tcPr>
          <w:p>
            <w:pPr>
              <w:spacing w:after="0"/>
              <w:rPr>
                <w:sz w:val="16"/>
                <w:szCs w:val="16"/>
                <w:color w:val="auto"/>
              </w:rPr>
            </w:pPr>
          </w:p>
        </w:tc>
        <w:tc>
          <w:tcPr>
            <w:tcW w:w="3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26.0</w:t>
            </w:r>
          </w:p>
        </w:tc>
      </w:tr>
      <w:tr>
        <w:trPr>
          <w:trHeight w:val="189"/>
        </w:trPr>
        <w:tc>
          <w:tcPr>
            <w:tcW w:w="3540" w:type="dxa"/>
            <w:vAlign w:val="bottom"/>
            <w:tcBorders>
              <w:bottom w:val="single" w:sz="8" w:color="CFF0FC"/>
            </w:tcBorders>
            <w:gridSpan w:val="4"/>
            <w:shd w:val="clear" w:color="auto" w:fill="CFF0FC"/>
          </w:tcPr>
          <w:p>
            <w:pPr>
              <w:ind w:left="40"/>
              <w:spacing w:after="0"/>
              <w:rPr>
                <w:sz w:val="20"/>
                <w:szCs w:val="20"/>
                <w:color w:val="auto"/>
              </w:rPr>
            </w:pPr>
            <w:r>
              <w:rPr>
                <w:rFonts w:ascii="Arial" w:cs="Arial" w:eastAsia="Arial" w:hAnsi="Arial"/>
                <w:sz w:val="16"/>
                <w:szCs w:val="16"/>
                <w:color w:val="auto"/>
              </w:rPr>
              <w:t>Other revenues</w:t>
            </w:r>
          </w:p>
        </w:tc>
        <w:tc>
          <w:tcPr>
            <w:tcW w:w="64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28.5</w:t>
            </w:r>
          </w:p>
        </w:tc>
        <w:tc>
          <w:tcPr>
            <w:tcW w:w="300" w:type="dxa"/>
            <w:vAlign w:val="bottom"/>
            <w:tcBorders>
              <w:bottom w:val="single" w:sz="8" w:color="auto"/>
            </w:tcBorders>
            <w:shd w:val="clear" w:color="auto" w:fill="CFF0FC"/>
          </w:tcPr>
          <w:p>
            <w:pPr>
              <w:spacing w:after="0"/>
              <w:rPr>
                <w:sz w:val="16"/>
                <w:szCs w:val="16"/>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20.8</w:t>
            </w:r>
          </w:p>
        </w:tc>
        <w:tc>
          <w:tcPr>
            <w:tcW w:w="1420" w:type="dxa"/>
            <w:vAlign w:val="bottom"/>
            <w:tcBorders>
              <w:bottom w:val="single" w:sz="8" w:color="auto"/>
            </w:tcBorders>
            <w:shd w:val="clear" w:color="auto" w:fill="CFF0FC"/>
          </w:tcPr>
          <w:p>
            <w:pPr>
              <w:spacing w:after="0"/>
              <w:rPr>
                <w:sz w:val="16"/>
                <w:szCs w:val="16"/>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(8.7)</w:t>
            </w:r>
          </w:p>
        </w:tc>
        <w:tc>
          <w:tcPr>
            <w:tcW w:w="380" w:type="dxa"/>
            <w:vAlign w:val="bottom"/>
            <w:tcBorders>
              <w:bottom w:val="single" w:sz="8" w:color="auto"/>
            </w:tcBorders>
            <w:shd w:val="clear" w:color="auto" w:fill="CFF0FC"/>
          </w:tcPr>
          <w:p>
            <w:pPr>
              <w:spacing w:after="0"/>
              <w:rPr>
                <w:sz w:val="16"/>
                <w:szCs w:val="16"/>
                <w:color w:val="auto"/>
              </w:rPr>
            </w:pPr>
          </w:p>
        </w:tc>
        <w:tc>
          <w:tcPr>
            <w:tcW w:w="14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40.6</w:t>
            </w:r>
          </w:p>
        </w:tc>
      </w:tr>
      <w:tr>
        <w:trPr>
          <w:trHeight w:val="183"/>
        </w:trPr>
        <w:tc>
          <w:tcPr>
            <w:tcW w:w="3540" w:type="dxa"/>
            <w:vAlign w:val="bottom"/>
            <w:gridSpan w:val="4"/>
          </w:tcPr>
          <w:p>
            <w:pPr>
              <w:ind w:left="40"/>
              <w:spacing w:after="0" w:line="183" w:lineRule="exact"/>
              <w:rPr>
                <w:sz w:val="20"/>
                <w:szCs w:val="20"/>
                <w:color w:val="auto"/>
              </w:rPr>
            </w:pPr>
            <w:r>
              <w:rPr>
                <w:rFonts w:ascii="Arial" w:cs="Arial" w:eastAsia="Arial" w:hAnsi="Arial"/>
                <w:sz w:val="16"/>
                <w:szCs w:val="16"/>
                <w:color w:val="auto"/>
              </w:rPr>
              <w:t>Revenue from contracts with customers</w:t>
            </w:r>
          </w:p>
        </w:tc>
        <w:tc>
          <w:tcPr>
            <w:tcW w:w="800" w:type="dxa"/>
            <w:vAlign w:val="bottom"/>
            <w:gridSpan w:val="2"/>
          </w:tcPr>
          <w:p>
            <w:pPr>
              <w:jc w:val="right"/>
              <w:ind w:right="80"/>
              <w:spacing w:after="0" w:line="183" w:lineRule="exact"/>
              <w:rPr>
                <w:sz w:val="20"/>
                <w:szCs w:val="20"/>
                <w:color w:val="auto"/>
              </w:rPr>
            </w:pPr>
            <w:r>
              <w:rPr>
                <w:rFonts w:ascii="Arial" w:cs="Arial" w:eastAsia="Arial" w:hAnsi="Arial"/>
                <w:sz w:val="16"/>
                <w:szCs w:val="16"/>
                <w:color w:val="auto"/>
              </w:rPr>
              <w:t>$</w:t>
            </w:r>
          </w:p>
        </w:tc>
        <w:tc>
          <w:tcPr>
            <w:tcW w:w="1560" w:type="dxa"/>
            <w:vAlign w:val="bottom"/>
          </w:tcPr>
          <w:p>
            <w:pPr>
              <w:jc w:val="right"/>
              <w:spacing w:after="0" w:line="183" w:lineRule="exact"/>
              <w:rPr>
                <w:sz w:val="20"/>
                <w:szCs w:val="20"/>
                <w:color w:val="auto"/>
              </w:rPr>
            </w:pPr>
            <w:r>
              <w:rPr>
                <w:rFonts w:ascii="Arial" w:cs="Arial" w:eastAsia="Arial" w:hAnsi="Arial"/>
                <w:sz w:val="16"/>
                <w:szCs w:val="16"/>
                <w:color w:val="auto"/>
              </w:rPr>
              <w:t>424.1</w:t>
            </w:r>
          </w:p>
        </w:tc>
        <w:tc>
          <w:tcPr>
            <w:tcW w:w="300" w:type="dxa"/>
            <w:vAlign w:val="bottom"/>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1460" w:type="dxa"/>
            <w:vAlign w:val="bottom"/>
          </w:tcPr>
          <w:p>
            <w:pPr>
              <w:jc w:val="right"/>
              <w:spacing w:after="0" w:line="183" w:lineRule="exact"/>
              <w:rPr>
                <w:sz w:val="20"/>
                <w:szCs w:val="20"/>
                <w:color w:val="auto"/>
              </w:rPr>
            </w:pPr>
            <w:r>
              <w:rPr>
                <w:rFonts w:ascii="Arial" w:cs="Arial" w:eastAsia="Arial" w:hAnsi="Arial"/>
                <w:sz w:val="16"/>
                <w:szCs w:val="16"/>
                <w:color w:val="auto"/>
              </w:rPr>
              <w:t>699.1</w:t>
            </w:r>
          </w:p>
        </w:tc>
        <w:tc>
          <w:tcPr>
            <w:tcW w:w="1420" w:type="dxa"/>
            <w:vAlign w:val="bottom"/>
          </w:tcPr>
          <w:p>
            <w:pPr>
              <w:jc w:val="right"/>
              <w:ind w:right="1179"/>
              <w:spacing w:after="0" w:line="183" w:lineRule="exact"/>
              <w:rPr>
                <w:sz w:val="20"/>
                <w:szCs w:val="20"/>
                <w:color w:val="auto"/>
              </w:rPr>
            </w:pPr>
            <w:r>
              <w:rPr>
                <w:rFonts w:ascii="Arial" w:cs="Arial" w:eastAsia="Arial" w:hAnsi="Arial"/>
                <w:sz w:val="16"/>
                <w:szCs w:val="16"/>
                <w:color w:val="auto"/>
              </w:rPr>
              <w:t>$</w:t>
            </w:r>
          </w:p>
        </w:tc>
        <w:tc>
          <w:tcPr>
            <w:tcW w:w="380" w:type="dxa"/>
            <w:vAlign w:val="bottom"/>
          </w:tcPr>
          <w:p>
            <w:pPr>
              <w:jc w:val="right"/>
              <w:spacing w:after="0" w:line="183" w:lineRule="exact"/>
              <w:rPr>
                <w:sz w:val="20"/>
                <w:szCs w:val="20"/>
                <w:color w:val="auto"/>
              </w:rPr>
            </w:pPr>
            <w:r>
              <w:rPr>
                <w:rFonts w:ascii="Arial" w:cs="Arial" w:eastAsia="Arial" w:hAnsi="Arial"/>
                <w:sz w:val="16"/>
                <w:szCs w:val="16"/>
                <w:color w:val="auto"/>
              </w:rPr>
              <w:t>(8.9)</w:t>
            </w:r>
          </w:p>
        </w:tc>
        <w:tc>
          <w:tcPr>
            <w:tcW w:w="380" w:type="dxa"/>
            <w:vAlign w:val="bottom"/>
          </w:tcPr>
          <w:p>
            <w:pPr>
              <w:jc w:val="right"/>
              <w:ind w:right="179"/>
              <w:spacing w:after="0" w:line="183" w:lineRule="exact"/>
              <w:rPr>
                <w:sz w:val="20"/>
                <w:szCs w:val="20"/>
                <w:color w:val="auto"/>
              </w:rPr>
            </w:pPr>
            <w:r>
              <w:rPr>
                <w:rFonts w:ascii="Arial" w:cs="Arial" w:eastAsia="Arial" w:hAnsi="Arial"/>
                <w:sz w:val="16"/>
                <w:szCs w:val="16"/>
                <w:color w:val="auto"/>
              </w:rPr>
              <w:t>$</w:t>
            </w:r>
          </w:p>
        </w:tc>
        <w:tc>
          <w:tcPr>
            <w:tcW w:w="1400" w:type="dxa"/>
            <w:vAlign w:val="bottom"/>
          </w:tcPr>
          <w:p>
            <w:pPr>
              <w:jc w:val="right"/>
              <w:ind w:right="39"/>
              <w:spacing w:after="0" w:line="183" w:lineRule="exact"/>
              <w:rPr>
                <w:sz w:val="20"/>
                <w:szCs w:val="20"/>
                <w:color w:val="auto"/>
              </w:rPr>
            </w:pPr>
            <w:r>
              <w:rPr>
                <w:rFonts w:ascii="Arial" w:cs="Arial" w:eastAsia="Arial" w:hAnsi="Arial"/>
                <w:sz w:val="16"/>
                <w:szCs w:val="16"/>
                <w:color w:val="auto"/>
              </w:rPr>
              <w:t>1,114.3</w:t>
            </w:r>
          </w:p>
        </w:tc>
      </w:tr>
      <w:tr>
        <w:trPr>
          <w:trHeight w:val="189"/>
        </w:trPr>
        <w:tc>
          <w:tcPr>
            <w:tcW w:w="3540" w:type="dxa"/>
            <w:vAlign w:val="bottom"/>
            <w:tcBorders>
              <w:bottom w:val="single" w:sz="8" w:color="CFF0FC"/>
            </w:tcBorders>
            <w:gridSpan w:val="4"/>
            <w:shd w:val="clear" w:color="auto" w:fill="CFF0FC"/>
          </w:tcPr>
          <w:p>
            <w:pPr>
              <w:ind w:left="40"/>
              <w:spacing w:after="0"/>
              <w:rPr>
                <w:sz w:val="20"/>
                <w:szCs w:val="20"/>
                <w:color w:val="auto"/>
              </w:rPr>
            </w:pPr>
            <w:r>
              <w:rPr>
                <w:rFonts w:ascii="Arial" w:cs="Arial" w:eastAsia="Arial" w:hAnsi="Arial"/>
                <w:sz w:val="16"/>
                <w:szCs w:val="16"/>
                <w:color w:val="auto"/>
              </w:rPr>
              <w:t>Alternative revenue and other</w:t>
            </w:r>
          </w:p>
        </w:tc>
        <w:tc>
          <w:tcPr>
            <w:tcW w:w="64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w:t>
            </w:r>
          </w:p>
        </w:tc>
        <w:tc>
          <w:tcPr>
            <w:tcW w:w="300" w:type="dxa"/>
            <w:vAlign w:val="bottom"/>
            <w:tcBorders>
              <w:bottom w:val="single" w:sz="8" w:color="auto"/>
            </w:tcBorders>
            <w:shd w:val="clear" w:color="auto" w:fill="CFF0FC"/>
          </w:tcPr>
          <w:p>
            <w:pPr>
              <w:spacing w:after="0"/>
              <w:rPr>
                <w:sz w:val="16"/>
                <w:szCs w:val="16"/>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11.5</w:t>
            </w:r>
          </w:p>
        </w:tc>
        <w:tc>
          <w:tcPr>
            <w:tcW w:w="1420" w:type="dxa"/>
            <w:vAlign w:val="bottom"/>
            <w:tcBorders>
              <w:bottom w:val="single" w:sz="8" w:color="auto"/>
            </w:tcBorders>
            <w:shd w:val="clear" w:color="auto" w:fill="CFF0FC"/>
          </w:tcPr>
          <w:p>
            <w:pPr>
              <w:spacing w:after="0"/>
              <w:rPr>
                <w:sz w:val="16"/>
                <w:szCs w:val="16"/>
                <w:color w:val="auto"/>
              </w:rPr>
            </w:pPr>
          </w:p>
        </w:tc>
        <w:tc>
          <w:tcPr>
            <w:tcW w:w="3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CFF0FC"/>
          </w:tcPr>
          <w:p>
            <w:pPr>
              <w:spacing w:after="0"/>
              <w:rPr>
                <w:sz w:val="16"/>
                <w:szCs w:val="16"/>
                <w:color w:val="auto"/>
              </w:rPr>
            </w:pPr>
          </w:p>
        </w:tc>
        <w:tc>
          <w:tcPr>
            <w:tcW w:w="14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14.7</w:t>
            </w:r>
          </w:p>
        </w:tc>
      </w:tr>
      <w:tr>
        <w:trPr>
          <w:trHeight w:val="183"/>
        </w:trPr>
        <w:tc>
          <w:tcPr>
            <w:tcW w:w="3540" w:type="dxa"/>
            <w:vAlign w:val="bottom"/>
            <w:gridSpan w:val="4"/>
          </w:tcPr>
          <w:p>
            <w:pPr>
              <w:spacing w:after="0" w:line="169" w:lineRule="exact"/>
              <w:rPr>
                <w:sz w:val="20"/>
                <w:szCs w:val="20"/>
                <w:color w:val="auto"/>
              </w:rPr>
            </w:pPr>
            <w:r>
              <w:rPr>
                <w:rFonts w:ascii="Arial" w:cs="Arial" w:eastAsia="Arial" w:hAnsi="Arial"/>
                <w:sz w:val="16"/>
                <w:szCs w:val="16"/>
                <w:color w:val="auto"/>
              </w:rPr>
              <w:t>Total revenues</w:t>
            </w:r>
          </w:p>
        </w:tc>
        <w:tc>
          <w:tcPr>
            <w:tcW w:w="800" w:type="dxa"/>
            <w:vAlign w:val="bottom"/>
            <w:gridSpan w:val="2"/>
          </w:tcPr>
          <w:p>
            <w:pPr>
              <w:jc w:val="right"/>
              <w:ind w:right="80"/>
              <w:spacing w:after="0" w:line="169" w:lineRule="exact"/>
              <w:rPr>
                <w:sz w:val="20"/>
                <w:szCs w:val="20"/>
                <w:color w:val="auto"/>
              </w:rPr>
            </w:pPr>
            <w:r>
              <w:rPr>
                <w:rFonts w:ascii="Arial" w:cs="Arial" w:eastAsia="Arial" w:hAnsi="Arial"/>
                <w:sz w:val="16"/>
                <w:szCs w:val="16"/>
                <w:color w:val="auto"/>
              </w:rPr>
              <w:t>$</w:t>
            </w:r>
          </w:p>
        </w:tc>
        <w:tc>
          <w:tcPr>
            <w:tcW w:w="1560" w:type="dxa"/>
            <w:vAlign w:val="bottom"/>
          </w:tcPr>
          <w:p>
            <w:pPr>
              <w:jc w:val="right"/>
              <w:spacing w:after="0" w:line="169" w:lineRule="exact"/>
              <w:rPr>
                <w:sz w:val="20"/>
                <w:szCs w:val="20"/>
                <w:color w:val="auto"/>
              </w:rPr>
            </w:pPr>
            <w:r>
              <w:rPr>
                <w:rFonts w:ascii="Arial" w:cs="Arial" w:eastAsia="Arial" w:hAnsi="Arial"/>
                <w:sz w:val="16"/>
                <w:szCs w:val="16"/>
                <w:color w:val="auto"/>
              </w:rPr>
              <w:t>427.3</w:t>
            </w:r>
          </w:p>
        </w:tc>
        <w:tc>
          <w:tcPr>
            <w:tcW w:w="300" w:type="dxa"/>
            <w:vAlign w:val="bottom"/>
          </w:tcPr>
          <w:p>
            <w:pPr>
              <w:jc w:val="right"/>
              <w:ind w:right="59"/>
              <w:spacing w:after="0" w:line="169" w:lineRule="exact"/>
              <w:rPr>
                <w:sz w:val="20"/>
                <w:szCs w:val="20"/>
                <w:color w:val="auto"/>
              </w:rPr>
            </w:pPr>
            <w:r>
              <w:rPr>
                <w:rFonts w:ascii="Arial" w:cs="Arial" w:eastAsia="Arial" w:hAnsi="Arial"/>
                <w:sz w:val="16"/>
                <w:szCs w:val="16"/>
                <w:color w:val="auto"/>
              </w:rPr>
              <w:t>$</w:t>
            </w:r>
          </w:p>
        </w:tc>
        <w:tc>
          <w:tcPr>
            <w:tcW w:w="1460" w:type="dxa"/>
            <w:vAlign w:val="bottom"/>
          </w:tcPr>
          <w:p>
            <w:pPr>
              <w:jc w:val="right"/>
              <w:spacing w:after="0" w:line="169" w:lineRule="exact"/>
              <w:rPr>
                <w:sz w:val="20"/>
                <w:szCs w:val="20"/>
                <w:color w:val="auto"/>
              </w:rPr>
            </w:pPr>
            <w:r>
              <w:rPr>
                <w:rFonts w:ascii="Arial" w:cs="Arial" w:eastAsia="Arial" w:hAnsi="Arial"/>
                <w:sz w:val="16"/>
                <w:szCs w:val="16"/>
                <w:color w:val="auto"/>
              </w:rPr>
              <w:t>710.6</w:t>
            </w:r>
          </w:p>
        </w:tc>
        <w:tc>
          <w:tcPr>
            <w:tcW w:w="1420" w:type="dxa"/>
            <w:vAlign w:val="bottom"/>
          </w:tcPr>
          <w:p>
            <w:pPr>
              <w:jc w:val="right"/>
              <w:ind w:right="1179"/>
              <w:spacing w:after="0" w:line="169" w:lineRule="exact"/>
              <w:rPr>
                <w:sz w:val="20"/>
                <w:szCs w:val="20"/>
                <w:color w:val="auto"/>
              </w:rPr>
            </w:pPr>
            <w:r>
              <w:rPr>
                <w:rFonts w:ascii="Arial" w:cs="Arial" w:eastAsia="Arial" w:hAnsi="Arial"/>
                <w:sz w:val="16"/>
                <w:szCs w:val="16"/>
                <w:color w:val="auto"/>
              </w:rPr>
              <w:t>$</w:t>
            </w:r>
          </w:p>
        </w:tc>
        <w:tc>
          <w:tcPr>
            <w:tcW w:w="380" w:type="dxa"/>
            <w:vAlign w:val="bottom"/>
          </w:tcPr>
          <w:p>
            <w:pPr>
              <w:jc w:val="right"/>
              <w:spacing w:after="0" w:line="169" w:lineRule="exact"/>
              <w:rPr>
                <w:sz w:val="20"/>
                <w:szCs w:val="20"/>
                <w:color w:val="auto"/>
              </w:rPr>
            </w:pPr>
            <w:r>
              <w:rPr>
                <w:rFonts w:ascii="Arial" w:cs="Arial" w:eastAsia="Arial" w:hAnsi="Arial"/>
                <w:sz w:val="16"/>
                <w:szCs w:val="16"/>
                <w:color w:val="auto"/>
              </w:rPr>
              <w:t>(8.9)</w:t>
            </w:r>
          </w:p>
        </w:tc>
        <w:tc>
          <w:tcPr>
            <w:tcW w:w="380" w:type="dxa"/>
            <w:vAlign w:val="bottom"/>
          </w:tcPr>
          <w:p>
            <w:pPr>
              <w:jc w:val="right"/>
              <w:ind w:right="179"/>
              <w:spacing w:after="0" w:line="169" w:lineRule="exact"/>
              <w:rPr>
                <w:sz w:val="20"/>
                <w:szCs w:val="20"/>
                <w:color w:val="auto"/>
              </w:rPr>
            </w:pPr>
            <w:r>
              <w:rPr>
                <w:rFonts w:ascii="Arial" w:cs="Arial" w:eastAsia="Arial" w:hAnsi="Arial"/>
                <w:sz w:val="16"/>
                <w:szCs w:val="16"/>
                <w:color w:val="auto"/>
              </w:rPr>
              <w:t>$</w:t>
            </w:r>
          </w:p>
        </w:tc>
        <w:tc>
          <w:tcPr>
            <w:tcW w:w="1400" w:type="dxa"/>
            <w:vAlign w:val="bottom"/>
          </w:tcPr>
          <w:p>
            <w:pPr>
              <w:jc w:val="right"/>
              <w:ind w:right="39"/>
              <w:spacing w:after="0" w:line="169" w:lineRule="exact"/>
              <w:rPr>
                <w:sz w:val="20"/>
                <w:szCs w:val="20"/>
                <w:color w:val="auto"/>
              </w:rPr>
            </w:pPr>
            <w:r>
              <w:rPr>
                <w:rFonts w:ascii="Arial" w:cs="Arial" w:eastAsia="Arial" w:hAnsi="Arial"/>
                <w:sz w:val="16"/>
                <w:szCs w:val="16"/>
                <w:color w:val="auto"/>
              </w:rPr>
              <w:t>1,129.0</w:t>
            </w:r>
          </w:p>
        </w:tc>
      </w:tr>
      <w:tr>
        <w:trPr>
          <w:trHeight w:val="20"/>
        </w:trPr>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170"/>
        </w:trPr>
        <w:tc>
          <w:tcPr>
            <w:tcW w:w="1180" w:type="dxa"/>
            <w:vAlign w:val="bottom"/>
            <w:gridSpan w:val="2"/>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5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r>
      <w:tr>
        <w:trPr>
          <w:trHeight w:val="162"/>
        </w:trPr>
        <w:tc>
          <w:tcPr>
            <w:tcW w:w="3540" w:type="dxa"/>
            <w:vAlign w:val="bottom"/>
            <w:gridSpan w:val="4"/>
          </w:tcPr>
          <w:p>
            <w:pPr>
              <w:spacing w:after="0" w:line="162" w:lineRule="exact"/>
              <w:rPr>
                <w:sz w:val="20"/>
                <w:szCs w:val="20"/>
                <w:color w:val="auto"/>
              </w:rPr>
            </w:pPr>
            <w:r>
              <w:rPr>
                <w:rFonts w:ascii="Arial" w:cs="Arial" w:eastAsia="Arial" w:hAnsi="Arial"/>
                <w:sz w:val="16"/>
                <w:szCs w:val="16"/>
                <w:color w:val="auto"/>
              </w:rPr>
              <w:t>Timing of revenue recognition:</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27"/>
        </w:trPr>
        <w:tc>
          <w:tcPr>
            <w:tcW w:w="4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189"/>
        </w:trPr>
        <w:tc>
          <w:tcPr>
            <w:tcW w:w="3540" w:type="dxa"/>
            <w:vAlign w:val="bottom"/>
            <w:gridSpan w:val="4"/>
            <w:shd w:val="clear" w:color="auto" w:fill="CFF0FC"/>
          </w:tcPr>
          <w:p>
            <w:pPr>
              <w:ind w:left="40"/>
              <w:spacing w:after="0"/>
              <w:rPr>
                <w:sz w:val="20"/>
                <w:szCs w:val="20"/>
                <w:color w:val="auto"/>
              </w:rPr>
            </w:pPr>
            <w:r>
              <w:rPr>
                <w:rFonts w:ascii="Arial" w:cs="Arial" w:eastAsia="Arial" w:hAnsi="Arial"/>
                <w:sz w:val="16"/>
                <w:szCs w:val="16"/>
                <w:color w:val="auto"/>
              </w:rPr>
              <w:t>Services transferred at a point in time</w:t>
            </w: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16.5</w:t>
            </w:r>
          </w:p>
        </w:tc>
        <w:tc>
          <w:tcPr>
            <w:tcW w:w="3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FF0FC"/>
          </w:tcPr>
          <w:p>
            <w:pPr>
              <w:jc w:val="right"/>
              <w:ind w:right="1179"/>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16.5</w:t>
            </w:r>
          </w:p>
        </w:tc>
      </w:tr>
      <w:tr>
        <w:trPr>
          <w:trHeight w:val="189"/>
        </w:trPr>
        <w:tc>
          <w:tcPr>
            <w:tcW w:w="3540" w:type="dxa"/>
            <w:vAlign w:val="bottom"/>
            <w:gridSpan w:val="4"/>
          </w:tcPr>
          <w:p>
            <w:pPr>
              <w:ind w:left="40"/>
              <w:spacing w:after="0"/>
              <w:rPr>
                <w:sz w:val="20"/>
                <w:szCs w:val="20"/>
                <w:color w:val="auto"/>
              </w:rPr>
            </w:pPr>
            <w:r>
              <w:rPr>
                <w:rFonts w:ascii="Arial" w:cs="Arial" w:eastAsia="Arial" w:hAnsi="Arial"/>
                <w:sz w:val="16"/>
                <w:szCs w:val="16"/>
                <w:color w:val="auto"/>
              </w:rPr>
              <w:t>Services transferred over time</w:t>
            </w:r>
          </w:p>
        </w:tc>
        <w:tc>
          <w:tcPr>
            <w:tcW w:w="6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407.6</w:t>
            </w: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699.1</w:t>
            </w:r>
          </w:p>
        </w:tc>
        <w:tc>
          <w:tcPr>
            <w:tcW w:w="14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w:t>
            </w:r>
          </w:p>
        </w:tc>
        <w:tc>
          <w:tcPr>
            <w:tcW w:w="3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1,097.8</w:t>
            </w:r>
          </w:p>
        </w:tc>
      </w:tr>
      <w:tr>
        <w:trPr>
          <w:trHeight w:val="223"/>
        </w:trPr>
        <w:tc>
          <w:tcPr>
            <w:tcW w:w="3540" w:type="dxa"/>
            <w:vAlign w:val="bottom"/>
            <w:gridSpan w:val="4"/>
            <w:shd w:val="clear" w:color="auto" w:fill="CFF0FC"/>
          </w:tcPr>
          <w:p>
            <w:pPr>
              <w:ind w:left="40"/>
              <w:spacing w:after="0" w:line="169" w:lineRule="exact"/>
              <w:rPr>
                <w:sz w:val="20"/>
                <w:szCs w:val="20"/>
                <w:color w:val="auto"/>
              </w:rPr>
            </w:pPr>
            <w:r>
              <w:rPr>
                <w:rFonts w:ascii="Arial" w:cs="Arial" w:eastAsia="Arial" w:hAnsi="Arial"/>
                <w:sz w:val="16"/>
                <w:szCs w:val="16"/>
                <w:color w:val="auto"/>
              </w:rPr>
              <w:t>Revenue from contracts with customers</w:t>
            </w:r>
          </w:p>
        </w:tc>
        <w:tc>
          <w:tcPr>
            <w:tcW w:w="800" w:type="dxa"/>
            <w:vAlign w:val="bottom"/>
            <w:gridSpan w:val="2"/>
            <w:shd w:val="clear" w:color="auto" w:fill="CFF0FC"/>
          </w:tcPr>
          <w:p>
            <w:pPr>
              <w:jc w:val="right"/>
              <w:ind w:right="80"/>
              <w:spacing w:after="0" w:line="169" w:lineRule="exact"/>
              <w:rPr>
                <w:sz w:val="20"/>
                <w:szCs w:val="20"/>
                <w:color w:val="auto"/>
              </w:rPr>
            </w:pPr>
            <w:r>
              <w:rPr>
                <w:rFonts w:ascii="Arial" w:cs="Arial" w:eastAsia="Arial" w:hAnsi="Arial"/>
                <w:sz w:val="16"/>
                <w:szCs w:val="16"/>
                <w:color w:val="auto"/>
              </w:rPr>
              <w:t>$</w:t>
            </w:r>
          </w:p>
        </w:tc>
        <w:tc>
          <w:tcPr>
            <w:tcW w:w="156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424.1</w:t>
            </w:r>
          </w:p>
        </w:tc>
        <w:tc>
          <w:tcPr>
            <w:tcW w:w="300" w:type="dxa"/>
            <w:vAlign w:val="bottom"/>
            <w:shd w:val="clear" w:color="auto" w:fill="CFF0FC"/>
          </w:tcPr>
          <w:p>
            <w:pPr>
              <w:jc w:val="right"/>
              <w:ind w:right="59"/>
              <w:spacing w:after="0" w:line="169" w:lineRule="exact"/>
              <w:rPr>
                <w:sz w:val="20"/>
                <w:szCs w:val="20"/>
                <w:color w:val="auto"/>
              </w:rPr>
            </w:pPr>
            <w:r>
              <w:rPr>
                <w:rFonts w:ascii="Arial" w:cs="Arial" w:eastAsia="Arial" w:hAnsi="Arial"/>
                <w:sz w:val="16"/>
                <w:szCs w:val="16"/>
                <w:color w:val="auto"/>
              </w:rPr>
              <w:t>$</w:t>
            </w:r>
          </w:p>
        </w:tc>
        <w:tc>
          <w:tcPr>
            <w:tcW w:w="146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699.1</w:t>
            </w:r>
          </w:p>
        </w:tc>
        <w:tc>
          <w:tcPr>
            <w:tcW w:w="1420" w:type="dxa"/>
            <w:vAlign w:val="bottom"/>
            <w:shd w:val="clear" w:color="auto" w:fill="CFF0FC"/>
          </w:tcPr>
          <w:p>
            <w:pPr>
              <w:jc w:val="right"/>
              <w:ind w:right="1179"/>
              <w:spacing w:after="0" w:line="169" w:lineRule="exact"/>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(8.9)</w:t>
            </w:r>
          </w:p>
        </w:tc>
        <w:tc>
          <w:tcPr>
            <w:tcW w:w="380" w:type="dxa"/>
            <w:vAlign w:val="bottom"/>
            <w:shd w:val="clear" w:color="auto" w:fill="CFF0FC"/>
          </w:tcPr>
          <w:p>
            <w:pPr>
              <w:jc w:val="right"/>
              <w:ind w:right="179"/>
              <w:spacing w:after="0" w:line="169" w:lineRule="exact"/>
              <w:rPr>
                <w:sz w:val="20"/>
                <w:szCs w:val="20"/>
                <w:color w:val="auto"/>
              </w:rPr>
            </w:pPr>
            <w:r>
              <w:rPr>
                <w:rFonts w:ascii="Arial" w:cs="Arial" w:eastAsia="Arial" w:hAnsi="Arial"/>
                <w:sz w:val="16"/>
                <w:szCs w:val="16"/>
                <w:color w:val="auto"/>
              </w:rPr>
              <w:t>$</w:t>
            </w:r>
          </w:p>
        </w:tc>
        <w:tc>
          <w:tcPr>
            <w:tcW w:w="1400" w:type="dxa"/>
            <w:vAlign w:val="bottom"/>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rPr>
              <w:t>1,114.3</w:t>
            </w:r>
          </w:p>
        </w:tc>
      </w:tr>
      <w:tr>
        <w:trPr>
          <w:trHeight w:val="567"/>
        </w:trPr>
        <w:tc>
          <w:tcPr>
            <w:tcW w:w="480" w:type="dxa"/>
            <w:vAlign w:val="bottom"/>
            <w:tcBorders>
              <w:top w:val="single" w:sz="8" w:color="CFF0FC"/>
            </w:tcBorders>
          </w:tcPr>
          <w:p>
            <w:pPr>
              <w:spacing w:after="0"/>
              <w:rPr>
                <w:sz w:val="20"/>
                <w:szCs w:val="20"/>
                <w:color w:val="auto"/>
              </w:rPr>
            </w:pPr>
            <w:r>
              <w:rPr>
                <w:rFonts w:ascii="Arial" w:cs="Arial" w:eastAsia="Arial" w:hAnsi="Arial"/>
                <w:sz w:val="16"/>
                <w:szCs w:val="16"/>
                <w:b w:val="1"/>
                <w:bCs w:val="1"/>
                <w:color w:val="auto"/>
              </w:rPr>
              <w:t>(5)</w:t>
            </w:r>
          </w:p>
        </w:tc>
        <w:tc>
          <w:tcPr>
            <w:tcW w:w="3060" w:type="dxa"/>
            <w:vAlign w:val="bottom"/>
            <w:tcBorders>
              <w:top w:val="single" w:sz="8" w:color="CFF0FC"/>
            </w:tcBorders>
            <w:gridSpan w:val="3"/>
          </w:tcPr>
          <w:p>
            <w:pPr>
              <w:ind w:left="40"/>
              <w:spacing w:after="0"/>
              <w:rPr>
                <w:sz w:val="20"/>
                <w:szCs w:val="20"/>
                <w:color w:val="auto"/>
              </w:rPr>
            </w:pPr>
            <w:r>
              <w:rPr>
                <w:rFonts w:ascii="Arial" w:cs="Arial" w:eastAsia="Arial" w:hAnsi="Arial"/>
                <w:sz w:val="16"/>
                <w:szCs w:val="16"/>
                <w:b w:val="1"/>
                <w:bCs w:val="1"/>
                <w:color w:val="auto"/>
              </w:rPr>
              <w:t>Financing</w:t>
            </w:r>
          </w:p>
        </w:tc>
        <w:tc>
          <w:tcPr>
            <w:tcW w:w="64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r>
    </w:tbl>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Short-term Debt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Revolving Credit Facility and CP Program</w:t>
      </w:r>
    </w:p>
    <w:p>
      <w:pPr>
        <w:spacing w:after="0" w:line="194"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On June 6, 2025, with approval from our lenders, we utilized one of our two available one-year extension options under the amended and restated Revolving Credit Facility, thereby extending its maturity date to May 31, 2030.</w:t>
      </w:r>
    </w:p>
    <w:p>
      <w:pPr>
        <w:spacing w:after="0" w:line="129"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Our Revolving Credit Facility and CP Program, which are classified as Notes payable on the Consolidated Balance Sheets, had the following borrowings, outstanding letters of credit, and available capacity as of:</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6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June 30, 2025</w:t>
            </w:r>
          </w:p>
        </w:tc>
        <w:tc>
          <w:tcPr>
            <w:tcW w:w="72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tcPr>
          <w:p>
            <w:pPr>
              <w:ind w:left="600"/>
              <w:spacing w:after="0"/>
              <w:rPr>
                <w:sz w:val="20"/>
                <w:szCs w:val="20"/>
                <w:color w:val="auto"/>
              </w:rPr>
            </w:pPr>
            <w:r>
              <w:rPr>
                <w:rFonts w:ascii="Arial" w:cs="Arial" w:eastAsia="Arial" w:hAnsi="Arial"/>
                <w:sz w:val="16"/>
                <w:szCs w:val="16"/>
                <w:b w:val="1"/>
                <w:bCs w:val="1"/>
                <w:color w:val="auto"/>
              </w:rPr>
              <w:t>December 31, 2024</w:t>
            </w:r>
          </w:p>
        </w:tc>
        <w:tc>
          <w:tcPr>
            <w:tcW w:w="680" w:type="dxa"/>
            <w:vAlign w:val="bottom"/>
            <w:tcBorders>
              <w:bottom w:val="single" w:sz="8" w:color="auto"/>
            </w:tcBorders>
          </w:tcPr>
          <w:p>
            <w:pPr>
              <w:spacing w:after="0"/>
              <w:rPr>
                <w:sz w:val="17"/>
                <w:szCs w:val="17"/>
                <w:color w:val="auto"/>
              </w:rPr>
            </w:pPr>
          </w:p>
        </w:tc>
      </w:tr>
      <w:tr>
        <w:trPr>
          <w:trHeight w:val="183"/>
        </w:trPr>
        <w:tc>
          <w:tcPr>
            <w:tcW w:w="5860" w:type="dxa"/>
            <w:vAlign w:val="bottom"/>
          </w:tcPr>
          <w:p>
            <w:pPr>
              <w:spacing w:after="0"/>
              <w:rPr>
                <w:sz w:val="15"/>
                <w:szCs w:val="15"/>
                <w:color w:val="auto"/>
              </w:rPr>
            </w:pPr>
          </w:p>
        </w:tc>
        <w:tc>
          <w:tcPr>
            <w:tcW w:w="1820" w:type="dxa"/>
            <w:vAlign w:val="bottom"/>
            <w:tcBorders>
              <w:bottom w:val="single" w:sz="8" w:color="auto"/>
            </w:tcBorders>
          </w:tcPr>
          <w:p>
            <w:pPr>
              <w:spacing w:after="0"/>
              <w:rPr>
                <w:sz w:val="15"/>
                <w:szCs w:val="15"/>
                <w:color w:val="auto"/>
              </w:rPr>
            </w:pPr>
          </w:p>
        </w:tc>
        <w:tc>
          <w:tcPr>
            <w:tcW w:w="2880" w:type="dxa"/>
            <w:vAlign w:val="bottom"/>
            <w:tcBorders>
              <w:bottom w:val="single" w:sz="8" w:color="auto"/>
            </w:tcBorders>
            <w:gridSpan w:val="2"/>
          </w:tcPr>
          <w:p>
            <w:pPr>
              <w:jc w:val="center"/>
              <w:ind w:right="1219"/>
              <w:spacing w:after="0" w:line="183" w:lineRule="exact"/>
              <w:rPr>
                <w:sz w:val="20"/>
                <w:szCs w:val="20"/>
                <w:color w:val="auto"/>
              </w:rPr>
            </w:pPr>
            <w:r>
              <w:rPr>
                <w:rFonts w:ascii="Arial" w:cs="Arial" w:eastAsia="Arial" w:hAnsi="Arial"/>
                <w:sz w:val="16"/>
                <w:szCs w:val="16"/>
                <w:color w:val="auto"/>
              </w:rPr>
              <w:t>(dollars in millions)</w:t>
            </w:r>
          </w:p>
        </w:tc>
        <w:tc>
          <w:tcPr>
            <w:tcW w:w="680" w:type="dxa"/>
            <w:vAlign w:val="bottom"/>
            <w:tcBorders>
              <w:bottom w:val="single" w:sz="8" w:color="auto"/>
            </w:tcBorders>
          </w:tcPr>
          <w:p>
            <w:pPr>
              <w:spacing w:after="0"/>
              <w:rPr>
                <w:sz w:val="15"/>
                <w:szCs w:val="15"/>
                <w:color w:val="auto"/>
              </w:rPr>
            </w:pPr>
          </w:p>
        </w:tc>
      </w:tr>
      <w:tr>
        <w:trPr>
          <w:trHeight w:val="183"/>
        </w:trPr>
        <w:tc>
          <w:tcPr>
            <w:tcW w:w="586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Amount outstanding</w:t>
            </w:r>
          </w:p>
        </w:tc>
        <w:tc>
          <w:tcPr>
            <w:tcW w:w="1820" w:type="dxa"/>
            <w:vAlign w:val="bottom"/>
            <w:shd w:val="clear" w:color="auto" w:fill="CFF0FC"/>
          </w:tcPr>
          <w:p>
            <w:pPr>
              <w:jc w:val="right"/>
              <w:ind w:right="1639"/>
              <w:spacing w:after="0" w:line="183" w:lineRule="exact"/>
              <w:rPr>
                <w:sz w:val="20"/>
                <w:szCs w:val="20"/>
                <w:color w:val="auto"/>
              </w:rPr>
            </w:pPr>
            <w:r>
              <w:rPr>
                <w:rFonts w:ascii="Arial" w:cs="Arial" w:eastAsia="Arial" w:hAnsi="Arial"/>
                <w:sz w:val="16"/>
                <w:szCs w:val="16"/>
                <w:color w:val="auto"/>
                <w:w w:val="89"/>
              </w:rPr>
              <w:t>$</w:t>
            </w:r>
          </w:p>
        </w:tc>
        <w:tc>
          <w:tcPr>
            <w:tcW w:w="720" w:type="dxa"/>
            <w:vAlign w:val="bottom"/>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rPr>
              <w:t>123.7</w:t>
            </w:r>
          </w:p>
        </w:tc>
        <w:tc>
          <w:tcPr>
            <w:tcW w:w="2160" w:type="dxa"/>
            <w:vAlign w:val="bottom"/>
            <w:shd w:val="clear" w:color="auto" w:fill="CFF0FC"/>
          </w:tcPr>
          <w:p>
            <w:pPr>
              <w:jc w:val="right"/>
              <w:ind w:right="1979"/>
              <w:spacing w:after="0" w:line="183" w:lineRule="exact"/>
              <w:rPr>
                <w:sz w:val="20"/>
                <w:szCs w:val="20"/>
                <w:color w:val="auto"/>
              </w:rPr>
            </w:pPr>
            <w:r>
              <w:rPr>
                <w:rFonts w:ascii="Arial" w:cs="Arial" w:eastAsia="Arial" w:hAnsi="Arial"/>
                <w:sz w:val="16"/>
                <w:szCs w:val="16"/>
                <w:color w:val="auto"/>
                <w:w w:val="89"/>
              </w:rPr>
              <w:t>$</w:t>
            </w:r>
          </w:p>
        </w:tc>
        <w:tc>
          <w:tcPr>
            <w:tcW w:w="680" w:type="dxa"/>
            <w:vAlign w:val="bottom"/>
            <w:shd w:val="clear" w:color="auto" w:fill="CFF0FC"/>
          </w:tcPr>
          <w:p>
            <w:pPr>
              <w:jc w:val="right"/>
              <w:ind w:right="99"/>
              <w:spacing w:after="0" w:line="183" w:lineRule="exact"/>
              <w:rPr>
                <w:sz w:val="20"/>
                <w:szCs w:val="20"/>
                <w:color w:val="auto"/>
              </w:rPr>
            </w:pPr>
            <w:r>
              <w:rPr>
                <w:rFonts w:ascii="Arial" w:cs="Arial" w:eastAsia="Arial" w:hAnsi="Arial"/>
                <w:sz w:val="16"/>
                <w:szCs w:val="16"/>
                <w:color w:val="auto"/>
              </w:rPr>
              <w:t>133.8</w:t>
            </w:r>
          </w:p>
        </w:tc>
      </w:tr>
      <w:tr>
        <w:trPr>
          <w:trHeight w:val="189"/>
        </w:trPr>
        <w:tc>
          <w:tcPr>
            <w:tcW w:w="5860" w:type="dxa"/>
            <w:vAlign w:val="bottom"/>
          </w:tcPr>
          <w:p>
            <w:pPr>
              <w:spacing w:after="0" w:line="189" w:lineRule="exact"/>
              <w:rPr>
                <w:sz w:val="20"/>
                <w:szCs w:val="20"/>
                <w:color w:val="auto"/>
              </w:rPr>
            </w:pPr>
            <w:r>
              <w:rPr>
                <w:rFonts w:ascii="Arial" w:cs="Arial" w:eastAsia="Arial" w:hAnsi="Arial"/>
                <w:sz w:val="16"/>
                <w:szCs w:val="16"/>
                <w:color w:val="auto"/>
              </w:rPr>
              <w:t xml:space="preserve">Letters of credit </w:t>
            </w:r>
            <w:r>
              <w:rPr>
                <w:rFonts w:ascii="Arial" w:cs="Arial" w:eastAsia="Arial" w:hAnsi="Arial"/>
                <w:sz w:val="21"/>
                <w:szCs w:val="21"/>
                <w:color w:val="auto"/>
                <w:vertAlign w:val="superscript"/>
              </w:rPr>
              <w:t>(a)</w:t>
            </w:r>
          </w:p>
        </w:tc>
        <w:tc>
          <w:tcPr>
            <w:tcW w:w="1820" w:type="dxa"/>
            <w:vAlign w:val="bottom"/>
          </w:tcPr>
          <w:p>
            <w:pPr>
              <w:spacing w:after="0"/>
              <w:rPr>
                <w:sz w:val="16"/>
                <w:szCs w:val="16"/>
                <w:color w:val="auto"/>
              </w:rPr>
            </w:pP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3.5</w:t>
            </w:r>
          </w:p>
        </w:tc>
        <w:tc>
          <w:tcPr>
            <w:tcW w:w="2160" w:type="dxa"/>
            <w:vAlign w:val="bottom"/>
          </w:tcPr>
          <w:p>
            <w:pPr>
              <w:spacing w:after="0"/>
              <w:rPr>
                <w:sz w:val="16"/>
                <w:szCs w:val="16"/>
                <w:color w:val="auto"/>
              </w:rPr>
            </w:pPr>
          </w:p>
        </w:tc>
        <w:tc>
          <w:tcPr>
            <w:tcW w:w="680" w:type="dxa"/>
            <w:vAlign w:val="bottom"/>
          </w:tcPr>
          <w:p>
            <w:pPr>
              <w:jc w:val="right"/>
              <w:ind w:right="99"/>
              <w:spacing w:after="0"/>
              <w:rPr>
                <w:sz w:val="20"/>
                <w:szCs w:val="20"/>
                <w:color w:val="auto"/>
              </w:rPr>
            </w:pPr>
            <w:r>
              <w:rPr>
                <w:rFonts w:ascii="Arial" w:cs="Arial" w:eastAsia="Arial" w:hAnsi="Arial"/>
                <w:sz w:val="16"/>
                <w:szCs w:val="16"/>
                <w:color w:val="auto"/>
              </w:rPr>
              <w:t>3.5</w:t>
            </w:r>
          </w:p>
        </w:tc>
      </w:tr>
      <w:tr>
        <w:trPr>
          <w:trHeight w:val="189"/>
        </w:trPr>
        <w:tc>
          <w:tcPr>
            <w:tcW w:w="5860" w:type="dxa"/>
            <w:vAlign w:val="bottom"/>
            <w:shd w:val="clear" w:color="auto" w:fill="CFF0FC"/>
          </w:tcPr>
          <w:p>
            <w:pPr>
              <w:spacing w:after="0"/>
              <w:rPr>
                <w:sz w:val="20"/>
                <w:szCs w:val="20"/>
                <w:color w:val="auto"/>
              </w:rPr>
            </w:pPr>
            <w:r>
              <w:rPr>
                <w:rFonts w:ascii="Arial" w:cs="Arial" w:eastAsia="Arial" w:hAnsi="Arial"/>
                <w:sz w:val="16"/>
                <w:szCs w:val="16"/>
                <w:color w:val="auto"/>
              </w:rPr>
              <w:t>Available capacity</w:t>
            </w:r>
          </w:p>
        </w:tc>
        <w:tc>
          <w:tcPr>
            <w:tcW w:w="1820" w:type="dxa"/>
            <w:vAlign w:val="bottom"/>
            <w:shd w:val="clear" w:color="auto" w:fill="CFF0FC"/>
          </w:tcPr>
          <w:p>
            <w:pPr>
              <w:spacing w:after="0"/>
              <w:rPr>
                <w:sz w:val="16"/>
                <w:szCs w:val="16"/>
                <w:color w:val="auto"/>
              </w:rPr>
            </w:pPr>
          </w:p>
        </w:tc>
        <w:tc>
          <w:tcPr>
            <w:tcW w:w="7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622.8</w:t>
            </w:r>
          </w:p>
        </w:tc>
        <w:tc>
          <w:tcPr>
            <w:tcW w:w="216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612.7</w:t>
            </w:r>
          </w:p>
        </w:tc>
      </w:tr>
      <w:tr>
        <w:trPr>
          <w:trHeight w:val="215"/>
        </w:trPr>
        <w:tc>
          <w:tcPr>
            <w:tcW w:w="5860" w:type="dxa"/>
            <w:vAlign w:val="bottom"/>
          </w:tcPr>
          <w:p>
            <w:pPr>
              <w:spacing w:after="0"/>
              <w:rPr>
                <w:sz w:val="20"/>
                <w:szCs w:val="20"/>
                <w:color w:val="auto"/>
              </w:rPr>
            </w:pPr>
            <w:r>
              <w:rPr>
                <w:rFonts w:ascii="Arial" w:cs="Arial" w:eastAsia="Arial" w:hAnsi="Arial"/>
                <w:sz w:val="16"/>
                <w:szCs w:val="16"/>
                <w:color w:val="auto"/>
              </w:rPr>
              <w:t>Weighted average interest rates</w:t>
            </w:r>
          </w:p>
        </w:tc>
        <w:tc>
          <w:tcPr>
            <w:tcW w:w="18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4.58%</w:t>
            </w:r>
          </w:p>
        </w:tc>
        <w:tc>
          <w:tcPr>
            <w:tcW w:w="2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4.74%</w:t>
            </w:r>
          </w:p>
        </w:tc>
      </w:tr>
    </w:tbl>
    <w:p>
      <w:pPr>
        <w:spacing w:after="0" w:line="109" w:lineRule="exact"/>
        <w:rPr>
          <w:sz w:val="20"/>
          <w:szCs w:val="20"/>
          <w:color w:val="auto"/>
        </w:rPr>
      </w:pPr>
    </w:p>
    <w:p>
      <w:pPr>
        <w:ind w:right="1880" w:firstLine="8"/>
        <w:spacing w:after="0" w:line="493" w:lineRule="auto"/>
        <w:tabs>
          <w:tab w:leader="none" w:pos="509" w:val="left"/>
        </w:tabs>
        <w:numPr>
          <w:ilvl w:val="0"/>
          <w:numId w:val="8"/>
        </w:numPr>
        <w:rPr>
          <w:rFonts w:ascii="Arial" w:cs="Arial" w:eastAsia="Arial" w:hAnsi="Arial"/>
          <w:sz w:val="14"/>
          <w:szCs w:val="14"/>
          <w:color w:val="auto"/>
        </w:rPr>
      </w:pPr>
      <w:r>
        <w:rPr>
          <w:rFonts w:ascii="Arial" w:cs="Arial" w:eastAsia="Arial" w:hAnsi="Arial"/>
          <w:sz w:val="14"/>
          <w:szCs w:val="14"/>
          <w:color w:val="auto"/>
        </w:rPr>
        <w:t>Letters of credit are off-balance sheet commitments that reduce the borrowing capacity available on our corporate Revolving Credit Facility</w:t>
      </w:r>
      <w:r>
        <w:rPr>
          <w:rFonts w:ascii="Arial" w:cs="Arial" w:eastAsia="Arial" w:hAnsi="Arial"/>
          <w:sz w:val="16"/>
          <w:szCs w:val="16"/>
          <w:color w:val="auto"/>
        </w:rPr>
        <w:t>.</w:t>
      </w:r>
      <w:r>
        <w:rPr>
          <w:rFonts w:ascii="Arial" w:cs="Arial" w:eastAsia="Arial" w:hAnsi="Arial"/>
          <w:sz w:val="14"/>
          <w:szCs w:val="14"/>
          <w:color w:val="auto"/>
        </w:rPr>
        <w:t xml:space="preserve"> </w:t>
      </w:r>
      <w:r>
        <w:rPr>
          <w:rFonts w:ascii="Arial" w:cs="Arial" w:eastAsia="Arial" w:hAnsi="Arial"/>
          <w:sz w:val="16"/>
          <w:szCs w:val="16"/>
          <w:color w:val="auto"/>
        </w:rPr>
        <w:t>Revolving Credit Facility and CP Program borrowing activity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-478790</wp:posOffset>
            </wp:positionV>
            <wp:extent cx="104584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9"/>
        </w:trPr>
        <w:tc>
          <w:tcPr>
            <w:tcW w:w="6920" w:type="dxa"/>
            <w:vAlign w:val="bottom"/>
          </w:tcPr>
          <w:p>
            <w:pPr>
              <w:spacing w:after="0"/>
              <w:rPr>
                <w:sz w:val="16"/>
                <w:szCs w:val="16"/>
                <w:color w:val="auto"/>
              </w:rPr>
            </w:pPr>
          </w:p>
        </w:tc>
        <w:tc>
          <w:tcPr>
            <w:tcW w:w="3660" w:type="dxa"/>
            <w:vAlign w:val="bottom"/>
            <w:gridSpan w:val="3"/>
          </w:tcPr>
          <w:p>
            <w:pPr>
              <w:jc w:val="center"/>
              <w:ind w:left="459"/>
              <w:spacing w:after="0"/>
              <w:rPr>
                <w:sz w:val="20"/>
                <w:szCs w:val="20"/>
                <w:color w:val="auto"/>
              </w:rPr>
            </w:pPr>
            <w:r>
              <w:rPr>
                <w:rFonts w:ascii="Arial" w:cs="Arial" w:eastAsia="Arial" w:hAnsi="Arial"/>
                <w:sz w:val="16"/>
                <w:szCs w:val="16"/>
                <w:b w:val="1"/>
                <w:bCs w:val="1"/>
                <w:color w:val="auto"/>
              </w:rPr>
              <w:t>Six Months Ended June 30,</w:t>
            </w:r>
          </w:p>
        </w:tc>
        <w:tc>
          <w:tcPr>
            <w:tcW w:w="660" w:type="dxa"/>
            <w:vAlign w:val="bottom"/>
          </w:tcPr>
          <w:p>
            <w:pPr>
              <w:spacing w:after="0"/>
              <w:rPr>
                <w:sz w:val="16"/>
                <w:szCs w:val="16"/>
                <w:color w:val="auto"/>
              </w:rPr>
            </w:pPr>
          </w:p>
        </w:tc>
      </w:tr>
      <w:tr>
        <w:trPr>
          <w:trHeight w:val="203"/>
        </w:trPr>
        <w:tc>
          <w:tcPr>
            <w:tcW w:w="69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2025</w:t>
            </w:r>
          </w:p>
        </w:tc>
        <w:tc>
          <w:tcPr>
            <w:tcW w:w="8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2024</w:t>
            </w:r>
          </w:p>
        </w:tc>
        <w:tc>
          <w:tcPr>
            <w:tcW w:w="660" w:type="dxa"/>
            <w:vAlign w:val="bottom"/>
            <w:tcBorders>
              <w:bottom w:val="single" w:sz="8" w:color="auto"/>
            </w:tcBorders>
          </w:tcPr>
          <w:p>
            <w:pPr>
              <w:spacing w:after="0"/>
              <w:rPr>
                <w:sz w:val="17"/>
                <w:szCs w:val="17"/>
                <w:color w:val="auto"/>
              </w:rPr>
            </w:pPr>
          </w:p>
        </w:tc>
      </w:tr>
      <w:tr>
        <w:trPr>
          <w:trHeight w:val="183"/>
        </w:trPr>
        <w:tc>
          <w:tcPr>
            <w:tcW w:w="6920" w:type="dxa"/>
            <w:vAlign w:val="bottom"/>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2"/>
          </w:tcPr>
          <w:p>
            <w:pPr>
              <w:jc w:val="center"/>
              <w:ind w:right="679"/>
              <w:spacing w:after="0" w:line="183" w:lineRule="exact"/>
              <w:rPr>
                <w:sz w:val="20"/>
                <w:szCs w:val="20"/>
                <w:color w:val="auto"/>
              </w:rPr>
            </w:pPr>
            <w:r>
              <w:rPr>
                <w:rFonts w:ascii="Arial" w:cs="Arial" w:eastAsia="Arial" w:hAnsi="Arial"/>
                <w:sz w:val="16"/>
                <w:szCs w:val="16"/>
                <w:color w:val="auto"/>
              </w:rPr>
              <w:t>(dollars in millions)</w:t>
            </w:r>
          </w:p>
        </w:tc>
        <w:tc>
          <w:tcPr>
            <w:tcW w:w="660" w:type="dxa"/>
            <w:vAlign w:val="bottom"/>
            <w:tcBorders>
              <w:bottom w:val="single" w:sz="8" w:color="auto"/>
            </w:tcBorders>
          </w:tcPr>
          <w:p>
            <w:pPr>
              <w:spacing w:after="0"/>
              <w:rPr>
                <w:sz w:val="15"/>
                <w:szCs w:val="15"/>
                <w:color w:val="auto"/>
              </w:rPr>
            </w:pPr>
          </w:p>
        </w:tc>
      </w:tr>
      <w:tr>
        <w:trPr>
          <w:trHeight w:val="183"/>
        </w:trPr>
        <w:tc>
          <w:tcPr>
            <w:tcW w:w="692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Maximum amount outstanding (based on daily outstanding balances)</w:t>
            </w:r>
          </w:p>
        </w:tc>
        <w:tc>
          <w:tcPr>
            <w:tcW w:w="1300" w:type="dxa"/>
            <w:vAlign w:val="bottom"/>
            <w:shd w:val="clear" w:color="auto" w:fill="CFF0FC"/>
          </w:tcPr>
          <w:p>
            <w:pPr>
              <w:jc w:val="right"/>
              <w:ind w:right="1119"/>
              <w:spacing w:after="0" w:line="183" w:lineRule="exact"/>
              <w:rPr>
                <w:sz w:val="20"/>
                <w:szCs w:val="20"/>
                <w:color w:val="auto"/>
              </w:rPr>
            </w:pPr>
            <w:r>
              <w:rPr>
                <w:rFonts w:ascii="Arial" w:cs="Arial" w:eastAsia="Arial" w:hAnsi="Arial"/>
                <w:sz w:val="16"/>
                <w:szCs w:val="16"/>
                <w:color w:val="auto"/>
                <w:w w:val="89"/>
              </w:rPr>
              <w:t>$</w:t>
            </w:r>
          </w:p>
        </w:tc>
        <w:tc>
          <w:tcPr>
            <w:tcW w:w="880" w:type="dxa"/>
            <w:vAlign w:val="bottom"/>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rPr>
              <w:t>157.8</w:t>
            </w:r>
          </w:p>
        </w:tc>
        <w:tc>
          <w:tcPr>
            <w:tcW w:w="1480" w:type="dxa"/>
            <w:vAlign w:val="bottom"/>
            <w:shd w:val="clear" w:color="auto" w:fill="CFF0FC"/>
          </w:tcPr>
          <w:p>
            <w:pPr>
              <w:jc w:val="right"/>
              <w:ind w:right="1299"/>
              <w:spacing w:after="0" w:line="183" w:lineRule="exact"/>
              <w:rPr>
                <w:sz w:val="20"/>
                <w:szCs w:val="20"/>
                <w:color w:val="auto"/>
              </w:rPr>
            </w:pPr>
            <w:r>
              <w:rPr>
                <w:rFonts w:ascii="Arial" w:cs="Arial" w:eastAsia="Arial" w:hAnsi="Arial"/>
                <w:sz w:val="16"/>
                <w:szCs w:val="16"/>
                <w:color w:val="auto"/>
                <w:w w:val="89"/>
              </w:rPr>
              <w:t>$</w:t>
            </w:r>
          </w:p>
        </w:tc>
        <w:tc>
          <w:tcPr>
            <w:tcW w:w="66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w:t>
            </w:r>
          </w:p>
        </w:tc>
      </w:tr>
      <w:tr>
        <w:trPr>
          <w:trHeight w:val="189"/>
        </w:trPr>
        <w:tc>
          <w:tcPr>
            <w:tcW w:w="6920" w:type="dxa"/>
            <w:vAlign w:val="bottom"/>
          </w:tcPr>
          <w:p>
            <w:pPr>
              <w:spacing w:after="0"/>
              <w:rPr>
                <w:sz w:val="20"/>
                <w:szCs w:val="20"/>
                <w:color w:val="auto"/>
              </w:rPr>
            </w:pPr>
            <w:r>
              <w:rPr>
                <w:rFonts w:ascii="Arial" w:cs="Arial" w:eastAsia="Arial" w:hAnsi="Arial"/>
                <w:sz w:val="16"/>
                <w:szCs w:val="16"/>
                <w:color w:val="auto"/>
              </w:rPr>
              <w:t>Average amount outstanding (based on daily outstanding balances)</w:t>
            </w:r>
          </w:p>
        </w:tc>
        <w:tc>
          <w:tcPr>
            <w:tcW w:w="1300" w:type="dxa"/>
            <w:vAlign w:val="bottom"/>
          </w:tcPr>
          <w:p>
            <w:pPr>
              <w:spacing w:after="0"/>
              <w:rPr>
                <w:sz w:val="16"/>
                <w:szCs w:val="16"/>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80.4</w:t>
            </w:r>
          </w:p>
        </w:tc>
        <w:tc>
          <w:tcPr>
            <w:tcW w:w="1480" w:type="dxa"/>
            <w:vAlign w:val="bottom"/>
          </w:tcPr>
          <w:p>
            <w:pPr>
              <w:spacing w:after="0"/>
              <w:rPr>
                <w:sz w:val="16"/>
                <w:szCs w:val="16"/>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189"/>
        </w:trPr>
        <w:tc>
          <w:tcPr>
            <w:tcW w:w="6920" w:type="dxa"/>
            <w:vAlign w:val="bottom"/>
            <w:shd w:val="clear" w:color="auto" w:fill="CFF0FC"/>
          </w:tcPr>
          <w:p>
            <w:pPr>
              <w:spacing w:after="0"/>
              <w:rPr>
                <w:sz w:val="20"/>
                <w:szCs w:val="20"/>
                <w:color w:val="auto"/>
              </w:rPr>
            </w:pPr>
            <w:r>
              <w:rPr>
                <w:rFonts w:ascii="Arial" w:cs="Arial" w:eastAsia="Arial" w:hAnsi="Arial"/>
                <w:sz w:val="16"/>
                <w:szCs w:val="16"/>
                <w:color w:val="auto"/>
              </w:rPr>
              <w:t>Weighted average interest rates</w:t>
            </w:r>
          </w:p>
        </w:tc>
        <w:tc>
          <w:tcPr>
            <w:tcW w:w="130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4.60%</w:t>
            </w:r>
          </w:p>
        </w:tc>
        <w:tc>
          <w:tcPr>
            <w:tcW w:w="148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N/A</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Covenants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Revolving Credit Facility</w:t>
      </w:r>
    </w:p>
    <w:p>
      <w:pPr>
        <w:spacing w:after="0" w:line="194"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We were in compliance with all of our Revolving Credit Facility covenants as of June 30, 2025. We are required to maintain a Consolidated Indebtedness to Capitalization Ratio not to exceed 0.65 to 1.00. Subject to applicable cure periods, a violation of this covenant would constitute an event of default that entitles the lenders to terminate their remaining commitments and accelerate all principal and interest outstanding. As of June 30, 2025, our Consolidated Indebtedness to Capitalization Ratio was 0.55 to 1.00.</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Wyoming Electric</w:t>
      </w:r>
    </w:p>
    <w:p>
      <w:pPr>
        <w:spacing w:after="0" w:line="194"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Wyoming Electric was in compliance with all covenants within its financing agreements as of June 30, 2025. Wyoming Electric is required to maintain a debt to capitalization ratio of no more than 0.60 to 1.00. As of June 30, 2025, Wyoming Electric's debt to capitalization ratio was 0.51 to 1.00.</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Equity</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ATM</w:t>
      </w:r>
    </w:p>
    <w:p>
      <w:pPr>
        <w:spacing w:after="0" w:line="194" w:lineRule="exact"/>
        <w:rPr>
          <w:sz w:val="20"/>
          <w:szCs w:val="20"/>
          <w:color w:val="auto"/>
        </w:rPr>
      </w:pPr>
    </w:p>
    <w:p>
      <w:pPr>
        <w:ind w:right="220"/>
        <w:spacing w:after="0" w:line="256" w:lineRule="auto"/>
        <w:rPr>
          <w:sz w:val="20"/>
          <w:szCs w:val="20"/>
          <w:color w:val="auto"/>
        </w:rPr>
      </w:pPr>
      <w:r>
        <w:rPr>
          <w:rFonts w:ascii="Arial" w:cs="Arial" w:eastAsia="Arial" w:hAnsi="Arial"/>
          <w:sz w:val="16"/>
          <w:szCs w:val="16"/>
          <w:color w:val="auto"/>
        </w:rPr>
        <w:t>On May 8, 2025, we entered into a First Amendment to our Equity Distribution Sales Agreement (the “First Amendment”). The First Amendment, among other things, provides for the continuation of the ATM, which allows us to sell shares of common stock under the Company's shelf registration statement (Registration No. 333-272739), and resets the size of the ATM to $400 million. The First Amendment aggregate gross sales price limitation of $ 400 million supersedes and replaces the aggregate gross sales price limitation provided in our Equity Distribution Sales Agreement. Except as modified by the First Amendment, our Equity Distribution Sales Agreement remains in full force and effect.</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580" w:type="dxa"/>
            <w:vAlign w:val="bottom"/>
            <w:gridSpan w:val="3"/>
          </w:tcPr>
          <w:p>
            <w:pPr>
              <w:spacing w:after="0"/>
              <w:rPr>
                <w:sz w:val="20"/>
                <w:szCs w:val="20"/>
                <w:color w:val="auto"/>
              </w:rPr>
            </w:pPr>
            <w:r>
              <w:rPr>
                <w:rFonts w:ascii="Arial" w:cs="Arial" w:eastAsia="Arial" w:hAnsi="Arial"/>
                <w:sz w:val="16"/>
                <w:szCs w:val="16"/>
                <w:color w:val="auto"/>
              </w:rPr>
              <w:t>ATM activity was as follows:</w:t>
            </w:r>
          </w:p>
        </w:tc>
        <w:tc>
          <w:tcPr>
            <w:tcW w:w="2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52"/>
        </w:trPr>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3060" w:type="dxa"/>
            <w:vAlign w:val="bottom"/>
            <w:gridSpan w:val="4"/>
          </w:tcPr>
          <w:p>
            <w:pPr>
              <w:jc w:val="right"/>
              <w:ind w:right="339"/>
              <w:spacing w:after="0"/>
              <w:rPr>
                <w:sz w:val="20"/>
                <w:szCs w:val="20"/>
                <w:color w:val="auto"/>
              </w:rPr>
            </w:pPr>
            <w:r>
              <w:rPr>
                <w:rFonts w:ascii="Arial" w:cs="Arial" w:eastAsia="Arial" w:hAnsi="Arial"/>
                <w:sz w:val="16"/>
                <w:szCs w:val="16"/>
                <w:b w:val="1"/>
                <w:bCs w:val="1"/>
                <w:color w:val="auto"/>
              </w:rPr>
              <w:t>Three Months Ended June 30,</w:t>
            </w:r>
          </w:p>
        </w:tc>
        <w:tc>
          <w:tcPr>
            <w:tcW w:w="260" w:type="dxa"/>
            <w:vAlign w:val="bottom"/>
          </w:tcPr>
          <w:p>
            <w:pPr>
              <w:spacing w:after="0"/>
              <w:rPr>
                <w:sz w:val="24"/>
                <w:szCs w:val="24"/>
                <w:color w:val="auto"/>
              </w:rPr>
            </w:pPr>
          </w:p>
        </w:tc>
        <w:tc>
          <w:tcPr>
            <w:tcW w:w="2620" w:type="dxa"/>
            <w:vAlign w:val="bottom"/>
            <w:gridSpan w:val="3"/>
          </w:tcPr>
          <w:p>
            <w:pPr>
              <w:jc w:val="right"/>
              <w:ind w:right="339"/>
              <w:spacing w:after="0"/>
              <w:rPr>
                <w:sz w:val="20"/>
                <w:szCs w:val="20"/>
                <w:color w:val="auto"/>
              </w:rPr>
            </w:pPr>
            <w:r>
              <w:rPr>
                <w:rFonts w:ascii="Arial" w:cs="Arial" w:eastAsia="Arial" w:hAnsi="Arial"/>
                <w:sz w:val="16"/>
                <w:szCs w:val="16"/>
                <w:b w:val="1"/>
                <w:bCs w:val="1"/>
                <w:color w:val="auto"/>
              </w:rPr>
              <w:t>Six Months Ended June 30,</w:t>
            </w:r>
          </w:p>
        </w:tc>
      </w:tr>
      <w:tr>
        <w:trPr>
          <w:trHeight w:val="203"/>
        </w:trPr>
        <w:tc>
          <w:tcPr>
            <w:tcW w:w="19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36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2025</w:t>
            </w:r>
          </w:p>
        </w:tc>
        <w:tc>
          <w:tcPr>
            <w:tcW w:w="5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2024</w:t>
            </w: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2025</w:t>
            </w:r>
          </w:p>
        </w:tc>
        <w:tc>
          <w:tcPr>
            <w:tcW w:w="4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2024</w:t>
            </w:r>
          </w:p>
        </w:tc>
      </w:tr>
      <w:tr>
        <w:trPr>
          <w:trHeight w:val="169"/>
        </w:trPr>
        <w:tc>
          <w:tcPr>
            <w:tcW w:w="2580" w:type="dxa"/>
            <w:vAlign w:val="bottom"/>
            <w:gridSpan w:val="3"/>
          </w:tcPr>
          <w:p>
            <w:pPr>
              <w:spacing w:after="0" w:line="169" w:lineRule="exact"/>
              <w:rPr>
                <w:sz w:val="20"/>
                <w:szCs w:val="20"/>
                <w:color w:val="auto"/>
              </w:rPr>
            </w:pPr>
            <w:r>
              <w:rPr>
                <w:rFonts w:ascii="Arial" w:cs="Arial" w:eastAsia="Arial" w:hAnsi="Arial"/>
                <w:sz w:val="16"/>
                <w:szCs w:val="16"/>
                <w:i w:val="1"/>
                <w:iCs w:val="1"/>
                <w:color w:val="auto"/>
              </w:rPr>
              <w:t>June 16, 2023 ATM Program</w:t>
            </w:r>
          </w:p>
        </w:tc>
        <w:tc>
          <w:tcPr>
            <w:tcW w:w="2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960" w:type="dxa"/>
            <w:vAlign w:val="bottom"/>
            <w:gridSpan w:val="6"/>
          </w:tcPr>
          <w:p>
            <w:pPr>
              <w:jc w:val="right"/>
              <w:spacing w:after="0" w:line="169" w:lineRule="exact"/>
              <w:rPr>
                <w:sz w:val="20"/>
                <w:szCs w:val="20"/>
                <w:color w:val="auto"/>
              </w:rPr>
            </w:pPr>
            <w:r>
              <w:rPr>
                <w:rFonts w:ascii="Arial" w:cs="Arial" w:eastAsia="Arial" w:hAnsi="Arial"/>
                <w:sz w:val="16"/>
                <w:szCs w:val="16"/>
                <w:color w:val="auto"/>
              </w:rPr>
              <w:t>(in millions, except Average price per share amounts)</w:t>
            </w:r>
          </w:p>
        </w:tc>
        <w:tc>
          <w:tcPr>
            <w:tcW w:w="1040" w:type="dxa"/>
            <w:vAlign w:val="bottom"/>
          </w:tcPr>
          <w:p>
            <w:pPr>
              <w:spacing w:after="0"/>
              <w:rPr>
                <w:sz w:val="14"/>
                <w:szCs w:val="14"/>
                <w:color w:val="auto"/>
              </w:rPr>
            </w:pPr>
          </w:p>
        </w:tc>
      </w:tr>
      <w:tr>
        <w:trPr>
          <w:trHeight w:val="27"/>
        </w:trPr>
        <w:tc>
          <w:tcPr>
            <w:tcW w:w="19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r>
      <w:tr>
        <w:trPr>
          <w:trHeight w:val="175"/>
        </w:trPr>
        <w:tc>
          <w:tcPr>
            <w:tcW w:w="6240" w:type="dxa"/>
            <w:vAlign w:val="bottom"/>
            <w:gridSpan w:val="6"/>
            <w:shd w:val="clear" w:color="auto" w:fill="CFF0FC"/>
          </w:tcPr>
          <w:p>
            <w:pPr>
              <w:spacing w:after="0" w:line="175" w:lineRule="exact"/>
              <w:rPr>
                <w:sz w:val="20"/>
                <w:szCs w:val="20"/>
                <w:color w:val="auto"/>
              </w:rPr>
            </w:pPr>
            <w:r>
              <w:rPr>
                <w:rFonts w:ascii="Arial" w:cs="Arial" w:eastAsia="Arial" w:hAnsi="Arial"/>
                <w:sz w:val="16"/>
                <w:szCs w:val="16"/>
                <w:color w:val="auto"/>
              </w:rPr>
              <w:t>Proceeds, (net of issuance costs of $0.0, $(0.4), $(0.5), and $(0.7),</w:t>
            </w:r>
          </w:p>
        </w:tc>
        <w:tc>
          <w:tcPr>
            <w:tcW w:w="5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r>
      <w:tr>
        <w:trPr>
          <w:trHeight w:val="203"/>
        </w:trPr>
        <w:tc>
          <w:tcPr>
            <w:tcW w:w="258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respectively)</w:t>
            </w:r>
          </w:p>
        </w:tc>
        <w:tc>
          <w:tcPr>
            <w:tcW w:w="3660" w:type="dxa"/>
            <w:vAlign w:val="bottom"/>
            <w:gridSpan w:val="3"/>
            <w:shd w:val="clear" w:color="auto" w:fill="CFF0FC"/>
          </w:tcPr>
          <w:p>
            <w:pPr>
              <w:jc w:val="right"/>
              <w:ind w:right="759"/>
              <w:spacing w:after="0"/>
              <w:rPr>
                <w:sz w:val="20"/>
                <w:szCs w:val="20"/>
                <w:color w:val="auto"/>
              </w:rPr>
            </w:pPr>
            <w:r>
              <w:rPr>
                <w:rFonts w:ascii="Arial" w:cs="Arial" w:eastAsia="Arial" w:hAnsi="Arial"/>
                <w:sz w:val="16"/>
                <w:szCs w:val="16"/>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41.8</w:t>
            </w:r>
          </w:p>
        </w:tc>
        <w:tc>
          <w:tcPr>
            <w:tcW w:w="2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45.7</w:t>
            </w:r>
          </w:p>
        </w:tc>
        <w:tc>
          <w:tcPr>
            <w:tcW w:w="42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73.0</w:t>
            </w:r>
          </w:p>
        </w:tc>
      </w:tr>
      <w:tr>
        <w:trPr>
          <w:trHeight w:val="189"/>
        </w:trPr>
        <w:tc>
          <w:tcPr>
            <w:tcW w:w="2580" w:type="dxa"/>
            <w:vAlign w:val="bottom"/>
            <w:gridSpan w:val="3"/>
          </w:tcPr>
          <w:p>
            <w:pPr>
              <w:spacing w:after="0"/>
              <w:rPr>
                <w:sz w:val="20"/>
                <w:szCs w:val="20"/>
                <w:color w:val="auto"/>
              </w:rPr>
            </w:pPr>
            <w:r>
              <w:rPr>
                <w:rFonts w:ascii="Arial" w:cs="Arial" w:eastAsia="Arial" w:hAnsi="Arial"/>
                <w:sz w:val="16"/>
                <w:szCs w:val="16"/>
                <w:color w:val="auto"/>
              </w:rPr>
              <w:t>Number of shares issued</w:t>
            </w:r>
          </w:p>
        </w:tc>
        <w:tc>
          <w:tcPr>
            <w:tcW w:w="28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0.8</w:t>
            </w:r>
          </w:p>
        </w:tc>
        <w:tc>
          <w:tcPr>
            <w:tcW w:w="2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0.8</w:t>
            </w:r>
          </w:p>
        </w:tc>
        <w:tc>
          <w:tcPr>
            <w:tcW w:w="420" w:type="dxa"/>
            <w:vAlign w:val="bottom"/>
          </w:tcPr>
          <w:p>
            <w:pPr>
              <w:spacing w:after="0"/>
              <w:rPr>
                <w:sz w:val="16"/>
                <w:szCs w:val="16"/>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1.4</w:t>
            </w:r>
          </w:p>
        </w:tc>
      </w:tr>
      <w:tr>
        <w:trPr>
          <w:trHeight w:val="189"/>
        </w:trPr>
        <w:tc>
          <w:tcPr>
            <w:tcW w:w="19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44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r>
      <w:tr>
        <w:trPr>
          <w:trHeight w:val="169"/>
        </w:trPr>
        <w:tc>
          <w:tcPr>
            <w:tcW w:w="1960" w:type="dxa"/>
            <w:vAlign w:val="bottom"/>
            <w:tcBorders>
              <w:bottom w:val="single" w:sz="8" w:color="auto"/>
            </w:tcBorders>
          </w:tcPr>
          <w:p>
            <w:pPr>
              <w:spacing w:after="0" w:line="162" w:lineRule="exact"/>
              <w:rPr>
                <w:sz w:val="20"/>
                <w:szCs w:val="20"/>
                <w:color w:val="auto"/>
              </w:rPr>
            </w:pPr>
            <w:r>
              <w:rPr>
                <w:rFonts w:ascii="Arial" w:cs="Arial" w:eastAsia="Arial" w:hAnsi="Arial"/>
                <w:sz w:val="16"/>
                <w:szCs w:val="16"/>
                <w:i w:val="1"/>
                <w:iCs w:val="1"/>
                <w:color w:val="auto"/>
              </w:rPr>
              <w:t>May 8, 2025 ATM Program</w:t>
            </w:r>
          </w:p>
        </w:tc>
        <w:tc>
          <w:tcPr>
            <w:tcW w:w="620" w:type="dxa"/>
            <w:vAlign w:val="bottom"/>
            <w:gridSpan w:val="2"/>
          </w:tcPr>
          <w:p>
            <w:pPr>
              <w:spacing w:after="0"/>
              <w:rPr>
                <w:sz w:val="14"/>
                <w:szCs w:val="14"/>
                <w:color w:val="auto"/>
              </w:rPr>
            </w:pPr>
          </w:p>
        </w:tc>
        <w:tc>
          <w:tcPr>
            <w:tcW w:w="2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5"/>
        </w:trPr>
        <w:tc>
          <w:tcPr>
            <w:tcW w:w="2580" w:type="dxa"/>
            <w:vAlign w:val="bottom"/>
            <w:gridSpan w:val="3"/>
            <w:shd w:val="clear" w:color="auto" w:fill="CFF0FC"/>
          </w:tcPr>
          <w:p>
            <w:pPr>
              <w:spacing w:after="0" w:line="175" w:lineRule="exact"/>
              <w:rPr>
                <w:sz w:val="20"/>
                <w:szCs w:val="20"/>
                <w:color w:val="auto"/>
              </w:rPr>
            </w:pPr>
            <w:r>
              <w:rPr>
                <w:rFonts w:ascii="Arial" w:cs="Arial" w:eastAsia="Arial" w:hAnsi="Arial"/>
                <w:sz w:val="16"/>
                <w:szCs w:val="16"/>
                <w:color w:val="auto"/>
              </w:rPr>
              <w:t>Proceeds, (net of issuance costs of</w:t>
            </w:r>
          </w:p>
        </w:tc>
        <w:tc>
          <w:tcPr>
            <w:tcW w:w="3660" w:type="dxa"/>
            <w:vAlign w:val="bottom"/>
            <w:gridSpan w:val="3"/>
            <w:shd w:val="clear" w:color="auto" w:fill="CFF0FC"/>
          </w:tcPr>
          <w:p>
            <w:pPr>
              <w:jc w:val="right"/>
              <w:ind w:right="1439"/>
              <w:spacing w:after="0" w:line="175" w:lineRule="exact"/>
              <w:rPr>
                <w:sz w:val="20"/>
                <w:szCs w:val="20"/>
                <w:color w:val="auto"/>
              </w:rPr>
            </w:pPr>
            <w:r>
              <w:rPr>
                <w:rFonts w:ascii="Arial" w:cs="Arial" w:eastAsia="Arial" w:hAnsi="Arial"/>
                <w:sz w:val="16"/>
                <w:szCs w:val="16"/>
                <w:color w:val="auto"/>
              </w:rPr>
              <w:t>$(0.2), $0.0, $(0.2), and $0.0,</w:t>
            </w:r>
          </w:p>
        </w:tc>
        <w:tc>
          <w:tcPr>
            <w:tcW w:w="5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r>
      <w:tr>
        <w:trPr>
          <w:trHeight w:val="203"/>
        </w:trPr>
        <w:tc>
          <w:tcPr>
            <w:tcW w:w="258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respectively)</w:t>
            </w:r>
          </w:p>
        </w:tc>
        <w:tc>
          <w:tcPr>
            <w:tcW w:w="3660" w:type="dxa"/>
            <w:vAlign w:val="bottom"/>
            <w:gridSpan w:val="3"/>
            <w:shd w:val="clear" w:color="auto" w:fill="CFF0FC"/>
          </w:tcPr>
          <w:p>
            <w:pPr>
              <w:jc w:val="right"/>
              <w:ind w:right="759"/>
              <w:spacing w:after="0"/>
              <w:rPr>
                <w:sz w:val="20"/>
                <w:szCs w:val="20"/>
                <w:color w:val="auto"/>
              </w:rPr>
            </w:pPr>
            <w:r>
              <w:rPr>
                <w:rFonts w:ascii="Arial" w:cs="Arial" w:eastAsia="Arial" w:hAnsi="Arial"/>
                <w:sz w:val="16"/>
                <w:szCs w:val="16"/>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19.6</w:t>
            </w:r>
          </w:p>
        </w:tc>
        <w:tc>
          <w:tcPr>
            <w:tcW w:w="36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19.6</w:t>
            </w:r>
          </w:p>
        </w:tc>
        <w:tc>
          <w:tcPr>
            <w:tcW w:w="42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r>
      <w:tr>
        <w:trPr>
          <w:trHeight w:val="189"/>
        </w:trPr>
        <w:tc>
          <w:tcPr>
            <w:tcW w:w="2580" w:type="dxa"/>
            <w:vAlign w:val="bottom"/>
            <w:gridSpan w:val="3"/>
          </w:tcPr>
          <w:p>
            <w:pPr>
              <w:spacing w:after="0"/>
              <w:rPr>
                <w:sz w:val="20"/>
                <w:szCs w:val="20"/>
                <w:color w:val="auto"/>
              </w:rPr>
            </w:pPr>
            <w:r>
              <w:rPr>
                <w:rFonts w:ascii="Arial" w:cs="Arial" w:eastAsia="Arial" w:hAnsi="Arial"/>
                <w:sz w:val="16"/>
                <w:szCs w:val="16"/>
                <w:color w:val="auto"/>
              </w:rPr>
              <w:t>Number of shares issued</w:t>
            </w:r>
          </w:p>
        </w:tc>
        <w:tc>
          <w:tcPr>
            <w:tcW w:w="28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0.3</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0.3</w:t>
            </w:r>
          </w:p>
        </w:tc>
        <w:tc>
          <w:tcPr>
            <w:tcW w:w="420" w:type="dxa"/>
            <w:vAlign w:val="bottom"/>
          </w:tcPr>
          <w:p>
            <w:pPr>
              <w:spacing w:after="0"/>
              <w:rPr>
                <w:sz w:val="16"/>
                <w:szCs w:val="16"/>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189"/>
        </w:trPr>
        <w:tc>
          <w:tcPr>
            <w:tcW w:w="19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gridSpan w:val="2"/>
            <w:shd w:val="clear" w:color="auto" w:fill="CFF0FC"/>
          </w:tcPr>
          <w:p>
            <w:pPr>
              <w:spacing w:after="0"/>
              <w:rPr>
                <w:sz w:val="16"/>
                <w:szCs w:val="16"/>
                <w:color w:val="auto"/>
              </w:rPr>
            </w:pPr>
          </w:p>
        </w:tc>
        <w:tc>
          <w:tcPr>
            <w:tcW w:w="244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r>
      <w:tr>
        <w:trPr>
          <w:trHeight w:val="162"/>
        </w:trPr>
        <w:tc>
          <w:tcPr>
            <w:tcW w:w="6240" w:type="dxa"/>
            <w:vAlign w:val="bottom"/>
            <w:gridSpan w:val="6"/>
          </w:tcPr>
          <w:p>
            <w:pPr>
              <w:spacing w:after="0" w:line="162" w:lineRule="exact"/>
              <w:rPr>
                <w:sz w:val="20"/>
                <w:szCs w:val="20"/>
                <w:color w:val="auto"/>
              </w:rPr>
            </w:pPr>
            <w:r>
              <w:rPr>
                <w:rFonts w:ascii="Arial" w:cs="Arial" w:eastAsia="Arial" w:hAnsi="Arial"/>
                <w:sz w:val="16"/>
                <w:szCs w:val="16"/>
                <w:i w:val="1"/>
                <w:iCs w:val="1"/>
                <w:color w:val="auto"/>
              </w:rPr>
              <w:t>Total activity under both ATM Programs</w:t>
            </w: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7"/>
        </w:trPr>
        <w:tc>
          <w:tcPr>
            <w:tcW w:w="19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75"/>
        </w:trPr>
        <w:tc>
          <w:tcPr>
            <w:tcW w:w="6240" w:type="dxa"/>
            <w:vAlign w:val="bottom"/>
            <w:gridSpan w:val="6"/>
            <w:shd w:val="clear" w:color="auto" w:fill="CFF0FC"/>
          </w:tcPr>
          <w:p>
            <w:pPr>
              <w:spacing w:after="0" w:line="175" w:lineRule="exact"/>
              <w:rPr>
                <w:sz w:val="20"/>
                <w:szCs w:val="20"/>
                <w:color w:val="auto"/>
              </w:rPr>
            </w:pPr>
            <w:r>
              <w:rPr>
                <w:rFonts w:ascii="Arial" w:cs="Arial" w:eastAsia="Arial" w:hAnsi="Arial"/>
                <w:sz w:val="16"/>
                <w:szCs w:val="16"/>
                <w:color w:val="auto"/>
              </w:rPr>
              <w:t>Proceeds, (net of issuance costs of $(0.2), $(0.4), $(0.7), and $(0.7),</w:t>
            </w:r>
          </w:p>
        </w:tc>
        <w:tc>
          <w:tcPr>
            <w:tcW w:w="5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r>
      <w:tr>
        <w:trPr>
          <w:trHeight w:val="203"/>
        </w:trPr>
        <w:tc>
          <w:tcPr>
            <w:tcW w:w="258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respectively)</w:t>
            </w:r>
          </w:p>
        </w:tc>
        <w:tc>
          <w:tcPr>
            <w:tcW w:w="3660" w:type="dxa"/>
            <w:vAlign w:val="bottom"/>
            <w:gridSpan w:val="3"/>
            <w:shd w:val="clear" w:color="auto" w:fill="CFF0FC"/>
          </w:tcPr>
          <w:p>
            <w:pPr>
              <w:jc w:val="right"/>
              <w:ind w:right="759"/>
              <w:spacing w:after="0"/>
              <w:rPr>
                <w:sz w:val="20"/>
                <w:szCs w:val="20"/>
                <w:color w:val="auto"/>
              </w:rPr>
            </w:pPr>
            <w:r>
              <w:rPr>
                <w:rFonts w:ascii="Arial" w:cs="Arial" w:eastAsia="Arial" w:hAnsi="Arial"/>
                <w:sz w:val="16"/>
                <w:szCs w:val="16"/>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19.6</w:t>
            </w:r>
          </w:p>
        </w:tc>
        <w:tc>
          <w:tcPr>
            <w:tcW w:w="36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41.8</w:t>
            </w:r>
          </w:p>
        </w:tc>
        <w:tc>
          <w:tcPr>
            <w:tcW w:w="2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65.3</w:t>
            </w:r>
          </w:p>
        </w:tc>
        <w:tc>
          <w:tcPr>
            <w:tcW w:w="42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73.0</w:t>
            </w:r>
          </w:p>
        </w:tc>
      </w:tr>
      <w:tr>
        <w:trPr>
          <w:trHeight w:val="189"/>
        </w:trPr>
        <w:tc>
          <w:tcPr>
            <w:tcW w:w="2580" w:type="dxa"/>
            <w:vAlign w:val="bottom"/>
            <w:gridSpan w:val="3"/>
          </w:tcPr>
          <w:p>
            <w:pPr>
              <w:spacing w:after="0"/>
              <w:rPr>
                <w:sz w:val="20"/>
                <w:szCs w:val="20"/>
                <w:color w:val="auto"/>
              </w:rPr>
            </w:pPr>
            <w:r>
              <w:rPr>
                <w:rFonts w:ascii="Arial" w:cs="Arial" w:eastAsia="Arial" w:hAnsi="Arial"/>
                <w:sz w:val="16"/>
                <w:szCs w:val="16"/>
                <w:color w:val="auto"/>
              </w:rPr>
              <w:t>Number of shares issued</w:t>
            </w:r>
          </w:p>
        </w:tc>
        <w:tc>
          <w:tcPr>
            <w:tcW w:w="28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0.3</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0.8</w:t>
            </w:r>
          </w:p>
        </w:tc>
        <w:tc>
          <w:tcPr>
            <w:tcW w:w="2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w:t>
            </w:r>
          </w:p>
        </w:tc>
        <w:tc>
          <w:tcPr>
            <w:tcW w:w="420" w:type="dxa"/>
            <w:vAlign w:val="bottom"/>
          </w:tcPr>
          <w:p>
            <w:pPr>
              <w:spacing w:after="0"/>
              <w:rPr>
                <w:sz w:val="16"/>
                <w:szCs w:val="16"/>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1.4</w:t>
            </w:r>
          </w:p>
        </w:tc>
      </w:tr>
      <w:tr>
        <w:trPr>
          <w:trHeight w:val="189"/>
        </w:trPr>
        <w:tc>
          <w:tcPr>
            <w:tcW w:w="258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Average price per share</w:t>
            </w:r>
          </w:p>
        </w:tc>
        <w:tc>
          <w:tcPr>
            <w:tcW w:w="3660" w:type="dxa"/>
            <w:vAlign w:val="bottom"/>
            <w:gridSpan w:val="3"/>
            <w:shd w:val="clear" w:color="auto" w:fill="CFF0FC"/>
          </w:tcPr>
          <w:p>
            <w:pPr>
              <w:jc w:val="right"/>
              <w:ind w:right="759"/>
              <w:spacing w:after="0"/>
              <w:rPr>
                <w:sz w:val="20"/>
                <w:szCs w:val="20"/>
                <w:color w:val="auto"/>
              </w:rPr>
            </w:pPr>
            <w:r>
              <w:rPr>
                <w:rFonts w:ascii="Arial" w:cs="Arial" w:eastAsia="Arial" w:hAnsi="Arial"/>
                <w:sz w:val="16"/>
                <w:szCs w:val="16"/>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58.28</w:t>
            </w:r>
          </w:p>
        </w:tc>
        <w:tc>
          <w:tcPr>
            <w:tcW w:w="36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55.02</w:t>
            </w:r>
          </w:p>
        </w:tc>
        <w:tc>
          <w:tcPr>
            <w:tcW w:w="2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59.78</w:t>
            </w:r>
          </w:p>
        </w:tc>
        <w:tc>
          <w:tcPr>
            <w:tcW w:w="42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53.92</w:t>
            </w:r>
          </w:p>
        </w:tc>
      </w:tr>
    </w:tbl>
    <w:p>
      <w:pPr>
        <w:spacing w:after="0" w:line="364" w:lineRule="exact"/>
        <w:rPr>
          <w:sz w:val="20"/>
          <w:szCs w:val="20"/>
          <w:color w:val="auto"/>
        </w:rPr>
      </w:pPr>
    </w:p>
    <w:p>
      <w:pPr>
        <w:ind w:left="520" w:hanging="512"/>
        <w:spacing w:after="0"/>
        <w:tabs>
          <w:tab w:leader="none" w:pos="520"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Earnings Per Share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A reconciliation of share amounts used to compute earnings per share in the accompanying Consolidated Statements of Income was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620" w:type="dxa"/>
            <w:vAlign w:val="bottom"/>
          </w:tcPr>
          <w:p>
            <w:pPr>
              <w:spacing w:after="0"/>
              <w:rPr>
                <w:sz w:val="16"/>
                <w:szCs w:val="16"/>
                <w:color w:val="auto"/>
              </w:rPr>
            </w:pPr>
          </w:p>
        </w:tc>
        <w:tc>
          <w:tcPr>
            <w:tcW w:w="3000" w:type="dxa"/>
            <w:vAlign w:val="bottom"/>
            <w:gridSpan w:val="4"/>
          </w:tcPr>
          <w:p>
            <w:pPr>
              <w:jc w:val="right"/>
              <w:ind w:right="299"/>
              <w:spacing w:after="0"/>
              <w:rPr>
                <w:sz w:val="20"/>
                <w:szCs w:val="20"/>
                <w:color w:val="auto"/>
              </w:rPr>
            </w:pPr>
            <w:r>
              <w:rPr>
                <w:rFonts w:ascii="Arial" w:cs="Arial" w:eastAsia="Arial" w:hAnsi="Arial"/>
                <w:sz w:val="16"/>
                <w:szCs w:val="16"/>
                <w:b w:val="1"/>
                <w:bCs w:val="1"/>
                <w:color w:val="auto"/>
              </w:rPr>
              <w:t>Three Months Ended June 30,</w:t>
            </w:r>
          </w:p>
        </w:tc>
        <w:tc>
          <w:tcPr>
            <w:tcW w:w="440" w:type="dxa"/>
            <w:vAlign w:val="bottom"/>
          </w:tcPr>
          <w:p>
            <w:pPr>
              <w:spacing w:after="0"/>
              <w:rPr>
                <w:sz w:val="16"/>
                <w:szCs w:val="16"/>
                <w:color w:val="auto"/>
              </w:rPr>
            </w:pPr>
          </w:p>
        </w:tc>
        <w:tc>
          <w:tcPr>
            <w:tcW w:w="3180" w:type="dxa"/>
            <w:vAlign w:val="bottom"/>
            <w:gridSpan w:val="3"/>
          </w:tcPr>
          <w:p>
            <w:pPr>
              <w:jc w:val="right"/>
              <w:ind w:right="719"/>
              <w:spacing w:after="0"/>
              <w:rPr>
                <w:sz w:val="20"/>
                <w:szCs w:val="20"/>
                <w:color w:val="auto"/>
              </w:rPr>
            </w:pPr>
            <w:r>
              <w:rPr>
                <w:rFonts w:ascii="Arial" w:cs="Arial" w:eastAsia="Arial" w:hAnsi="Arial"/>
                <w:sz w:val="16"/>
                <w:szCs w:val="16"/>
                <w:b w:val="1"/>
                <w:bCs w:val="1"/>
                <w:color w:val="auto"/>
              </w:rPr>
              <w:t>Six Months Ended June 30,</w:t>
            </w:r>
          </w:p>
        </w:tc>
      </w:tr>
      <w:tr>
        <w:trPr>
          <w:trHeight w:val="203"/>
        </w:trPr>
        <w:tc>
          <w:tcPr>
            <w:tcW w:w="4620" w:type="dxa"/>
            <w:vAlign w:val="bottom"/>
          </w:tcPr>
          <w:p>
            <w:pPr>
              <w:spacing w:after="0"/>
              <w:rPr>
                <w:sz w:val="17"/>
                <w:szCs w:val="17"/>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2025</w:t>
            </w:r>
          </w:p>
        </w:tc>
        <w:tc>
          <w:tcPr>
            <w:tcW w:w="5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2024</w:t>
            </w:r>
          </w:p>
        </w:tc>
        <w:tc>
          <w:tcPr>
            <w:tcW w:w="4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2025</w:t>
            </w:r>
          </w:p>
        </w:tc>
        <w:tc>
          <w:tcPr>
            <w:tcW w:w="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2024</w:t>
            </w:r>
          </w:p>
        </w:tc>
      </w:tr>
      <w:tr>
        <w:trPr>
          <w:trHeight w:val="183"/>
        </w:trPr>
        <w:tc>
          <w:tcPr>
            <w:tcW w:w="462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020" w:type="dxa"/>
            <w:vAlign w:val="bottom"/>
            <w:tcBorders>
              <w:bottom w:val="single" w:sz="8" w:color="auto"/>
            </w:tcBorders>
            <w:gridSpan w:val="3"/>
          </w:tcPr>
          <w:p>
            <w:pPr>
              <w:jc w:val="right"/>
              <w:ind w:right="79"/>
              <w:spacing w:after="0" w:line="183" w:lineRule="exact"/>
              <w:rPr>
                <w:sz w:val="20"/>
                <w:szCs w:val="20"/>
                <w:color w:val="auto"/>
              </w:rPr>
            </w:pPr>
            <w:r>
              <w:rPr>
                <w:rFonts w:ascii="Arial" w:cs="Arial" w:eastAsia="Arial" w:hAnsi="Arial"/>
                <w:sz w:val="16"/>
                <w:szCs w:val="16"/>
                <w:color w:val="auto"/>
              </w:rPr>
              <w:t>(in millions, except per share amounts)</w:t>
            </w:r>
          </w:p>
        </w:tc>
        <w:tc>
          <w:tcPr>
            <w:tcW w:w="4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r>
      <w:tr>
        <w:trPr>
          <w:trHeight w:val="223"/>
        </w:trPr>
        <w:tc>
          <w:tcPr>
            <w:tcW w:w="4620" w:type="dxa"/>
            <w:vAlign w:val="bottom"/>
            <w:tcBorders>
              <w:bottom w:val="single" w:sz="8" w:color="CFF0FC"/>
            </w:tcBorders>
            <w:shd w:val="clear" w:color="auto" w:fill="CFF0FC"/>
          </w:tcPr>
          <w:p>
            <w:pPr>
              <w:spacing w:after="0" w:line="169" w:lineRule="exact"/>
              <w:rPr>
                <w:sz w:val="20"/>
                <w:szCs w:val="20"/>
                <w:color w:val="auto"/>
              </w:rPr>
            </w:pPr>
            <w:r>
              <w:rPr>
                <w:rFonts w:ascii="Arial" w:cs="Arial" w:eastAsia="Arial" w:hAnsi="Arial"/>
                <w:sz w:val="16"/>
                <w:szCs w:val="16"/>
                <w:color w:val="auto"/>
              </w:rPr>
              <w:t>Net income available for common stock</w:t>
            </w:r>
          </w:p>
        </w:tc>
        <w:tc>
          <w:tcPr>
            <w:tcW w:w="1040" w:type="dxa"/>
            <w:vAlign w:val="bottom"/>
            <w:tcBorders>
              <w:bottom w:val="single" w:sz="8" w:color="auto"/>
            </w:tcBorders>
            <w:shd w:val="clear" w:color="auto" w:fill="CFF0FC"/>
          </w:tcPr>
          <w:p>
            <w:pPr>
              <w:jc w:val="right"/>
              <w:ind w:right="859"/>
              <w:spacing w:after="0" w:line="169" w:lineRule="exact"/>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27.5</w:t>
            </w:r>
          </w:p>
        </w:tc>
        <w:tc>
          <w:tcPr>
            <w:tcW w:w="240" w:type="dxa"/>
            <w:vAlign w:val="bottom"/>
            <w:tcBorders>
              <w:bottom w:val="single" w:sz="8" w:color="auto"/>
            </w:tcBorders>
            <w:shd w:val="clear" w:color="auto" w:fill="CFF0FC"/>
          </w:tcPr>
          <w:p>
            <w:pPr>
              <w:jc w:val="right"/>
              <w:ind w:right="19"/>
              <w:spacing w:after="0" w:line="169" w:lineRule="exact"/>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22.8</w:t>
            </w:r>
          </w:p>
        </w:tc>
        <w:tc>
          <w:tcPr>
            <w:tcW w:w="440" w:type="dxa"/>
            <w:vAlign w:val="bottom"/>
            <w:tcBorders>
              <w:bottom w:val="single" w:sz="8" w:color="auto"/>
            </w:tcBorders>
            <w:shd w:val="clear" w:color="auto" w:fill="CFF0FC"/>
          </w:tcPr>
          <w:p>
            <w:pPr>
              <w:jc w:val="right"/>
              <w:ind w:right="219"/>
              <w:spacing w:after="0" w:line="169" w:lineRule="exact"/>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161.7</w:t>
            </w:r>
          </w:p>
        </w:tc>
        <w:tc>
          <w:tcPr>
            <w:tcW w:w="420" w:type="dxa"/>
            <w:vAlign w:val="bottom"/>
            <w:tcBorders>
              <w:bottom w:val="single" w:sz="8" w:color="auto"/>
            </w:tcBorders>
            <w:shd w:val="clear" w:color="auto" w:fill="CFF0FC"/>
          </w:tcPr>
          <w:p>
            <w:pPr>
              <w:jc w:val="right"/>
              <w:ind w:right="179"/>
              <w:spacing w:after="0" w:line="169" w:lineRule="exact"/>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rPr>
              <w:t>150.6</w:t>
            </w:r>
          </w:p>
        </w:tc>
      </w:tr>
      <w:tr>
        <w:trPr>
          <w:trHeight w:val="170"/>
        </w:trPr>
        <w:tc>
          <w:tcPr>
            <w:tcW w:w="4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89"/>
        </w:trPr>
        <w:tc>
          <w:tcPr>
            <w:tcW w:w="4620" w:type="dxa"/>
            <w:vAlign w:val="bottom"/>
            <w:shd w:val="clear" w:color="auto" w:fill="CFF0FC"/>
          </w:tcPr>
          <w:p>
            <w:pPr>
              <w:spacing w:after="0"/>
              <w:rPr>
                <w:sz w:val="20"/>
                <w:szCs w:val="20"/>
                <w:color w:val="auto"/>
              </w:rPr>
            </w:pPr>
            <w:r>
              <w:rPr>
                <w:rFonts w:ascii="Arial" w:cs="Arial" w:eastAsia="Arial" w:hAnsi="Arial"/>
                <w:sz w:val="16"/>
                <w:szCs w:val="16"/>
                <w:color w:val="auto"/>
              </w:rPr>
              <w:t>Weighted average shares - basic</w:t>
            </w:r>
          </w:p>
        </w:tc>
        <w:tc>
          <w:tcPr>
            <w:tcW w:w="104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72.4</w:t>
            </w:r>
          </w:p>
        </w:tc>
        <w:tc>
          <w:tcPr>
            <w:tcW w:w="24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69.0</w:t>
            </w:r>
          </w:p>
        </w:tc>
        <w:tc>
          <w:tcPr>
            <w:tcW w:w="44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72.0</w:t>
            </w:r>
          </w:p>
        </w:tc>
        <w:tc>
          <w:tcPr>
            <w:tcW w:w="420" w:type="dxa"/>
            <w:vAlign w:val="bottom"/>
            <w:shd w:val="clear" w:color="auto" w:fill="CFF0FC"/>
          </w:tcPr>
          <w:p>
            <w:pPr>
              <w:spacing w:after="0"/>
              <w:rPr>
                <w:sz w:val="16"/>
                <w:szCs w:val="16"/>
                <w:color w:val="auto"/>
              </w:rPr>
            </w:pPr>
          </w:p>
        </w:tc>
        <w:tc>
          <w:tcPr>
            <w:tcW w:w="14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68.6</w:t>
            </w:r>
          </w:p>
        </w:tc>
      </w:tr>
      <w:tr>
        <w:trPr>
          <w:trHeight w:val="189"/>
        </w:trPr>
        <w:tc>
          <w:tcPr>
            <w:tcW w:w="4620" w:type="dxa"/>
            <w:vAlign w:val="bottom"/>
          </w:tcPr>
          <w:p>
            <w:pPr>
              <w:spacing w:after="0"/>
              <w:rPr>
                <w:sz w:val="20"/>
                <w:szCs w:val="20"/>
                <w:color w:val="auto"/>
              </w:rPr>
            </w:pPr>
            <w:r>
              <w:rPr>
                <w:rFonts w:ascii="Arial" w:cs="Arial" w:eastAsia="Arial" w:hAnsi="Arial"/>
                <w:sz w:val="16"/>
                <w:szCs w:val="16"/>
                <w:color w:val="auto"/>
              </w:rPr>
              <w:t>Dilutive effect of equity compensation</w:t>
            </w:r>
          </w:p>
        </w:tc>
        <w:tc>
          <w:tcPr>
            <w:tcW w:w="10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4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0.1</w:t>
            </w:r>
          </w:p>
        </w:tc>
      </w:tr>
      <w:tr>
        <w:trPr>
          <w:trHeight w:val="223"/>
        </w:trPr>
        <w:tc>
          <w:tcPr>
            <w:tcW w:w="4620" w:type="dxa"/>
            <w:vAlign w:val="bottom"/>
            <w:tcBorders>
              <w:bottom w:val="single" w:sz="8" w:color="CFF0FC"/>
            </w:tcBorders>
            <w:shd w:val="clear" w:color="auto" w:fill="CFF0FC"/>
          </w:tcPr>
          <w:p>
            <w:pPr>
              <w:spacing w:after="0" w:line="169" w:lineRule="exact"/>
              <w:rPr>
                <w:sz w:val="20"/>
                <w:szCs w:val="20"/>
                <w:color w:val="auto"/>
              </w:rPr>
            </w:pPr>
            <w:r>
              <w:rPr>
                <w:rFonts w:ascii="Arial" w:cs="Arial" w:eastAsia="Arial" w:hAnsi="Arial"/>
                <w:sz w:val="16"/>
                <w:szCs w:val="16"/>
                <w:color w:val="auto"/>
              </w:rPr>
              <w:t>Weighted average shares - diluted</w:t>
            </w:r>
          </w:p>
        </w:tc>
        <w:tc>
          <w:tcPr>
            <w:tcW w:w="1040" w:type="dxa"/>
            <w:vAlign w:val="bottom"/>
            <w:tcBorders>
              <w:bottom w:val="single" w:sz="8" w:color="auto"/>
            </w:tcBorders>
            <w:shd w:val="clear" w:color="auto" w:fill="CFF0FC"/>
          </w:tcPr>
          <w:p>
            <w:pPr>
              <w:jc w:val="right"/>
              <w:ind w:right="859"/>
              <w:spacing w:after="0" w:line="169" w:lineRule="exact"/>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72.4</w:t>
            </w:r>
          </w:p>
        </w:tc>
        <w:tc>
          <w:tcPr>
            <w:tcW w:w="240" w:type="dxa"/>
            <w:vAlign w:val="bottom"/>
            <w:tcBorders>
              <w:bottom w:val="single" w:sz="8" w:color="auto"/>
            </w:tcBorders>
            <w:shd w:val="clear" w:color="auto" w:fill="CFF0FC"/>
          </w:tcPr>
          <w:p>
            <w:pPr>
              <w:jc w:val="right"/>
              <w:ind w:right="19"/>
              <w:spacing w:after="0" w:line="169" w:lineRule="exact"/>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69.0</w:t>
            </w:r>
          </w:p>
        </w:tc>
        <w:tc>
          <w:tcPr>
            <w:tcW w:w="440" w:type="dxa"/>
            <w:vAlign w:val="bottom"/>
            <w:tcBorders>
              <w:bottom w:val="single" w:sz="8" w:color="auto"/>
            </w:tcBorders>
            <w:shd w:val="clear" w:color="auto" w:fill="CFF0FC"/>
          </w:tcPr>
          <w:p>
            <w:pPr>
              <w:jc w:val="right"/>
              <w:ind w:right="219"/>
              <w:spacing w:after="0" w:line="169" w:lineRule="exact"/>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72.1</w:t>
            </w:r>
          </w:p>
        </w:tc>
        <w:tc>
          <w:tcPr>
            <w:tcW w:w="420" w:type="dxa"/>
            <w:vAlign w:val="bottom"/>
            <w:tcBorders>
              <w:bottom w:val="single" w:sz="8" w:color="auto"/>
            </w:tcBorders>
            <w:shd w:val="clear" w:color="auto" w:fill="CFF0FC"/>
          </w:tcPr>
          <w:p>
            <w:pPr>
              <w:jc w:val="right"/>
              <w:ind w:right="179"/>
              <w:spacing w:after="0" w:line="169" w:lineRule="exact"/>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rPr>
              <w:t>68.7</w:t>
            </w:r>
          </w:p>
        </w:tc>
      </w:tr>
      <w:tr>
        <w:trPr>
          <w:trHeight w:val="170"/>
        </w:trPr>
        <w:tc>
          <w:tcPr>
            <w:tcW w:w="4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89"/>
        </w:trPr>
        <w:tc>
          <w:tcPr>
            <w:tcW w:w="4620" w:type="dxa"/>
            <w:vAlign w:val="bottom"/>
            <w:shd w:val="clear" w:color="auto" w:fill="CFF0FC"/>
          </w:tcPr>
          <w:p>
            <w:pPr>
              <w:spacing w:after="0"/>
              <w:rPr>
                <w:sz w:val="20"/>
                <w:szCs w:val="20"/>
                <w:color w:val="auto"/>
              </w:rPr>
            </w:pPr>
            <w:r>
              <w:rPr>
                <w:rFonts w:ascii="Arial" w:cs="Arial" w:eastAsia="Arial" w:hAnsi="Arial"/>
                <w:sz w:val="16"/>
                <w:szCs w:val="16"/>
                <w:color w:val="auto"/>
              </w:rPr>
              <w:t>Net income available for common stock, per share - Diluted</w:t>
            </w:r>
          </w:p>
        </w:tc>
        <w:tc>
          <w:tcPr>
            <w:tcW w:w="1040" w:type="dxa"/>
            <w:vAlign w:val="bottom"/>
            <w:shd w:val="clear" w:color="auto" w:fill="CFF0FC"/>
          </w:tcPr>
          <w:p>
            <w:pPr>
              <w:jc w:val="right"/>
              <w:ind w:right="85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0.38</w:t>
            </w:r>
          </w:p>
        </w:tc>
        <w:tc>
          <w:tcPr>
            <w:tcW w:w="2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0.33</w:t>
            </w:r>
          </w:p>
        </w:tc>
        <w:tc>
          <w:tcPr>
            <w:tcW w:w="440" w:type="dxa"/>
            <w:vAlign w:val="bottom"/>
            <w:shd w:val="clear" w:color="auto" w:fill="CFF0FC"/>
          </w:tcPr>
          <w:p>
            <w:pPr>
              <w:jc w:val="right"/>
              <w:ind w:right="21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2.24</w:t>
            </w:r>
          </w:p>
        </w:tc>
        <w:tc>
          <w:tcPr>
            <w:tcW w:w="42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2.19</w:t>
            </w:r>
          </w:p>
        </w:tc>
      </w:tr>
    </w:tbl>
    <w:p>
      <w:pPr>
        <w:spacing w:after="0" w:line="175" w:lineRule="exact"/>
        <w:rPr>
          <w:sz w:val="20"/>
          <w:szCs w:val="20"/>
          <w:color w:val="auto"/>
        </w:rPr>
      </w:pPr>
    </w:p>
    <w:p>
      <w:pPr>
        <w:ind w:right="420"/>
        <w:spacing w:after="0" w:line="286" w:lineRule="auto"/>
        <w:rPr>
          <w:sz w:val="20"/>
          <w:szCs w:val="20"/>
          <w:color w:val="auto"/>
        </w:rPr>
      </w:pPr>
      <w:r>
        <w:rPr>
          <w:rFonts w:ascii="Arial" w:cs="Arial" w:eastAsia="Arial" w:hAnsi="Arial"/>
          <w:sz w:val="16"/>
          <w:szCs w:val="16"/>
          <w:color w:val="auto"/>
        </w:rPr>
        <w:t>Anti-dilutive shares excluded from the diluted earnings per share computation were not material for the three and six months ended June 30, 2025, and 2024.</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8060" w:firstLine="8"/>
        <w:spacing w:after="0" w:line="493" w:lineRule="auto"/>
        <w:tabs>
          <w:tab w:leader="none" w:pos="509"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Risk Management and Derivatives Market and Credit Risk Disclosures</w:t>
      </w:r>
    </w:p>
    <w:p>
      <w:pPr>
        <w:spacing w:after="0" w:line="286" w:lineRule="auto"/>
        <w:rPr>
          <w:sz w:val="20"/>
          <w:szCs w:val="20"/>
          <w:color w:val="auto"/>
        </w:rPr>
      </w:pPr>
      <w:r>
        <w:rPr>
          <w:rFonts w:ascii="Arial" w:cs="Arial" w:eastAsia="Arial" w:hAnsi="Arial"/>
          <w:sz w:val="16"/>
          <w:szCs w:val="16"/>
          <w:color w:val="auto"/>
        </w:rPr>
        <w:t>Our activities in the energy industry expose us to a number of risks in the normal operations of our businesses. Depending on the activity, we are exposed to varying degrees of market risk and credit risk.</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Market Risk</w:t>
      </w:r>
    </w:p>
    <w:p>
      <w:pPr>
        <w:spacing w:after="0" w:line="194" w:lineRule="exact"/>
        <w:rPr>
          <w:sz w:val="20"/>
          <w:szCs w:val="20"/>
          <w:color w:val="auto"/>
        </w:rPr>
      </w:pPr>
    </w:p>
    <w:p>
      <w:pPr>
        <w:ind w:right="480"/>
        <w:spacing w:after="0" w:line="286" w:lineRule="auto"/>
        <w:rPr>
          <w:sz w:val="20"/>
          <w:szCs w:val="20"/>
          <w:color w:val="auto"/>
        </w:rPr>
      </w:pPr>
      <w:r>
        <w:rPr>
          <w:rFonts w:ascii="Arial" w:cs="Arial" w:eastAsia="Arial" w:hAnsi="Arial"/>
          <w:sz w:val="16"/>
          <w:szCs w:val="16"/>
          <w:color w:val="auto"/>
        </w:rPr>
        <w:t>Market risk is the potential loss that may occur as a result of an adverse change in market price, rate or supply. We are exposed but not limited to, the following market risks:</w:t>
      </w:r>
    </w:p>
    <w:p>
      <w:pPr>
        <w:spacing w:after="0" w:line="129" w:lineRule="exact"/>
        <w:rPr>
          <w:sz w:val="20"/>
          <w:szCs w:val="20"/>
          <w:color w:val="auto"/>
        </w:rPr>
      </w:pPr>
    </w:p>
    <w:p>
      <w:pPr>
        <w:ind w:left="900" w:right="40" w:hanging="518"/>
        <w:spacing w:after="0" w:line="259" w:lineRule="auto"/>
        <w:tabs>
          <w:tab w:leader="none" w:pos="900" w:val="left"/>
        </w:tabs>
        <w:numPr>
          <w:ilvl w:val="0"/>
          <w:numId w:val="11"/>
        </w:numPr>
        <w:rPr>
          <w:rFonts w:ascii="Times New Roman" w:cs="Times New Roman" w:eastAsia="Times New Roman" w:hAnsi="Times New Roman"/>
          <w:sz w:val="16"/>
          <w:szCs w:val="16"/>
          <w:color w:val="auto"/>
        </w:rPr>
      </w:pPr>
      <w:r>
        <w:rPr>
          <w:rFonts w:ascii="Arial" w:cs="Arial" w:eastAsia="Arial" w:hAnsi="Arial"/>
          <w:sz w:val="16"/>
          <w:szCs w:val="16"/>
          <w:color w:val="auto"/>
        </w:rPr>
        <w:t>Commodity price risk associated with our retail natural gas and wholesale electric power marketing activities and our fuel procurement for several of our gas-fired generation assets, which include market fluctuations due to unpredictable factors such as weather, geopolitical events, pandemics, market speculation, imposition of new tariffs, recession, inflation, pipeline constraints, and other factors that may impact natural gas and electric supply and demand; and</w:t>
      </w:r>
    </w:p>
    <w:p>
      <w:pPr>
        <w:spacing w:after="0" w:line="150" w:lineRule="exact"/>
        <w:rPr>
          <w:rFonts w:ascii="Times New Roman" w:cs="Times New Roman" w:eastAsia="Times New Roman" w:hAnsi="Times New Roman"/>
          <w:sz w:val="16"/>
          <w:szCs w:val="16"/>
          <w:color w:val="auto"/>
        </w:rPr>
      </w:pPr>
    </w:p>
    <w:p>
      <w:pPr>
        <w:ind w:left="900" w:hanging="518"/>
        <w:spacing w:after="0"/>
        <w:tabs>
          <w:tab w:leader="none" w:pos="900" w:val="left"/>
        </w:tabs>
        <w:numPr>
          <w:ilvl w:val="0"/>
          <w:numId w:val="11"/>
        </w:numPr>
        <w:rPr>
          <w:rFonts w:ascii="Times New Roman" w:cs="Times New Roman" w:eastAsia="Times New Roman" w:hAnsi="Times New Roman"/>
          <w:sz w:val="16"/>
          <w:szCs w:val="16"/>
          <w:color w:val="auto"/>
        </w:rPr>
      </w:pPr>
      <w:r>
        <w:rPr>
          <w:rFonts w:ascii="Arial" w:cs="Arial" w:eastAsia="Arial" w:hAnsi="Arial"/>
          <w:sz w:val="16"/>
          <w:szCs w:val="16"/>
          <w:color w:val="auto"/>
        </w:rPr>
        <w:t>Interest rate risk associated with future debt, including reduced access to liquidity during periods of extreme capital markets volatility.</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Credit Risk</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Credit risk is the risk of financial loss resulting from non-performance of contractual obligations by a counterparty.</w:t>
      </w:r>
    </w:p>
    <w:p>
      <w:pPr>
        <w:spacing w:after="0" w:line="194" w:lineRule="exact"/>
        <w:rPr>
          <w:sz w:val="20"/>
          <w:szCs w:val="20"/>
          <w:color w:val="auto"/>
        </w:rPr>
      </w:pPr>
    </w:p>
    <w:p>
      <w:pPr>
        <w:ind w:right="280"/>
        <w:spacing w:after="0" w:line="266" w:lineRule="auto"/>
        <w:rPr>
          <w:sz w:val="20"/>
          <w:szCs w:val="20"/>
          <w:color w:val="auto"/>
        </w:rPr>
      </w:pPr>
      <w:r>
        <w:rPr>
          <w:rFonts w:ascii="Arial" w:cs="Arial" w:eastAsia="Arial" w:hAnsi="Arial"/>
          <w:sz w:val="16"/>
          <w:szCs w:val="16"/>
          <w:color w:val="auto"/>
        </w:rPr>
        <w:t>We attempt to mitigate our credit exposure by conducting business primarily with high credit quality entities, setting tenor and credit limits commensurate with counterparty financial strength, obtaining master netting agreements, and mitigating credit exposure with less creditworthy counterparties through parental guarantees, cash collateral requirements, letters of credit, and other security agreements.</w:t>
      </w:r>
    </w:p>
    <w:p>
      <w:pPr>
        <w:spacing w:after="0" w:line="144"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We perform periodic credit evaluations of our customers and adjust credit limits based upon payment history and the customers’ current creditworthiness, as determined by review of their current credit information. We maintain a provision for estimated credit losses based upon historical experience, changes in current market conditions, expected losses, and any specific customer collection issue that is identified.</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Derivatives and Hedging Activity</w:t>
      </w:r>
    </w:p>
    <w:p>
      <w:pPr>
        <w:spacing w:after="0" w:line="194"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 xml:space="preserve">Our derivative and hedging activities included in the accompanying Consolidated Balance Sheets, Consolidated Statements of Income, and Consolidated Statements of Comprehensive Income are detailed below and in </w:t>
      </w:r>
      <w:r>
        <w:rPr>
          <w:rFonts w:ascii="Arial" w:cs="Arial" w:eastAsia="Arial" w:hAnsi="Arial"/>
          <w:sz w:val="16"/>
          <w:szCs w:val="16"/>
          <w:u w:val="single" w:color="auto"/>
          <w:color w:val="0000FF"/>
        </w:rPr>
        <w:t>Note 8</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2955925</wp:posOffset>
            </wp:positionH>
            <wp:positionV relativeFrom="paragraph">
              <wp:posOffset>-45720</wp:posOffset>
            </wp:positionV>
            <wp:extent cx="30289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02895" cy="8255"/>
                    </a:xfrm>
                    <a:prstGeom prst="rect">
                      <a:avLst/>
                    </a:prstGeom>
                    <a:noFill/>
                  </pic:spPr>
                </pic:pic>
              </a:graphicData>
            </a:graphic>
          </wp:anchor>
        </w:drawing>
      </w:r>
    </w:p>
    <w:p>
      <w:pPr>
        <w:spacing w:after="0" w:line="109" w:lineRule="exact"/>
        <w:rPr>
          <w:sz w:val="20"/>
          <w:szCs w:val="20"/>
          <w:color w:val="auto"/>
        </w:rPr>
      </w:pPr>
    </w:p>
    <w:p>
      <w:pPr>
        <w:ind w:right="140"/>
        <w:spacing w:after="0" w:line="254" w:lineRule="auto"/>
        <w:rPr>
          <w:sz w:val="20"/>
          <w:szCs w:val="20"/>
          <w:color w:val="auto"/>
        </w:rPr>
      </w:pPr>
      <w:r>
        <w:rPr>
          <w:rFonts w:ascii="Arial" w:cs="Arial" w:eastAsia="Arial" w:hAnsi="Arial"/>
          <w:sz w:val="16"/>
          <w:szCs w:val="16"/>
          <w:color w:val="auto"/>
        </w:rPr>
        <w:t>The operations of our Utilities, including natural gas sold by our Gas Utilities and natural gas used by our Electric Utilities’ generation plants or those plants under PPAs where our Electric Utilities must provide the generation fuel (tolling agreements), expose our utility customers to natural gas price volatility. Therefore, as allowed or required by state utility commissions, we have entered into commission approved hedging programs utilizing natural gas futures, options, over-the-counter swaps, and basis swaps to reduce our customers’ underlying exposure to these fluctuations. These transactions are considered derivatives, and in accordance with accounting standards for derivatives and hedging, mark-to-market adjustments are recorded as Derivative assets or Derivative liabilities on the accompanying Consolidated Balance Sheets, net of balance sheet offsetting as permitted by GAAP.</w:t>
      </w:r>
    </w:p>
    <w:p>
      <w:pPr>
        <w:spacing w:after="0" w:line="155"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For our regulated Utilities’ hedging plans, unrealized and realized gains and losses, as well as option premiums and commissions on these transactions, are recorded as Regulatory assets or Regulatory liabilities in the accompanying Consolidated Balance Sheets in accordance with the state regulatory commission guidelines. When the related costs are recovered through our rates, the hedging activity is recognized in the Consolidated Statements of Income.</w:t>
      </w:r>
    </w:p>
    <w:p>
      <w:pPr>
        <w:spacing w:after="0" w:line="342"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Through Black Hills Energy Services, our non-regulated natural gas commodity supplier, we buy, sell, and deliver natural gas in Nebraska and Wyoming at competitive prices by managing commodity price risk. As a result of these activities, this area of our business is exposed to risks associated with changes in the market price of natural gas. We manage our exposure to such risks using over-the-counter and exchange traded options and swaps with counterparties in anticipation of forecasted purchases and sales during time frames ranging from July 2025 through December 2027. A portion of our over-the-counter swaps have been designated as cash flow hedges to mitigate the commodity price risk associated with deliveries under fixed price forward contracts to deliver gas to our Choice Gas Program customers. The gain or loss on these designated derivatives is reported in AOCI in the accompanying Consolidated Balance Sheets and reclassified into earnings in the same period that the underlying hedged item is recognized in earnings. Effectiveness of our hedging position is evaluated at least quarterly.</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0" w:name="page21"/>
    <w:bookmarkEnd w:id="2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The contract or notional amounts and terms of the electric and natural gas derivative commodity instruments held at our Utilities are composed of both long and short positions. We had the following net long and (short) positions as of:</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20" w:type="dxa"/>
            <w:vAlign w:val="bottom"/>
          </w:tcPr>
          <w:p>
            <w:pPr>
              <w:spacing w:after="0"/>
              <w:rPr>
                <w:sz w:val="17"/>
                <w:szCs w:val="17"/>
                <w:color w:val="auto"/>
              </w:rPr>
            </w:pPr>
          </w:p>
        </w:tc>
        <w:tc>
          <w:tcPr>
            <w:tcW w:w="3040" w:type="dxa"/>
            <w:vAlign w:val="bottom"/>
            <w:tcBorders>
              <w:bottom w:val="single" w:sz="8" w:color="auto"/>
            </w:tcBorders>
            <w:gridSpan w:val="2"/>
          </w:tcPr>
          <w:p>
            <w:pPr>
              <w:ind w:left="1020"/>
              <w:spacing w:after="0"/>
              <w:rPr>
                <w:sz w:val="20"/>
                <w:szCs w:val="20"/>
                <w:color w:val="auto"/>
              </w:rPr>
            </w:pPr>
            <w:r>
              <w:rPr>
                <w:rFonts w:ascii="Arial" w:cs="Arial" w:eastAsia="Arial" w:hAnsi="Arial"/>
                <w:sz w:val="16"/>
                <w:szCs w:val="16"/>
                <w:b w:val="1"/>
                <w:bCs w:val="1"/>
                <w:color w:val="auto"/>
              </w:rPr>
              <w:t>June 30, 2025</w:t>
            </w:r>
          </w:p>
        </w:tc>
        <w:tc>
          <w:tcPr>
            <w:tcW w:w="3180" w:type="dxa"/>
            <w:vAlign w:val="bottom"/>
            <w:tcBorders>
              <w:bottom w:val="single" w:sz="8" w:color="auto"/>
            </w:tcBorders>
            <w:gridSpan w:val="2"/>
          </w:tcPr>
          <w:p>
            <w:pPr>
              <w:ind w:left="900"/>
              <w:spacing w:after="0"/>
              <w:rPr>
                <w:sz w:val="20"/>
                <w:szCs w:val="20"/>
                <w:color w:val="auto"/>
              </w:rPr>
            </w:pPr>
            <w:r>
              <w:rPr>
                <w:rFonts w:ascii="Arial" w:cs="Arial" w:eastAsia="Arial" w:hAnsi="Arial"/>
                <w:sz w:val="16"/>
                <w:szCs w:val="16"/>
                <w:b w:val="1"/>
                <w:bCs w:val="1"/>
                <w:color w:val="auto"/>
              </w:rPr>
              <w:t>December 31, 2024</w:t>
            </w:r>
          </w:p>
        </w:tc>
      </w:tr>
      <w:tr>
        <w:trPr>
          <w:trHeight w:val="142"/>
        </w:trPr>
        <w:tc>
          <w:tcPr>
            <w:tcW w:w="5020" w:type="dxa"/>
            <w:vAlign w:val="bottom"/>
          </w:tcPr>
          <w:p>
            <w:pPr>
              <w:spacing w:after="0"/>
              <w:rPr>
                <w:sz w:val="12"/>
                <w:szCs w:val="12"/>
                <w:color w:val="auto"/>
              </w:rPr>
            </w:pPr>
          </w:p>
        </w:tc>
        <w:tc>
          <w:tcPr>
            <w:tcW w:w="1620" w:type="dxa"/>
            <w:vAlign w:val="bottom"/>
          </w:tcPr>
          <w:p>
            <w:pPr>
              <w:jc w:val="right"/>
              <w:ind w:right="119"/>
              <w:spacing w:after="0" w:line="142" w:lineRule="exact"/>
              <w:rPr>
                <w:sz w:val="20"/>
                <w:szCs w:val="20"/>
                <w:color w:val="auto"/>
              </w:rPr>
            </w:pPr>
            <w:r>
              <w:rPr>
                <w:rFonts w:ascii="Arial" w:cs="Arial" w:eastAsia="Arial" w:hAnsi="Arial"/>
                <w:sz w:val="16"/>
                <w:szCs w:val="16"/>
                <w:b w:val="1"/>
                <w:bCs w:val="1"/>
                <w:color w:val="auto"/>
              </w:rPr>
              <w:t>Notional Amounts</w:t>
            </w:r>
          </w:p>
        </w:tc>
        <w:tc>
          <w:tcPr>
            <w:tcW w:w="1420" w:type="dxa"/>
            <w:vAlign w:val="bottom"/>
          </w:tcPr>
          <w:p>
            <w:pPr>
              <w:jc w:val="center"/>
              <w:spacing w:after="0" w:line="142" w:lineRule="exact"/>
              <w:rPr>
                <w:sz w:val="20"/>
                <w:szCs w:val="20"/>
                <w:color w:val="auto"/>
              </w:rPr>
            </w:pPr>
            <w:r>
              <w:rPr>
                <w:rFonts w:ascii="Arial" w:cs="Arial" w:eastAsia="Arial" w:hAnsi="Arial"/>
                <w:sz w:val="16"/>
                <w:szCs w:val="16"/>
                <w:b w:val="1"/>
                <w:bCs w:val="1"/>
                <w:color w:val="auto"/>
              </w:rPr>
              <w:t>Maximum Term</w:t>
            </w:r>
          </w:p>
        </w:tc>
        <w:tc>
          <w:tcPr>
            <w:tcW w:w="1660" w:type="dxa"/>
            <w:vAlign w:val="bottom"/>
          </w:tcPr>
          <w:p>
            <w:pPr>
              <w:jc w:val="right"/>
              <w:ind w:right="99"/>
              <w:spacing w:after="0" w:line="142" w:lineRule="exact"/>
              <w:rPr>
                <w:sz w:val="20"/>
                <w:szCs w:val="20"/>
                <w:color w:val="auto"/>
              </w:rPr>
            </w:pPr>
            <w:r>
              <w:rPr>
                <w:rFonts w:ascii="Arial" w:cs="Arial" w:eastAsia="Arial" w:hAnsi="Arial"/>
                <w:sz w:val="16"/>
                <w:szCs w:val="16"/>
                <w:b w:val="1"/>
                <w:bCs w:val="1"/>
                <w:color w:val="auto"/>
              </w:rPr>
              <w:t>Notional Amounts</w:t>
            </w:r>
          </w:p>
        </w:tc>
        <w:tc>
          <w:tcPr>
            <w:tcW w:w="1520" w:type="dxa"/>
            <w:vAlign w:val="bottom"/>
          </w:tcPr>
          <w:p>
            <w:pPr>
              <w:jc w:val="center"/>
              <w:spacing w:after="0" w:line="142" w:lineRule="exact"/>
              <w:rPr>
                <w:sz w:val="20"/>
                <w:szCs w:val="20"/>
                <w:color w:val="auto"/>
              </w:rPr>
            </w:pPr>
            <w:r>
              <w:rPr>
                <w:rFonts w:ascii="Arial" w:cs="Arial" w:eastAsia="Arial" w:hAnsi="Arial"/>
                <w:sz w:val="16"/>
                <w:szCs w:val="16"/>
                <w:b w:val="1"/>
                <w:bCs w:val="1"/>
                <w:color w:val="auto"/>
              </w:rPr>
              <w:t>Maximum Term</w:t>
            </w:r>
          </w:p>
        </w:tc>
      </w:tr>
      <w:tr>
        <w:trPr>
          <w:trHeight w:val="229"/>
        </w:trPr>
        <w:tc>
          <w:tcPr>
            <w:tcW w:w="5020" w:type="dxa"/>
            <w:vAlign w:val="bottom"/>
          </w:tcPr>
          <w:p>
            <w:pPr>
              <w:spacing w:after="0"/>
              <w:rPr>
                <w:sz w:val="19"/>
                <w:szCs w:val="19"/>
                <w:color w:val="auto"/>
              </w:rPr>
            </w:pPr>
          </w:p>
        </w:tc>
        <w:tc>
          <w:tcPr>
            <w:tcW w:w="16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(MMBtus)</w:t>
            </w:r>
          </w:p>
        </w:tc>
        <w:tc>
          <w:tcPr>
            <w:tcW w:w="142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6"/>
                <w:szCs w:val="16"/>
                <w:b w:val="1"/>
                <w:bCs w:val="1"/>
                <w:color w:val="auto"/>
                <w:w w:val="95"/>
              </w:rPr>
              <w:t xml:space="preserve">(months) </w:t>
            </w:r>
            <w:r>
              <w:rPr>
                <w:rFonts w:ascii="Arial" w:cs="Arial" w:eastAsia="Arial" w:hAnsi="Arial"/>
                <w:sz w:val="21"/>
                <w:szCs w:val="21"/>
                <w:b w:val="1"/>
                <w:bCs w:val="1"/>
                <w:color w:val="auto"/>
                <w:w w:val="95"/>
                <w:vertAlign w:val="superscript"/>
              </w:rPr>
              <w:t>(a)</w:t>
            </w:r>
          </w:p>
        </w:tc>
        <w:tc>
          <w:tcPr>
            <w:tcW w:w="16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(MMBtus)</w:t>
            </w:r>
          </w:p>
        </w:tc>
        <w:tc>
          <w:tcPr>
            <w:tcW w:w="152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6"/>
                <w:szCs w:val="16"/>
                <w:b w:val="1"/>
                <w:bCs w:val="1"/>
                <w:color w:val="auto"/>
                <w:w w:val="95"/>
              </w:rPr>
              <w:t xml:space="preserve">(months) </w:t>
            </w:r>
            <w:r>
              <w:rPr>
                <w:rFonts w:ascii="Arial" w:cs="Arial" w:eastAsia="Arial" w:hAnsi="Arial"/>
                <w:sz w:val="21"/>
                <w:szCs w:val="21"/>
                <w:b w:val="1"/>
                <w:bCs w:val="1"/>
                <w:color w:val="auto"/>
                <w:w w:val="95"/>
                <w:vertAlign w:val="superscript"/>
              </w:rPr>
              <w:t>(a)</w:t>
            </w:r>
          </w:p>
        </w:tc>
      </w:tr>
      <w:tr>
        <w:trPr>
          <w:trHeight w:val="183"/>
        </w:trPr>
        <w:tc>
          <w:tcPr>
            <w:tcW w:w="502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Natural gas futures purchased</w:t>
            </w:r>
          </w:p>
        </w:tc>
        <w:tc>
          <w:tcPr>
            <w:tcW w:w="162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1420" w:type="dxa"/>
            <w:vAlign w:val="bottom"/>
            <w:shd w:val="clear" w:color="auto" w:fill="CFF0FC"/>
          </w:tcPr>
          <w:p>
            <w:pPr>
              <w:jc w:val="center"/>
              <w:spacing w:after="0" w:line="183" w:lineRule="exact"/>
              <w:rPr>
                <w:sz w:val="20"/>
                <w:szCs w:val="20"/>
                <w:color w:val="auto"/>
              </w:rPr>
            </w:pPr>
            <w:r>
              <w:rPr>
                <w:rFonts w:ascii="Arial" w:cs="Arial" w:eastAsia="Arial" w:hAnsi="Arial"/>
                <w:sz w:val="16"/>
                <w:szCs w:val="16"/>
                <w:color w:val="auto"/>
                <w:w w:val="97"/>
              </w:rPr>
              <w:t>N/A</w:t>
            </w:r>
          </w:p>
        </w:tc>
        <w:tc>
          <w:tcPr>
            <w:tcW w:w="166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660,000</w:t>
            </w:r>
          </w:p>
        </w:tc>
        <w:tc>
          <w:tcPr>
            <w:tcW w:w="1520" w:type="dxa"/>
            <w:vAlign w:val="bottom"/>
            <w:shd w:val="clear" w:color="auto" w:fill="CFF0FC"/>
          </w:tcPr>
          <w:p>
            <w:pPr>
              <w:jc w:val="center"/>
              <w:spacing w:after="0" w:line="183" w:lineRule="exact"/>
              <w:rPr>
                <w:sz w:val="20"/>
                <w:szCs w:val="20"/>
                <w:color w:val="auto"/>
              </w:rPr>
            </w:pPr>
            <w:r>
              <w:rPr>
                <w:rFonts w:ascii="Arial" w:cs="Arial" w:eastAsia="Arial" w:hAnsi="Arial"/>
                <w:sz w:val="16"/>
                <w:szCs w:val="16"/>
                <w:color w:val="auto"/>
              </w:rPr>
              <w:t>3</w:t>
            </w:r>
          </w:p>
        </w:tc>
      </w:tr>
      <w:tr>
        <w:trPr>
          <w:trHeight w:val="189"/>
        </w:trPr>
        <w:tc>
          <w:tcPr>
            <w:tcW w:w="5020" w:type="dxa"/>
            <w:vAlign w:val="bottom"/>
          </w:tcPr>
          <w:p>
            <w:pPr>
              <w:spacing w:after="0"/>
              <w:rPr>
                <w:sz w:val="20"/>
                <w:szCs w:val="20"/>
                <w:color w:val="auto"/>
              </w:rPr>
            </w:pPr>
            <w:r>
              <w:rPr>
                <w:rFonts w:ascii="Arial" w:cs="Arial" w:eastAsia="Arial" w:hAnsi="Arial"/>
                <w:sz w:val="16"/>
                <w:szCs w:val="16"/>
                <w:color w:val="auto"/>
              </w:rPr>
              <w:t>Natural gas options purchased, net</w:t>
            </w: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1,160,000</w:t>
            </w:r>
          </w:p>
        </w:tc>
        <w:tc>
          <w:tcPr>
            <w:tcW w:w="1420" w:type="dxa"/>
            <w:vAlign w:val="bottom"/>
          </w:tcPr>
          <w:p>
            <w:pPr>
              <w:jc w:val="center"/>
              <w:spacing w:after="0"/>
              <w:rPr>
                <w:sz w:val="20"/>
                <w:szCs w:val="20"/>
                <w:color w:val="auto"/>
              </w:rPr>
            </w:pPr>
            <w:r>
              <w:rPr>
                <w:rFonts w:ascii="Arial" w:cs="Arial" w:eastAsia="Arial" w:hAnsi="Arial"/>
                <w:sz w:val="16"/>
                <w:szCs w:val="16"/>
                <w:color w:val="auto"/>
              </w:rPr>
              <w:t>9</w:t>
            </w: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2,780,000</w:t>
            </w:r>
          </w:p>
        </w:tc>
        <w:tc>
          <w:tcPr>
            <w:tcW w:w="1520" w:type="dxa"/>
            <w:vAlign w:val="bottom"/>
          </w:tcPr>
          <w:p>
            <w:pPr>
              <w:jc w:val="center"/>
              <w:spacing w:after="0"/>
              <w:rPr>
                <w:sz w:val="20"/>
                <w:szCs w:val="20"/>
                <w:color w:val="auto"/>
              </w:rPr>
            </w:pPr>
            <w:r>
              <w:rPr>
                <w:rFonts w:ascii="Arial" w:cs="Arial" w:eastAsia="Arial" w:hAnsi="Arial"/>
                <w:sz w:val="16"/>
                <w:szCs w:val="16"/>
                <w:color w:val="auto"/>
              </w:rPr>
              <w:t>3</w:t>
            </w:r>
          </w:p>
        </w:tc>
      </w:tr>
      <w:tr>
        <w:trPr>
          <w:trHeight w:val="189"/>
        </w:trPr>
        <w:tc>
          <w:tcPr>
            <w:tcW w:w="5020" w:type="dxa"/>
            <w:vAlign w:val="bottom"/>
            <w:shd w:val="clear" w:color="auto" w:fill="CFF0FC"/>
          </w:tcPr>
          <w:p>
            <w:pPr>
              <w:spacing w:after="0"/>
              <w:rPr>
                <w:sz w:val="20"/>
                <w:szCs w:val="20"/>
                <w:color w:val="auto"/>
              </w:rPr>
            </w:pPr>
            <w:r>
              <w:rPr>
                <w:rFonts w:ascii="Arial" w:cs="Arial" w:eastAsia="Arial" w:hAnsi="Arial"/>
                <w:sz w:val="16"/>
                <w:szCs w:val="16"/>
                <w:color w:val="auto"/>
              </w:rPr>
              <w:t>Natural gas basis swaps purchased</w:t>
            </w:r>
          </w:p>
        </w:tc>
        <w:tc>
          <w:tcPr>
            <w:tcW w:w="16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7"/>
              </w:rPr>
              <w:t>N/A</w:t>
            </w:r>
          </w:p>
        </w:tc>
        <w:tc>
          <w:tcPr>
            <w:tcW w:w="16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1,080,000</w:t>
            </w:r>
          </w:p>
        </w:tc>
        <w:tc>
          <w:tcPr>
            <w:tcW w:w="15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3</w:t>
            </w:r>
          </w:p>
        </w:tc>
      </w:tr>
      <w:tr>
        <w:trPr>
          <w:trHeight w:val="189"/>
        </w:trPr>
        <w:tc>
          <w:tcPr>
            <w:tcW w:w="5020" w:type="dxa"/>
            <w:vAlign w:val="bottom"/>
          </w:tcPr>
          <w:p>
            <w:pPr>
              <w:spacing w:after="0" w:line="189" w:lineRule="exact"/>
              <w:rPr>
                <w:sz w:val="20"/>
                <w:szCs w:val="20"/>
                <w:color w:val="auto"/>
              </w:rPr>
            </w:pPr>
            <w:r>
              <w:rPr>
                <w:rFonts w:ascii="Arial" w:cs="Arial" w:eastAsia="Arial" w:hAnsi="Arial"/>
                <w:sz w:val="16"/>
                <w:szCs w:val="16"/>
                <w:color w:val="auto"/>
              </w:rPr>
              <w:t xml:space="preserve">Natural gas over-the-counter swaps, net </w:t>
            </w:r>
            <w:r>
              <w:rPr>
                <w:rFonts w:ascii="Arial" w:cs="Arial" w:eastAsia="Arial" w:hAnsi="Arial"/>
                <w:sz w:val="21"/>
                <w:szCs w:val="21"/>
                <w:color w:val="auto"/>
                <w:vertAlign w:val="superscript"/>
              </w:rPr>
              <w:t>(b)</w:t>
            </w: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5,590,000</w:t>
            </w:r>
          </w:p>
        </w:tc>
        <w:tc>
          <w:tcPr>
            <w:tcW w:w="1420" w:type="dxa"/>
            <w:vAlign w:val="bottom"/>
          </w:tcPr>
          <w:p>
            <w:pPr>
              <w:jc w:val="center"/>
              <w:spacing w:after="0"/>
              <w:rPr>
                <w:sz w:val="20"/>
                <w:szCs w:val="20"/>
                <w:color w:val="auto"/>
              </w:rPr>
            </w:pPr>
            <w:r>
              <w:rPr>
                <w:rFonts w:ascii="Arial" w:cs="Arial" w:eastAsia="Arial" w:hAnsi="Arial"/>
                <w:sz w:val="16"/>
                <w:szCs w:val="16"/>
                <w:color w:val="auto"/>
              </w:rPr>
              <w:t>29</w:t>
            </w: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3,480,000</w:t>
            </w:r>
          </w:p>
        </w:tc>
        <w:tc>
          <w:tcPr>
            <w:tcW w:w="1520" w:type="dxa"/>
            <w:vAlign w:val="bottom"/>
          </w:tcPr>
          <w:p>
            <w:pPr>
              <w:jc w:val="center"/>
              <w:spacing w:after="0"/>
              <w:rPr>
                <w:sz w:val="20"/>
                <w:szCs w:val="20"/>
                <w:color w:val="auto"/>
              </w:rPr>
            </w:pPr>
            <w:r>
              <w:rPr>
                <w:rFonts w:ascii="Arial" w:cs="Arial" w:eastAsia="Arial" w:hAnsi="Arial"/>
                <w:sz w:val="16"/>
                <w:szCs w:val="16"/>
                <w:color w:val="auto"/>
              </w:rPr>
              <w:t>20</w:t>
            </w:r>
          </w:p>
        </w:tc>
      </w:tr>
      <w:tr>
        <w:trPr>
          <w:trHeight w:val="189"/>
        </w:trPr>
        <w:tc>
          <w:tcPr>
            <w:tcW w:w="5020" w:type="dxa"/>
            <w:vAlign w:val="bottom"/>
            <w:shd w:val="clear" w:color="auto" w:fill="CFF0FC"/>
          </w:tcPr>
          <w:p>
            <w:pPr>
              <w:spacing w:after="0" w:line="189" w:lineRule="exact"/>
              <w:rPr>
                <w:sz w:val="20"/>
                <w:szCs w:val="20"/>
                <w:color w:val="auto"/>
              </w:rPr>
            </w:pPr>
            <w:r>
              <w:rPr>
                <w:rFonts w:ascii="Arial" w:cs="Arial" w:eastAsia="Arial" w:hAnsi="Arial"/>
                <w:sz w:val="16"/>
                <w:szCs w:val="16"/>
                <w:color w:val="auto"/>
              </w:rPr>
              <w:t xml:space="preserve">Natural gas physical contracts, net </w:t>
            </w:r>
            <w:r>
              <w:rPr>
                <w:rFonts w:ascii="Arial" w:cs="Arial" w:eastAsia="Arial" w:hAnsi="Arial"/>
                <w:sz w:val="21"/>
                <w:szCs w:val="21"/>
                <w:color w:val="auto"/>
                <w:vertAlign w:val="superscript"/>
              </w:rPr>
              <w:t>(c)</w:t>
            </w:r>
          </w:p>
        </w:tc>
        <w:tc>
          <w:tcPr>
            <w:tcW w:w="16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6,077,280</w:t>
            </w:r>
          </w:p>
        </w:tc>
        <w:tc>
          <w:tcPr>
            <w:tcW w:w="14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9</w:t>
            </w:r>
          </w:p>
        </w:tc>
        <w:tc>
          <w:tcPr>
            <w:tcW w:w="16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20,276,230</w:t>
            </w:r>
          </w:p>
        </w:tc>
        <w:tc>
          <w:tcPr>
            <w:tcW w:w="15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04584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119" w:lineRule="exact"/>
        <w:rPr>
          <w:sz w:val="20"/>
          <w:szCs w:val="20"/>
          <w:color w:val="auto"/>
        </w:rPr>
      </w:pPr>
    </w:p>
    <w:p>
      <w:pPr>
        <w:ind w:left="520" w:hanging="512"/>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Term reflects the maximum forward period hedged.</w:t>
      </w:r>
    </w:p>
    <w:p>
      <w:pPr>
        <w:spacing w:after="0" w:line="15" w:lineRule="exact"/>
        <w:rPr>
          <w:rFonts w:ascii="Arial" w:cs="Arial" w:eastAsia="Arial" w:hAnsi="Arial"/>
          <w:sz w:val="14"/>
          <w:szCs w:val="14"/>
          <w:color w:val="auto"/>
        </w:rPr>
      </w:pPr>
    </w:p>
    <w:p>
      <w:pPr>
        <w:ind w:left="520" w:hanging="512"/>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As of June 30, 2025, 3,040,000 MMBtus of natural gas over-the-counter swaps purchases were designated as cash flow hedges.</w:t>
      </w:r>
    </w:p>
    <w:p>
      <w:pPr>
        <w:spacing w:after="0" w:line="1" w:lineRule="exact"/>
        <w:rPr>
          <w:rFonts w:ascii="Arial" w:cs="Arial" w:eastAsia="Arial" w:hAnsi="Arial"/>
          <w:sz w:val="14"/>
          <w:szCs w:val="14"/>
          <w:color w:val="auto"/>
        </w:rPr>
      </w:pPr>
    </w:p>
    <w:p>
      <w:pPr>
        <w:ind w:left="520" w:hanging="512"/>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Volumes exclude contracts that qualify for the normal purchases and normal sales exception under GAAP.</w:t>
      </w:r>
    </w:p>
    <w:p>
      <w:pPr>
        <w:spacing w:after="0" w:line="171" w:lineRule="exact"/>
        <w:rPr>
          <w:sz w:val="20"/>
          <w:szCs w:val="20"/>
          <w:color w:val="auto"/>
        </w:rPr>
      </w:pPr>
    </w:p>
    <w:p>
      <w:pPr>
        <w:ind w:right="620"/>
        <w:spacing w:after="0" w:line="266" w:lineRule="auto"/>
        <w:rPr>
          <w:sz w:val="20"/>
          <w:szCs w:val="20"/>
          <w:color w:val="auto"/>
        </w:rPr>
      </w:pPr>
      <w:r>
        <w:rPr>
          <w:rFonts w:ascii="Arial" w:cs="Arial" w:eastAsia="Arial" w:hAnsi="Arial"/>
          <w:sz w:val="16"/>
          <w:szCs w:val="16"/>
          <w:color w:val="auto"/>
        </w:rPr>
        <w:t>We have certain derivative contracts which contain credit provisions. These credit provisions may require the Company to post collateral when credit exposure to the Company is in excess of a negotiated line of unsecured credit. At June 30, 2025, the Company posted $0.1 million related to such provisions, which is included in Other current assets on the Consolidated Balance Sheets.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Derivatives by Balance Sheet Classification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fair value and balance sheet classification of our derivative instruments as of:</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12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June 30,</w:t>
            </w: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right"/>
              <w:ind w:right="239"/>
              <w:spacing w:after="0"/>
              <w:rPr>
                <w:sz w:val="20"/>
                <w:szCs w:val="20"/>
                <w:color w:val="auto"/>
              </w:rPr>
            </w:pPr>
            <w:r>
              <w:rPr>
                <w:rFonts w:ascii="Arial" w:cs="Arial" w:eastAsia="Arial" w:hAnsi="Arial"/>
                <w:sz w:val="16"/>
                <w:szCs w:val="16"/>
                <w:b w:val="1"/>
                <w:bCs w:val="1"/>
                <w:color w:val="auto"/>
              </w:rPr>
              <w:t>December 31,</w:t>
            </w:r>
          </w:p>
        </w:tc>
      </w:tr>
      <w:tr>
        <w:trPr>
          <w:trHeight w:val="203"/>
        </w:trPr>
        <w:tc>
          <w:tcPr>
            <w:tcW w:w="4120" w:type="dxa"/>
            <w:vAlign w:val="bottom"/>
          </w:tcPr>
          <w:p>
            <w:pPr>
              <w:spacing w:after="0"/>
              <w:rPr>
                <w:sz w:val="17"/>
                <w:szCs w:val="17"/>
                <w:color w:val="auto"/>
              </w:rPr>
            </w:pPr>
          </w:p>
        </w:tc>
        <w:tc>
          <w:tcPr>
            <w:tcW w:w="3420" w:type="dxa"/>
            <w:vAlign w:val="bottom"/>
            <w:tcBorders>
              <w:bottom w:val="single" w:sz="8" w:color="auto"/>
            </w:tcBorders>
          </w:tcPr>
          <w:p>
            <w:pPr>
              <w:ind w:left="1040"/>
              <w:spacing w:after="0"/>
              <w:rPr>
                <w:sz w:val="20"/>
                <w:szCs w:val="20"/>
                <w:color w:val="auto"/>
              </w:rPr>
            </w:pPr>
            <w:r>
              <w:rPr>
                <w:rFonts w:ascii="Arial" w:cs="Arial" w:eastAsia="Arial" w:hAnsi="Arial"/>
                <w:sz w:val="16"/>
                <w:szCs w:val="16"/>
                <w:b w:val="1"/>
                <w:bCs w:val="1"/>
                <w:color w:val="auto"/>
              </w:rPr>
              <w:t>Balance Sheet Location</w:t>
            </w:r>
          </w:p>
        </w:tc>
        <w:tc>
          <w:tcPr>
            <w:tcW w:w="162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6"/>
                <w:szCs w:val="16"/>
                <w:b w:val="1"/>
                <w:bCs w:val="1"/>
                <w:color w:val="auto"/>
              </w:rPr>
              <w:t>2025</w:t>
            </w:r>
          </w:p>
        </w:tc>
        <w:tc>
          <w:tcPr>
            <w:tcW w:w="4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2024</w:t>
            </w:r>
          </w:p>
        </w:tc>
      </w:tr>
      <w:tr>
        <w:trPr>
          <w:trHeight w:val="183"/>
        </w:trPr>
        <w:tc>
          <w:tcPr>
            <w:tcW w:w="412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3"/>
          </w:tcPr>
          <w:p>
            <w:pPr>
              <w:jc w:val="right"/>
              <w:ind w:right="1159"/>
              <w:spacing w:after="0" w:line="183" w:lineRule="exact"/>
              <w:rPr>
                <w:sz w:val="20"/>
                <w:szCs w:val="20"/>
                <w:color w:val="auto"/>
              </w:rPr>
            </w:pPr>
            <w:r>
              <w:rPr>
                <w:rFonts w:ascii="Arial" w:cs="Arial" w:eastAsia="Arial" w:hAnsi="Arial"/>
                <w:sz w:val="16"/>
                <w:szCs w:val="16"/>
                <w:color w:val="auto"/>
              </w:rPr>
              <w:t>(in millions)</w:t>
            </w:r>
          </w:p>
        </w:tc>
      </w:tr>
      <w:tr>
        <w:trPr>
          <w:trHeight w:val="183"/>
        </w:trPr>
        <w:tc>
          <w:tcPr>
            <w:tcW w:w="412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Derivatives designated as hedges:</w:t>
            </w:r>
          </w:p>
        </w:tc>
        <w:tc>
          <w:tcPr>
            <w:tcW w:w="342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r>
      <w:tr>
        <w:trPr>
          <w:trHeight w:val="189"/>
        </w:trPr>
        <w:tc>
          <w:tcPr>
            <w:tcW w:w="4120" w:type="dxa"/>
            <w:vAlign w:val="bottom"/>
          </w:tcPr>
          <w:p>
            <w:pPr>
              <w:ind w:left="40"/>
              <w:spacing w:after="0"/>
              <w:rPr>
                <w:sz w:val="20"/>
                <w:szCs w:val="20"/>
                <w:color w:val="auto"/>
              </w:rPr>
            </w:pPr>
            <w:r>
              <w:rPr>
                <w:rFonts w:ascii="Arial" w:cs="Arial" w:eastAsia="Arial" w:hAnsi="Arial"/>
                <w:sz w:val="16"/>
                <w:szCs w:val="16"/>
                <w:color w:val="auto"/>
              </w:rPr>
              <w:t>Asset derivative instruments:</w:t>
            </w:r>
          </w:p>
        </w:tc>
        <w:tc>
          <w:tcPr>
            <w:tcW w:w="34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89"/>
        </w:trPr>
        <w:tc>
          <w:tcPr>
            <w:tcW w:w="4120" w:type="dxa"/>
            <w:vAlign w:val="bottom"/>
            <w:shd w:val="clear" w:color="auto" w:fill="CFF0FC"/>
          </w:tcPr>
          <w:p>
            <w:pPr>
              <w:ind w:left="80"/>
              <w:spacing w:after="0"/>
              <w:rPr>
                <w:sz w:val="20"/>
                <w:szCs w:val="20"/>
                <w:color w:val="auto"/>
              </w:rPr>
            </w:pPr>
            <w:r>
              <w:rPr>
                <w:rFonts w:ascii="Arial" w:cs="Arial" w:eastAsia="Arial" w:hAnsi="Arial"/>
                <w:sz w:val="16"/>
                <w:szCs w:val="16"/>
                <w:color w:val="auto"/>
              </w:rPr>
              <w:t>Noncurrent commodity derivatives</w:t>
            </w:r>
          </w:p>
        </w:tc>
        <w:tc>
          <w:tcPr>
            <w:tcW w:w="3420" w:type="dxa"/>
            <w:vAlign w:val="bottom"/>
            <w:shd w:val="clear" w:color="auto" w:fill="CFF0FC"/>
          </w:tcPr>
          <w:p>
            <w:pPr>
              <w:spacing w:after="0"/>
              <w:rPr>
                <w:sz w:val="20"/>
                <w:szCs w:val="20"/>
                <w:color w:val="auto"/>
              </w:rPr>
            </w:pPr>
            <w:r>
              <w:rPr>
                <w:rFonts w:ascii="Arial" w:cs="Arial" w:eastAsia="Arial" w:hAnsi="Arial"/>
                <w:sz w:val="16"/>
                <w:szCs w:val="16"/>
                <w:color w:val="auto"/>
              </w:rPr>
              <w:t>Other assets, non-current</w:t>
            </w:r>
          </w:p>
        </w:tc>
        <w:tc>
          <w:tcPr>
            <w:tcW w:w="1620" w:type="dxa"/>
            <w:vAlign w:val="bottom"/>
            <w:gridSpan w:val="2"/>
            <w:shd w:val="clear" w:color="auto" w:fill="CFF0FC"/>
          </w:tcPr>
          <w:p>
            <w:pPr>
              <w:jc w:val="right"/>
              <w:ind w:right="919"/>
              <w:spacing w:after="0"/>
              <w:rPr>
                <w:sz w:val="20"/>
                <w:szCs w:val="20"/>
                <w:color w:val="auto"/>
              </w:rPr>
            </w:pPr>
            <w:r>
              <w:rPr>
                <w:rFonts w:ascii="Arial" w:cs="Arial" w:eastAsia="Arial" w:hAnsi="Arial"/>
                <w:sz w:val="16"/>
                <w:szCs w:val="16"/>
                <w:color w:val="auto"/>
              </w:rPr>
              <w:t>$</w:t>
            </w:r>
          </w:p>
        </w:tc>
        <w:tc>
          <w:tcPr>
            <w:tcW w:w="4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0.1</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189"/>
        </w:trPr>
        <w:tc>
          <w:tcPr>
            <w:tcW w:w="4120" w:type="dxa"/>
            <w:vAlign w:val="bottom"/>
          </w:tcPr>
          <w:p>
            <w:pPr>
              <w:ind w:left="40"/>
              <w:spacing w:after="0"/>
              <w:rPr>
                <w:sz w:val="20"/>
                <w:szCs w:val="20"/>
                <w:color w:val="auto"/>
              </w:rPr>
            </w:pPr>
            <w:r>
              <w:rPr>
                <w:rFonts w:ascii="Arial" w:cs="Arial" w:eastAsia="Arial" w:hAnsi="Arial"/>
                <w:sz w:val="16"/>
                <w:szCs w:val="16"/>
                <w:color w:val="auto"/>
              </w:rPr>
              <w:t>Liability derivative instruments:</w:t>
            </w:r>
          </w:p>
        </w:tc>
        <w:tc>
          <w:tcPr>
            <w:tcW w:w="34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89"/>
        </w:trPr>
        <w:tc>
          <w:tcPr>
            <w:tcW w:w="4120" w:type="dxa"/>
            <w:vAlign w:val="bottom"/>
            <w:shd w:val="clear" w:color="auto" w:fill="CFF0FC"/>
          </w:tcPr>
          <w:p>
            <w:pPr>
              <w:ind w:left="80"/>
              <w:spacing w:after="0"/>
              <w:rPr>
                <w:sz w:val="20"/>
                <w:szCs w:val="20"/>
                <w:color w:val="auto"/>
              </w:rPr>
            </w:pPr>
            <w:r>
              <w:rPr>
                <w:rFonts w:ascii="Arial" w:cs="Arial" w:eastAsia="Arial" w:hAnsi="Arial"/>
                <w:sz w:val="16"/>
                <w:szCs w:val="16"/>
                <w:color w:val="auto"/>
              </w:rPr>
              <w:t>Current commodity derivatives</w:t>
            </w:r>
          </w:p>
        </w:tc>
        <w:tc>
          <w:tcPr>
            <w:tcW w:w="3420" w:type="dxa"/>
            <w:vAlign w:val="bottom"/>
            <w:shd w:val="clear" w:color="auto" w:fill="CFF0FC"/>
          </w:tcPr>
          <w:p>
            <w:pPr>
              <w:spacing w:after="0"/>
              <w:rPr>
                <w:sz w:val="20"/>
                <w:szCs w:val="20"/>
                <w:color w:val="auto"/>
              </w:rPr>
            </w:pPr>
            <w:r>
              <w:rPr>
                <w:rFonts w:ascii="Arial" w:cs="Arial" w:eastAsia="Arial" w:hAnsi="Arial"/>
                <w:sz w:val="16"/>
                <w:szCs w:val="16"/>
                <w:color w:val="auto"/>
              </w:rPr>
              <w:t>Derivative liabilities, current</w:t>
            </w:r>
          </w:p>
        </w:tc>
        <w:tc>
          <w:tcPr>
            <w:tcW w:w="520" w:type="dxa"/>
            <w:vAlign w:val="bottom"/>
            <w:shd w:val="clear" w:color="auto" w:fill="CFF0FC"/>
          </w:tcPr>
          <w:p>
            <w:pPr>
              <w:spacing w:after="0"/>
              <w:rPr>
                <w:sz w:val="16"/>
                <w:szCs w:val="16"/>
                <w:color w:val="auto"/>
              </w:rPr>
            </w:pPr>
          </w:p>
        </w:tc>
        <w:tc>
          <w:tcPr>
            <w:tcW w:w="1100" w:type="dxa"/>
            <w:vAlign w:val="bottom"/>
            <w:tcBorders>
              <w:bottom w:val="single" w:sz="8" w:color="auto"/>
            </w:tcBorders>
            <w:shd w:val="clear" w:color="auto" w:fill="CFF0FC"/>
          </w:tcPr>
          <w:p>
            <w:pPr>
              <w:spacing w:after="0"/>
              <w:rPr>
                <w:sz w:val="16"/>
                <w:szCs w:val="16"/>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(0.5)</w:t>
            </w:r>
          </w:p>
        </w:tc>
        <w:tc>
          <w:tcPr>
            <w:tcW w:w="160" w:type="dxa"/>
            <w:vAlign w:val="bottom"/>
            <w:tcBorders>
              <w:bottom w:val="single" w:sz="8" w:color="auto"/>
            </w:tcBorders>
            <w:shd w:val="clear" w:color="auto" w:fill="CFF0FC"/>
          </w:tcPr>
          <w:p>
            <w:pPr>
              <w:spacing w:after="0"/>
              <w:rPr>
                <w:sz w:val="16"/>
                <w:szCs w:val="16"/>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(0.7)</w:t>
            </w:r>
          </w:p>
        </w:tc>
      </w:tr>
      <w:tr>
        <w:trPr>
          <w:trHeight w:val="183"/>
        </w:trPr>
        <w:tc>
          <w:tcPr>
            <w:tcW w:w="4120" w:type="dxa"/>
            <w:vAlign w:val="bottom"/>
          </w:tcPr>
          <w:p>
            <w:pPr>
              <w:spacing w:after="0" w:line="169" w:lineRule="exact"/>
              <w:rPr>
                <w:sz w:val="20"/>
                <w:szCs w:val="20"/>
                <w:color w:val="auto"/>
              </w:rPr>
            </w:pPr>
            <w:r>
              <w:rPr>
                <w:rFonts w:ascii="Arial" w:cs="Arial" w:eastAsia="Arial" w:hAnsi="Arial"/>
                <w:sz w:val="16"/>
                <w:szCs w:val="16"/>
                <w:color w:val="auto"/>
              </w:rPr>
              <w:t>Total derivatives designated as hedges</w:t>
            </w:r>
          </w:p>
        </w:tc>
        <w:tc>
          <w:tcPr>
            <w:tcW w:w="3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00" w:type="dxa"/>
            <w:vAlign w:val="bottom"/>
            <w:tcBorders>
              <w:bottom w:val="single" w:sz="8" w:color="auto"/>
            </w:tcBorders>
          </w:tcPr>
          <w:p>
            <w:pPr>
              <w:jc w:val="right"/>
              <w:ind w:right="919"/>
              <w:spacing w:after="0" w:line="169" w:lineRule="exact"/>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(0.4)</w:t>
            </w:r>
          </w:p>
        </w:tc>
        <w:tc>
          <w:tcPr>
            <w:tcW w:w="1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(0.7)</w:t>
            </w:r>
          </w:p>
        </w:tc>
      </w:tr>
      <w:tr>
        <w:trPr>
          <w:trHeight w:val="20"/>
        </w:trPr>
        <w:tc>
          <w:tcPr>
            <w:tcW w:w="41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70"/>
        </w:trPr>
        <w:tc>
          <w:tcPr>
            <w:tcW w:w="4120" w:type="dxa"/>
            <w:vAlign w:val="bottom"/>
            <w:shd w:val="clear" w:color="auto" w:fill="CFF0FC"/>
          </w:tcPr>
          <w:p>
            <w:pPr>
              <w:spacing w:after="0"/>
              <w:rPr>
                <w:sz w:val="14"/>
                <w:szCs w:val="14"/>
                <w:color w:val="auto"/>
              </w:rPr>
            </w:pPr>
          </w:p>
        </w:tc>
        <w:tc>
          <w:tcPr>
            <w:tcW w:w="34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r>
      <w:tr>
        <w:trPr>
          <w:trHeight w:val="189"/>
        </w:trPr>
        <w:tc>
          <w:tcPr>
            <w:tcW w:w="4120" w:type="dxa"/>
            <w:vAlign w:val="bottom"/>
          </w:tcPr>
          <w:p>
            <w:pPr>
              <w:spacing w:after="0"/>
              <w:rPr>
                <w:sz w:val="20"/>
                <w:szCs w:val="20"/>
                <w:color w:val="auto"/>
              </w:rPr>
            </w:pPr>
            <w:r>
              <w:rPr>
                <w:rFonts w:ascii="Arial" w:cs="Arial" w:eastAsia="Arial" w:hAnsi="Arial"/>
                <w:sz w:val="16"/>
                <w:szCs w:val="16"/>
                <w:color w:val="auto"/>
              </w:rPr>
              <w:t>Derivatives not designated as hedges:</w:t>
            </w:r>
          </w:p>
        </w:tc>
        <w:tc>
          <w:tcPr>
            <w:tcW w:w="34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89"/>
        </w:trPr>
        <w:tc>
          <w:tcPr>
            <w:tcW w:w="4120" w:type="dxa"/>
            <w:vAlign w:val="bottom"/>
            <w:shd w:val="clear" w:color="auto" w:fill="CFF0FC"/>
          </w:tcPr>
          <w:p>
            <w:pPr>
              <w:ind w:left="40"/>
              <w:spacing w:after="0"/>
              <w:rPr>
                <w:sz w:val="20"/>
                <w:szCs w:val="20"/>
                <w:color w:val="auto"/>
              </w:rPr>
            </w:pPr>
            <w:r>
              <w:rPr>
                <w:rFonts w:ascii="Arial" w:cs="Arial" w:eastAsia="Arial" w:hAnsi="Arial"/>
                <w:sz w:val="16"/>
                <w:szCs w:val="16"/>
                <w:color w:val="auto"/>
              </w:rPr>
              <w:t>Asset derivative instruments:</w:t>
            </w:r>
          </w:p>
        </w:tc>
        <w:tc>
          <w:tcPr>
            <w:tcW w:w="342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440" w:type="dxa"/>
            <w:vAlign w:val="bottom"/>
            <w:shd w:val="clear" w:color="auto" w:fill="CFF0FC"/>
          </w:tcPr>
          <w:p>
            <w:pPr>
              <w:spacing w:after="0"/>
              <w:rPr>
                <w:sz w:val="16"/>
                <w:szCs w:val="16"/>
                <w:color w:val="auto"/>
              </w:rPr>
            </w:pPr>
          </w:p>
        </w:tc>
      </w:tr>
      <w:tr>
        <w:trPr>
          <w:trHeight w:val="189"/>
        </w:trPr>
        <w:tc>
          <w:tcPr>
            <w:tcW w:w="4120" w:type="dxa"/>
            <w:vAlign w:val="bottom"/>
          </w:tcPr>
          <w:p>
            <w:pPr>
              <w:ind w:left="80"/>
              <w:spacing w:after="0"/>
              <w:rPr>
                <w:sz w:val="20"/>
                <w:szCs w:val="20"/>
                <w:color w:val="auto"/>
              </w:rPr>
            </w:pPr>
            <w:r>
              <w:rPr>
                <w:rFonts w:ascii="Arial" w:cs="Arial" w:eastAsia="Arial" w:hAnsi="Arial"/>
                <w:sz w:val="16"/>
                <w:szCs w:val="16"/>
                <w:color w:val="auto"/>
              </w:rPr>
              <w:t>Noncurrent commodity derivatives</w:t>
            </w:r>
          </w:p>
        </w:tc>
        <w:tc>
          <w:tcPr>
            <w:tcW w:w="3420" w:type="dxa"/>
            <w:vAlign w:val="bottom"/>
          </w:tcPr>
          <w:p>
            <w:pPr>
              <w:spacing w:after="0"/>
              <w:rPr>
                <w:sz w:val="20"/>
                <w:szCs w:val="20"/>
                <w:color w:val="auto"/>
              </w:rPr>
            </w:pPr>
            <w:r>
              <w:rPr>
                <w:rFonts w:ascii="Arial" w:cs="Arial" w:eastAsia="Arial" w:hAnsi="Arial"/>
                <w:sz w:val="16"/>
                <w:szCs w:val="16"/>
                <w:color w:val="auto"/>
              </w:rPr>
              <w:t>Other assets, non-current</w:t>
            </w:r>
          </w:p>
        </w:tc>
        <w:tc>
          <w:tcPr>
            <w:tcW w:w="1620" w:type="dxa"/>
            <w:vAlign w:val="bottom"/>
            <w:gridSpan w:val="2"/>
          </w:tcPr>
          <w:p>
            <w:pPr>
              <w:jc w:val="right"/>
              <w:ind w:right="919"/>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0.2</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189"/>
        </w:trPr>
        <w:tc>
          <w:tcPr>
            <w:tcW w:w="4120" w:type="dxa"/>
            <w:vAlign w:val="bottom"/>
            <w:shd w:val="clear" w:color="auto" w:fill="CFF0FC"/>
          </w:tcPr>
          <w:p>
            <w:pPr>
              <w:ind w:left="40"/>
              <w:spacing w:after="0"/>
              <w:rPr>
                <w:sz w:val="20"/>
                <w:szCs w:val="20"/>
                <w:color w:val="auto"/>
              </w:rPr>
            </w:pPr>
            <w:r>
              <w:rPr>
                <w:rFonts w:ascii="Arial" w:cs="Arial" w:eastAsia="Arial" w:hAnsi="Arial"/>
                <w:sz w:val="16"/>
                <w:szCs w:val="16"/>
                <w:color w:val="auto"/>
              </w:rPr>
              <w:t>Liability derivative instruments:</w:t>
            </w:r>
          </w:p>
        </w:tc>
        <w:tc>
          <w:tcPr>
            <w:tcW w:w="342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440" w:type="dxa"/>
            <w:vAlign w:val="bottom"/>
            <w:shd w:val="clear" w:color="auto" w:fill="CFF0FC"/>
          </w:tcPr>
          <w:p>
            <w:pPr>
              <w:spacing w:after="0"/>
              <w:rPr>
                <w:sz w:val="16"/>
                <w:szCs w:val="16"/>
                <w:color w:val="auto"/>
              </w:rPr>
            </w:pPr>
          </w:p>
        </w:tc>
      </w:tr>
      <w:tr>
        <w:trPr>
          <w:trHeight w:val="189"/>
        </w:trPr>
        <w:tc>
          <w:tcPr>
            <w:tcW w:w="4120" w:type="dxa"/>
            <w:vAlign w:val="bottom"/>
            <w:tcBorders>
              <w:bottom w:val="single" w:sz="8" w:color="CFF0FC"/>
            </w:tcBorders>
          </w:tcPr>
          <w:p>
            <w:pPr>
              <w:ind w:left="80"/>
              <w:spacing w:after="0"/>
              <w:rPr>
                <w:sz w:val="20"/>
                <w:szCs w:val="20"/>
                <w:color w:val="auto"/>
              </w:rPr>
            </w:pPr>
            <w:r>
              <w:rPr>
                <w:rFonts w:ascii="Arial" w:cs="Arial" w:eastAsia="Arial" w:hAnsi="Arial"/>
                <w:sz w:val="16"/>
                <w:szCs w:val="16"/>
                <w:color w:val="auto"/>
              </w:rPr>
              <w:t>Current commodity derivatives</w:t>
            </w:r>
          </w:p>
        </w:tc>
        <w:tc>
          <w:tcPr>
            <w:tcW w:w="34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Derivative liabilities, current</w:t>
            </w:r>
          </w:p>
        </w:tc>
        <w:tc>
          <w:tcPr>
            <w:tcW w:w="520" w:type="dxa"/>
            <w:vAlign w:val="bottom"/>
            <w:tcBorders>
              <w:bottom w:val="single" w:sz="8" w:color="CFF0FC"/>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r>
      <w:tr>
        <w:trPr>
          <w:trHeight w:val="223"/>
        </w:trPr>
        <w:tc>
          <w:tcPr>
            <w:tcW w:w="4120" w:type="dxa"/>
            <w:vAlign w:val="bottom"/>
            <w:tcBorders>
              <w:bottom w:val="single" w:sz="8" w:color="CFF0FC"/>
            </w:tcBorders>
            <w:shd w:val="clear" w:color="auto" w:fill="CFF0FC"/>
          </w:tcPr>
          <w:p>
            <w:pPr>
              <w:spacing w:after="0" w:line="169" w:lineRule="exact"/>
              <w:rPr>
                <w:sz w:val="20"/>
                <w:szCs w:val="20"/>
                <w:color w:val="auto"/>
              </w:rPr>
            </w:pPr>
            <w:r>
              <w:rPr>
                <w:rFonts w:ascii="Arial" w:cs="Arial" w:eastAsia="Arial" w:hAnsi="Arial"/>
                <w:sz w:val="16"/>
                <w:szCs w:val="16"/>
                <w:color w:val="auto"/>
              </w:rPr>
              <w:t>Total derivatives not designated as hedges</w:t>
            </w:r>
          </w:p>
        </w:tc>
        <w:tc>
          <w:tcPr>
            <w:tcW w:w="342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919"/>
              <w:spacing w:after="0" w:line="169" w:lineRule="exact"/>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(1.0)</w:t>
            </w:r>
          </w:p>
        </w:tc>
        <w:tc>
          <w:tcPr>
            <w:tcW w:w="16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(3.5)</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Derivatives Designated as Hedge Instruments</w:t>
      </w:r>
    </w:p>
    <w:p>
      <w:pPr>
        <w:spacing w:after="0" w:line="194" w:lineRule="exact"/>
        <w:rPr>
          <w:sz w:val="20"/>
          <w:szCs w:val="20"/>
          <w:color w:val="auto"/>
        </w:rPr>
      </w:pPr>
    </w:p>
    <w:p>
      <w:pPr>
        <w:ind w:right="220"/>
        <w:spacing w:after="0" w:line="259" w:lineRule="auto"/>
        <w:rPr>
          <w:sz w:val="20"/>
          <w:szCs w:val="20"/>
          <w:color w:val="auto"/>
        </w:rPr>
      </w:pPr>
      <w:r>
        <w:rPr>
          <w:rFonts w:ascii="Arial" w:cs="Arial" w:eastAsia="Arial" w:hAnsi="Arial"/>
          <w:sz w:val="16"/>
          <w:szCs w:val="16"/>
          <w:color w:val="auto"/>
        </w:rPr>
        <w:t>The impact of cash flow hedges on our Consolidated Statements of Comprehensive Income and Consolidated Statements of Income are presented below for the three and six months ended June 30, 2025, and 2024. Note that this presentation does not reflect the gains or losses arising from the underlying physical transactions; therefore, it is not indicative of the economic profit or loss we realized when the underlying physical and financial transactions were settled.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540" w:type="dxa"/>
            <w:vAlign w:val="bottom"/>
          </w:tcPr>
          <w:p>
            <w:pPr>
              <w:spacing w:after="0"/>
              <w:rPr>
                <w:sz w:val="16"/>
                <w:szCs w:val="16"/>
                <w:color w:val="auto"/>
              </w:rPr>
            </w:pPr>
          </w:p>
        </w:tc>
        <w:tc>
          <w:tcPr>
            <w:tcW w:w="2000" w:type="dxa"/>
            <w:vAlign w:val="bottom"/>
            <w:gridSpan w:val="3"/>
          </w:tcPr>
          <w:p>
            <w:pPr>
              <w:jc w:val="center"/>
              <w:ind w:left="159"/>
              <w:spacing w:after="0"/>
              <w:rPr>
                <w:sz w:val="20"/>
                <w:szCs w:val="20"/>
                <w:color w:val="auto"/>
              </w:rPr>
            </w:pPr>
            <w:r>
              <w:rPr>
                <w:rFonts w:ascii="Arial" w:cs="Arial" w:eastAsia="Arial" w:hAnsi="Arial"/>
                <w:sz w:val="16"/>
                <w:szCs w:val="16"/>
                <w:b w:val="1"/>
                <w:bCs w:val="1"/>
                <w:color w:val="auto"/>
              </w:rPr>
              <w:t>Three Months Ended</w:t>
            </w:r>
          </w:p>
        </w:tc>
        <w:tc>
          <w:tcPr>
            <w:tcW w:w="36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20" w:type="dxa"/>
            <w:vAlign w:val="bottom"/>
            <w:gridSpan w:val="3"/>
          </w:tcPr>
          <w:p>
            <w:pPr>
              <w:jc w:val="center"/>
              <w:ind w:right="159"/>
              <w:spacing w:after="0"/>
              <w:rPr>
                <w:sz w:val="20"/>
                <w:szCs w:val="20"/>
                <w:color w:val="auto"/>
              </w:rPr>
            </w:pPr>
            <w:r>
              <w:rPr>
                <w:rFonts w:ascii="Arial" w:cs="Arial" w:eastAsia="Arial" w:hAnsi="Arial"/>
                <w:sz w:val="16"/>
                <w:szCs w:val="16"/>
                <w:b w:val="1"/>
                <w:bCs w:val="1"/>
                <w:color w:val="auto"/>
              </w:rPr>
              <w:t>Three Months Ended</w:t>
            </w:r>
          </w:p>
        </w:tc>
      </w:tr>
      <w:tr>
        <w:trPr>
          <w:trHeight w:val="189"/>
        </w:trPr>
        <w:tc>
          <w:tcPr>
            <w:tcW w:w="35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40" w:type="dxa"/>
            <w:vAlign w:val="bottom"/>
            <w:gridSpan w:val="2"/>
          </w:tcPr>
          <w:p>
            <w:pPr>
              <w:jc w:val="center"/>
              <w:ind w:right="439"/>
              <w:spacing w:after="0"/>
              <w:rPr>
                <w:sz w:val="20"/>
                <w:szCs w:val="20"/>
                <w:color w:val="auto"/>
              </w:rPr>
            </w:pPr>
            <w:r>
              <w:rPr>
                <w:rFonts w:ascii="Arial" w:cs="Arial" w:eastAsia="Arial" w:hAnsi="Arial"/>
                <w:sz w:val="16"/>
                <w:szCs w:val="16"/>
                <w:b w:val="1"/>
                <w:bCs w:val="1"/>
                <w:color w:val="auto"/>
                <w:w w:val="99"/>
              </w:rPr>
              <w:t>June 30,</w:t>
            </w:r>
          </w:p>
        </w:tc>
        <w:tc>
          <w:tcPr>
            <w:tcW w:w="36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left="479"/>
              <w:spacing w:after="0"/>
              <w:rPr>
                <w:sz w:val="20"/>
                <w:szCs w:val="20"/>
                <w:color w:val="auto"/>
              </w:rPr>
            </w:pPr>
            <w:r>
              <w:rPr>
                <w:rFonts w:ascii="Arial" w:cs="Arial" w:eastAsia="Arial" w:hAnsi="Arial"/>
                <w:sz w:val="16"/>
                <w:szCs w:val="16"/>
                <w:b w:val="1"/>
                <w:bCs w:val="1"/>
                <w:color w:val="auto"/>
              </w:rPr>
              <w:t>June 30,</w:t>
            </w:r>
          </w:p>
        </w:tc>
        <w:tc>
          <w:tcPr>
            <w:tcW w:w="820" w:type="dxa"/>
            <w:vAlign w:val="bottom"/>
          </w:tcPr>
          <w:p>
            <w:pPr>
              <w:spacing w:after="0"/>
              <w:rPr>
                <w:sz w:val="16"/>
                <w:szCs w:val="16"/>
                <w:color w:val="auto"/>
              </w:rPr>
            </w:pPr>
          </w:p>
        </w:tc>
      </w:tr>
      <w:tr>
        <w:trPr>
          <w:trHeight w:val="203"/>
        </w:trPr>
        <w:tc>
          <w:tcPr>
            <w:tcW w:w="3540" w:type="dxa"/>
            <w:vAlign w:val="bottom"/>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4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360" w:type="dxa"/>
            <w:vAlign w:val="bottom"/>
            <w:tcBorders>
              <w:bottom w:val="single" w:sz="8" w:color="auto"/>
            </w:tcBorders>
          </w:tcPr>
          <w:p>
            <w:pPr>
              <w:spacing w:after="0"/>
              <w:rPr>
                <w:sz w:val="17"/>
                <w:szCs w:val="17"/>
                <w:color w:val="auto"/>
              </w:rPr>
            </w:pPr>
          </w:p>
        </w:tc>
        <w:tc>
          <w:tcPr>
            <w:tcW w:w="3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2025</w:t>
            </w: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2024</w:t>
            </w:r>
          </w:p>
        </w:tc>
      </w:tr>
      <w:tr>
        <w:trPr>
          <w:trHeight w:val="168"/>
        </w:trPr>
        <w:tc>
          <w:tcPr>
            <w:tcW w:w="3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3"/>
          </w:tcPr>
          <w:p>
            <w:pPr>
              <w:jc w:val="center"/>
              <w:ind w:right="219"/>
              <w:spacing w:after="0" w:line="168" w:lineRule="exact"/>
              <w:rPr>
                <w:sz w:val="20"/>
                <w:szCs w:val="20"/>
                <w:color w:val="auto"/>
              </w:rPr>
            </w:pPr>
            <w:r>
              <w:rPr>
                <w:rFonts w:ascii="Arial" w:cs="Arial" w:eastAsia="Arial" w:hAnsi="Arial"/>
                <w:sz w:val="16"/>
                <w:szCs w:val="16"/>
                <w:b w:val="1"/>
                <w:bCs w:val="1"/>
                <w:color w:val="auto"/>
              </w:rPr>
              <w:t>Amount of Gain/(Loss)</w:t>
            </w:r>
          </w:p>
        </w:tc>
      </w:tr>
      <w:tr>
        <w:trPr>
          <w:trHeight w:val="189"/>
        </w:trPr>
        <w:tc>
          <w:tcPr>
            <w:tcW w:w="3540" w:type="dxa"/>
            <w:vAlign w:val="bottom"/>
          </w:tcPr>
          <w:p>
            <w:pPr>
              <w:jc w:val="center"/>
              <w:spacing w:after="0"/>
              <w:rPr>
                <w:sz w:val="20"/>
                <w:szCs w:val="20"/>
                <w:color w:val="auto"/>
              </w:rPr>
            </w:pPr>
            <w:r>
              <w:rPr>
                <w:rFonts w:ascii="Arial" w:cs="Arial" w:eastAsia="Arial" w:hAnsi="Arial"/>
                <w:sz w:val="16"/>
                <w:szCs w:val="16"/>
                <w:b w:val="1"/>
                <w:bCs w:val="1"/>
                <w:color w:val="auto"/>
              </w:rPr>
              <w:t>Derivatives in Cash Flow Hedging</w:t>
            </w:r>
          </w:p>
        </w:tc>
        <w:tc>
          <w:tcPr>
            <w:tcW w:w="2000" w:type="dxa"/>
            <w:vAlign w:val="bottom"/>
            <w:gridSpan w:val="3"/>
          </w:tcPr>
          <w:p>
            <w:pPr>
              <w:jc w:val="center"/>
              <w:ind w:left="99"/>
              <w:spacing w:after="0"/>
              <w:rPr>
                <w:sz w:val="20"/>
                <w:szCs w:val="20"/>
                <w:color w:val="auto"/>
              </w:rPr>
            </w:pPr>
            <w:r>
              <w:rPr>
                <w:rFonts w:ascii="Arial" w:cs="Arial" w:eastAsia="Arial" w:hAnsi="Arial"/>
                <w:sz w:val="16"/>
                <w:szCs w:val="16"/>
                <w:b w:val="1"/>
                <w:bCs w:val="1"/>
                <w:color w:val="auto"/>
              </w:rPr>
              <w:t>Amount of Gain/(Loss)</w:t>
            </w:r>
          </w:p>
        </w:tc>
        <w:tc>
          <w:tcPr>
            <w:tcW w:w="36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20" w:type="dxa"/>
            <w:vAlign w:val="bottom"/>
            <w:gridSpan w:val="3"/>
          </w:tcPr>
          <w:p>
            <w:pPr>
              <w:jc w:val="center"/>
              <w:ind w:right="219"/>
              <w:spacing w:after="0"/>
              <w:rPr>
                <w:sz w:val="20"/>
                <w:szCs w:val="20"/>
                <w:color w:val="auto"/>
              </w:rPr>
            </w:pPr>
            <w:r>
              <w:rPr>
                <w:rFonts w:ascii="Arial" w:cs="Arial" w:eastAsia="Arial" w:hAnsi="Arial"/>
                <w:sz w:val="16"/>
                <w:szCs w:val="16"/>
                <w:b w:val="1"/>
                <w:bCs w:val="1"/>
                <w:color w:val="auto"/>
              </w:rPr>
              <w:t>Reclassified from AOCI</w:t>
            </w:r>
          </w:p>
        </w:tc>
      </w:tr>
      <w:tr>
        <w:trPr>
          <w:trHeight w:val="203"/>
        </w:trPr>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Relationships</w:t>
            </w:r>
          </w:p>
        </w:tc>
        <w:tc>
          <w:tcPr>
            <w:tcW w:w="2000" w:type="dxa"/>
            <w:vAlign w:val="bottom"/>
            <w:tcBorders>
              <w:bottom w:val="single" w:sz="8" w:color="auto"/>
            </w:tcBorders>
            <w:gridSpan w:val="3"/>
          </w:tcPr>
          <w:p>
            <w:pPr>
              <w:jc w:val="center"/>
              <w:ind w:left="159"/>
              <w:spacing w:after="0"/>
              <w:rPr>
                <w:sz w:val="20"/>
                <w:szCs w:val="20"/>
                <w:color w:val="auto"/>
              </w:rPr>
            </w:pPr>
            <w:r>
              <w:rPr>
                <w:rFonts w:ascii="Arial" w:cs="Arial" w:eastAsia="Arial" w:hAnsi="Arial"/>
                <w:sz w:val="16"/>
                <w:szCs w:val="16"/>
                <w:b w:val="1"/>
                <w:bCs w:val="1"/>
                <w:color w:val="auto"/>
              </w:rPr>
              <w:t>Recognized in OCI</w:t>
            </w:r>
          </w:p>
        </w:tc>
        <w:tc>
          <w:tcPr>
            <w:tcW w:w="360" w:type="dxa"/>
            <w:vAlign w:val="bottom"/>
            <w:tcBorders>
              <w:bottom w:val="single" w:sz="8" w:color="auto"/>
            </w:tcBorders>
          </w:tcPr>
          <w:p>
            <w:pPr>
              <w:spacing w:after="0"/>
              <w:rPr>
                <w:sz w:val="17"/>
                <w:szCs w:val="17"/>
                <w:color w:val="auto"/>
              </w:rPr>
            </w:pPr>
          </w:p>
        </w:tc>
        <w:tc>
          <w:tcPr>
            <w:tcW w:w="3100" w:type="dxa"/>
            <w:vAlign w:val="bottom"/>
            <w:tcBorders>
              <w:bottom w:val="single" w:sz="8" w:color="auto"/>
            </w:tcBorders>
          </w:tcPr>
          <w:p>
            <w:pPr>
              <w:ind w:left="480"/>
              <w:spacing w:after="0"/>
              <w:rPr>
                <w:sz w:val="20"/>
                <w:szCs w:val="20"/>
                <w:color w:val="auto"/>
              </w:rPr>
            </w:pPr>
            <w:r>
              <w:rPr>
                <w:rFonts w:ascii="Arial" w:cs="Arial" w:eastAsia="Arial" w:hAnsi="Arial"/>
                <w:sz w:val="16"/>
                <w:szCs w:val="16"/>
                <w:b w:val="1"/>
                <w:bCs w:val="1"/>
                <w:color w:val="auto"/>
              </w:rPr>
              <w:t>Income Statement Location</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3"/>
          </w:tcPr>
          <w:p>
            <w:pPr>
              <w:jc w:val="center"/>
              <w:ind w:right="179"/>
              <w:spacing w:after="0"/>
              <w:rPr>
                <w:sz w:val="20"/>
                <w:szCs w:val="20"/>
                <w:color w:val="auto"/>
              </w:rPr>
            </w:pPr>
            <w:r>
              <w:rPr>
                <w:rFonts w:ascii="Arial" w:cs="Arial" w:eastAsia="Arial" w:hAnsi="Arial"/>
                <w:sz w:val="16"/>
                <w:szCs w:val="16"/>
                <w:b w:val="1"/>
                <w:bCs w:val="1"/>
                <w:color w:val="auto"/>
              </w:rPr>
              <w:t>into Income</w:t>
            </w:r>
          </w:p>
        </w:tc>
      </w:tr>
      <w:tr>
        <w:trPr>
          <w:trHeight w:val="183"/>
        </w:trPr>
        <w:tc>
          <w:tcPr>
            <w:tcW w:w="3540" w:type="dxa"/>
            <w:vAlign w:val="bottom"/>
          </w:tcPr>
          <w:p>
            <w:pPr>
              <w:spacing w:after="0"/>
              <w:rPr>
                <w:sz w:val="15"/>
                <w:szCs w:val="15"/>
                <w:color w:val="auto"/>
              </w:rPr>
            </w:pPr>
          </w:p>
        </w:tc>
        <w:tc>
          <w:tcPr>
            <w:tcW w:w="2000" w:type="dxa"/>
            <w:vAlign w:val="bottom"/>
            <w:tcBorders>
              <w:bottom w:val="single" w:sz="8" w:color="auto"/>
            </w:tcBorders>
            <w:gridSpan w:val="3"/>
          </w:tcPr>
          <w:p>
            <w:pPr>
              <w:jc w:val="center"/>
              <w:ind w:left="139"/>
              <w:spacing w:after="0" w:line="183" w:lineRule="exact"/>
              <w:rPr>
                <w:sz w:val="20"/>
                <w:szCs w:val="20"/>
                <w:color w:val="auto"/>
              </w:rPr>
            </w:pPr>
            <w:r>
              <w:rPr>
                <w:rFonts w:ascii="Arial" w:cs="Arial" w:eastAsia="Arial" w:hAnsi="Arial"/>
                <w:sz w:val="16"/>
                <w:szCs w:val="16"/>
                <w:color w:val="auto"/>
              </w:rPr>
              <w:t>(in millions)</w:t>
            </w:r>
          </w:p>
        </w:tc>
        <w:tc>
          <w:tcPr>
            <w:tcW w:w="360" w:type="dxa"/>
            <w:vAlign w:val="bottom"/>
            <w:tcBorders>
              <w:bottom w:val="single" w:sz="8" w:color="auto"/>
            </w:tcBorders>
          </w:tcPr>
          <w:p>
            <w:pPr>
              <w:spacing w:after="0"/>
              <w:rPr>
                <w:sz w:val="15"/>
                <w:szCs w:val="15"/>
                <w:color w:val="auto"/>
              </w:rPr>
            </w:pPr>
          </w:p>
        </w:tc>
        <w:tc>
          <w:tcPr>
            <w:tcW w:w="3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3"/>
          </w:tcPr>
          <w:p>
            <w:pPr>
              <w:jc w:val="center"/>
              <w:ind w:right="179"/>
              <w:spacing w:after="0" w:line="183" w:lineRule="exact"/>
              <w:rPr>
                <w:sz w:val="20"/>
                <w:szCs w:val="20"/>
                <w:color w:val="auto"/>
              </w:rPr>
            </w:pPr>
            <w:r>
              <w:rPr>
                <w:rFonts w:ascii="Arial" w:cs="Arial" w:eastAsia="Arial" w:hAnsi="Arial"/>
                <w:sz w:val="16"/>
                <w:szCs w:val="16"/>
                <w:color w:val="auto"/>
              </w:rPr>
              <w:t>(in millions)</w:t>
            </w:r>
          </w:p>
        </w:tc>
      </w:tr>
      <w:tr>
        <w:trPr>
          <w:trHeight w:val="183"/>
        </w:trPr>
        <w:tc>
          <w:tcPr>
            <w:tcW w:w="35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Interest rate swaps</w:t>
            </w:r>
          </w:p>
        </w:tc>
        <w:tc>
          <w:tcPr>
            <w:tcW w:w="760" w:type="dxa"/>
            <w:vAlign w:val="bottom"/>
            <w:shd w:val="clear" w:color="auto" w:fill="CFF0FC"/>
          </w:tcPr>
          <w:p>
            <w:pPr>
              <w:jc w:val="right"/>
              <w:ind w:right="579"/>
              <w:spacing w:after="0" w:line="183" w:lineRule="exact"/>
              <w:rPr>
                <w:sz w:val="20"/>
                <w:szCs w:val="20"/>
                <w:color w:val="auto"/>
              </w:rPr>
            </w:pPr>
            <w:r>
              <w:rPr>
                <w:rFonts w:ascii="Arial" w:cs="Arial" w:eastAsia="Arial" w:hAnsi="Arial"/>
                <w:sz w:val="16"/>
                <w:szCs w:val="16"/>
                <w:color w:val="auto"/>
                <w:w w:val="89"/>
              </w:rPr>
              <w:t>$</w:t>
            </w:r>
          </w:p>
        </w:tc>
        <w:tc>
          <w:tcPr>
            <w:tcW w:w="4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0.8</w:t>
            </w:r>
          </w:p>
        </w:tc>
        <w:tc>
          <w:tcPr>
            <w:tcW w:w="800" w:type="dxa"/>
            <w:vAlign w:val="bottom"/>
            <w:shd w:val="clear" w:color="auto" w:fill="CFF0FC"/>
          </w:tcPr>
          <w:p>
            <w:pPr>
              <w:jc w:val="right"/>
              <w:ind w:right="599"/>
              <w:spacing w:after="0" w:line="183" w:lineRule="exact"/>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w w:val="98"/>
              </w:rPr>
              <w:t>0.7</w:t>
            </w:r>
          </w:p>
        </w:tc>
        <w:tc>
          <w:tcPr>
            <w:tcW w:w="31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Interest expense</w:t>
            </w:r>
          </w:p>
        </w:tc>
        <w:tc>
          <w:tcPr>
            <w:tcW w:w="12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(0.8)</w:t>
            </w:r>
          </w:p>
        </w:tc>
        <w:tc>
          <w:tcPr>
            <w:tcW w:w="300" w:type="dxa"/>
            <w:vAlign w:val="bottom"/>
            <w:shd w:val="clear" w:color="auto" w:fill="CFF0FC"/>
          </w:tcPr>
          <w:p>
            <w:pPr>
              <w:jc w:val="right"/>
              <w:ind w:right="119"/>
              <w:spacing w:after="0" w:line="183" w:lineRule="exact"/>
              <w:rPr>
                <w:sz w:val="20"/>
                <w:szCs w:val="20"/>
                <w:color w:val="auto"/>
              </w:rPr>
            </w:pPr>
            <w:r>
              <w:rPr>
                <w:rFonts w:ascii="Arial" w:cs="Arial" w:eastAsia="Arial" w:hAnsi="Arial"/>
                <w:sz w:val="16"/>
                <w:szCs w:val="16"/>
                <w:color w:val="auto"/>
                <w:w w:val="89"/>
              </w:rPr>
              <w:t>$</w:t>
            </w:r>
          </w:p>
        </w:tc>
        <w:tc>
          <w:tcPr>
            <w:tcW w:w="8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(0.7)</w:t>
            </w:r>
          </w:p>
        </w:tc>
      </w:tr>
      <w:tr>
        <w:trPr>
          <w:trHeight w:val="175"/>
        </w:trPr>
        <w:tc>
          <w:tcPr>
            <w:tcW w:w="35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100" w:type="dxa"/>
            <w:vAlign w:val="bottom"/>
          </w:tcPr>
          <w:p>
            <w:pPr>
              <w:spacing w:after="0" w:line="175" w:lineRule="exact"/>
              <w:rPr>
                <w:sz w:val="20"/>
                <w:szCs w:val="20"/>
                <w:color w:val="auto"/>
              </w:rPr>
            </w:pPr>
            <w:r>
              <w:rPr>
                <w:rFonts w:ascii="Arial" w:cs="Arial" w:eastAsia="Arial" w:hAnsi="Arial"/>
                <w:sz w:val="16"/>
                <w:szCs w:val="16"/>
                <w:color w:val="auto"/>
              </w:rPr>
              <w:t>Fuel, purchased power, and cost of natural</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03"/>
        </w:trPr>
        <w:tc>
          <w:tcPr>
            <w:tcW w:w="3540" w:type="dxa"/>
            <w:vAlign w:val="bottom"/>
          </w:tcPr>
          <w:p>
            <w:pPr>
              <w:spacing w:after="0"/>
              <w:rPr>
                <w:sz w:val="20"/>
                <w:szCs w:val="20"/>
                <w:color w:val="auto"/>
              </w:rPr>
            </w:pPr>
            <w:r>
              <w:rPr>
                <w:rFonts w:ascii="Arial" w:cs="Arial" w:eastAsia="Arial" w:hAnsi="Arial"/>
                <w:sz w:val="16"/>
                <w:szCs w:val="16"/>
                <w:color w:val="auto"/>
              </w:rPr>
              <w:t>Commodity derivatives</w:t>
            </w:r>
          </w:p>
        </w:tc>
        <w:tc>
          <w:tcPr>
            <w:tcW w:w="7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8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98"/>
              </w:rPr>
              <w:t>0.6</w:t>
            </w:r>
          </w:p>
        </w:tc>
        <w:tc>
          <w:tcPr>
            <w:tcW w:w="3100" w:type="dxa"/>
            <w:vAlign w:val="bottom"/>
          </w:tcPr>
          <w:p>
            <w:pPr>
              <w:spacing w:after="0"/>
              <w:rPr>
                <w:sz w:val="20"/>
                <w:szCs w:val="20"/>
                <w:color w:val="auto"/>
              </w:rPr>
            </w:pPr>
            <w:r>
              <w:rPr>
                <w:rFonts w:ascii="Arial" w:cs="Arial" w:eastAsia="Arial" w:hAnsi="Arial"/>
                <w:sz w:val="16"/>
                <w:szCs w:val="16"/>
                <w:color w:val="auto"/>
              </w:rPr>
              <w:t>gas sold</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w:t>
            </w:r>
          </w:p>
        </w:tc>
      </w:tr>
      <w:tr>
        <w:trPr>
          <w:trHeight w:val="223"/>
        </w:trPr>
        <w:tc>
          <w:tcPr>
            <w:tcW w:w="3540" w:type="dxa"/>
            <w:vAlign w:val="bottom"/>
            <w:tcBorders>
              <w:bottom w:val="single" w:sz="8" w:color="CFF0FC"/>
            </w:tcBorders>
            <w:shd w:val="clear" w:color="auto" w:fill="CFF0FC"/>
          </w:tcPr>
          <w:p>
            <w:pPr>
              <w:ind w:left="100"/>
              <w:spacing w:after="0" w:line="169" w:lineRule="exact"/>
              <w:rPr>
                <w:sz w:val="20"/>
                <w:szCs w:val="20"/>
                <w:color w:val="auto"/>
              </w:rPr>
            </w:pPr>
            <w:r>
              <w:rPr>
                <w:rFonts w:ascii="Arial" w:cs="Arial" w:eastAsia="Arial" w:hAnsi="Arial"/>
                <w:sz w:val="16"/>
                <w:szCs w:val="16"/>
                <w:color w:val="auto"/>
              </w:rPr>
              <w:t>Total</w:t>
            </w:r>
          </w:p>
        </w:tc>
        <w:tc>
          <w:tcPr>
            <w:tcW w:w="760" w:type="dxa"/>
            <w:vAlign w:val="bottom"/>
            <w:tcBorders>
              <w:bottom w:val="single" w:sz="8" w:color="auto"/>
            </w:tcBorders>
            <w:shd w:val="clear" w:color="auto" w:fill="CFF0FC"/>
          </w:tcPr>
          <w:p>
            <w:pPr>
              <w:jc w:val="right"/>
              <w:ind w:right="579"/>
              <w:spacing w:after="0" w:line="169" w:lineRule="exact"/>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0.5</w:t>
            </w:r>
          </w:p>
        </w:tc>
        <w:tc>
          <w:tcPr>
            <w:tcW w:w="800" w:type="dxa"/>
            <w:vAlign w:val="bottom"/>
            <w:tcBorders>
              <w:bottom w:val="single" w:sz="8" w:color="auto"/>
            </w:tcBorders>
            <w:shd w:val="clear" w:color="auto" w:fill="CFF0FC"/>
          </w:tcPr>
          <w:p>
            <w:pPr>
              <w:jc w:val="right"/>
              <w:ind w:right="599"/>
              <w:spacing w:after="0" w:line="169" w:lineRule="exact"/>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w w:val="98"/>
              </w:rPr>
              <w:t>1.3</w:t>
            </w:r>
          </w:p>
        </w:tc>
        <w:tc>
          <w:tcPr>
            <w:tcW w:w="3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gridSpan w:val="2"/>
            <w:shd w:val="clear" w:color="auto" w:fill="CFF0FC"/>
          </w:tcPr>
          <w:p>
            <w:pPr>
              <w:jc w:val="right"/>
              <w:ind w:right="40"/>
              <w:spacing w:after="0" w:line="169" w:lineRule="exact"/>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(0.9)</w:t>
            </w:r>
          </w:p>
        </w:tc>
        <w:tc>
          <w:tcPr>
            <w:tcW w:w="300" w:type="dxa"/>
            <w:vAlign w:val="bottom"/>
            <w:tcBorders>
              <w:bottom w:val="single" w:sz="8" w:color="auto"/>
            </w:tcBorders>
            <w:shd w:val="clear" w:color="auto" w:fill="CFF0FC"/>
          </w:tcPr>
          <w:p>
            <w:pPr>
              <w:jc w:val="right"/>
              <w:ind w:right="119"/>
              <w:spacing w:after="0" w:line="169" w:lineRule="exact"/>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(1.3)</w:t>
            </w:r>
          </w:p>
        </w:tc>
      </w:tr>
      <w:tr>
        <w:trPr>
          <w:trHeight w:val="344"/>
        </w:trPr>
        <w:tc>
          <w:tcPr>
            <w:tcW w:w="3540" w:type="dxa"/>
            <w:vAlign w:val="bottom"/>
          </w:tcPr>
          <w:p>
            <w:pPr>
              <w:spacing w:after="0"/>
              <w:rPr>
                <w:sz w:val="24"/>
                <w:szCs w:val="24"/>
                <w:color w:val="auto"/>
              </w:rPr>
            </w:pPr>
          </w:p>
        </w:tc>
        <w:tc>
          <w:tcPr>
            <w:tcW w:w="2000" w:type="dxa"/>
            <w:vAlign w:val="bottom"/>
            <w:gridSpan w:val="3"/>
          </w:tcPr>
          <w:p>
            <w:pPr>
              <w:jc w:val="center"/>
              <w:ind w:left="159"/>
              <w:spacing w:after="0"/>
              <w:rPr>
                <w:sz w:val="20"/>
                <w:szCs w:val="20"/>
                <w:color w:val="auto"/>
              </w:rPr>
            </w:pPr>
            <w:r>
              <w:rPr>
                <w:rFonts w:ascii="Arial" w:cs="Arial" w:eastAsia="Arial" w:hAnsi="Arial"/>
                <w:sz w:val="16"/>
                <w:szCs w:val="16"/>
                <w:b w:val="1"/>
                <w:bCs w:val="1"/>
                <w:color w:val="auto"/>
              </w:rPr>
              <w:t>Six Months Ended</w:t>
            </w:r>
          </w:p>
        </w:tc>
        <w:tc>
          <w:tcPr>
            <w:tcW w:w="3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20" w:type="dxa"/>
            <w:vAlign w:val="bottom"/>
            <w:gridSpan w:val="3"/>
          </w:tcPr>
          <w:p>
            <w:pPr>
              <w:jc w:val="center"/>
              <w:ind w:right="159"/>
              <w:spacing w:after="0"/>
              <w:rPr>
                <w:sz w:val="20"/>
                <w:szCs w:val="20"/>
                <w:color w:val="auto"/>
              </w:rPr>
            </w:pPr>
            <w:r>
              <w:rPr>
                <w:rFonts w:ascii="Arial" w:cs="Arial" w:eastAsia="Arial" w:hAnsi="Arial"/>
                <w:sz w:val="16"/>
                <w:szCs w:val="16"/>
                <w:b w:val="1"/>
                <w:bCs w:val="1"/>
                <w:color w:val="auto"/>
              </w:rPr>
              <w:t>Six Months Ended</w:t>
            </w:r>
          </w:p>
        </w:tc>
      </w:tr>
      <w:tr>
        <w:trPr>
          <w:trHeight w:val="189"/>
        </w:trPr>
        <w:tc>
          <w:tcPr>
            <w:tcW w:w="35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40" w:type="dxa"/>
            <w:vAlign w:val="bottom"/>
            <w:gridSpan w:val="2"/>
          </w:tcPr>
          <w:p>
            <w:pPr>
              <w:jc w:val="center"/>
              <w:ind w:right="419"/>
              <w:spacing w:after="0"/>
              <w:rPr>
                <w:sz w:val="20"/>
                <w:szCs w:val="20"/>
                <w:color w:val="auto"/>
              </w:rPr>
            </w:pPr>
            <w:r>
              <w:rPr>
                <w:rFonts w:ascii="Arial" w:cs="Arial" w:eastAsia="Arial" w:hAnsi="Arial"/>
                <w:sz w:val="16"/>
                <w:szCs w:val="16"/>
                <w:b w:val="1"/>
                <w:bCs w:val="1"/>
                <w:color w:val="auto"/>
              </w:rPr>
              <w:t>June 30,</w:t>
            </w:r>
          </w:p>
        </w:tc>
        <w:tc>
          <w:tcPr>
            <w:tcW w:w="36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left="519"/>
              <w:spacing w:after="0"/>
              <w:rPr>
                <w:sz w:val="20"/>
                <w:szCs w:val="20"/>
                <w:color w:val="auto"/>
              </w:rPr>
            </w:pPr>
            <w:r>
              <w:rPr>
                <w:rFonts w:ascii="Arial" w:cs="Arial" w:eastAsia="Arial" w:hAnsi="Arial"/>
                <w:sz w:val="16"/>
                <w:szCs w:val="16"/>
                <w:b w:val="1"/>
                <w:bCs w:val="1"/>
                <w:color w:val="auto"/>
              </w:rPr>
              <w:t>June 30,</w:t>
            </w:r>
          </w:p>
        </w:tc>
        <w:tc>
          <w:tcPr>
            <w:tcW w:w="820" w:type="dxa"/>
            <w:vAlign w:val="bottom"/>
          </w:tcPr>
          <w:p>
            <w:pPr>
              <w:spacing w:after="0"/>
              <w:rPr>
                <w:sz w:val="16"/>
                <w:szCs w:val="16"/>
                <w:color w:val="auto"/>
              </w:rPr>
            </w:pPr>
          </w:p>
        </w:tc>
      </w:tr>
      <w:tr>
        <w:trPr>
          <w:trHeight w:val="203"/>
        </w:trPr>
        <w:tc>
          <w:tcPr>
            <w:tcW w:w="3540" w:type="dxa"/>
            <w:vAlign w:val="bottom"/>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4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360" w:type="dxa"/>
            <w:vAlign w:val="bottom"/>
            <w:tcBorders>
              <w:bottom w:val="single" w:sz="8" w:color="auto"/>
            </w:tcBorders>
          </w:tcPr>
          <w:p>
            <w:pPr>
              <w:spacing w:after="0"/>
              <w:rPr>
                <w:sz w:val="17"/>
                <w:szCs w:val="17"/>
                <w:color w:val="auto"/>
              </w:rPr>
            </w:pPr>
          </w:p>
        </w:tc>
        <w:tc>
          <w:tcPr>
            <w:tcW w:w="3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2025</w:t>
            </w: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2024</w:t>
            </w:r>
          </w:p>
        </w:tc>
      </w:tr>
      <w:tr>
        <w:trPr>
          <w:trHeight w:val="168"/>
        </w:trPr>
        <w:tc>
          <w:tcPr>
            <w:tcW w:w="3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3"/>
          </w:tcPr>
          <w:p>
            <w:pPr>
              <w:jc w:val="center"/>
              <w:ind w:right="179"/>
              <w:spacing w:after="0" w:line="168" w:lineRule="exact"/>
              <w:rPr>
                <w:sz w:val="20"/>
                <w:szCs w:val="20"/>
                <w:color w:val="auto"/>
              </w:rPr>
            </w:pPr>
            <w:r>
              <w:rPr>
                <w:rFonts w:ascii="Arial" w:cs="Arial" w:eastAsia="Arial" w:hAnsi="Arial"/>
                <w:sz w:val="16"/>
                <w:szCs w:val="16"/>
                <w:b w:val="1"/>
                <w:bCs w:val="1"/>
                <w:color w:val="auto"/>
              </w:rPr>
              <w:t>Amount of Gain/(Loss)</w:t>
            </w:r>
          </w:p>
        </w:tc>
      </w:tr>
      <w:tr>
        <w:trPr>
          <w:trHeight w:val="189"/>
        </w:trPr>
        <w:tc>
          <w:tcPr>
            <w:tcW w:w="3540" w:type="dxa"/>
            <w:vAlign w:val="bottom"/>
          </w:tcPr>
          <w:p>
            <w:pPr>
              <w:jc w:val="center"/>
              <w:spacing w:after="0"/>
              <w:rPr>
                <w:sz w:val="20"/>
                <w:szCs w:val="20"/>
                <w:color w:val="auto"/>
              </w:rPr>
            </w:pPr>
            <w:r>
              <w:rPr>
                <w:rFonts w:ascii="Arial" w:cs="Arial" w:eastAsia="Arial" w:hAnsi="Arial"/>
                <w:sz w:val="16"/>
                <w:szCs w:val="16"/>
                <w:b w:val="1"/>
                <w:bCs w:val="1"/>
                <w:color w:val="auto"/>
              </w:rPr>
              <w:t>Derivatives in Cash Flow Hedging</w:t>
            </w:r>
          </w:p>
        </w:tc>
        <w:tc>
          <w:tcPr>
            <w:tcW w:w="2000" w:type="dxa"/>
            <w:vAlign w:val="bottom"/>
            <w:gridSpan w:val="3"/>
          </w:tcPr>
          <w:p>
            <w:pPr>
              <w:jc w:val="center"/>
              <w:ind w:left="139"/>
              <w:spacing w:after="0"/>
              <w:rPr>
                <w:sz w:val="20"/>
                <w:szCs w:val="20"/>
                <w:color w:val="auto"/>
              </w:rPr>
            </w:pPr>
            <w:r>
              <w:rPr>
                <w:rFonts w:ascii="Arial" w:cs="Arial" w:eastAsia="Arial" w:hAnsi="Arial"/>
                <w:sz w:val="16"/>
                <w:szCs w:val="16"/>
                <w:b w:val="1"/>
                <w:bCs w:val="1"/>
                <w:color w:val="auto"/>
              </w:rPr>
              <w:t>Amount of Gain/(Loss)</w:t>
            </w:r>
          </w:p>
        </w:tc>
        <w:tc>
          <w:tcPr>
            <w:tcW w:w="36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20" w:type="dxa"/>
            <w:vAlign w:val="bottom"/>
            <w:gridSpan w:val="3"/>
          </w:tcPr>
          <w:p>
            <w:pPr>
              <w:jc w:val="center"/>
              <w:ind w:right="199"/>
              <w:spacing w:after="0"/>
              <w:rPr>
                <w:sz w:val="20"/>
                <w:szCs w:val="20"/>
                <w:color w:val="auto"/>
              </w:rPr>
            </w:pPr>
            <w:r>
              <w:rPr>
                <w:rFonts w:ascii="Arial" w:cs="Arial" w:eastAsia="Arial" w:hAnsi="Arial"/>
                <w:sz w:val="16"/>
                <w:szCs w:val="16"/>
                <w:b w:val="1"/>
                <w:bCs w:val="1"/>
                <w:color w:val="auto"/>
              </w:rPr>
              <w:t>Reclassified from AOCI</w:t>
            </w:r>
          </w:p>
        </w:tc>
      </w:tr>
      <w:tr>
        <w:trPr>
          <w:trHeight w:val="203"/>
        </w:trPr>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Relationships</w:t>
            </w:r>
          </w:p>
        </w:tc>
        <w:tc>
          <w:tcPr>
            <w:tcW w:w="2000" w:type="dxa"/>
            <w:vAlign w:val="bottom"/>
            <w:tcBorders>
              <w:bottom w:val="single" w:sz="8" w:color="auto"/>
            </w:tcBorders>
            <w:gridSpan w:val="3"/>
          </w:tcPr>
          <w:p>
            <w:pPr>
              <w:jc w:val="center"/>
              <w:ind w:left="179"/>
              <w:spacing w:after="0"/>
              <w:rPr>
                <w:sz w:val="20"/>
                <w:szCs w:val="20"/>
                <w:color w:val="auto"/>
              </w:rPr>
            </w:pPr>
            <w:r>
              <w:rPr>
                <w:rFonts w:ascii="Arial" w:cs="Arial" w:eastAsia="Arial" w:hAnsi="Arial"/>
                <w:sz w:val="16"/>
                <w:szCs w:val="16"/>
                <w:b w:val="1"/>
                <w:bCs w:val="1"/>
                <w:color w:val="auto"/>
              </w:rPr>
              <w:t>Recognized in OCI</w:t>
            </w:r>
          </w:p>
        </w:tc>
        <w:tc>
          <w:tcPr>
            <w:tcW w:w="360" w:type="dxa"/>
            <w:vAlign w:val="bottom"/>
            <w:tcBorders>
              <w:bottom w:val="single" w:sz="8" w:color="auto"/>
            </w:tcBorders>
          </w:tcPr>
          <w:p>
            <w:pPr>
              <w:spacing w:after="0"/>
              <w:rPr>
                <w:sz w:val="17"/>
                <w:szCs w:val="17"/>
                <w:color w:val="auto"/>
              </w:rPr>
            </w:pPr>
          </w:p>
        </w:tc>
        <w:tc>
          <w:tcPr>
            <w:tcW w:w="3100" w:type="dxa"/>
            <w:vAlign w:val="bottom"/>
            <w:tcBorders>
              <w:bottom w:val="single" w:sz="8" w:color="auto"/>
            </w:tcBorders>
          </w:tcPr>
          <w:p>
            <w:pPr>
              <w:ind w:left="500"/>
              <w:spacing w:after="0"/>
              <w:rPr>
                <w:sz w:val="20"/>
                <w:szCs w:val="20"/>
                <w:color w:val="auto"/>
              </w:rPr>
            </w:pPr>
            <w:r>
              <w:rPr>
                <w:rFonts w:ascii="Arial" w:cs="Arial" w:eastAsia="Arial" w:hAnsi="Arial"/>
                <w:sz w:val="16"/>
                <w:szCs w:val="16"/>
                <w:b w:val="1"/>
                <w:bCs w:val="1"/>
                <w:color w:val="auto"/>
              </w:rPr>
              <w:t>Income Statement Location</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3"/>
          </w:tcPr>
          <w:p>
            <w:pPr>
              <w:jc w:val="center"/>
              <w:ind w:right="139"/>
              <w:spacing w:after="0"/>
              <w:rPr>
                <w:sz w:val="20"/>
                <w:szCs w:val="20"/>
                <w:color w:val="auto"/>
              </w:rPr>
            </w:pPr>
            <w:r>
              <w:rPr>
                <w:rFonts w:ascii="Arial" w:cs="Arial" w:eastAsia="Arial" w:hAnsi="Arial"/>
                <w:sz w:val="16"/>
                <w:szCs w:val="16"/>
                <w:b w:val="1"/>
                <w:bCs w:val="1"/>
                <w:color w:val="auto"/>
              </w:rPr>
              <w:t>into Income</w:t>
            </w:r>
          </w:p>
        </w:tc>
      </w:tr>
      <w:tr>
        <w:trPr>
          <w:trHeight w:val="183"/>
        </w:trPr>
        <w:tc>
          <w:tcPr>
            <w:tcW w:w="3540" w:type="dxa"/>
            <w:vAlign w:val="bottom"/>
            <w:tcBorders>
              <w:bottom w:val="single" w:sz="8" w:color="CFF0FC"/>
            </w:tcBorders>
            <w:shd w:val="clear" w:color="auto" w:fill="CFF0FC"/>
          </w:tcPr>
          <w:p>
            <w:pPr>
              <w:spacing w:after="0"/>
              <w:rPr>
                <w:sz w:val="15"/>
                <w:szCs w:val="15"/>
                <w:color w:val="auto"/>
              </w:rPr>
            </w:pPr>
          </w:p>
        </w:tc>
        <w:tc>
          <w:tcPr>
            <w:tcW w:w="2000" w:type="dxa"/>
            <w:vAlign w:val="bottom"/>
            <w:tcBorders>
              <w:bottom w:val="single" w:sz="8" w:color="auto"/>
            </w:tcBorders>
            <w:gridSpan w:val="3"/>
            <w:shd w:val="clear" w:color="auto" w:fill="CFF0FC"/>
          </w:tcPr>
          <w:p>
            <w:pPr>
              <w:jc w:val="center"/>
              <w:ind w:left="179"/>
              <w:spacing w:after="0" w:line="183" w:lineRule="exact"/>
              <w:rPr>
                <w:sz w:val="20"/>
                <w:szCs w:val="20"/>
                <w:color w:val="auto"/>
              </w:rPr>
            </w:pPr>
            <w:r>
              <w:rPr>
                <w:rFonts w:ascii="Arial" w:cs="Arial" w:eastAsia="Arial" w:hAnsi="Arial"/>
                <w:sz w:val="16"/>
                <w:szCs w:val="16"/>
                <w:color w:val="auto"/>
              </w:rPr>
              <w:t>(in millions)</w:t>
            </w:r>
          </w:p>
        </w:tc>
        <w:tc>
          <w:tcPr>
            <w:tcW w:w="360" w:type="dxa"/>
            <w:vAlign w:val="bottom"/>
            <w:tcBorders>
              <w:bottom w:val="single" w:sz="8" w:color="auto"/>
            </w:tcBorders>
            <w:shd w:val="clear" w:color="auto" w:fill="CFF0FC"/>
          </w:tcPr>
          <w:p>
            <w:pPr>
              <w:spacing w:after="0"/>
              <w:rPr>
                <w:sz w:val="15"/>
                <w:szCs w:val="15"/>
                <w:color w:val="auto"/>
              </w:rPr>
            </w:pPr>
          </w:p>
        </w:tc>
        <w:tc>
          <w:tcPr>
            <w:tcW w:w="3100" w:type="dxa"/>
            <w:vAlign w:val="bottom"/>
            <w:tcBorders>
              <w:bottom w:val="single" w:sz="8" w:color="CFF0FC"/>
            </w:tcBorders>
            <w:shd w:val="clear" w:color="auto" w:fill="CFF0FC"/>
          </w:tcPr>
          <w:p>
            <w:pPr>
              <w:spacing w:after="0"/>
              <w:rPr>
                <w:sz w:val="15"/>
                <w:szCs w:val="15"/>
                <w:color w:val="auto"/>
              </w:rPr>
            </w:pPr>
          </w:p>
        </w:tc>
        <w:tc>
          <w:tcPr>
            <w:tcW w:w="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2120" w:type="dxa"/>
            <w:vAlign w:val="bottom"/>
            <w:tcBorders>
              <w:bottom w:val="single" w:sz="8" w:color="auto"/>
            </w:tcBorders>
            <w:gridSpan w:val="3"/>
            <w:shd w:val="clear" w:color="auto" w:fill="CFF0FC"/>
          </w:tcPr>
          <w:p>
            <w:pPr>
              <w:jc w:val="center"/>
              <w:ind w:right="139"/>
              <w:spacing w:after="0" w:line="183" w:lineRule="exact"/>
              <w:rPr>
                <w:sz w:val="20"/>
                <w:szCs w:val="20"/>
                <w:color w:val="auto"/>
              </w:rPr>
            </w:pPr>
            <w:r>
              <w:rPr>
                <w:rFonts w:ascii="Arial" w:cs="Arial" w:eastAsia="Arial" w:hAnsi="Arial"/>
                <w:sz w:val="16"/>
                <w:szCs w:val="16"/>
                <w:color w:val="auto"/>
              </w:rPr>
              <w:t>(in millions)</w:t>
            </w:r>
          </w:p>
        </w:tc>
      </w:tr>
      <w:tr>
        <w:trPr>
          <w:trHeight w:val="183"/>
        </w:trPr>
        <w:tc>
          <w:tcPr>
            <w:tcW w:w="3540" w:type="dxa"/>
            <w:vAlign w:val="bottom"/>
          </w:tcPr>
          <w:p>
            <w:pPr>
              <w:spacing w:after="0" w:line="183" w:lineRule="exact"/>
              <w:rPr>
                <w:sz w:val="20"/>
                <w:szCs w:val="20"/>
                <w:color w:val="auto"/>
              </w:rPr>
            </w:pPr>
            <w:r>
              <w:rPr>
                <w:rFonts w:ascii="Arial" w:cs="Arial" w:eastAsia="Arial" w:hAnsi="Arial"/>
                <w:sz w:val="16"/>
                <w:szCs w:val="16"/>
                <w:color w:val="auto"/>
              </w:rPr>
              <w:t>Interest rate swaps</w:t>
            </w:r>
          </w:p>
        </w:tc>
        <w:tc>
          <w:tcPr>
            <w:tcW w:w="760" w:type="dxa"/>
            <w:vAlign w:val="bottom"/>
          </w:tcPr>
          <w:p>
            <w:pPr>
              <w:jc w:val="right"/>
              <w:ind w:right="579"/>
              <w:spacing w:after="0" w:line="183" w:lineRule="exact"/>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line="183" w:lineRule="exact"/>
              <w:rPr>
                <w:sz w:val="20"/>
                <w:szCs w:val="20"/>
                <w:color w:val="auto"/>
              </w:rPr>
            </w:pPr>
            <w:r>
              <w:rPr>
                <w:rFonts w:ascii="Arial" w:cs="Arial" w:eastAsia="Arial" w:hAnsi="Arial"/>
                <w:sz w:val="16"/>
                <w:szCs w:val="16"/>
                <w:color w:val="auto"/>
              </w:rPr>
              <w:t>1.4</w:t>
            </w:r>
          </w:p>
        </w:tc>
        <w:tc>
          <w:tcPr>
            <w:tcW w:w="800" w:type="dxa"/>
            <w:vAlign w:val="bottom"/>
          </w:tcPr>
          <w:p>
            <w:pPr>
              <w:jc w:val="right"/>
              <w:ind w:right="599"/>
              <w:spacing w:after="0" w:line="183" w:lineRule="exact"/>
              <w:rPr>
                <w:sz w:val="20"/>
                <w:szCs w:val="20"/>
                <w:color w:val="auto"/>
              </w:rPr>
            </w:pPr>
            <w:r>
              <w:rPr>
                <w:rFonts w:ascii="Arial" w:cs="Arial" w:eastAsia="Arial" w:hAnsi="Arial"/>
                <w:sz w:val="16"/>
                <w:szCs w:val="16"/>
                <w:color w:val="auto"/>
              </w:rPr>
              <w:t>$</w:t>
            </w:r>
          </w:p>
        </w:tc>
        <w:tc>
          <w:tcPr>
            <w:tcW w:w="360" w:type="dxa"/>
            <w:vAlign w:val="bottom"/>
          </w:tcPr>
          <w:p>
            <w:pPr>
              <w:jc w:val="right"/>
              <w:ind w:right="39"/>
              <w:spacing w:after="0" w:line="183" w:lineRule="exact"/>
              <w:rPr>
                <w:sz w:val="20"/>
                <w:szCs w:val="20"/>
                <w:color w:val="auto"/>
              </w:rPr>
            </w:pPr>
            <w:r>
              <w:rPr>
                <w:rFonts w:ascii="Arial" w:cs="Arial" w:eastAsia="Arial" w:hAnsi="Arial"/>
                <w:sz w:val="16"/>
                <w:szCs w:val="16"/>
                <w:color w:val="auto"/>
                <w:w w:val="98"/>
              </w:rPr>
              <w:t>1.4</w:t>
            </w:r>
          </w:p>
        </w:tc>
        <w:tc>
          <w:tcPr>
            <w:tcW w:w="3100" w:type="dxa"/>
            <w:vAlign w:val="bottom"/>
          </w:tcPr>
          <w:p>
            <w:pPr>
              <w:spacing w:after="0" w:line="183" w:lineRule="exact"/>
              <w:rPr>
                <w:sz w:val="20"/>
                <w:szCs w:val="20"/>
                <w:color w:val="auto"/>
              </w:rPr>
            </w:pPr>
            <w:r>
              <w:rPr>
                <w:rFonts w:ascii="Arial" w:cs="Arial" w:eastAsia="Arial" w:hAnsi="Arial"/>
                <w:sz w:val="16"/>
                <w:szCs w:val="16"/>
                <w:color w:val="auto"/>
              </w:rPr>
              <w:t>Interest expense</w:t>
            </w:r>
          </w:p>
        </w:tc>
        <w:tc>
          <w:tcPr>
            <w:tcW w:w="120" w:type="dxa"/>
            <w:vAlign w:val="bottom"/>
            <w:gridSpan w:val="2"/>
          </w:tcPr>
          <w:p>
            <w:pPr>
              <w:jc w:val="right"/>
              <w:ind w:right="20"/>
              <w:spacing w:after="0" w:line="183" w:lineRule="exact"/>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line="183" w:lineRule="exact"/>
              <w:rPr>
                <w:sz w:val="20"/>
                <w:szCs w:val="20"/>
                <w:color w:val="auto"/>
              </w:rPr>
            </w:pPr>
            <w:r>
              <w:rPr>
                <w:rFonts w:ascii="Arial" w:cs="Arial" w:eastAsia="Arial" w:hAnsi="Arial"/>
                <w:sz w:val="16"/>
                <w:szCs w:val="16"/>
                <w:color w:val="auto"/>
              </w:rPr>
              <w:t>(1.4)</w:t>
            </w:r>
          </w:p>
        </w:tc>
        <w:tc>
          <w:tcPr>
            <w:tcW w:w="300" w:type="dxa"/>
            <w:vAlign w:val="bottom"/>
          </w:tcPr>
          <w:p>
            <w:pPr>
              <w:jc w:val="right"/>
              <w:ind w:right="99"/>
              <w:spacing w:after="0" w:line="183" w:lineRule="exact"/>
              <w:rPr>
                <w:sz w:val="20"/>
                <w:szCs w:val="20"/>
                <w:color w:val="auto"/>
              </w:rPr>
            </w:pPr>
            <w:r>
              <w:rPr>
                <w:rFonts w:ascii="Arial" w:cs="Arial" w:eastAsia="Arial" w:hAnsi="Arial"/>
                <w:sz w:val="16"/>
                <w:szCs w:val="16"/>
                <w:color w:val="auto"/>
              </w:rPr>
              <w:t>$</w:t>
            </w:r>
          </w:p>
        </w:tc>
        <w:tc>
          <w:tcPr>
            <w:tcW w:w="820" w:type="dxa"/>
            <w:vAlign w:val="bottom"/>
          </w:tcPr>
          <w:p>
            <w:pPr>
              <w:jc w:val="right"/>
              <w:spacing w:after="0" w:line="183" w:lineRule="exact"/>
              <w:rPr>
                <w:sz w:val="20"/>
                <w:szCs w:val="20"/>
                <w:color w:val="auto"/>
              </w:rPr>
            </w:pPr>
            <w:r>
              <w:rPr>
                <w:rFonts w:ascii="Arial" w:cs="Arial" w:eastAsia="Arial" w:hAnsi="Arial"/>
                <w:sz w:val="16"/>
                <w:szCs w:val="16"/>
                <w:color w:val="auto"/>
              </w:rPr>
              <w:t>(1.4)</w:t>
            </w:r>
          </w:p>
        </w:tc>
      </w:tr>
      <w:tr>
        <w:trPr>
          <w:trHeight w:val="175"/>
        </w:trPr>
        <w:tc>
          <w:tcPr>
            <w:tcW w:w="354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3100" w:type="dxa"/>
            <w:vAlign w:val="bottom"/>
            <w:shd w:val="clear" w:color="auto" w:fill="CFF0FC"/>
          </w:tcPr>
          <w:p>
            <w:pPr>
              <w:spacing w:after="0" w:line="175" w:lineRule="exact"/>
              <w:rPr>
                <w:sz w:val="20"/>
                <w:szCs w:val="20"/>
                <w:color w:val="auto"/>
              </w:rPr>
            </w:pPr>
            <w:r>
              <w:rPr>
                <w:rFonts w:ascii="Arial" w:cs="Arial" w:eastAsia="Arial" w:hAnsi="Arial"/>
                <w:sz w:val="16"/>
                <w:szCs w:val="16"/>
                <w:color w:val="auto"/>
              </w:rPr>
              <w:t>Fuel, purchased power, and cost of natural</w:t>
            </w: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r>
      <w:tr>
        <w:trPr>
          <w:trHeight w:val="203"/>
        </w:trPr>
        <w:tc>
          <w:tcPr>
            <w:tcW w:w="3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Commodity derivatives</w:t>
            </w:r>
          </w:p>
        </w:tc>
        <w:tc>
          <w:tcPr>
            <w:tcW w:w="760" w:type="dxa"/>
            <w:vAlign w:val="bottom"/>
            <w:tcBorders>
              <w:bottom w:val="single" w:sz="8" w:color="auto"/>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0.3</w:t>
            </w:r>
          </w:p>
        </w:tc>
        <w:tc>
          <w:tcPr>
            <w:tcW w:w="800" w:type="dxa"/>
            <w:vAlign w:val="bottom"/>
            <w:tcBorders>
              <w:bottom w:val="single" w:sz="8" w:color="auto"/>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w w:val="98"/>
              </w:rPr>
              <w:t>3.0</w:t>
            </w:r>
          </w:p>
        </w:tc>
        <w:tc>
          <w:tcPr>
            <w:tcW w:w="3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gas sold</w:t>
            </w:r>
          </w:p>
        </w:tc>
        <w:tc>
          <w:tcPr>
            <w:tcW w:w="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(0.6)</w:t>
            </w:r>
          </w:p>
        </w:tc>
        <w:tc>
          <w:tcPr>
            <w:tcW w:w="30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w:t>
            </w:r>
          </w:p>
        </w:tc>
      </w:tr>
      <w:tr>
        <w:trPr>
          <w:trHeight w:val="183"/>
        </w:trPr>
        <w:tc>
          <w:tcPr>
            <w:tcW w:w="3540" w:type="dxa"/>
            <w:vAlign w:val="bottom"/>
          </w:tcPr>
          <w:p>
            <w:pPr>
              <w:ind w:left="100"/>
              <w:spacing w:after="0" w:line="169" w:lineRule="exact"/>
              <w:rPr>
                <w:sz w:val="20"/>
                <w:szCs w:val="20"/>
                <w:color w:val="auto"/>
              </w:rPr>
            </w:pPr>
            <w:r>
              <w:rPr>
                <w:rFonts w:ascii="Arial" w:cs="Arial" w:eastAsia="Arial" w:hAnsi="Arial"/>
                <w:sz w:val="16"/>
                <w:szCs w:val="16"/>
                <w:color w:val="auto"/>
              </w:rPr>
              <w:t>Total</w:t>
            </w:r>
          </w:p>
        </w:tc>
        <w:tc>
          <w:tcPr>
            <w:tcW w:w="760" w:type="dxa"/>
            <w:vAlign w:val="bottom"/>
          </w:tcPr>
          <w:p>
            <w:pPr>
              <w:jc w:val="right"/>
              <w:ind w:right="579"/>
              <w:spacing w:after="0" w:line="169" w:lineRule="exact"/>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line="169" w:lineRule="exact"/>
              <w:rPr>
                <w:sz w:val="20"/>
                <w:szCs w:val="20"/>
                <w:color w:val="auto"/>
              </w:rPr>
            </w:pPr>
            <w:r>
              <w:rPr>
                <w:rFonts w:ascii="Arial" w:cs="Arial" w:eastAsia="Arial" w:hAnsi="Arial"/>
                <w:sz w:val="16"/>
                <w:szCs w:val="16"/>
                <w:color w:val="auto"/>
              </w:rPr>
              <w:t>1.7</w:t>
            </w:r>
          </w:p>
        </w:tc>
        <w:tc>
          <w:tcPr>
            <w:tcW w:w="800" w:type="dxa"/>
            <w:vAlign w:val="bottom"/>
          </w:tcPr>
          <w:p>
            <w:pPr>
              <w:jc w:val="right"/>
              <w:ind w:right="599"/>
              <w:spacing w:after="0" w:line="169" w:lineRule="exact"/>
              <w:rPr>
                <w:sz w:val="20"/>
                <w:szCs w:val="20"/>
                <w:color w:val="auto"/>
              </w:rPr>
            </w:pPr>
            <w:r>
              <w:rPr>
                <w:rFonts w:ascii="Arial" w:cs="Arial" w:eastAsia="Arial" w:hAnsi="Arial"/>
                <w:sz w:val="16"/>
                <w:szCs w:val="16"/>
                <w:color w:val="auto"/>
              </w:rPr>
              <w:t>$</w:t>
            </w:r>
          </w:p>
        </w:tc>
        <w:tc>
          <w:tcPr>
            <w:tcW w:w="360" w:type="dxa"/>
            <w:vAlign w:val="bottom"/>
          </w:tcPr>
          <w:p>
            <w:pPr>
              <w:jc w:val="right"/>
              <w:ind w:right="39"/>
              <w:spacing w:after="0" w:line="169" w:lineRule="exact"/>
              <w:rPr>
                <w:sz w:val="20"/>
                <w:szCs w:val="20"/>
                <w:color w:val="auto"/>
              </w:rPr>
            </w:pPr>
            <w:r>
              <w:rPr>
                <w:rFonts w:ascii="Arial" w:cs="Arial" w:eastAsia="Arial" w:hAnsi="Arial"/>
                <w:sz w:val="16"/>
                <w:szCs w:val="16"/>
                <w:color w:val="auto"/>
                <w:w w:val="98"/>
              </w:rPr>
              <w:t>4.4</w:t>
            </w:r>
          </w:p>
        </w:tc>
        <w:tc>
          <w:tcPr>
            <w:tcW w:w="3100" w:type="dxa"/>
            <w:vAlign w:val="bottom"/>
          </w:tcPr>
          <w:p>
            <w:pPr>
              <w:spacing w:after="0"/>
              <w:rPr>
                <w:sz w:val="15"/>
                <w:szCs w:val="15"/>
                <w:color w:val="auto"/>
              </w:rPr>
            </w:pPr>
          </w:p>
        </w:tc>
        <w:tc>
          <w:tcPr>
            <w:tcW w:w="120" w:type="dxa"/>
            <w:vAlign w:val="bottom"/>
            <w:gridSpan w:val="2"/>
          </w:tcPr>
          <w:p>
            <w:pPr>
              <w:jc w:val="right"/>
              <w:ind w:right="20"/>
              <w:spacing w:after="0" w:line="169" w:lineRule="exact"/>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line="169" w:lineRule="exact"/>
              <w:rPr>
                <w:sz w:val="20"/>
                <w:szCs w:val="20"/>
                <w:color w:val="auto"/>
              </w:rPr>
            </w:pPr>
            <w:r>
              <w:rPr>
                <w:rFonts w:ascii="Arial" w:cs="Arial" w:eastAsia="Arial" w:hAnsi="Arial"/>
                <w:sz w:val="16"/>
                <w:szCs w:val="16"/>
                <w:color w:val="auto"/>
              </w:rPr>
              <w:t>(2.0)</w:t>
            </w:r>
          </w:p>
        </w:tc>
        <w:tc>
          <w:tcPr>
            <w:tcW w:w="300" w:type="dxa"/>
            <w:vAlign w:val="bottom"/>
          </w:tcPr>
          <w:p>
            <w:pPr>
              <w:jc w:val="right"/>
              <w:ind w:right="99"/>
              <w:spacing w:after="0" w:line="169" w:lineRule="exact"/>
              <w:rPr>
                <w:sz w:val="20"/>
                <w:szCs w:val="20"/>
                <w:color w:val="auto"/>
              </w:rPr>
            </w:pPr>
            <w:r>
              <w:rPr>
                <w:rFonts w:ascii="Arial" w:cs="Arial" w:eastAsia="Arial" w:hAnsi="Arial"/>
                <w:sz w:val="16"/>
                <w:szCs w:val="16"/>
                <w:color w:val="auto"/>
              </w:rPr>
              <w:t>$</w:t>
            </w:r>
          </w:p>
        </w:tc>
        <w:tc>
          <w:tcPr>
            <w:tcW w:w="820" w:type="dxa"/>
            <w:vAlign w:val="bottom"/>
          </w:tcPr>
          <w:p>
            <w:pPr>
              <w:jc w:val="right"/>
              <w:spacing w:after="0" w:line="169" w:lineRule="exact"/>
              <w:rPr>
                <w:sz w:val="20"/>
                <w:szCs w:val="20"/>
                <w:color w:val="auto"/>
              </w:rPr>
            </w:pPr>
            <w:r>
              <w:rPr>
                <w:rFonts w:ascii="Arial" w:cs="Arial" w:eastAsia="Arial" w:hAnsi="Arial"/>
                <w:sz w:val="16"/>
                <w:szCs w:val="16"/>
                <w:color w:val="auto"/>
              </w:rPr>
              <w:t>(4.6)</w:t>
            </w:r>
          </w:p>
        </w:tc>
      </w:tr>
      <w:tr>
        <w:trPr>
          <w:trHeight w:val="20"/>
        </w:trPr>
        <w:tc>
          <w:tcPr>
            <w:tcW w:w="35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-1525270</wp:posOffset>
            </wp:positionV>
            <wp:extent cx="197167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971675"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-1508125</wp:posOffset>
            </wp:positionV>
            <wp:extent cx="197167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971675"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-521970</wp:posOffset>
            </wp:positionV>
            <wp:extent cx="197167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971675"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-153670</wp:posOffset>
            </wp:positionV>
            <wp:extent cx="197167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971675" cy="8255"/>
                    </a:xfrm>
                    <a:prstGeom prst="rect">
                      <a:avLst/>
                    </a:prstGeom>
                    <a:noFill/>
                  </pic:spPr>
                </pic:pic>
              </a:graphicData>
            </a:graphic>
          </wp:anchor>
        </w:drawing>
      </w:r>
    </w:p>
    <w:p>
      <w:pPr>
        <w:spacing w:after="0" w:line="155"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As of June 30, 2025, $3.0 million of net losses related to our interest rate swaps and commodity derivatives are expected to be reclassified from AOCI into earnings within the next 12 months. As market prices fluctuate, estimated and actual realized gains or losses will change during future periods.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Derivatives Not Designated as Hedge Instruments</w:t>
      </w:r>
    </w:p>
    <w:p>
      <w:pPr>
        <w:spacing w:after="0" w:line="194" w:lineRule="exact"/>
        <w:rPr>
          <w:sz w:val="20"/>
          <w:szCs w:val="20"/>
          <w:color w:val="auto"/>
        </w:rPr>
      </w:pPr>
    </w:p>
    <w:p>
      <w:pPr>
        <w:ind w:right="240"/>
        <w:spacing w:after="0" w:line="259" w:lineRule="auto"/>
        <w:rPr>
          <w:sz w:val="20"/>
          <w:szCs w:val="20"/>
          <w:color w:val="auto"/>
        </w:rPr>
      </w:pPr>
      <w:r>
        <w:rPr>
          <w:rFonts w:ascii="Arial" w:cs="Arial" w:eastAsia="Arial" w:hAnsi="Arial"/>
          <w:sz w:val="16"/>
          <w:szCs w:val="16"/>
          <w:color w:val="auto"/>
        </w:rPr>
        <w:t>The following table summarizes the impacts of derivative instruments not designated as hedge instruments on our Consolidated Statements of Income for the three and six months ended June 30, 2025, and 2024. Note that this presentation does not reflect the expected gains or losses arising from the underlying physical transactions; therefore, it is not indicative of the economic profit or loss we realized when the underlying physical and financial transactions were settled.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52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3460" w:type="dxa"/>
            <w:vAlign w:val="bottom"/>
            <w:gridSpan w:val="3"/>
          </w:tcPr>
          <w:p>
            <w:pPr>
              <w:jc w:val="center"/>
              <w:ind w:left="419"/>
              <w:spacing w:after="0"/>
              <w:rPr>
                <w:sz w:val="20"/>
                <w:szCs w:val="20"/>
                <w:color w:val="auto"/>
              </w:rPr>
            </w:pPr>
            <w:r>
              <w:rPr>
                <w:rFonts w:ascii="Arial" w:cs="Arial" w:eastAsia="Arial" w:hAnsi="Arial"/>
                <w:sz w:val="16"/>
                <w:szCs w:val="16"/>
                <w:b w:val="1"/>
                <w:bCs w:val="1"/>
                <w:color w:val="auto"/>
              </w:rPr>
              <w:t>Three Months Ended June 30,</w:t>
            </w: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520" w:type="dxa"/>
            <w:vAlign w:val="bottom"/>
            <w:vMerge w:val="restart"/>
          </w:tcPr>
          <w:p>
            <w:pPr>
              <w:jc w:val="center"/>
              <w:ind w:left="59"/>
              <w:spacing w:after="0"/>
              <w:rPr>
                <w:sz w:val="20"/>
                <w:szCs w:val="20"/>
                <w:color w:val="auto"/>
              </w:rPr>
            </w:pPr>
            <w:r>
              <w:rPr>
                <w:rFonts w:ascii="Arial" w:cs="Arial" w:eastAsia="Arial" w:hAnsi="Arial"/>
                <w:sz w:val="16"/>
                <w:szCs w:val="16"/>
                <w:b w:val="1"/>
                <w:bCs w:val="1"/>
                <w:color w:val="auto"/>
              </w:rPr>
              <w:t>Derivatives Not Designated as Hedging</w:t>
            </w:r>
          </w:p>
        </w:tc>
        <w:tc>
          <w:tcPr>
            <w:tcW w:w="3640" w:type="dxa"/>
            <w:vAlign w:val="bottom"/>
            <w:vMerge w:val="restart"/>
          </w:tcPr>
          <w:p>
            <w:pPr>
              <w:jc w:val="center"/>
              <w:ind w:left="39"/>
              <w:spacing w:after="0"/>
              <w:rPr>
                <w:sz w:val="20"/>
                <w:szCs w:val="20"/>
                <w:color w:val="auto"/>
              </w:rPr>
            </w:pPr>
            <w:r>
              <w:rPr>
                <w:rFonts w:ascii="Arial" w:cs="Arial" w:eastAsia="Arial" w:hAnsi="Arial"/>
                <w:sz w:val="16"/>
                <w:szCs w:val="16"/>
                <w:b w:val="1"/>
                <w:bCs w:val="1"/>
                <w:color w:val="auto"/>
              </w:rPr>
              <w:t>Location of Gain/(Loss) on Derivatives</w:t>
            </w:r>
          </w:p>
        </w:tc>
        <w:tc>
          <w:tcPr>
            <w:tcW w:w="13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2025</w:t>
            </w:r>
          </w:p>
        </w:tc>
        <w:tc>
          <w:tcPr>
            <w:tcW w:w="6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2024</w:t>
            </w:r>
          </w:p>
        </w:tc>
        <w:tc>
          <w:tcPr>
            <w:tcW w:w="6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3520" w:type="dxa"/>
            <w:vAlign w:val="bottom"/>
            <w:vMerge w:val="continue"/>
          </w:tcPr>
          <w:p>
            <w:pPr>
              <w:spacing w:after="0"/>
              <w:rPr>
                <w:sz w:val="14"/>
                <w:szCs w:val="14"/>
                <w:color w:val="auto"/>
              </w:rPr>
            </w:pPr>
          </w:p>
        </w:tc>
        <w:tc>
          <w:tcPr>
            <w:tcW w:w="3640" w:type="dxa"/>
            <w:vAlign w:val="bottom"/>
            <w:vMerge w:val="continue"/>
          </w:tcPr>
          <w:p>
            <w:pPr>
              <w:spacing w:after="0"/>
              <w:rPr>
                <w:sz w:val="14"/>
                <w:szCs w:val="14"/>
                <w:color w:val="auto"/>
              </w:rPr>
            </w:pPr>
          </w:p>
        </w:tc>
        <w:tc>
          <w:tcPr>
            <w:tcW w:w="4080" w:type="dxa"/>
            <w:vAlign w:val="bottom"/>
            <w:gridSpan w:val="4"/>
          </w:tcPr>
          <w:p>
            <w:pPr>
              <w:jc w:val="center"/>
              <w:ind w:right="79"/>
              <w:spacing w:after="0" w:line="168" w:lineRule="exact"/>
              <w:rPr>
                <w:sz w:val="20"/>
                <w:szCs w:val="20"/>
                <w:color w:val="auto"/>
              </w:rPr>
            </w:pPr>
            <w:r>
              <w:rPr>
                <w:rFonts w:ascii="Arial" w:cs="Arial" w:eastAsia="Arial" w:hAnsi="Arial"/>
                <w:sz w:val="16"/>
                <w:szCs w:val="16"/>
                <w:b w:val="1"/>
                <w:bCs w:val="1"/>
                <w:color w:val="auto"/>
              </w:rPr>
              <w:t>Amount of Gain/(Loss) on Derivatives Recognized</w:t>
            </w:r>
          </w:p>
        </w:tc>
        <w:tc>
          <w:tcPr>
            <w:tcW w:w="0" w:type="dxa"/>
            <w:vAlign w:val="bottom"/>
          </w:tcPr>
          <w:p>
            <w:pPr>
              <w:spacing w:after="0"/>
              <w:rPr>
                <w:sz w:val="1"/>
                <w:szCs w:val="1"/>
                <w:color w:val="auto"/>
              </w:rPr>
            </w:pPr>
          </w:p>
        </w:tc>
      </w:tr>
      <w:tr>
        <w:trPr>
          <w:trHeight w:val="203"/>
        </w:trPr>
        <w:tc>
          <w:tcPr>
            <w:tcW w:w="3520" w:type="dxa"/>
            <w:vAlign w:val="bottom"/>
            <w:tcBorders>
              <w:bottom w:val="single" w:sz="8" w:color="auto"/>
            </w:tcBorders>
          </w:tcPr>
          <w:p>
            <w:pPr>
              <w:jc w:val="center"/>
              <w:ind w:left="99"/>
              <w:spacing w:after="0"/>
              <w:rPr>
                <w:sz w:val="20"/>
                <w:szCs w:val="20"/>
                <w:color w:val="auto"/>
              </w:rPr>
            </w:pPr>
            <w:r>
              <w:rPr>
                <w:rFonts w:ascii="Arial" w:cs="Arial" w:eastAsia="Arial" w:hAnsi="Arial"/>
                <w:sz w:val="16"/>
                <w:szCs w:val="16"/>
                <w:b w:val="1"/>
                <w:bCs w:val="1"/>
                <w:color w:val="auto"/>
              </w:rPr>
              <w:t>Instruments</w:t>
            </w:r>
          </w:p>
        </w:tc>
        <w:tc>
          <w:tcPr>
            <w:tcW w:w="3640" w:type="dxa"/>
            <w:vAlign w:val="bottom"/>
            <w:tcBorders>
              <w:bottom w:val="single" w:sz="8" w:color="auto"/>
            </w:tcBorders>
          </w:tcPr>
          <w:p>
            <w:pPr>
              <w:jc w:val="center"/>
              <w:ind w:left="99"/>
              <w:spacing w:after="0"/>
              <w:rPr>
                <w:sz w:val="20"/>
                <w:szCs w:val="20"/>
                <w:color w:val="auto"/>
              </w:rPr>
            </w:pPr>
            <w:r>
              <w:rPr>
                <w:rFonts w:ascii="Arial" w:cs="Arial" w:eastAsia="Arial" w:hAnsi="Arial"/>
                <w:sz w:val="16"/>
                <w:szCs w:val="16"/>
                <w:b w:val="1"/>
                <w:bCs w:val="1"/>
                <w:color w:val="auto"/>
              </w:rPr>
              <w:t>Recognized in Income</w:t>
            </w:r>
          </w:p>
        </w:tc>
        <w:tc>
          <w:tcPr>
            <w:tcW w:w="136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2"/>
          </w:tcPr>
          <w:p>
            <w:pPr>
              <w:jc w:val="center"/>
              <w:ind w:right="779"/>
              <w:spacing w:after="0"/>
              <w:rPr>
                <w:sz w:val="20"/>
                <w:szCs w:val="20"/>
                <w:color w:val="auto"/>
              </w:rPr>
            </w:pPr>
            <w:r>
              <w:rPr>
                <w:rFonts w:ascii="Arial" w:cs="Arial" w:eastAsia="Arial" w:hAnsi="Arial"/>
                <w:sz w:val="16"/>
                <w:szCs w:val="16"/>
                <w:b w:val="1"/>
                <w:bCs w:val="1"/>
                <w:color w:val="auto"/>
              </w:rPr>
              <w:t>in Income</w:t>
            </w:r>
          </w:p>
        </w:tc>
        <w:tc>
          <w:tcPr>
            <w:tcW w:w="6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5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2"/>
          </w:tcPr>
          <w:p>
            <w:pPr>
              <w:jc w:val="center"/>
              <w:ind w:right="759"/>
              <w:spacing w:after="0" w:line="183" w:lineRule="exact"/>
              <w:rPr>
                <w:sz w:val="20"/>
                <w:szCs w:val="20"/>
                <w:color w:val="auto"/>
              </w:rPr>
            </w:pPr>
            <w:r>
              <w:rPr>
                <w:rFonts w:ascii="Arial" w:cs="Arial" w:eastAsia="Arial" w:hAnsi="Arial"/>
                <w:sz w:val="16"/>
                <w:szCs w:val="16"/>
                <w:color w:val="auto"/>
              </w:rPr>
              <w:t>(in millions)</w:t>
            </w:r>
          </w:p>
        </w:tc>
        <w:tc>
          <w:tcPr>
            <w:tcW w:w="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520" w:type="dxa"/>
            <w:vAlign w:val="bottom"/>
            <w:shd w:val="clear" w:color="auto" w:fill="CFF0FC"/>
          </w:tcPr>
          <w:p>
            <w:pPr>
              <w:spacing w:after="0"/>
              <w:rPr>
                <w:sz w:val="14"/>
                <w:szCs w:val="14"/>
                <w:color w:val="auto"/>
              </w:rPr>
            </w:pPr>
          </w:p>
        </w:tc>
        <w:tc>
          <w:tcPr>
            <w:tcW w:w="3640" w:type="dxa"/>
            <w:vAlign w:val="bottom"/>
            <w:shd w:val="clear" w:color="auto" w:fill="CFF0FC"/>
          </w:tcPr>
          <w:p>
            <w:pPr>
              <w:jc w:val="center"/>
              <w:ind w:left="19"/>
              <w:spacing w:after="0" w:line="168" w:lineRule="exact"/>
              <w:rPr>
                <w:sz w:val="20"/>
                <w:szCs w:val="20"/>
                <w:color w:val="auto"/>
              </w:rPr>
            </w:pPr>
            <w:r>
              <w:rPr>
                <w:rFonts w:ascii="Arial" w:cs="Arial" w:eastAsia="Arial" w:hAnsi="Arial"/>
                <w:sz w:val="16"/>
                <w:szCs w:val="16"/>
                <w:color w:val="auto"/>
              </w:rPr>
              <w:t>Fuel, purchased power, and cost of natural gas</w:t>
            </w:r>
          </w:p>
        </w:tc>
        <w:tc>
          <w:tcPr>
            <w:tcW w:w="1360" w:type="dxa"/>
            <w:vAlign w:val="bottom"/>
            <w:vMerge w:val="restart"/>
            <w:shd w:val="clear" w:color="auto" w:fill="CFF0FC"/>
          </w:tcPr>
          <w:p>
            <w:pPr>
              <w:jc w:val="right"/>
              <w:ind w:right="1179"/>
              <w:spacing w:after="0"/>
              <w:rPr>
                <w:sz w:val="20"/>
                <w:szCs w:val="20"/>
                <w:color w:val="auto"/>
              </w:rPr>
            </w:pPr>
            <w:r>
              <w:rPr>
                <w:rFonts w:ascii="Arial" w:cs="Arial" w:eastAsia="Arial" w:hAnsi="Arial"/>
                <w:sz w:val="16"/>
                <w:szCs w:val="16"/>
                <w:color w:val="auto"/>
                <w:w w:val="89"/>
              </w:rPr>
              <w:t>$</w:t>
            </w: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(0.5)</w:t>
            </w:r>
          </w:p>
        </w:tc>
        <w:tc>
          <w:tcPr>
            <w:tcW w:w="1440" w:type="dxa"/>
            <w:vAlign w:val="bottom"/>
            <w:vMerge w:val="restart"/>
            <w:shd w:val="clear" w:color="auto" w:fill="CFF0FC"/>
          </w:tcPr>
          <w:p>
            <w:pPr>
              <w:jc w:val="right"/>
              <w:ind w:right="1239"/>
              <w:spacing w:after="0"/>
              <w:rPr>
                <w:sz w:val="20"/>
                <w:szCs w:val="20"/>
                <w:color w:val="auto"/>
              </w:rPr>
            </w:pPr>
            <w:r>
              <w:rPr>
                <w:rFonts w:ascii="Arial" w:cs="Arial" w:eastAsia="Arial" w:hAnsi="Arial"/>
                <w:sz w:val="16"/>
                <w:szCs w:val="16"/>
                <w:color w:val="auto"/>
              </w:rPr>
              <w:t>$</w:t>
            </w:r>
          </w:p>
        </w:tc>
        <w:tc>
          <w:tcPr>
            <w:tcW w:w="620" w:type="dxa"/>
            <w:vAlign w:val="bottom"/>
            <w:vMerge w:val="restart"/>
            <w:shd w:val="clear" w:color="auto" w:fill="CFF0FC"/>
          </w:tcPr>
          <w:p>
            <w:pPr>
              <w:jc w:val="right"/>
              <w:ind w:right="39"/>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190"/>
        </w:trPr>
        <w:tc>
          <w:tcPr>
            <w:tcW w:w="3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Commodity derivatives</w:t>
            </w:r>
          </w:p>
        </w:tc>
        <w:tc>
          <w:tcPr>
            <w:tcW w:w="36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6"/>
                <w:szCs w:val="16"/>
                <w:color w:val="auto"/>
              </w:rPr>
              <w:t>sold</w:t>
            </w:r>
          </w:p>
        </w:tc>
        <w:tc>
          <w:tcPr>
            <w:tcW w:w="1360" w:type="dxa"/>
            <w:vAlign w:val="bottom"/>
            <w:tcBorders>
              <w:bottom w:val="single" w:sz="8" w:color="auto"/>
            </w:tcBorders>
            <w:vMerge w:val="continue"/>
            <w:shd w:val="clear" w:color="auto" w:fill="CFF0FC"/>
          </w:tcPr>
          <w:p>
            <w:pPr>
              <w:spacing w:after="0"/>
              <w:rPr>
                <w:sz w:val="16"/>
                <w:szCs w:val="16"/>
                <w:color w:val="auto"/>
              </w:rPr>
            </w:pPr>
          </w:p>
        </w:tc>
        <w:tc>
          <w:tcPr>
            <w:tcW w:w="660" w:type="dxa"/>
            <w:vAlign w:val="bottom"/>
            <w:tcBorders>
              <w:bottom w:val="single" w:sz="8" w:color="auto"/>
            </w:tcBorders>
            <w:vMerge w:val="continue"/>
            <w:shd w:val="clear" w:color="auto" w:fill="CFF0FC"/>
          </w:tcPr>
          <w:p>
            <w:pPr>
              <w:spacing w:after="0"/>
              <w:rPr>
                <w:sz w:val="16"/>
                <w:szCs w:val="16"/>
                <w:color w:val="auto"/>
              </w:rPr>
            </w:pPr>
          </w:p>
        </w:tc>
        <w:tc>
          <w:tcPr>
            <w:tcW w:w="1440" w:type="dxa"/>
            <w:vAlign w:val="bottom"/>
            <w:tcBorders>
              <w:bottom w:val="single" w:sz="8" w:color="auto"/>
            </w:tcBorders>
            <w:vMerge w:val="continue"/>
            <w:shd w:val="clear" w:color="auto" w:fill="CFF0FC"/>
          </w:tcPr>
          <w:p>
            <w:pPr>
              <w:spacing w:after="0"/>
              <w:rPr>
                <w:sz w:val="16"/>
                <w:szCs w:val="16"/>
                <w:color w:val="auto"/>
              </w:rPr>
            </w:pPr>
          </w:p>
        </w:tc>
        <w:tc>
          <w:tcPr>
            <w:tcW w:w="620" w:type="dxa"/>
            <w:vAlign w:val="bottom"/>
            <w:tcBorders>
              <w:bottom w:val="single" w:sz="8" w:color="auto"/>
            </w:tcBorders>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5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1360" w:type="dxa"/>
            <w:vAlign w:val="bottom"/>
            <w:tcBorders>
              <w:bottom w:val="single" w:sz="8" w:color="auto"/>
            </w:tcBorders>
          </w:tcPr>
          <w:p>
            <w:pPr>
              <w:jc w:val="right"/>
              <w:ind w:right="1179"/>
              <w:spacing w:after="0" w:line="183" w:lineRule="exact"/>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(0.5)</w:t>
            </w:r>
          </w:p>
        </w:tc>
        <w:tc>
          <w:tcPr>
            <w:tcW w:w="1440" w:type="dxa"/>
            <w:vAlign w:val="bottom"/>
            <w:tcBorders>
              <w:bottom w:val="single" w:sz="8" w:color="auto"/>
            </w:tcBorders>
          </w:tcPr>
          <w:p>
            <w:pPr>
              <w:jc w:val="right"/>
              <w:ind w:right="1239"/>
              <w:spacing w:after="0" w:line="183" w:lineRule="exact"/>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460" w:type="dxa"/>
            <w:vAlign w:val="bottom"/>
            <w:tcBorders>
              <w:bottom w:val="single" w:sz="8" w:color="auto"/>
            </w:tcBorders>
            <w:gridSpan w:val="3"/>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35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460" w:type="dxa"/>
            <w:vAlign w:val="bottom"/>
            <w:gridSpan w:val="3"/>
          </w:tcPr>
          <w:p>
            <w:pPr>
              <w:jc w:val="center"/>
              <w:ind w:left="439"/>
              <w:spacing w:after="0"/>
              <w:rPr>
                <w:sz w:val="20"/>
                <w:szCs w:val="20"/>
                <w:color w:val="auto"/>
              </w:rPr>
            </w:pPr>
            <w:r>
              <w:rPr>
                <w:rFonts w:ascii="Arial" w:cs="Arial" w:eastAsia="Arial" w:hAnsi="Arial"/>
                <w:sz w:val="16"/>
                <w:szCs w:val="16"/>
                <w:b w:val="1"/>
                <w:bCs w:val="1"/>
                <w:color w:val="auto"/>
              </w:rPr>
              <w:t>Six Months Ended June 30,</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520" w:type="dxa"/>
            <w:vAlign w:val="bottom"/>
            <w:vMerge w:val="restart"/>
          </w:tcPr>
          <w:p>
            <w:pPr>
              <w:jc w:val="center"/>
              <w:ind w:left="59"/>
              <w:spacing w:after="0"/>
              <w:rPr>
                <w:sz w:val="20"/>
                <w:szCs w:val="20"/>
                <w:color w:val="auto"/>
              </w:rPr>
            </w:pPr>
            <w:r>
              <w:rPr>
                <w:rFonts w:ascii="Arial" w:cs="Arial" w:eastAsia="Arial" w:hAnsi="Arial"/>
                <w:sz w:val="16"/>
                <w:szCs w:val="16"/>
                <w:b w:val="1"/>
                <w:bCs w:val="1"/>
                <w:color w:val="auto"/>
              </w:rPr>
              <w:t>Derivatives Not Designated as Hedging</w:t>
            </w:r>
          </w:p>
        </w:tc>
        <w:tc>
          <w:tcPr>
            <w:tcW w:w="3640" w:type="dxa"/>
            <w:vAlign w:val="bottom"/>
            <w:vMerge w:val="restart"/>
          </w:tcPr>
          <w:p>
            <w:pPr>
              <w:jc w:val="center"/>
              <w:ind w:left="39"/>
              <w:spacing w:after="0"/>
              <w:rPr>
                <w:sz w:val="20"/>
                <w:szCs w:val="20"/>
                <w:color w:val="auto"/>
              </w:rPr>
            </w:pPr>
            <w:r>
              <w:rPr>
                <w:rFonts w:ascii="Arial" w:cs="Arial" w:eastAsia="Arial" w:hAnsi="Arial"/>
                <w:sz w:val="16"/>
                <w:szCs w:val="16"/>
                <w:b w:val="1"/>
                <w:bCs w:val="1"/>
                <w:color w:val="auto"/>
              </w:rPr>
              <w:t>Location of Gain/(Loss) on Derivatives</w:t>
            </w:r>
          </w:p>
        </w:tc>
        <w:tc>
          <w:tcPr>
            <w:tcW w:w="13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2025</w:t>
            </w:r>
          </w:p>
        </w:tc>
        <w:tc>
          <w:tcPr>
            <w:tcW w:w="6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2024</w:t>
            </w:r>
          </w:p>
        </w:tc>
        <w:tc>
          <w:tcPr>
            <w:tcW w:w="6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3520" w:type="dxa"/>
            <w:vAlign w:val="bottom"/>
            <w:vMerge w:val="continue"/>
          </w:tcPr>
          <w:p>
            <w:pPr>
              <w:spacing w:after="0"/>
              <w:rPr>
                <w:sz w:val="14"/>
                <w:szCs w:val="14"/>
                <w:color w:val="auto"/>
              </w:rPr>
            </w:pPr>
          </w:p>
        </w:tc>
        <w:tc>
          <w:tcPr>
            <w:tcW w:w="3640" w:type="dxa"/>
            <w:vAlign w:val="bottom"/>
            <w:vMerge w:val="continue"/>
          </w:tcPr>
          <w:p>
            <w:pPr>
              <w:spacing w:after="0"/>
              <w:rPr>
                <w:sz w:val="14"/>
                <w:szCs w:val="14"/>
                <w:color w:val="auto"/>
              </w:rPr>
            </w:pPr>
          </w:p>
        </w:tc>
        <w:tc>
          <w:tcPr>
            <w:tcW w:w="4080" w:type="dxa"/>
            <w:vAlign w:val="bottom"/>
            <w:gridSpan w:val="4"/>
          </w:tcPr>
          <w:p>
            <w:pPr>
              <w:jc w:val="center"/>
              <w:ind w:right="79"/>
              <w:spacing w:after="0" w:line="168" w:lineRule="exact"/>
              <w:rPr>
                <w:sz w:val="20"/>
                <w:szCs w:val="20"/>
                <w:color w:val="auto"/>
              </w:rPr>
            </w:pPr>
            <w:r>
              <w:rPr>
                <w:rFonts w:ascii="Arial" w:cs="Arial" w:eastAsia="Arial" w:hAnsi="Arial"/>
                <w:sz w:val="16"/>
                <w:szCs w:val="16"/>
                <w:b w:val="1"/>
                <w:bCs w:val="1"/>
                <w:color w:val="auto"/>
              </w:rPr>
              <w:t>Amount of Gain/(Loss) on Derivatives Recognized</w:t>
            </w:r>
          </w:p>
        </w:tc>
        <w:tc>
          <w:tcPr>
            <w:tcW w:w="0" w:type="dxa"/>
            <w:vAlign w:val="bottom"/>
          </w:tcPr>
          <w:p>
            <w:pPr>
              <w:spacing w:after="0"/>
              <w:rPr>
                <w:sz w:val="1"/>
                <w:szCs w:val="1"/>
                <w:color w:val="auto"/>
              </w:rPr>
            </w:pPr>
          </w:p>
        </w:tc>
      </w:tr>
      <w:tr>
        <w:trPr>
          <w:trHeight w:val="203"/>
        </w:trPr>
        <w:tc>
          <w:tcPr>
            <w:tcW w:w="3520" w:type="dxa"/>
            <w:vAlign w:val="bottom"/>
            <w:tcBorders>
              <w:bottom w:val="single" w:sz="8" w:color="auto"/>
            </w:tcBorders>
          </w:tcPr>
          <w:p>
            <w:pPr>
              <w:jc w:val="center"/>
              <w:ind w:left="99"/>
              <w:spacing w:after="0"/>
              <w:rPr>
                <w:sz w:val="20"/>
                <w:szCs w:val="20"/>
                <w:color w:val="auto"/>
              </w:rPr>
            </w:pPr>
            <w:r>
              <w:rPr>
                <w:rFonts w:ascii="Arial" w:cs="Arial" w:eastAsia="Arial" w:hAnsi="Arial"/>
                <w:sz w:val="16"/>
                <w:szCs w:val="16"/>
                <w:b w:val="1"/>
                <w:bCs w:val="1"/>
                <w:color w:val="auto"/>
              </w:rPr>
              <w:t>Instruments</w:t>
            </w:r>
          </w:p>
        </w:tc>
        <w:tc>
          <w:tcPr>
            <w:tcW w:w="3640" w:type="dxa"/>
            <w:vAlign w:val="bottom"/>
            <w:tcBorders>
              <w:bottom w:val="single" w:sz="8" w:color="auto"/>
            </w:tcBorders>
          </w:tcPr>
          <w:p>
            <w:pPr>
              <w:jc w:val="center"/>
              <w:ind w:left="99"/>
              <w:spacing w:after="0"/>
              <w:rPr>
                <w:sz w:val="20"/>
                <w:szCs w:val="20"/>
                <w:color w:val="auto"/>
              </w:rPr>
            </w:pPr>
            <w:r>
              <w:rPr>
                <w:rFonts w:ascii="Arial" w:cs="Arial" w:eastAsia="Arial" w:hAnsi="Arial"/>
                <w:sz w:val="16"/>
                <w:szCs w:val="16"/>
                <w:b w:val="1"/>
                <w:bCs w:val="1"/>
                <w:color w:val="auto"/>
              </w:rPr>
              <w:t>Recognized in Income</w:t>
            </w:r>
          </w:p>
        </w:tc>
        <w:tc>
          <w:tcPr>
            <w:tcW w:w="136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2"/>
          </w:tcPr>
          <w:p>
            <w:pPr>
              <w:jc w:val="center"/>
              <w:ind w:right="779"/>
              <w:spacing w:after="0"/>
              <w:rPr>
                <w:sz w:val="20"/>
                <w:szCs w:val="20"/>
                <w:color w:val="auto"/>
              </w:rPr>
            </w:pPr>
            <w:r>
              <w:rPr>
                <w:rFonts w:ascii="Arial" w:cs="Arial" w:eastAsia="Arial" w:hAnsi="Arial"/>
                <w:sz w:val="16"/>
                <w:szCs w:val="16"/>
                <w:b w:val="1"/>
                <w:bCs w:val="1"/>
                <w:color w:val="auto"/>
              </w:rPr>
              <w:t>in Income</w:t>
            </w:r>
          </w:p>
        </w:tc>
        <w:tc>
          <w:tcPr>
            <w:tcW w:w="6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5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2"/>
          </w:tcPr>
          <w:p>
            <w:pPr>
              <w:jc w:val="center"/>
              <w:ind w:right="759"/>
              <w:spacing w:after="0" w:line="183" w:lineRule="exact"/>
              <w:rPr>
                <w:sz w:val="20"/>
                <w:szCs w:val="20"/>
                <w:color w:val="auto"/>
              </w:rPr>
            </w:pPr>
            <w:r>
              <w:rPr>
                <w:rFonts w:ascii="Arial" w:cs="Arial" w:eastAsia="Arial" w:hAnsi="Arial"/>
                <w:sz w:val="16"/>
                <w:szCs w:val="16"/>
                <w:color w:val="auto"/>
              </w:rPr>
              <w:t>(in millions)</w:t>
            </w:r>
          </w:p>
        </w:tc>
        <w:tc>
          <w:tcPr>
            <w:tcW w:w="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520" w:type="dxa"/>
            <w:vAlign w:val="bottom"/>
            <w:shd w:val="clear" w:color="auto" w:fill="CFF0FC"/>
          </w:tcPr>
          <w:p>
            <w:pPr>
              <w:spacing w:after="0"/>
              <w:rPr>
                <w:sz w:val="14"/>
                <w:szCs w:val="14"/>
                <w:color w:val="auto"/>
              </w:rPr>
            </w:pPr>
          </w:p>
        </w:tc>
        <w:tc>
          <w:tcPr>
            <w:tcW w:w="3640" w:type="dxa"/>
            <w:vAlign w:val="bottom"/>
            <w:shd w:val="clear" w:color="auto" w:fill="CFF0FC"/>
          </w:tcPr>
          <w:p>
            <w:pPr>
              <w:jc w:val="center"/>
              <w:ind w:left="19"/>
              <w:spacing w:after="0" w:line="168" w:lineRule="exact"/>
              <w:rPr>
                <w:sz w:val="20"/>
                <w:szCs w:val="20"/>
                <w:color w:val="auto"/>
              </w:rPr>
            </w:pPr>
            <w:r>
              <w:rPr>
                <w:rFonts w:ascii="Arial" w:cs="Arial" w:eastAsia="Arial" w:hAnsi="Arial"/>
                <w:sz w:val="16"/>
                <w:szCs w:val="16"/>
                <w:color w:val="auto"/>
              </w:rPr>
              <w:t>Fuel, purchased power, and cost of natural gas</w:t>
            </w:r>
          </w:p>
        </w:tc>
        <w:tc>
          <w:tcPr>
            <w:tcW w:w="1360" w:type="dxa"/>
            <w:vAlign w:val="bottom"/>
            <w:vMerge w:val="restart"/>
            <w:shd w:val="clear" w:color="auto" w:fill="CFF0FC"/>
          </w:tcPr>
          <w:p>
            <w:pPr>
              <w:jc w:val="right"/>
              <w:ind w:right="1179"/>
              <w:spacing w:after="0"/>
              <w:rPr>
                <w:sz w:val="20"/>
                <w:szCs w:val="20"/>
                <w:color w:val="auto"/>
              </w:rPr>
            </w:pPr>
            <w:r>
              <w:rPr>
                <w:rFonts w:ascii="Arial" w:cs="Arial" w:eastAsia="Arial" w:hAnsi="Arial"/>
                <w:sz w:val="16"/>
                <w:szCs w:val="16"/>
                <w:color w:val="auto"/>
                <w:w w:val="89"/>
              </w:rPr>
              <w:t>$</w:t>
            </w: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0.6</w:t>
            </w:r>
          </w:p>
        </w:tc>
        <w:tc>
          <w:tcPr>
            <w:tcW w:w="1440" w:type="dxa"/>
            <w:vAlign w:val="bottom"/>
            <w:vMerge w:val="restart"/>
            <w:shd w:val="clear" w:color="auto" w:fill="CFF0FC"/>
          </w:tcPr>
          <w:p>
            <w:pPr>
              <w:jc w:val="right"/>
              <w:ind w:right="1239"/>
              <w:spacing w:after="0"/>
              <w:rPr>
                <w:sz w:val="20"/>
                <w:szCs w:val="20"/>
                <w:color w:val="auto"/>
              </w:rPr>
            </w:pPr>
            <w:r>
              <w:rPr>
                <w:rFonts w:ascii="Arial" w:cs="Arial" w:eastAsia="Arial" w:hAnsi="Arial"/>
                <w:sz w:val="16"/>
                <w:szCs w:val="16"/>
                <w:color w:val="auto"/>
              </w:rPr>
              <w:t>$</w:t>
            </w:r>
          </w:p>
        </w:tc>
        <w:tc>
          <w:tcPr>
            <w:tcW w:w="620" w:type="dxa"/>
            <w:vAlign w:val="bottom"/>
            <w:vMerge w:val="restart"/>
            <w:shd w:val="clear" w:color="auto" w:fill="CFF0FC"/>
          </w:tcPr>
          <w:p>
            <w:pPr>
              <w:jc w:val="right"/>
              <w:ind w:right="39"/>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190"/>
        </w:trPr>
        <w:tc>
          <w:tcPr>
            <w:tcW w:w="3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Commodity derivatives</w:t>
            </w:r>
          </w:p>
        </w:tc>
        <w:tc>
          <w:tcPr>
            <w:tcW w:w="36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6"/>
                <w:szCs w:val="16"/>
                <w:color w:val="auto"/>
              </w:rPr>
              <w:t>sold</w:t>
            </w:r>
          </w:p>
        </w:tc>
        <w:tc>
          <w:tcPr>
            <w:tcW w:w="1360" w:type="dxa"/>
            <w:vAlign w:val="bottom"/>
            <w:tcBorders>
              <w:bottom w:val="single" w:sz="8" w:color="auto"/>
            </w:tcBorders>
            <w:vMerge w:val="continue"/>
            <w:shd w:val="clear" w:color="auto" w:fill="CFF0FC"/>
          </w:tcPr>
          <w:p>
            <w:pPr>
              <w:spacing w:after="0"/>
              <w:rPr>
                <w:sz w:val="16"/>
                <w:szCs w:val="16"/>
                <w:color w:val="auto"/>
              </w:rPr>
            </w:pPr>
          </w:p>
        </w:tc>
        <w:tc>
          <w:tcPr>
            <w:tcW w:w="660" w:type="dxa"/>
            <w:vAlign w:val="bottom"/>
            <w:tcBorders>
              <w:bottom w:val="single" w:sz="8" w:color="auto"/>
            </w:tcBorders>
            <w:vMerge w:val="continue"/>
            <w:shd w:val="clear" w:color="auto" w:fill="CFF0FC"/>
          </w:tcPr>
          <w:p>
            <w:pPr>
              <w:spacing w:after="0"/>
              <w:rPr>
                <w:sz w:val="16"/>
                <w:szCs w:val="16"/>
                <w:color w:val="auto"/>
              </w:rPr>
            </w:pPr>
          </w:p>
        </w:tc>
        <w:tc>
          <w:tcPr>
            <w:tcW w:w="1440" w:type="dxa"/>
            <w:vAlign w:val="bottom"/>
            <w:tcBorders>
              <w:bottom w:val="single" w:sz="8" w:color="auto"/>
            </w:tcBorders>
            <w:vMerge w:val="continue"/>
            <w:shd w:val="clear" w:color="auto" w:fill="CFF0FC"/>
          </w:tcPr>
          <w:p>
            <w:pPr>
              <w:spacing w:after="0"/>
              <w:rPr>
                <w:sz w:val="16"/>
                <w:szCs w:val="16"/>
                <w:color w:val="auto"/>
              </w:rPr>
            </w:pPr>
          </w:p>
        </w:tc>
        <w:tc>
          <w:tcPr>
            <w:tcW w:w="620" w:type="dxa"/>
            <w:vAlign w:val="bottom"/>
            <w:tcBorders>
              <w:bottom w:val="single" w:sz="8" w:color="auto"/>
            </w:tcBorders>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5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1360" w:type="dxa"/>
            <w:vAlign w:val="bottom"/>
            <w:tcBorders>
              <w:bottom w:val="single" w:sz="8" w:color="auto"/>
            </w:tcBorders>
          </w:tcPr>
          <w:p>
            <w:pPr>
              <w:jc w:val="right"/>
              <w:ind w:right="1179"/>
              <w:spacing w:after="0" w:line="183" w:lineRule="exact"/>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0.6</w:t>
            </w:r>
          </w:p>
        </w:tc>
        <w:tc>
          <w:tcPr>
            <w:tcW w:w="1440" w:type="dxa"/>
            <w:vAlign w:val="bottom"/>
            <w:tcBorders>
              <w:bottom w:val="single" w:sz="8" w:color="auto"/>
            </w:tcBorders>
          </w:tcPr>
          <w:p>
            <w:pPr>
              <w:jc w:val="right"/>
              <w:ind w:right="1239"/>
              <w:spacing w:after="0" w:line="183" w:lineRule="exact"/>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right="60"/>
        <w:spacing w:after="0" w:line="259" w:lineRule="auto"/>
        <w:rPr>
          <w:sz w:val="20"/>
          <w:szCs w:val="20"/>
          <w:color w:val="auto"/>
        </w:rPr>
      </w:pPr>
      <w:r>
        <w:rPr>
          <w:rFonts w:ascii="Arial" w:cs="Arial" w:eastAsia="Arial" w:hAnsi="Arial"/>
          <w:sz w:val="16"/>
          <w:szCs w:val="16"/>
          <w:color w:val="auto"/>
        </w:rPr>
        <w:t>As discussed above, financial instruments used in our regulated Gas Utilities are not designated as cash flow hedges. However, there is no earnings impact because the unrealized gains and losses arising from the use of these financial instruments are recorded as Regulatory assets or Regulatory liabilities. The net unrealized losses included in our Regulatory asset accounts related to these financial instruments were $1.0 million and $2.9 million as of June 30, 2025 and December 31, 2024, respectively.</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20" w:hanging="512"/>
        <w:spacing w:after="0"/>
        <w:tabs>
          <w:tab w:leader="none" w:pos="520"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color w:val="auto"/>
        </w:rPr>
        <w:t>Fair Value Measurements</w:t>
      </w:r>
    </w:p>
    <w:p>
      <w:pPr>
        <w:spacing w:after="0" w:line="194"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We use the following fair value hierarchy for determining inputs for our financial instruments. Our assets and liabilities for financial instruments are classified and disclosed in one of the following fair value categories: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Level 1</w:t>
      </w:r>
      <w:r>
        <w:rPr>
          <w:rFonts w:ascii="Arial" w:cs="Arial" w:eastAsia="Arial" w:hAnsi="Arial"/>
          <w:sz w:val="16"/>
          <w:szCs w:val="16"/>
          <w:color w:val="auto"/>
        </w:rPr>
        <w:t xml:space="preserve"> — Unadjusted quoted prices available in active markets that are accessible at the measurement date for identical unrestricted assets or liabilities.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Level 1 instruments primarily consist of highly liquid and actively traded financial instruments with quoted pricing information on an ongoing basis.</w:t>
      </w:r>
    </w:p>
    <w:p>
      <w:pPr>
        <w:spacing w:after="0" w:line="178" w:lineRule="exact"/>
        <w:rPr>
          <w:sz w:val="20"/>
          <w:szCs w:val="20"/>
          <w:color w:val="auto"/>
        </w:rPr>
      </w:pPr>
    </w:p>
    <w:p>
      <w:pPr>
        <w:ind w:right="300"/>
        <w:spacing w:after="0" w:line="266" w:lineRule="auto"/>
        <w:rPr>
          <w:sz w:val="20"/>
          <w:szCs w:val="20"/>
          <w:color w:val="auto"/>
        </w:rPr>
      </w:pPr>
      <w:r>
        <w:rPr>
          <w:rFonts w:ascii="Arial" w:cs="Arial" w:eastAsia="Arial" w:hAnsi="Arial"/>
          <w:sz w:val="16"/>
          <w:szCs w:val="16"/>
          <w:u w:val="single" w:color="auto"/>
          <w:color w:val="auto"/>
        </w:rPr>
        <w:t>Level 2</w:t>
      </w:r>
      <w:r>
        <w:rPr>
          <w:rFonts w:ascii="Arial" w:cs="Arial" w:eastAsia="Arial" w:hAnsi="Arial"/>
          <w:sz w:val="16"/>
          <w:szCs w:val="16"/>
          <w:color w:val="auto"/>
        </w:rPr>
        <w:t xml:space="preserve"> — Pricing inputs include quoted prices for identical or similar assets and liabilities in active markets other than quoted prices in Level 1, quoted prices for identical or similar assets or liabilities in markets that are not active, inputs other than quoted prices that are observable for the asset or liability, and inputs that are derived principally from, or corroborated by, observable market data by correlation or other means.</w:t>
      </w:r>
    </w:p>
    <w:p>
      <w:pPr>
        <w:spacing w:after="0" w:line="144"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u w:val="single" w:color="auto"/>
          <w:color w:val="auto"/>
        </w:rPr>
        <w:t>Level 3</w:t>
      </w:r>
      <w:r>
        <w:rPr>
          <w:rFonts w:ascii="Arial" w:cs="Arial" w:eastAsia="Arial" w:hAnsi="Arial"/>
          <w:sz w:val="16"/>
          <w:szCs w:val="16"/>
          <w:color w:val="auto"/>
        </w:rPr>
        <w:t xml:space="preserve"> — Pricing inputs are generally less observable from objective sources. These inputs reflect management’s best estimate of fair value using its own assumptions about the assumptions a market participant would use in pricing the asset or liability.</w:t>
      </w:r>
    </w:p>
    <w:p>
      <w:pPr>
        <w:spacing w:after="0" w:line="129"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Assets and liabilities are classified in their entirety based on the lowest level of input that is significant to the fair value measurement. Our assessment of the significance of a particular input to the fair value measurement requires judgment and may affect the placement within the fair value hierarchy levels. We record transfers, if necessary, between levels at the end of the reporting period for all of our financial instruments.</w:t>
      </w:r>
    </w:p>
    <w:p>
      <w:pPr>
        <w:spacing w:after="0" w:line="144"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Transfers into Level 3, if any, occur when significant inputs used to value the derivative instruments become less observable, such as a significant decrease in the frequency and volume in which the instrument is traded, negatively impacting the availability of observable pricing inputs. Transfers out of Level 3, if any, occur when the significant inputs become more observable, such as when the time between the valuation date and the delivery date of a transaction becomes shorter, positively impacting the availability of observable pricing inputs.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Recurring Fair Value Measurements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Derivatives</w:t>
      </w:r>
    </w:p>
    <w:p>
      <w:pPr>
        <w:spacing w:after="0" w:line="192"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The commodity contracts for our Utilities segments are valued using the market approach and include forward strip pricing at liquid delivery points, exchange-traded futures, options, basis swaps, and over-the-counter swaps and options (Level 2) for wholesale electric energy and natural gas contracts. For exchange-traded futures, options, and basis swap assets and liabilities, fair value was derived using broker quotes validated by the exchange settlement pricing for the applicable contract. For over-the-counter instruments, the fair value is obtained by utilizing a nationally recognized service that obtains observable inputs to compute the fair value, which we validate by comparing our valuation with the counterparty. The fair value of these swaps includes a credit valuation adjustment based on the credit spreads of the counterparties when we are in an unrealized gain position or on our own credit spread when we are in an unrealized loss position. For additional information, see Note 1 of our Notes to the Consolidated Financial Statements in our 2024 Annual Report on Form 10-K.</w:t>
      </w:r>
    </w:p>
    <w:p>
      <w:pPr>
        <w:spacing w:after="0" w:line="156"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The following tables set forth, by level within the fair value hierarchy, our gross assets and gross liabilities and related offsetting as permitted by GAAP that were accounted for at fair value on a recurring basis for derivative instruments.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80" w:type="dxa"/>
            <w:vAlign w:val="bottom"/>
            <w:gridSpan w:val="3"/>
          </w:tcPr>
          <w:p>
            <w:pPr>
              <w:spacing w:after="0"/>
              <w:rPr>
                <w:sz w:val="20"/>
                <w:szCs w:val="20"/>
                <w:color w:val="auto"/>
              </w:rPr>
            </w:pPr>
            <w:r>
              <w:rPr>
                <w:rFonts w:ascii="Arial" w:cs="Arial" w:eastAsia="Arial" w:hAnsi="Arial"/>
                <w:sz w:val="16"/>
                <w:szCs w:val="16"/>
                <w:b w:val="1"/>
                <w:bCs w:val="1"/>
                <w:color w:val="auto"/>
              </w:rPr>
              <w:t>As of June 30, 2025</w:t>
            </w: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tcPr>
          <w:p>
            <w:pPr>
              <w:jc w:val="center"/>
              <w:ind w:right="163"/>
              <w:spacing w:after="0"/>
              <w:rPr>
                <w:sz w:val="20"/>
                <w:szCs w:val="20"/>
                <w:color w:val="auto"/>
              </w:rPr>
            </w:pPr>
            <w:r>
              <w:rPr>
                <w:rFonts w:ascii="Arial" w:cs="Arial" w:eastAsia="Arial" w:hAnsi="Arial"/>
                <w:sz w:val="16"/>
                <w:szCs w:val="16"/>
                <w:b w:val="1"/>
                <w:bCs w:val="1"/>
                <w:color w:val="auto"/>
              </w:rPr>
              <w:t>Cash Collateral and</w:t>
            </w: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4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80" w:type="dxa"/>
            <w:vAlign w:val="bottom"/>
            <w:gridSpan w:val="2"/>
          </w:tcPr>
          <w:p>
            <w:pPr>
              <w:jc w:val="center"/>
              <w:ind w:right="63"/>
              <w:spacing w:after="0" w:line="163" w:lineRule="exact"/>
              <w:rPr>
                <w:sz w:val="20"/>
                <w:szCs w:val="20"/>
                <w:color w:val="auto"/>
              </w:rPr>
            </w:pPr>
            <w:r>
              <w:rPr>
                <w:rFonts w:ascii="Arial" w:cs="Arial" w:eastAsia="Arial" w:hAnsi="Arial"/>
                <w:sz w:val="16"/>
                <w:szCs w:val="16"/>
                <w:b w:val="1"/>
                <w:bCs w:val="1"/>
                <w:color w:val="auto"/>
              </w:rPr>
              <w:t>Counterparty Netting</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4040" w:type="dxa"/>
            <w:vAlign w:val="bottom"/>
          </w:tcPr>
          <w:p>
            <w:pPr>
              <w:spacing w:after="0"/>
              <w:rPr>
                <w:sz w:val="10"/>
                <w:szCs w:val="10"/>
                <w:color w:val="auto"/>
              </w:rPr>
            </w:pPr>
          </w:p>
        </w:tc>
        <w:tc>
          <w:tcPr>
            <w:tcW w:w="960" w:type="dxa"/>
            <w:vAlign w:val="bottom"/>
            <w:vMerge w:val="restart"/>
          </w:tcPr>
          <w:p>
            <w:pPr>
              <w:jc w:val="right"/>
              <w:ind w:right="3"/>
              <w:spacing w:after="0" w:line="162" w:lineRule="exact"/>
              <w:rPr>
                <w:sz w:val="20"/>
                <w:szCs w:val="20"/>
                <w:color w:val="auto"/>
              </w:rPr>
            </w:pPr>
            <w:r>
              <w:rPr>
                <w:rFonts w:ascii="Arial" w:cs="Arial" w:eastAsia="Arial" w:hAnsi="Arial"/>
                <w:sz w:val="16"/>
                <w:szCs w:val="16"/>
                <w:b w:val="1"/>
                <w:bCs w:val="1"/>
                <w:color w:val="auto"/>
              </w:rPr>
              <w:t>Level 1</w:t>
            </w: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60" w:type="dxa"/>
            <w:vAlign w:val="bottom"/>
            <w:vMerge w:val="restart"/>
          </w:tcPr>
          <w:p>
            <w:pPr>
              <w:jc w:val="right"/>
              <w:ind w:right="299"/>
              <w:spacing w:after="0" w:line="162" w:lineRule="exact"/>
              <w:rPr>
                <w:sz w:val="20"/>
                <w:szCs w:val="20"/>
                <w:color w:val="auto"/>
              </w:rPr>
            </w:pPr>
            <w:r>
              <w:rPr>
                <w:rFonts w:ascii="Arial" w:cs="Arial" w:eastAsia="Arial" w:hAnsi="Arial"/>
                <w:sz w:val="16"/>
                <w:szCs w:val="16"/>
                <w:b w:val="1"/>
                <w:bCs w:val="1"/>
                <w:color w:val="auto"/>
              </w:rPr>
              <w:t>Level 2</w:t>
            </w:r>
          </w:p>
        </w:tc>
        <w:tc>
          <w:tcPr>
            <w:tcW w:w="160" w:type="dxa"/>
            <w:vAlign w:val="bottom"/>
          </w:tcPr>
          <w:p>
            <w:pPr>
              <w:spacing w:after="0"/>
              <w:rPr>
                <w:sz w:val="10"/>
                <w:szCs w:val="10"/>
                <w:color w:val="auto"/>
              </w:rPr>
            </w:pPr>
          </w:p>
        </w:tc>
        <w:tc>
          <w:tcPr>
            <w:tcW w:w="1200" w:type="dxa"/>
            <w:vAlign w:val="bottom"/>
            <w:vMerge w:val="restart"/>
          </w:tcPr>
          <w:p>
            <w:pPr>
              <w:ind w:left="220"/>
              <w:spacing w:after="0" w:line="162" w:lineRule="exact"/>
              <w:rPr>
                <w:sz w:val="20"/>
                <w:szCs w:val="20"/>
                <w:color w:val="auto"/>
              </w:rPr>
            </w:pPr>
            <w:r>
              <w:rPr>
                <w:rFonts w:ascii="Arial" w:cs="Arial" w:eastAsia="Arial" w:hAnsi="Arial"/>
                <w:sz w:val="16"/>
                <w:szCs w:val="16"/>
                <w:b w:val="1"/>
                <w:bCs w:val="1"/>
                <w:color w:val="auto"/>
              </w:rPr>
              <w:t>Level 3</w:t>
            </w:r>
          </w:p>
        </w:tc>
        <w:tc>
          <w:tcPr>
            <w:tcW w:w="120" w:type="dxa"/>
            <w:vAlign w:val="bottom"/>
          </w:tcPr>
          <w:p>
            <w:pPr>
              <w:spacing w:after="0"/>
              <w:rPr>
                <w:sz w:val="10"/>
                <w:szCs w:val="10"/>
                <w:color w:val="auto"/>
              </w:rPr>
            </w:pPr>
          </w:p>
        </w:tc>
        <w:tc>
          <w:tcPr>
            <w:tcW w:w="1760" w:type="dxa"/>
            <w:vAlign w:val="bottom"/>
          </w:tcPr>
          <w:p>
            <w:pPr>
              <w:jc w:val="center"/>
              <w:ind w:right="123"/>
              <w:spacing w:after="0" w:line="122" w:lineRule="exact"/>
              <w:rPr>
                <w:sz w:val="20"/>
                <w:szCs w:val="20"/>
                <w:color w:val="auto"/>
              </w:rPr>
            </w:pPr>
            <w:r>
              <w:rPr>
                <w:rFonts w:ascii="Arial" w:cs="Arial" w:eastAsia="Arial" w:hAnsi="Arial"/>
                <w:sz w:val="11"/>
                <w:szCs w:val="11"/>
                <w:b w:val="1"/>
                <w:bCs w:val="1"/>
                <w:color w:val="auto"/>
                <w:w w:val="88"/>
              </w:rPr>
              <w:t>(a)</w:t>
            </w:r>
          </w:p>
        </w:tc>
        <w:tc>
          <w:tcPr>
            <w:tcW w:w="260" w:type="dxa"/>
            <w:vAlign w:val="bottom"/>
          </w:tcPr>
          <w:p>
            <w:pPr>
              <w:spacing w:after="0"/>
              <w:rPr>
                <w:sz w:val="10"/>
                <w:szCs w:val="10"/>
                <w:color w:val="auto"/>
              </w:rPr>
            </w:pPr>
          </w:p>
        </w:tc>
        <w:tc>
          <w:tcPr>
            <w:tcW w:w="1080" w:type="dxa"/>
            <w:vAlign w:val="bottom"/>
            <w:vMerge w:val="restart"/>
          </w:tcPr>
          <w:p>
            <w:pPr>
              <w:jc w:val="right"/>
              <w:ind w:right="439"/>
              <w:spacing w:after="0" w:line="162" w:lineRule="exact"/>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40"/>
        </w:trPr>
        <w:tc>
          <w:tcPr>
            <w:tcW w:w="4040" w:type="dxa"/>
            <w:vAlign w:val="bottom"/>
          </w:tcPr>
          <w:p>
            <w:pPr>
              <w:spacing w:after="0"/>
              <w:rPr>
                <w:sz w:val="3"/>
                <w:szCs w:val="3"/>
                <w:color w:val="auto"/>
              </w:rPr>
            </w:pPr>
          </w:p>
        </w:tc>
        <w:tc>
          <w:tcPr>
            <w:tcW w:w="960" w:type="dxa"/>
            <w:vAlign w:val="bottom"/>
            <w:tcBorders>
              <w:bottom w:val="single" w:sz="8" w:color="auto"/>
            </w:tcBorders>
            <w:vMerge w:val="continue"/>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vMerge w:val="continue"/>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vMerge w:val="continue"/>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404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ind w:left="340"/>
              <w:spacing w:after="0" w:line="183" w:lineRule="exact"/>
              <w:rPr>
                <w:sz w:val="20"/>
                <w:szCs w:val="20"/>
                <w:color w:val="auto"/>
              </w:rPr>
            </w:pPr>
            <w:r>
              <w:rPr>
                <w:rFonts w:ascii="Arial" w:cs="Arial" w:eastAsia="Arial" w:hAnsi="Arial"/>
                <w:sz w:val="16"/>
                <w:szCs w:val="16"/>
                <w:color w:val="auto"/>
              </w:rPr>
              <w:t>(in millions)</w:t>
            </w:r>
          </w:p>
        </w:tc>
        <w:tc>
          <w:tcPr>
            <w:tcW w:w="12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Assets:</w:t>
            </w:r>
          </w:p>
        </w:tc>
        <w:tc>
          <w:tcPr>
            <w:tcW w:w="9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7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40" w:type="dxa"/>
            <w:vAlign w:val="bottom"/>
          </w:tcPr>
          <w:p>
            <w:pPr>
              <w:ind w:left="40"/>
              <w:spacing w:after="0"/>
              <w:rPr>
                <w:sz w:val="20"/>
                <w:szCs w:val="20"/>
                <w:color w:val="auto"/>
              </w:rPr>
            </w:pPr>
            <w:r>
              <w:rPr>
                <w:rFonts w:ascii="Arial" w:cs="Arial" w:eastAsia="Arial" w:hAnsi="Arial"/>
                <w:sz w:val="16"/>
                <w:szCs w:val="16"/>
                <w:color w:val="auto"/>
              </w:rPr>
              <w:t>Commodity derivatives - Gas Utilities</w:t>
            </w:r>
          </w:p>
        </w:tc>
        <w:tc>
          <w:tcPr>
            <w:tcW w:w="960" w:type="dxa"/>
            <w:vAlign w:val="bottom"/>
            <w:tcBorders>
              <w:bottom w:val="single" w:sz="8" w:color="auto"/>
            </w:tcBorders>
          </w:tcPr>
          <w:p>
            <w:pPr>
              <w:jc w:val="right"/>
              <w:ind w:right="803"/>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ind w:left="9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23"/>
        </w:trPr>
        <w:tc>
          <w:tcPr>
            <w:tcW w:w="4040" w:type="dxa"/>
            <w:vAlign w:val="bottom"/>
            <w:tcBorders>
              <w:bottom w:val="single" w:sz="8" w:color="CFF0FC"/>
            </w:tcBorders>
            <w:shd w:val="clear" w:color="auto" w:fill="CFF0FC"/>
          </w:tcPr>
          <w:p>
            <w:pPr>
              <w:spacing w:after="0" w:line="169" w:lineRule="exact"/>
              <w:rPr>
                <w:sz w:val="20"/>
                <w:szCs w:val="20"/>
                <w:color w:val="auto"/>
              </w:rPr>
            </w:pPr>
            <w:r>
              <w:rPr>
                <w:rFonts w:ascii="Arial" w:cs="Arial" w:eastAsia="Arial" w:hAnsi="Arial"/>
                <w:sz w:val="16"/>
                <w:szCs w:val="16"/>
                <w:color w:val="auto"/>
              </w:rPr>
              <w:t>Total</w:t>
            </w:r>
          </w:p>
        </w:tc>
        <w:tc>
          <w:tcPr>
            <w:tcW w:w="960" w:type="dxa"/>
            <w:vAlign w:val="bottom"/>
            <w:tcBorders>
              <w:bottom w:val="single" w:sz="8" w:color="auto"/>
            </w:tcBorders>
            <w:shd w:val="clear" w:color="auto" w:fill="CFF0FC"/>
          </w:tcPr>
          <w:p>
            <w:pPr>
              <w:jc w:val="right"/>
              <w:ind w:right="803"/>
              <w:spacing w:after="0" w:line="169" w:lineRule="exact"/>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auto"/>
            </w:tcBorders>
            <w:shd w:val="clear" w:color="auto" w:fill="CFF0FC"/>
          </w:tcPr>
          <w:p>
            <w:pPr>
              <w:ind w:left="100"/>
              <w:spacing w:after="0" w:line="169" w:lineRule="exact"/>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1.3</w:t>
            </w:r>
          </w:p>
        </w:tc>
        <w:tc>
          <w:tcPr>
            <w:tcW w:w="16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FF0FC"/>
          </w:tcPr>
          <w:p>
            <w:pPr>
              <w:ind w:left="940"/>
              <w:spacing w:after="0" w:line="169" w:lineRule="exact"/>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(1.0)</w:t>
            </w:r>
          </w:p>
        </w:tc>
        <w:tc>
          <w:tcPr>
            <w:tcW w:w="260" w:type="dxa"/>
            <w:vAlign w:val="bottom"/>
            <w:tcBorders>
              <w:bottom w:val="single" w:sz="8" w:color="auto"/>
            </w:tcBorders>
            <w:shd w:val="clear" w:color="auto" w:fill="CFF0FC"/>
          </w:tcPr>
          <w:p>
            <w:pPr>
              <w:jc w:val="right"/>
              <w:ind w:right="79"/>
              <w:spacing w:after="0" w:line="169" w:lineRule="exact"/>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170"/>
        </w:trPr>
        <w:tc>
          <w:tcPr>
            <w:tcW w:w="4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40" w:type="dxa"/>
            <w:vAlign w:val="bottom"/>
            <w:shd w:val="clear" w:color="auto" w:fill="CFF0FC"/>
          </w:tcPr>
          <w:p>
            <w:pPr>
              <w:spacing w:after="0"/>
              <w:rPr>
                <w:sz w:val="20"/>
                <w:szCs w:val="20"/>
                <w:color w:val="auto"/>
              </w:rPr>
            </w:pPr>
            <w:r>
              <w:rPr>
                <w:rFonts w:ascii="Arial" w:cs="Arial" w:eastAsia="Arial" w:hAnsi="Arial"/>
                <w:sz w:val="16"/>
                <w:szCs w:val="16"/>
                <w:color w:val="auto"/>
              </w:rPr>
              <w:t>Liabilities:</w:t>
            </w:r>
          </w:p>
        </w:tc>
        <w:tc>
          <w:tcPr>
            <w:tcW w:w="9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7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40" w:type="dxa"/>
            <w:vAlign w:val="bottom"/>
          </w:tcPr>
          <w:p>
            <w:pPr>
              <w:ind w:left="40"/>
              <w:spacing w:after="0"/>
              <w:rPr>
                <w:sz w:val="20"/>
                <w:szCs w:val="20"/>
                <w:color w:val="auto"/>
              </w:rPr>
            </w:pPr>
            <w:r>
              <w:rPr>
                <w:rFonts w:ascii="Arial" w:cs="Arial" w:eastAsia="Arial" w:hAnsi="Arial"/>
                <w:sz w:val="16"/>
                <w:szCs w:val="16"/>
                <w:color w:val="auto"/>
              </w:rPr>
              <w:t>Commodity derivatives - Gas Utilities</w:t>
            </w:r>
          </w:p>
        </w:tc>
        <w:tc>
          <w:tcPr>
            <w:tcW w:w="960" w:type="dxa"/>
            <w:vAlign w:val="bottom"/>
            <w:tcBorders>
              <w:bottom w:val="single" w:sz="8" w:color="auto"/>
            </w:tcBorders>
          </w:tcPr>
          <w:p>
            <w:pPr>
              <w:jc w:val="right"/>
              <w:ind w:right="803"/>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ind w:left="9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23"/>
        </w:trPr>
        <w:tc>
          <w:tcPr>
            <w:tcW w:w="4040" w:type="dxa"/>
            <w:vAlign w:val="bottom"/>
            <w:tcBorders>
              <w:bottom w:val="single" w:sz="8" w:color="CFF0FC"/>
            </w:tcBorders>
            <w:shd w:val="clear" w:color="auto" w:fill="CFF0FC"/>
          </w:tcPr>
          <w:p>
            <w:pPr>
              <w:spacing w:after="0" w:line="169" w:lineRule="exact"/>
              <w:rPr>
                <w:sz w:val="20"/>
                <w:szCs w:val="20"/>
                <w:color w:val="auto"/>
              </w:rPr>
            </w:pPr>
            <w:r>
              <w:rPr>
                <w:rFonts w:ascii="Arial" w:cs="Arial" w:eastAsia="Arial" w:hAnsi="Arial"/>
                <w:sz w:val="16"/>
                <w:szCs w:val="16"/>
                <w:color w:val="auto"/>
              </w:rPr>
              <w:t>Total</w:t>
            </w:r>
          </w:p>
        </w:tc>
        <w:tc>
          <w:tcPr>
            <w:tcW w:w="960" w:type="dxa"/>
            <w:vAlign w:val="bottom"/>
            <w:tcBorders>
              <w:bottom w:val="single" w:sz="8" w:color="auto"/>
            </w:tcBorders>
            <w:shd w:val="clear" w:color="auto" w:fill="CFF0FC"/>
          </w:tcPr>
          <w:p>
            <w:pPr>
              <w:jc w:val="right"/>
              <w:ind w:right="803"/>
              <w:spacing w:after="0" w:line="169" w:lineRule="exact"/>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auto"/>
            </w:tcBorders>
            <w:shd w:val="clear" w:color="auto" w:fill="CFF0FC"/>
          </w:tcPr>
          <w:p>
            <w:pPr>
              <w:ind w:left="100"/>
              <w:spacing w:after="0" w:line="169" w:lineRule="exact"/>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1.9</w:t>
            </w:r>
          </w:p>
        </w:tc>
        <w:tc>
          <w:tcPr>
            <w:tcW w:w="16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FF0FC"/>
          </w:tcPr>
          <w:p>
            <w:pPr>
              <w:ind w:left="940"/>
              <w:spacing w:after="0" w:line="169" w:lineRule="exact"/>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(0.2)</w:t>
            </w:r>
          </w:p>
        </w:tc>
        <w:tc>
          <w:tcPr>
            <w:tcW w:w="260" w:type="dxa"/>
            <w:vAlign w:val="bottom"/>
            <w:tcBorders>
              <w:bottom w:val="single" w:sz="8" w:color="auto"/>
            </w:tcBorders>
            <w:shd w:val="clear" w:color="auto" w:fill="CFF0FC"/>
          </w:tcPr>
          <w:p>
            <w:pPr>
              <w:jc w:val="right"/>
              <w:ind w:right="79"/>
              <w:spacing w:after="0" w:line="169" w:lineRule="exact"/>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04584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119" w:lineRule="exact"/>
        <w:rPr>
          <w:sz w:val="20"/>
          <w:szCs w:val="20"/>
          <w:color w:val="auto"/>
        </w:rPr>
      </w:pPr>
    </w:p>
    <w:p>
      <w:pPr>
        <w:ind w:left="520" w:right="120" w:hanging="512"/>
        <w:spacing w:after="0" w:line="249" w:lineRule="auto"/>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As of June 30, 2025, $1.0 million of our commodity derivative assets and $0.2 million of our commodity derivative liabilities, as well as related gross collateral amounts, were subject to master netting agreements.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80" w:type="dxa"/>
            <w:vAlign w:val="bottom"/>
            <w:gridSpan w:val="4"/>
          </w:tcPr>
          <w:p>
            <w:pPr>
              <w:jc w:val="right"/>
              <w:ind w:right="1283"/>
              <w:spacing w:after="0"/>
              <w:rPr>
                <w:sz w:val="20"/>
                <w:szCs w:val="20"/>
                <w:color w:val="auto"/>
              </w:rPr>
            </w:pPr>
            <w:r>
              <w:rPr>
                <w:rFonts w:ascii="Arial" w:cs="Arial" w:eastAsia="Arial" w:hAnsi="Arial"/>
                <w:sz w:val="16"/>
                <w:szCs w:val="16"/>
                <w:b w:val="1"/>
                <w:bCs w:val="1"/>
                <w:color w:val="auto"/>
              </w:rPr>
              <w:t>As of December 31, 2024</w:t>
            </w: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tcPr>
          <w:p>
            <w:pPr>
              <w:jc w:val="center"/>
              <w:ind w:right="163"/>
              <w:spacing w:after="0"/>
              <w:rPr>
                <w:sz w:val="20"/>
                <w:szCs w:val="20"/>
                <w:color w:val="auto"/>
              </w:rPr>
            </w:pPr>
            <w:r>
              <w:rPr>
                <w:rFonts w:ascii="Arial" w:cs="Arial" w:eastAsia="Arial" w:hAnsi="Arial"/>
                <w:sz w:val="16"/>
                <w:szCs w:val="16"/>
                <w:b w:val="1"/>
                <w:bCs w:val="1"/>
                <w:color w:val="auto"/>
              </w:rPr>
              <w:t>Cash Collateral and</w:t>
            </w: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4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80" w:type="dxa"/>
            <w:vAlign w:val="bottom"/>
            <w:gridSpan w:val="2"/>
          </w:tcPr>
          <w:p>
            <w:pPr>
              <w:jc w:val="center"/>
              <w:ind w:right="23"/>
              <w:spacing w:after="0" w:line="163" w:lineRule="exact"/>
              <w:rPr>
                <w:sz w:val="20"/>
                <w:szCs w:val="20"/>
                <w:color w:val="auto"/>
              </w:rPr>
            </w:pPr>
            <w:r>
              <w:rPr>
                <w:rFonts w:ascii="Arial" w:cs="Arial" w:eastAsia="Arial" w:hAnsi="Arial"/>
                <w:sz w:val="16"/>
                <w:szCs w:val="16"/>
                <w:b w:val="1"/>
                <w:bCs w:val="1"/>
                <w:color w:val="auto"/>
              </w:rPr>
              <w:t>Counterparty Netting</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4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vMerge w:val="restart"/>
          </w:tcPr>
          <w:p>
            <w:pPr>
              <w:ind w:left="140"/>
              <w:spacing w:after="0" w:line="162" w:lineRule="exact"/>
              <w:rPr>
                <w:sz w:val="20"/>
                <w:szCs w:val="20"/>
                <w:color w:val="auto"/>
              </w:rPr>
            </w:pPr>
            <w:r>
              <w:rPr>
                <w:rFonts w:ascii="Arial" w:cs="Arial" w:eastAsia="Arial" w:hAnsi="Arial"/>
                <w:sz w:val="16"/>
                <w:szCs w:val="16"/>
                <w:b w:val="1"/>
                <w:bCs w:val="1"/>
                <w:color w:val="auto"/>
              </w:rPr>
              <w:t>Level 1</w:t>
            </w:r>
          </w:p>
        </w:tc>
        <w:tc>
          <w:tcPr>
            <w:tcW w:w="260" w:type="dxa"/>
            <w:vAlign w:val="bottom"/>
          </w:tcPr>
          <w:p>
            <w:pPr>
              <w:spacing w:after="0"/>
              <w:rPr>
                <w:sz w:val="10"/>
                <w:szCs w:val="10"/>
                <w:color w:val="auto"/>
              </w:rPr>
            </w:pPr>
          </w:p>
        </w:tc>
        <w:tc>
          <w:tcPr>
            <w:tcW w:w="1020" w:type="dxa"/>
            <w:vAlign w:val="bottom"/>
            <w:vMerge w:val="restart"/>
          </w:tcPr>
          <w:p>
            <w:pPr>
              <w:jc w:val="right"/>
              <w:ind w:right="259"/>
              <w:spacing w:after="0" w:line="162" w:lineRule="exact"/>
              <w:rPr>
                <w:sz w:val="20"/>
                <w:szCs w:val="20"/>
                <w:color w:val="auto"/>
              </w:rPr>
            </w:pPr>
            <w:r>
              <w:rPr>
                <w:rFonts w:ascii="Arial" w:cs="Arial" w:eastAsia="Arial" w:hAnsi="Arial"/>
                <w:sz w:val="16"/>
                <w:szCs w:val="16"/>
                <w:b w:val="1"/>
                <w:bCs w:val="1"/>
                <w:color w:val="auto"/>
              </w:rPr>
              <w:t>Level 2</w:t>
            </w:r>
          </w:p>
        </w:tc>
        <w:tc>
          <w:tcPr>
            <w:tcW w:w="300" w:type="dxa"/>
            <w:vAlign w:val="bottom"/>
          </w:tcPr>
          <w:p>
            <w:pPr>
              <w:spacing w:after="0"/>
              <w:rPr>
                <w:sz w:val="10"/>
                <w:szCs w:val="10"/>
                <w:color w:val="auto"/>
              </w:rPr>
            </w:pPr>
          </w:p>
        </w:tc>
        <w:tc>
          <w:tcPr>
            <w:tcW w:w="1100" w:type="dxa"/>
            <w:vAlign w:val="bottom"/>
            <w:vMerge w:val="restart"/>
          </w:tcPr>
          <w:p>
            <w:pPr>
              <w:ind w:left="140"/>
              <w:spacing w:after="0" w:line="162" w:lineRule="exact"/>
              <w:rPr>
                <w:sz w:val="20"/>
                <w:szCs w:val="20"/>
                <w:color w:val="auto"/>
              </w:rPr>
            </w:pPr>
            <w:r>
              <w:rPr>
                <w:rFonts w:ascii="Arial" w:cs="Arial" w:eastAsia="Arial" w:hAnsi="Arial"/>
                <w:sz w:val="16"/>
                <w:szCs w:val="16"/>
                <w:b w:val="1"/>
                <w:bCs w:val="1"/>
                <w:color w:val="auto"/>
              </w:rPr>
              <w:t>Level 3</w:t>
            </w:r>
          </w:p>
        </w:tc>
        <w:tc>
          <w:tcPr>
            <w:tcW w:w="120" w:type="dxa"/>
            <w:vAlign w:val="bottom"/>
          </w:tcPr>
          <w:p>
            <w:pPr>
              <w:spacing w:after="0"/>
              <w:rPr>
                <w:sz w:val="10"/>
                <w:szCs w:val="10"/>
                <w:color w:val="auto"/>
              </w:rPr>
            </w:pPr>
          </w:p>
        </w:tc>
        <w:tc>
          <w:tcPr>
            <w:tcW w:w="1760" w:type="dxa"/>
            <w:vAlign w:val="bottom"/>
          </w:tcPr>
          <w:p>
            <w:pPr>
              <w:jc w:val="center"/>
              <w:ind w:right="103"/>
              <w:spacing w:after="0" w:line="122" w:lineRule="exact"/>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10"/>
                <w:szCs w:val="10"/>
                <w:color w:val="auto"/>
              </w:rPr>
            </w:pPr>
          </w:p>
        </w:tc>
        <w:tc>
          <w:tcPr>
            <w:tcW w:w="1080" w:type="dxa"/>
            <w:vAlign w:val="bottom"/>
            <w:vMerge w:val="restart"/>
          </w:tcPr>
          <w:p>
            <w:pPr>
              <w:jc w:val="right"/>
              <w:ind w:right="439"/>
              <w:spacing w:after="0" w:line="162" w:lineRule="exact"/>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40"/>
        </w:trPr>
        <w:tc>
          <w:tcPr>
            <w:tcW w:w="404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vMerge w:val="continue"/>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vMerge w:val="continue"/>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vMerge w:val="continue"/>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40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ind w:left="260"/>
              <w:spacing w:after="0" w:line="183" w:lineRule="exact"/>
              <w:rPr>
                <w:sz w:val="20"/>
                <w:szCs w:val="20"/>
                <w:color w:val="auto"/>
              </w:rPr>
            </w:pPr>
            <w:r>
              <w:rPr>
                <w:rFonts w:ascii="Arial" w:cs="Arial" w:eastAsia="Arial" w:hAnsi="Arial"/>
                <w:sz w:val="16"/>
                <w:szCs w:val="16"/>
                <w:color w:val="auto"/>
              </w:rPr>
              <w:t>(in millions)</w:t>
            </w:r>
          </w:p>
        </w:tc>
        <w:tc>
          <w:tcPr>
            <w:tcW w:w="12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Assets:</w:t>
            </w:r>
          </w:p>
        </w:tc>
        <w:tc>
          <w:tcPr>
            <w:tcW w:w="20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7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40" w:type="dxa"/>
            <w:vAlign w:val="bottom"/>
          </w:tcPr>
          <w:p>
            <w:pPr>
              <w:ind w:left="40"/>
              <w:spacing w:after="0"/>
              <w:rPr>
                <w:sz w:val="20"/>
                <w:szCs w:val="20"/>
                <w:color w:val="auto"/>
              </w:rPr>
            </w:pPr>
            <w:r>
              <w:rPr>
                <w:rFonts w:ascii="Arial" w:cs="Arial" w:eastAsia="Arial" w:hAnsi="Arial"/>
                <w:sz w:val="16"/>
                <w:szCs w:val="16"/>
                <w:color w:val="auto"/>
              </w:rPr>
              <w:t>Commodity derivatives - Gas Utilities</w:t>
            </w: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ind w:left="8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ind w:left="8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4040" w:type="dxa"/>
            <w:vAlign w:val="bottom"/>
            <w:tcBorders>
              <w:bottom w:val="single" w:sz="8" w:color="CFF0FC"/>
            </w:tcBorders>
            <w:shd w:val="clear" w:color="auto" w:fill="CFF0FC"/>
          </w:tcPr>
          <w:p>
            <w:pPr>
              <w:spacing w:after="0" w:line="169" w:lineRule="exact"/>
              <w:rPr>
                <w:sz w:val="20"/>
                <w:szCs w:val="20"/>
                <w:color w:val="auto"/>
              </w:rPr>
            </w:pPr>
            <w:r>
              <w:rPr>
                <w:rFonts w:ascii="Arial" w:cs="Arial" w:eastAsia="Arial" w:hAnsi="Arial"/>
                <w:sz w:val="16"/>
                <w:szCs w:val="16"/>
                <w:color w:val="auto"/>
              </w:rPr>
              <w:t>Total</w:t>
            </w:r>
          </w:p>
        </w:tc>
        <w:tc>
          <w:tcPr>
            <w:tcW w:w="200" w:type="dxa"/>
            <w:vAlign w:val="bottom"/>
            <w:tcBorders>
              <w:bottom w:val="single" w:sz="8" w:color="auto"/>
            </w:tcBorders>
            <w:shd w:val="clear" w:color="auto" w:fill="CFF0FC"/>
          </w:tcPr>
          <w:p>
            <w:pPr>
              <w:jc w:val="right"/>
              <w:ind w:right="44"/>
              <w:spacing w:after="0" w:line="169" w:lineRule="exact"/>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ind w:left="880"/>
              <w:spacing w:after="0" w:line="169" w:lineRule="exact"/>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2.2</w:t>
            </w:r>
          </w:p>
        </w:tc>
        <w:tc>
          <w:tcPr>
            <w:tcW w:w="300" w:type="dxa"/>
            <w:vAlign w:val="bottom"/>
            <w:tcBorders>
              <w:bottom w:val="single" w:sz="8" w:color="auto"/>
            </w:tcBorders>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FF0FC"/>
          </w:tcPr>
          <w:p>
            <w:pPr>
              <w:ind w:left="860"/>
              <w:spacing w:after="0" w:line="169" w:lineRule="exact"/>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(2.2)</w:t>
            </w:r>
          </w:p>
        </w:tc>
        <w:tc>
          <w:tcPr>
            <w:tcW w:w="260" w:type="dxa"/>
            <w:vAlign w:val="bottom"/>
            <w:tcBorders>
              <w:bottom w:val="single" w:sz="8" w:color="auto"/>
            </w:tcBorders>
            <w:shd w:val="clear" w:color="auto" w:fill="CFF0FC"/>
          </w:tcPr>
          <w:p>
            <w:pPr>
              <w:jc w:val="right"/>
              <w:ind w:right="79"/>
              <w:spacing w:after="0" w:line="169" w:lineRule="exact"/>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FF0FC"/>
          </w:tcPr>
          <w:p>
            <w:pPr>
              <w:jc w:val="right"/>
              <w:ind w:right="19"/>
              <w:spacing w:after="0" w:line="169"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4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40" w:type="dxa"/>
            <w:vAlign w:val="bottom"/>
            <w:shd w:val="clear" w:color="auto" w:fill="CFF0FC"/>
          </w:tcPr>
          <w:p>
            <w:pPr>
              <w:spacing w:after="0"/>
              <w:rPr>
                <w:sz w:val="20"/>
                <w:szCs w:val="20"/>
                <w:color w:val="auto"/>
              </w:rPr>
            </w:pPr>
            <w:r>
              <w:rPr>
                <w:rFonts w:ascii="Arial" w:cs="Arial" w:eastAsia="Arial" w:hAnsi="Arial"/>
                <w:sz w:val="16"/>
                <w:szCs w:val="16"/>
                <w:color w:val="auto"/>
              </w:rPr>
              <w:t>Liabilities:</w:t>
            </w:r>
          </w:p>
        </w:tc>
        <w:tc>
          <w:tcPr>
            <w:tcW w:w="20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7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40" w:type="dxa"/>
            <w:vAlign w:val="bottom"/>
          </w:tcPr>
          <w:p>
            <w:pPr>
              <w:ind w:left="40"/>
              <w:spacing w:after="0"/>
              <w:rPr>
                <w:sz w:val="20"/>
                <w:szCs w:val="20"/>
                <w:color w:val="auto"/>
              </w:rPr>
            </w:pPr>
            <w:r>
              <w:rPr>
                <w:rFonts w:ascii="Arial" w:cs="Arial" w:eastAsia="Arial" w:hAnsi="Arial"/>
                <w:sz w:val="16"/>
                <w:szCs w:val="16"/>
                <w:color w:val="auto"/>
              </w:rPr>
              <w:t>Commodity derivatives - Gas Utilities</w:t>
            </w: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ind w:left="8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ind w:left="8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23"/>
        </w:trPr>
        <w:tc>
          <w:tcPr>
            <w:tcW w:w="4040" w:type="dxa"/>
            <w:vAlign w:val="bottom"/>
            <w:tcBorders>
              <w:bottom w:val="single" w:sz="8" w:color="CFF0FC"/>
            </w:tcBorders>
            <w:shd w:val="clear" w:color="auto" w:fill="CFF0FC"/>
          </w:tcPr>
          <w:p>
            <w:pPr>
              <w:spacing w:after="0" w:line="169" w:lineRule="exact"/>
              <w:rPr>
                <w:sz w:val="20"/>
                <w:szCs w:val="20"/>
                <w:color w:val="auto"/>
              </w:rPr>
            </w:pPr>
            <w:r>
              <w:rPr>
                <w:rFonts w:ascii="Arial" w:cs="Arial" w:eastAsia="Arial" w:hAnsi="Arial"/>
                <w:sz w:val="16"/>
                <w:szCs w:val="16"/>
                <w:color w:val="auto"/>
              </w:rPr>
              <w:t>Total</w:t>
            </w:r>
          </w:p>
        </w:tc>
        <w:tc>
          <w:tcPr>
            <w:tcW w:w="200" w:type="dxa"/>
            <w:vAlign w:val="bottom"/>
            <w:tcBorders>
              <w:bottom w:val="single" w:sz="8" w:color="auto"/>
            </w:tcBorders>
            <w:shd w:val="clear" w:color="auto" w:fill="CFF0FC"/>
          </w:tcPr>
          <w:p>
            <w:pPr>
              <w:jc w:val="right"/>
              <w:ind w:right="44"/>
              <w:spacing w:after="0" w:line="169" w:lineRule="exact"/>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ind w:left="880"/>
              <w:spacing w:after="0" w:line="169" w:lineRule="exact"/>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4.8</w:t>
            </w:r>
          </w:p>
        </w:tc>
        <w:tc>
          <w:tcPr>
            <w:tcW w:w="300" w:type="dxa"/>
            <w:vAlign w:val="bottom"/>
            <w:tcBorders>
              <w:bottom w:val="single" w:sz="8" w:color="auto"/>
            </w:tcBorders>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FF0FC"/>
          </w:tcPr>
          <w:p>
            <w:pPr>
              <w:ind w:left="860"/>
              <w:spacing w:after="0" w:line="169" w:lineRule="exact"/>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(0.6)</w:t>
            </w:r>
          </w:p>
        </w:tc>
        <w:tc>
          <w:tcPr>
            <w:tcW w:w="260" w:type="dxa"/>
            <w:vAlign w:val="bottom"/>
            <w:tcBorders>
              <w:bottom w:val="single" w:sz="8" w:color="auto"/>
            </w:tcBorders>
            <w:shd w:val="clear" w:color="auto" w:fill="CFF0FC"/>
          </w:tcPr>
          <w:p>
            <w:pPr>
              <w:jc w:val="right"/>
              <w:ind w:right="79"/>
              <w:spacing w:after="0" w:line="169" w:lineRule="exact"/>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FF0FC"/>
          </w:tcPr>
          <w:p>
            <w:pPr>
              <w:jc w:val="right"/>
              <w:ind w:right="19"/>
              <w:spacing w:after="0" w:line="169" w:lineRule="exact"/>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04584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119" w:lineRule="exact"/>
        <w:rPr>
          <w:sz w:val="20"/>
          <w:szCs w:val="20"/>
          <w:color w:val="auto"/>
        </w:rPr>
      </w:pPr>
    </w:p>
    <w:p>
      <w:pPr>
        <w:ind w:left="520" w:right="400" w:hanging="512"/>
        <w:spacing w:after="0" w:line="285" w:lineRule="auto"/>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As of December 31, 2024, $2.2 million of our commodity derivative assets and $0.6 million of our commodity derivative liabilities, as well as related gross collateral amounts, were subject to master netting agreements.</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Pension and Postretirement Plan Assets</w:t>
      </w:r>
    </w:p>
    <w:p>
      <w:pPr>
        <w:spacing w:after="0" w:line="192" w:lineRule="exact"/>
        <w:rPr>
          <w:sz w:val="20"/>
          <w:szCs w:val="20"/>
          <w:color w:val="auto"/>
        </w:rPr>
      </w:pPr>
    </w:p>
    <w:p>
      <w:pPr>
        <w:ind w:right="240"/>
        <w:spacing w:after="0" w:line="266" w:lineRule="auto"/>
        <w:rPr>
          <w:sz w:val="20"/>
          <w:szCs w:val="20"/>
          <w:color w:val="auto"/>
        </w:rPr>
      </w:pPr>
      <w:r>
        <w:rPr>
          <w:rFonts w:ascii="Arial" w:cs="Arial" w:eastAsia="Arial" w:hAnsi="Arial"/>
          <w:sz w:val="16"/>
          <w:szCs w:val="16"/>
          <w:color w:val="auto"/>
        </w:rPr>
        <w:t>Fair value measurements also apply to the valuation of our pension and postretirement plan assets. Current accounting guidance requires employers to annually disclose information about the fair value measurements of their assets of a defined benefit pension or other postretirement plan. The fair value of these assets is presented in Note 13 to the Consolidated Financial Statements included in our 2024 Annual Report on Form 10-K.</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Other Fair Value Measures</w:t>
      </w:r>
    </w:p>
    <w:p>
      <w:pPr>
        <w:spacing w:after="0" w:line="194"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The carrying amount of cash and cash equivalents, restricted cash and equivalents, and short-term borrowings approximates fair value due to their liquid or short-term nature. Cash, cash equivalents, and restricted cash are classified in Level 1 in the fair value hierarchy. Notes payable consist of commercial paper borrowings and are not traded on an exchange; therefore, they are classified as Level 2 in the fair value hierarchy.</w:t>
      </w:r>
    </w:p>
    <w:p>
      <w:pPr>
        <w:spacing w:after="0" w:line="144"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The following table presents the carrying amounts and fair values of financial instruments not recorded at fair value on the Consolidated Balance Sheets as of:</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gridSpan w:val="3"/>
          </w:tcPr>
          <w:p>
            <w:pPr>
              <w:jc w:val="right"/>
              <w:ind w:right="819"/>
              <w:spacing w:after="0"/>
              <w:rPr>
                <w:sz w:val="20"/>
                <w:szCs w:val="20"/>
                <w:color w:val="auto"/>
              </w:rPr>
            </w:pPr>
            <w:r>
              <w:rPr>
                <w:rFonts w:ascii="Arial" w:cs="Arial" w:eastAsia="Arial" w:hAnsi="Arial"/>
                <w:sz w:val="16"/>
                <w:szCs w:val="16"/>
                <w:b w:val="1"/>
                <w:bCs w:val="1"/>
                <w:color w:val="auto"/>
              </w:rPr>
              <w:t>June 30, 2025</w:t>
            </w:r>
          </w:p>
        </w:tc>
        <w:tc>
          <w:tcPr>
            <w:tcW w:w="56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3"/>
          </w:tcPr>
          <w:p>
            <w:pPr>
              <w:jc w:val="right"/>
              <w:ind w:right="699"/>
              <w:spacing w:after="0"/>
              <w:rPr>
                <w:sz w:val="20"/>
                <w:szCs w:val="20"/>
                <w:color w:val="auto"/>
              </w:rPr>
            </w:pPr>
            <w:r>
              <w:rPr>
                <w:rFonts w:ascii="Arial" w:cs="Arial" w:eastAsia="Arial" w:hAnsi="Arial"/>
                <w:sz w:val="16"/>
                <w:szCs w:val="16"/>
                <w:b w:val="1"/>
                <w:bCs w:val="1"/>
                <w:color w:val="auto"/>
              </w:rPr>
              <w:t>December 31, 2024</w:t>
            </w:r>
          </w:p>
        </w:tc>
      </w:tr>
      <w:tr>
        <w:trPr>
          <w:trHeight w:val="168"/>
        </w:trPr>
        <w:tc>
          <w:tcPr>
            <w:tcW w:w="4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right"/>
              <w:ind w:right="319"/>
              <w:spacing w:after="0" w:line="168" w:lineRule="exact"/>
              <w:rPr>
                <w:sz w:val="20"/>
                <w:szCs w:val="20"/>
                <w:color w:val="auto"/>
              </w:rPr>
            </w:pPr>
            <w:r>
              <w:rPr>
                <w:rFonts w:ascii="Arial" w:cs="Arial" w:eastAsia="Arial" w:hAnsi="Arial"/>
                <w:sz w:val="16"/>
                <w:szCs w:val="16"/>
                <w:b w:val="1"/>
                <w:bCs w:val="1"/>
                <w:color w:val="auto"/>
              </w:rPr>
              <w:t>Carrying</w:t>
            </w: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03"/>
        </w:trPr>
        <w:tc>
          <w:tcPr>
            <w:tcW w:w="4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Amount</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Fair Value</w:t>
            </w:r>
          </w:p>
        </w:tc>
        <w:tc>
          <w:tcPr>
            <w:tcW w:w="144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Carrying Amount</w:t>
            </w: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Fair Value</w:t>
            </w:r>
          </w:p>
        </w:tc>
      </w:tr>
      <w:tr>
        <w:trPr>
          <w:trHeight w:val="183"/>
        </w:trPr>
        <w:tc>
          <w:tcPr>
            <w:tcW w:w="44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2"/>
          </w:tcPr>
          <w:p>
            <w:pPr>
              <w:ind w:left="800"/>
              <w:spacing w:after="0" w:line="183" w:lineRule="exact"/>
              <w:rPr>
                <w:sz w:val="20"/>
                <w:szCs w:val="20"/>
                <w:color w:val="auto"/>
              </w:rPr>
            </w:pPr>
            <w:r>
              <w:rPr>
                <w:rFonts w:ascii="Arial" w:cs="Arial" w:eastAsia="Arial" w:hAnsi="Arial"/>
                <w:sz w:val="16"/>
                <w:szCs w:val="16"/>
                <w:color w:val="auto"/>
              </w:rPr>
              <w:t>(in millions)</w:t>
            </w:r>
          </w:p>
        </w:tc>
        <w:tc>
          <w:tcPr>
            <w:tcW w:w="8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r>
      <w:tr>
        <w:trPr>
          <w:trHeight w:val="183"/>
        </w:trPr>
        <w:tc>
          <w:tcPr>
            <w:tcW w:w="44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 xml:space="preserve">Long-term debt, including current maturities </w:t>
            </w:r>
            <w:r>
              <w:rPr>
                <w:rFonts w:ascii="Arial" w:cs="Arial" w:eastAsia="Arial" w:hAnsi="Arial"/>
                <w:sz w:val="21"/>
                <w:szCs w:val="21"/>
                <w:color w:val="auto"/>
                <w:vertAlign w:val="superscript"/>
              </w:rPr>
              <w:t>(a)</w:t>
            </w:r>
          </w:p>
        </w:tc>
        <w:tc>
          <w:tcPr>
            <w:tcW w:w="1280" w:type="dxa"/>
            <w:vAlign w:val="bottom"/>
            <w:gridSpan w:val="2"/>
            <w:shd w:val="clear" w:color="auto" w:fill="CFF0FC"/>
          </w:tcPr>
          <w:p>
            <w:pPr>
              <w:jc w:val="right"/>
              <w:ind w:right="120"/>
              <w:spacing w:after="0" w:line="183" w:lineRule="exact"/>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4,252.4</w:t>
            </w:r>
          </w:p>
        </w:tc>
        <w:tc>
          <w:tcPr>
            <w:tcW w:w="2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4,101.2</w:t>
            </w:r>
          </w:p>
        </w:tc>
        <w:tc>
          <w:tcPr>
            <w:tcW w:w="560" w:type="dxa"/>
            <w:vAlign w:val="bottom"/>
            <w:shd w:val="clear" w:color="auto" w:fill="CFF0FC"/>
          </w:tcPr>
          <w:p>
            <w:pPr>
              <w:ind w:left="60"/>
              <w:spacing w:after="0" w:line="183" w:lineRule="exact"/>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4,250.2</w:t>
            </w:r>
          </w:p>
        </w:tc>
        <w:tc>
          <w:tcPr>
            <w:tcW w:w="2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28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4,059.1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04584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133" w:lineRule="exact"/>
        <w:rPr>
          <w:sz w:val="20"/>
          <w:szCs w:val="20"/>
          <w:color w:val="auto"/>
        </w:rPr>
      </w:pPr>
    </w:p>
    <w:p>
      <w:pPr>
        <w:ind w:left="520" w:right="220" w:hanging="512"/>
        <w:spacing w:after="0" w:line="285" w:lineRule="auto"/>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Long-term debt is valued based on observable inputs available either directly or indirectly for similar liabilities in active markets and therefore is classified in Level 2 in the fair value hierarchy. Carrying amount of long-term debt is net of deferred financing costs.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20" w:hanging="512"/>
        <w:spacing w:after="0"/>
        <w:tabs>
          <w:tab w:leader="none" w:pos="520" w:val="left"/>
        </w:tabs>
        <w:numPr>
          <w:ilvl w:val="0"/>
          <w:numId w:val="17"/>
        </w:numPr>
        <w:rPr>
          <w:rFonts w:ascii="Arial" w:cs="Arial" w:eastAsia="Arial" w:hAnsi="Arial"/>
          <w:sz w:val="16"/>
          <w:szCs w:val="16"/>
          <w:b w:val="1"/>
          <w:bCs w:val="1"/>
          <w:color w:val="auto"/>
        </w:rPr>
      </w:pPr>
      <w:r>
        <w:rPr>
          <w:rFonts w:ascii="Arial" w:cs="Arial" w:eastAsia="Arial" w:hAnsi="Arial"/>
          <w:sz w:val="16"/>
          <w:szCs w:val="16"/>
          <w:b w:val="1"/>
          <w:bCs w:val="1"/>
          <w:color w:val="auto"/>
        </w:rPr>
        <w:t>Other Comprehensive Income</w:t>
      </w:r>
    </w:p>
    <w:p>
      <w:pPr>
        <w:spacing w:after="0" w:line="194" w:lineRule="exact"/>
        <w:rPr>
          <w:sz w:val="20"/>
          <w:szCs w:val="20"/>
          <w:color w:val="auto"/>
        </w:rPr>
      </w:pPr>
    </w:p>
    <w:p>
      <w:pPr>
        <w:ind w:right="200"/>
        <w:spacing w:after="0" w:line="259" w:lineRule="auto"/>
        <w:rPr>
          <w:sz w:val="20"/>
          <w:szCs w:val="20"/>
          <w:color w:val="auto"/>
        </w:rPr>
      </w:pPr>
      <w:r>
        <w:rPr>
          <w:rFonts w:ascii="Arial" w:cs="Arial" w:eastAsia="Arial" w:hAnsi="Arial"/>
          <w:sz w:val="16"/>
          <w:szCs w:val="16"/>
          <w:color w:val="auto"/>
        </w:rPr>
        <w:t>We record deferred gains (losses) in AOCI related to interest rate swaps designated as cash flow hedges, commodity contracts designated as cash flow hedges, and the amortization of components of our defined benefit plans. Deferred gains (losses) for our commodity contracts designated as cash flow hedges are recognized in earnings upon settlement, while deferred gains (losses) related to our interest rate swaps are recognized in earnings as they are amortized.</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details reclassifications out of AOCI and into Net income. The amounts in parentheses below indicate decreases to Net income in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Consolidated Statements of Income for the period, net of tax:</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74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380" w:type="dxa"/>
            <w:vAlign w:val="bottom"/>
            <w:gridSpan w:val="6"/>
          </w:tcPr>
          <w:p>
            <w:pPr>
              <w:jc w:val="right"/>
              <w:ind w:right="79"/>
              <w:spacing w:after="0"/>
              <w:rPr>
                <w:sz w:val="20"/>
                <w:szCs w:val="20"/>
                <w:color w:val="auto"/>
              </w:rPr>
            </w:pPr>
            <w:r>
              <w:rPr>
                <w:rFonts w:ascii="Arial" w:cs="Arial" w:eastAsia="Arial" w:hAnsi="Arial"/>
                <w:sz w:val="16"/>
                <w:szCs w:val="16"/>
                <w:b w:val="1"/>
                <w:bCs w:val="1"/>
                <w:color w:val="auto"/>
              </w:rPr>
              <w:t>Amount Reclassified from AOCI</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4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20" w:type="dxa"/>
            <w:vAlign w:val="bottom"/>
            <w:gridSpan w:val="4"/>
          </w:tcPr>
          <w:p>
            <w:pPr>
              <w:jc w:val="right"/>
              <w:ind w:right="99"/>
              <w:spacing w:after="0"/>
              <w:rPr>
                <w:sz w:val="20"/>
                <w:szCs w:val="20"/>
                <w:color w:val="auto"/>
              </w:rPr>
            </w:pPr>
            <w:r>
              <w:rPr>
                <w:rFonts w:ascii="Arial" w:cs="Arial" w:eastAsia="Arial" w:hAnsi="Arial"/>
                <w:sz w:val="16"/>
                <w:szCs w:val="16"/>
                <w:b w:val="1"/>
                <w:bCs w:val="1"/>
                <w:color w:val="auto"/>
              </w:rPr>
              <w:t>Three Months Ended June</w:t>
            </w: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740" w:type="dxa"/>
            <w:vAlign w:val="bottom"/>
          </w:tcPr>
          <w:p>
            <w:pPr>
              <w:spacing w:after="0"/>
              <w:rPr>
                <w:sz w:val="17"/>
                <w:szCs w:val="17"/>
                <w:color w:val="auto"/>
              </w:rPr>
            </w:pPr>
          </w:p>
        </w:tc>
        <w:tc>
          <w:tcPr>
            <w:tcW w:w="2800" w:type="dxa"/>
            <w:vAlign w:val="bottom"/>
            <w:vMerge w:val="restart"/>
          </w:tcPr>
          <w:p>
            <w:pPr>
              <w:ind w:left="340"/>
              <w:spacing w:after="0"/>
              <w:rPr>
                <w:sz w:val="20"/>
                <w:szCs w:val="20"/>
                <w:color w:val="auto"/>
              </w:rPr>
            </w:pPr>
            <w:r>
              <w:rPr>
                <w:rFonts w:ascii="Arial" w:cs="Arial" w:eastAsia="Arial" w:hAnsi="Arial"/>
                <w:sz w:val="16"/>
                <w:szCs w:val="16"/>
                <w:b w:val="1"/>
                <w:bCs w:val="1"/>
                <w:color w:val="auto"/>
              </w:rPr>
              <w:t>Location on the Consolidated</w:t>
            </w:r>
          </w:p>
        </w:tc>
        <w:tc>
          <w:tcPr>
            <w:tcW w:w="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6"/>
                <w:szCs w:val="16"/>
                <w:b w:val="1"/>
                <w:bCs w:val="1"/>
                <w:color w:val="auto"/>
              </w:rPr>
              <w:t>30,</w:t>
            </w:r>
          </w:p>
        </w:tc>
        <w:tc>
          <w:tcPr>
            <w:tcW w:w="90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4"/>
          </w:tcPr>
          <w:p>
            <w:pPr>
              <w:jc w:val="right"/>
              <w:ind w:right="79"/>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168"/>
        </w:trPr>
        <w:tc>
          <w:tcPr>
            <w:tcW w:w="3740" w:type="dxa"/>
            <w:vAlign w:val="bottom"/>
          </w:tcPr>
          <w:p>
            <w:pPr>
              <w:spacing w:after="0"/>
              <w:rPr>
                <w:sz w:val="14"/>
                <w:szCs w:val="14"/>
                <w:color w:val="auto"/>
              </w:rPr>
            </w:pPr>
          </w:p>
        </w:tc>
        <w:tc>
          <w:tcPr>
            <w:tcW w:w="28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74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tcPr>
          <w:p>
            <w:pPr>
              <w:ind w:left="660"/>
              <w:spacing w:after="0"/>
              <w:rPr>
                <w:sz w:val="20"/>
                <w:szCs w:val="20"/>
                <w:color w:val="auto"/>
              </w:rPr>
            </w:pPr>
            <w:r>
              <w:rPr>
                <w:rFonts w:ascii="Arial" w:cs="Arial" w:eastAsia="Arial" w:hAnsi="Arial"/>
                <w:sz w:val="16"/>
                <w:szCs w:val="16"/>
                <w:b w:val="1"/>
                <w:bCs w:val="1"/>
                <w:color w:val="auto"/>
              </w:rPr>
              <w:t>Statements of Income</w:t>
            </w:r>
          </w:p>
        </w:tc>
        <w:tc>
          <w:tcPr>
            <w:tcW w:w="1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2025</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2024</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4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183"/>
        </w:trPr>
        <w:tc>
          <w:tcPr>
            <w:tcW w:w="374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2"/>
          </w:tcPr>
          <w:p>
            <w:pPr>
              <w:jc w:val="right"/>
              <w:ind w:right="259"/>
              <w:spacing w:after="0" w:line="183" w:lineRule="exact"/>
              <w:rPr>
                <w:sz w:val="20"/>
                <w:szCs w:val="20"/>
                <w:color w:val="auto"/>
              </w:rPr>
            </w:pPr>
            <w:r>
              <w:rPr>
                <w:rFonts w:ascii="Arial" w:cs="Arial" w:eastAsia="Arial" w:hAnsi="Arial"/>
                <w:sz w:val="16"/>
                <w:szCs w:val="16"/>
                <w:color w:val="auto"/>
              </w:rPr>
              <w:t>(in millions)</w:t>
            </w:r>
          </w:p>
        </w:tc>
        <w:tc>
          <w:tcPr>
            <w:tcW w:w="4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7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Gains and (losses) on cash flow hedges:</w:t>
            </w:r>
          </w:p>
        </w:tc>
        <w:tc>
          <w:tcPr>
            <w:tcW w:w="28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740" w:type="dxa"/>
            <w:vAlign w:val="bottom"/>
          </w:tcPr>
          <w:p>
            <w:pPr>
              <w:spacing w:after="0"/>
              <w:rPr>
                <w:sz w:val="20"/>
                <w:szCs w:val="20"/>
                <w:color w:val="auto"/>
              </w:rPr>
            </w:pPr>
            <w:r>
              <w:rPr>
                <w:rFonts w:ascii="Arial" w:cs="Arial" w:eastAsia="Arial" w:hAnsi="Arial"/>
                <w:sz w:val="16"/>
                <w:szCs w:val="16"/>
                <w:color w:val="auto"/>
              </w:rPr>
              <w:t>Interest rate swaps</w:t>
            </w:r>
          </w:p>
        </w:tc>
        <w:tc>
          <w:tcPr>
            <w:tcW w:w="280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38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(0.8)</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(0.7)</w:t>
            </w:r>
          </w:p>
        </w:tc>
        <w:tc>
          <w:tcPr>
            <w:tcW w:w="720" w:type="dxa"/>
            <w:vAlign w:val="bottom"/>
          </w:tcPr>
          <w:p>
            <w:pPr>
              <w:jc w:val="right"/>
              <w:ind w:right="539"/>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(1.4)</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175"/>
        </w:trPr>
        <w:tc>
          <w:tcPr>
            <w:tcW w:w="3740" w:type="dxa"/>
            <w:vAlign w:val="bottom"/>
            <w:shd w:val="clear" w:color="auto" w:fill="CFF0FC"/>
          </w:tcPr>
          <w:p>
            <w:pPr>
              <w:spacing w:after="0"/>
              <w:rPr>
                <w:sz w:val="15"/>
                <w:szCs w:val="15"/>
                <w:color w:val="auto"/>
              </w:rPr>
            </w:pPr>
          </w:p>
        </w:tc>
        <w:tc>
          <w:tcPr>
            <w:tcW w:w="2800" w:type="dxa"/>
            <w:vAlign w:val="bottom"/>
            <w:shd w:val="clear" w:color="auto" w:fill="CFF0FC"/>
          </w:tcPr>
          <w:p>
            <w:pPr>
              <w:ind w:left="40"/>
              <w:spacing w:after="0" w:line="175" w:lineRule="exact"/>
              <w:rPr>
                <w:sz w:val="20"/>
                <w:szCs w:val="20"/>
                <w:color w:val="auto"/>
              </w:rPr>
            </w:pPr>
            <w:r>
              <w:rPr>
                <w:rFonts w:ascii="Arial" w:cs="Arial" w:eastAsia="Arial" w:hAnsi="Arial"/>
                <w:sz w:val="16"/>
                <w:szCs w:val="16"/>
                <w:color w:val="auto"/>
              </w:rPr>
              <w:t>Fuel, purchased power, and cost of</w:t>
            </w:r>
          </w:p>
        </w:tc>
        <w:tc>
          <w:tcPr>
            <w:tcW w:w="1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(0.1)</w:t>
            </w:r>
          </w:p>
        </w:tc>
        <w:tc>
          <w:tcPr>
            <w:tcW w:w="220" w:type="dxa"/>
            <w:vAlign w:val="bottom"/>
            <w:shd w:val="clear" w:color="auto" w:fill="CFF0FC"/>
          </w:tcPr>
          <w:p>
            <w:pPr>
              <w:spacing w:after="0"/>
              <w:rPr>
                <w:sz w:val="15"/>
                <w:szCs w:val="15"/>
                <w:color w:val="auto"/>
              </w:rPr>
            </w:pP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(0.6)</w:t>
            </w:r>
          </w:p>
        </w:tc>
        <w:tc>
          <w:tcPr>
            <w:tcW w:w="720" w:type="dxa"/>
            <w:vAlign w:val="bottom"/>
            <w:shd w:val="clear" w:color="auto" w:fill="CFF0FC"/>
          </w:tcPr>
          <w:p>
            <w:pPr>
              <w:spacing w:after="0"/>
              <w:rPr>
                <w:sz w:val="15"/>
                <w:szCs w:val="15"/>
                <w:color w:val="auto"/>
              </w:rPr>
            </w:pPr>
          </w:p>
        </w:tc>
        <w:tc>
          <w:tcPr>
            <w:tcW w:w="4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(0.6)</w:t>
            </w:r>
          </w:p>
        </w:tc>
        <w:tc>
          <w:tcPr>
            <w:tcW w:w="240" w:type="dxa"/>
            <w:vAlign w:val="bottom"/>
            <w:shd w:val="clear" w:color="auto" w:fill="CFF0FC"/>
          </w:tcPr>
          <w:p>
            <w:pPr>
              <w:spacing w:after="0"/>
              <w:rPr>
                <w:sz w:val="15"/>
                <w:szCs w:val="15"/>
                <w:color w:val="auto"/>
              </w:rPr>
            </w:pP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190"/>
        </w:trPr>
        <w:tc>
          <w:tcPr>
            <w:tcW w:w="3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Commodity contracts</w:t>
            </w:r>
          </w:p>
        </w:tc>
        <w:tc>
          <w:tcPr>
            <w:tcW w:w="28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natural gas sold</w:t>
            </w:r>
          </w:p>
        </w:tc>
        <w:tc>
          <w:tcPr>
            <w:tcW w:w="18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vMerge w:val="continue"/>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vMerge w:val="continue"/>
            <w:shd w:val="clear" w:color="auto" w:fill="CFF0FC"/>
          </w:tcPr>
          <w:p>
            <w:pPr>
              <w:spacing w:after="0"/>
              <w:rPr>
                <w:sz w:val="16"/>
                <w:szCs w:val="16"/>
                <w:color w:val="auto"/>
              </w:rPr>
            </w:pPr>
          </w:p>
        </w:tc>
        <w:tc>
          <w:tcPr>
            <w:tcW w:w="720" w:type="dxa"/>
            <w:vAlign w:val="bottom"/>
            <w:tcBorders>
              <w:bottom w:val="single" w:sz="8" w:color="auto"/>
            </w:tcBorders>
            <w:shd w:val="clear" w:color="auto" w:fill="CFF0FC"/>
          </w:tcPr>
          <w:p>
            <w:pPr>
              <w:spacing w:after="0"/>
              <w:rPr>
                <w:sz w:val="16"/>
                <w:szCs w:val="16"/>
                <w:color w:val="auto"/>
              </w:rPr>
            </w:pPr>
          </w:p>
        </w:tc>
        <w:tc>
          <w:tcPr>
            <w:tcW w:w="400" w:type="dxa"/>
            <w:vAlign w:val="bottom"/>
            <w:tcBorders>
              <w:bottom w:val="single" w:sz="8" w:color="auto"/>
            </w:tcBorders>
            <w:vMerge w:val="continue"/>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74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380" w:type="dxa"/>
            <w:vAlign w:val="bottom"/>
            <w:gridSpan w:val="2"/>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900" w:type="dxa"/>
            <w:vAlign w:val="bottom"/>
          </w:tcPr>
          <w:p>
            <w:pPr>
              <w:jc w:val="right"/>
              <w:spacing w:after="0" w:line="183" w:lineRule="exact"/>
              <w:rPr>
                <w:sz w:val="20"/>
                <w:szCs w:val="20"/>
                <w:color w:val="auto"/>
              </w:rPr>
            </w:pPr>
            <w:r>
              <w:rPr>
                <w:rFonts w:ascii="Arial" w:cs="Arial" w:eastAsia="Arial" w:hAnsi="Arial"/>
                <w:sz w:val="16"/>
                <w:szCs w:val="16"/>
                <w:color w:val="auto"/>
              </w:rPr>
              <w:t>(0.9)</w:t>
            </w:r>
          </w:p>
        </w:tc>
        <w:tc>
          <w:tcPr>
            <w:tcW w:w="220" w:type="dxa"/>
            <w:vAlign w:val="bottom"/>
          </w:tcPr>
          <w:p>
            <w:pPr>
              <w:jc w:val="right"/>
              <w:ind w:right="39"/>
              <w:spacing w:after="0" w:line="183" w:lineRule="exact"/>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line="183" w:lineRule="exact"/>
              <w:rPr>
                <w:sz w:val="20"/>
                <w:szCs w:val="20"/>
                <w:color w:val="auto"/>
              </w:rPr>
            </w:pPr>
            <w:r>
              <w:rPr>
                <w:rFonts w:ascii="Arial" w:cs="Arial" w:eastAsia="Arial" w:hAnsi="Arial"/>
                <w:sz w:val="16"/>
                <w:szCs w:val="16"/>
                <w:color w:val="auto"/>
              </w:rPr>
              <w:t>(1.3)</w:t>
            </w:r>
          </w:p>
        </w:tc>
        <w:tc>
          <w:tcPr>
            <w:tcW w:w="720" w:type="dxa"/>
            <w:vAlign w:val="bottom"/>
          </w:tcPr>
          <w:p>
            <w:pPr>
              <w:jc w:val="right"/>
              <w:ind w:right="539"/>
              <w:spacing w:after="0" w:line="183" w:lineRule="exact"/>
              <w:rPr>
                <w:sz w:val="20"/>
                <w:szCs w:val="20"/>
                <w:color w:val="auto"/>
              </w:rPr>
            </w:pPr>
            <w:r>
              <w:rPr>
                <w:rFonts w:ascii="Arial" w:cs="Arial" w:eastAsia="Arial" w:hAnsi="Arial"/>
                <w:sz w:val="16"/>
                <w:szCs w:val="16"/>
                <w:color w:val="auto"/>
                <w:w w:val="89"/>
              </w:rPr>
              <w:t>$</w:t>
            </w:r>
          </w:p>
        </w:tc>
        <w:tc>
          <w:tcPr>
            <w:tcW w:w="400" w:type="dxa"/>
            <w:vAlign w:val="bottom"/>
          </w:tcPr>
          <w:p>
            <w:pPr>
              <w:jc w:val="right"/>
              <w:spacing w:after="0" w:line="183" w:lineRule="exact"/>
              <w:rPr>
                <w:sz w:val="20"/>
                <w:szCs w:val="20"/>
                <w:color w:val="auto"/>
              </w:rPr>
            </w:pPr>
            <w:r>
              <w:rPr>
                <w:rFonts w:ascii="Arial" w:cs="Arial" w:eastAsia="Arial" w:hAnsi="Arial"/>
                <w:sz w:val="16"/>
                <w:szCs w:val="16"/>
                <w:color w:val="auto"/>
              </w:rPr>
              <w:t>(2.0)</w:t>
            </w:r>
          </w:p>
        </w:tc>
        <w:tc>
          <w:tcPr>
            <w:tcW w:w="240" w:type="dxa"/>
            <w:vAlign w:val="bottom"/>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940" w:type="dxa"/>
            <w:vAlign w:val="bottom"/>
          </w:tcPr>
          <w:p>
            <w:pPr>
              <w:jc w:val="right"/>
              <w:spacing w:after="0" w:line="183" w:lineRule="exact"/>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189"/>
        </w:trPr>
        <w:tc>
          <w:tcPr>
            <w:tcW w:w="3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Income tax</w:t>
            </w:r>
          </w:p>
        </w:tc>
        <w:tc>
          <w:tcPr>
            <w:tcW w:w="28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Income tax expense</w:t>
            </w:r>
          </w:p>
        </w:tc>
        <w:tc>
          <w:tcPr>
            <w:tcW w:w="18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0.2</w:t>
            </w:r>
          </w:p>
        </w:tc>
        <w:tc>
          <w:tcPr>
            <w:tcW w:w="22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0.3</w:t>
            </w:r>
          </w:p>
        </w:tc>
        <w:tc>
          <w:tcPr>
            <w:tcW w:w="720" w:type="dxa"/>
            <w:vAlign w:val="bottom"/>
            <w:tcBorders>
              <w:bottom w:val="single" w:sz="8" w:color="auto"/>
            </w:tcBorders>
            <w:shd w:val="clear" w:color="auto" w:fill="CFF0FC"/>
          </w:tcPr>
          <w:p>
            <w:pPr>
              <w:spacing w:after="0"/>
              <w:rPr>
                <w:sz w:val="16"/>
                <w:szCs w:val="16"/>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0.5</w:t>
            </w:r>
          </w:p>
        </w:tc>
        <w:tc>
          <w:tcPr>
            <w:tcW w:w="24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68"/>
        </w:trPr>
        <w:tc>
          <w:tcPr>
            <w:tcW w:w="3740" w:type="dxa"/>
            <w:vAlign w:val="bottom"/>
          </w:tcPr>
          <w:p>
            <w:pPr>
              <w:spacing w:after="0" w:line="168" w:lineRule="exact"/>
              <w:rPr>
                <w:sz w:val="20"/>
                <w:szCs w:val="20"/>
                <w:color w:val="auto"/>
              </w:rPr>
            </w:pPr>
            <w:r>
              <w:rPr>
                <w:rFonts w:ascii="Arial" w:cs="Arial" w:eastAsia="Arial" w:hAnsi="Arial"/>
                <w:sz w:val="16"/>
                <w:szCs w:val="16"/>
                <w:color w:val="auto"/>
              </w:rPr>
              <w:t>Total reclassification adjustments related to cash</w:t>
            </w:r>
          </w:p>
        </w:tc>
        <w:tc>
          <w:tcPr>
            <w:tcW w:w="2800" w:type="dxa"/>
            <w:vAlign w:val="bottom"/>
          </w:tcPr>
          <w:p>
            <w:pPr>
              <w:spacing w:after="0"/>
              <w:rPr>
                <w:sz w:val="14"/>
                <w:szCs w:val="14"/>
                <w:color w:val="auto"/>
              </w:rPr>
            </w:pPr>
          </w:p>
        </w:tc>
        <w:tc>
          <w:tcPr>
            <w:tcW w:w="380" w:type="dxa"/>
            <w:vAlign w:val="bottom"/>
            <w:gridSpan w:val="2"/>
            <w:vMerge w:val="restart"/>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(0.7)</w:t>
            </w: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(1.0)</w:t>
            </w:r>
          </w:p>
        </w:tc>
        <w:tc>
          <w:tcPr>
            <w:tcW w:w="720" w:type="dxa"/>
            <w:vAlign w:val="bottom"/>
            <w:vMerge w:val="restart"/>
          </w:tcPr>
          <w:p>
            <w:pPr>
              <w:jc w:val="right"/>
              <w:ind w:right="539"/>
              <w:spacing w:after="0"/>
              <w:rPr>
                <w:sz w:val="20"/>
                <w:szCs w:val="20"/>
                <w:color w:val="auto"/>
              </w:rPr>
            </w:pPr>
            <w:r>
              <w:rPr>
                <w:rFonts w:ascii="Arial" w:cs="Arial" w:eastAsia="Arial" w:hAnsi="Arial"/>
                <w:sz w:val="16"/>
                <w:szCs w:val="16"/>
                <w:color w:val="auto"/>
                <w:w w:val="89"/>
              </w:rPr>
              <w:t>$</w:t>
            </w:r>
          </w:p>
        </w:tc>
        <w:tc>
          <w:tcPr>
            <w:tcW w:w="400" w:type="dxa"/>
            <w:vAlign w:val="bottom"/>
            <w:vMerge w:val="restart"/>
          </w:tcPr>
          <w:p>
            <w:pPr>
              <w:jc w:val="right"/>
              <w:spacing w:after="0"/>
              <w:rPr>
                <w:sz w:val="20"/>
                <w:szCs w:val="20"/>
                <w:color w:val="auto"/>
              </w:rPr>
            </w:pPr>
            <w:r>
              <w:rPr>
                <w:rFonts w:ascii="Arial" w:cs="Arial" w:eastAsia="Arial" w:hAnsi="Arial"/>
                <w:sz w:val="16"/>
                <w:szCs w:val="16"/>
                <w:color w:val="auto"/>
              </w:rPr>
              <w:t>(1.5)</w:t>
            </w:r>
          </w:p>
        </w:tc>
        <w:tc>
          <w:tcPr>
            <w:tcW w:w="24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190"/>
        </w:trPr>
        <w:tc>
          <w:tcPr>
            <w:tcW w:w="3740" w:type="dxa"/>
            <w:vAlign w:val="bottom"/>
          </w:tcPr>
          <w:p>
            <w:pPr>
              <w:spacing w:after="0"/>
              <w:rPr>
                <w:sz w:val="20"/>
                <w:szCs w:val="20"/>
                <w:color w:val="auto"/>
              </w:rPr>
            </w:pPr>
            <w:r>
              <w:rPr>
                <w:rFonts w:ascii="Arial" w:cs="Arial" w:eastAsia="Arial" w:hAnsi="Arial"/>
                <w:sz w:val="16"/>
                <w:szCs w:val="16"/>
                <w:color w:val="auto"/>
              </w:rPr>
              <w:t>flow hedges, net of tax</w:t>
            </w:r>
          </w:p>
        </w:tc>
        <w:tc>
          <w:tcPr>
            <w:tcW w:w="2800" w:type="dxa"/>
            <w:vAlign w:val="bottom"/>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400" w:type="dxa"/>
            <w:vAlign w:val="bottom"/>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740" w:type="dxa"/>
            <w:vAlign w:val="bottom"/>
            <w:shd w:val="clear" w:color="auto" w:fill="CFF0FC"/>
          </w:tcPr>
          <w:p>
            <w:pPr>
              <w:spacing w:after="0"/>
              <w:rPr>
                <w:sz w:val="15"/>
                <w:szCs w:val="15"/>
                <w:color w:val="auto"/>
              </w:rPr>
            </w:pPr>
          </w:p>
        </w:tc>
        <w:tc>
          <w:tcPr>
            <w:tcW w:w="28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spacing w:after="0"/>
              <w:rPr>
                <w:sz w:val="15"/>
                <w:szCs w:val="15"/>
                <w:color w:val="auto"/>
              </w:rPr>
            </w:pPr>
          </w:p>
        </w:tc>
        <w:tc>
          <w:tcPr>
            <w:tcW w:w="720" w:type="dxa"/>
            <w:vAlign w:val="bottom"/>
            <w:tcBorders>
              <w:top w:val="single" w:sz="8" w:color="auto"/>
            </w:tcBorders>
            <w:shd w:val="clear" w:color="auto" w:fill="CFF0FC"/>
          </w:tcPr>
          <w:p>
            <w:pPr>
              <w:spacing w:after="0"/>
              <w:rPr>
                <w:sz w:val="15"/>
                <w:szCs w:val="15"/>
                <w:color w:val="auto"/>
              </w:rPr>
            </w:pPr>
          </w:p>
        </w:tc>
        <w:tc>
          <w:tcPr>
            <w:tcW w:w="400" w:type="dxa"/>
            <w:vAlign w:val="bottom"/>
            <w:tcBorders>
              <w:top w:val="single" w:sz="8" w:color="auto"/>
            </w:tcBorders>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spacing w:after="0"/>
              <w:rPr>
                <w:sz w:val="15"/>
                <w:szCs w:val="15"/>
                <w:color w:val="auto"/>
              </w:rPr>
            </w:pPr>
          </w:p>
        </w:tc>
        <w:tc>
          <w:tcPr>
            <w:tcW w:w="940" w:type="dxa"/>
            <w:vAlign w:val="bottom"/>
            <w:tcBorders>
              <w:top w:val="single" w:sz="8" w:color="auto"/>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40" w:type="dxa"/>
            <w:vAlign w:val="bottom"/>
          </w:tcPr>
          <w:p>
            <w:pPr>
              <w:spacing w:after="0" w:line="175" w:lineRule="exact"/>
              <w:rPr>
                <w:sz w:val="20"/>
                <w:szCs w:val="20"/>
                <w:color w:val="auto"/>
              </w:rPr>
            </w:pPr>
            <w:r>
              <w:rPr>
                <w:rFonts w:ascii="Arial" w:cs="Arial" w:eastAsia="Arial" w:hAnsi="Arial"/>
                <w:sz w:val="16"/>
                <w:szCs w:val="16"/>
                <w:color w:val="auto"/>
              </w:rPr>
              <w:t>Amortization of components of defined benefit</w:t>
            </w:r>
          </w:p>
        </w:tc>
        <w:tc>
          <w:tcPr>
            <w:tcW w:w="2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740" w:type="dxa"/>
            <w:vAlign w:val="bottom"/>
          </w:tcPr>
          <w:p>
            <w:pPr>
              <w:spacing w:after="0"/>
              <w:rPr>
                <w:sz w:val="20"/>
                <w:szCs w:val="20"/>
                <w:color w:val="auto"/>
              </w:rPr>
            </w:pPr>
            <w:r>
              <w:rPr>
                <w:rFonts w:ascii="Arial" w:cs="Arial" w:eastAsia="Arial" w:hAnsi="Arial"/>
                <w:sz w:val="16"/>
                <w:szCs w:val="16"/>
                <w:color w:val="auto"/>
              </w:rPr>
              <w:t>plans:</w:t>
            </w:r>
          </w:p>
        </w:tc>
        <w:tc>
          <w:tcPr>
            <w:tcW w:w="2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740" w:type="dxa"/>
            <w:vAlign w:val="bottom"/>
            <w:shd w:val="clear" w:color="auto" w:fill="CFF0FC"/>
          </w:tcPr>
          <w:p>
            <w:pPr>
              <w:spacing w:after="0"/>
              <w:rPr>
                <w:sz w:val="20"/>
                <w:szCs w:val="20"/>
                <w:color w:val="auto"/>
              </w:rPr>
            </w:pPr>
            <w:r>
              <w:rPr>
                <w:rFonts w:ascii="Arial" w:cs="Arial" w:eastAsia="Arial" w:hAnsi="Arial"/>
                <w:sz w:val="16"/>
                <w:szCs w:val="16"/>
                <w:color w:val="auto"/>
              </w:rPr>
              <w:t>Actuarial (loss)</w:t>
            </w:r>
          </w:p>
        </w:tc>
        <w:tc>
          <w:tcPr>
            <w:tcW w:w="2800" w:type="dxa"/>
            <w:vAlign w:val="bottom"/>
            <w:shd w:val="clear" w:color="auto" w:fill="CFF0FC"/>
          </w:tcPr>
          <w:p>
            <w:pPr>
              <w:ind w:left="40"/>
              <w:spacing w:after="0"/>
              <w:rPr>
                <w:sz w:val="20"/>
                <w:szCs w:val="20"/>
                <w:color w:val="auto"/>
              </w:rPr>
            </w:pPr>
            <w:r>
              <w:rPr>
                <w:rFonts w:ascii="Arial" w:cs="Arial" w:eastAsia="Arial" w:hAnsi="Arial"/>
                <w:sz w:val="16"/>
                <w:szCs w:val="16"/>
                <w:color w:val="auto"/>
              </w:rPr>
              <w:t>Operations and maintenance</w:t>
            </w:r>
          </w:p>
        </w:tc>
        <w:tc>
          <w:tcPr>
            <w:tcW w:w="180" w:type="dxa"/>
            <w:vAlign w:val="bottom"/>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FF0FC"/>
          </w:tcPr>
          <w:p>
            <w:pPr>
              <w:spacing w:after="0"/>
              <w:rPr>
                <w:sz w:val="16"/>
                <w:szCs w:val="16"/>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(0.1)</w:t>
            </w:r>
          </w:p>
        </w:tc>
        <w:tc>
          <w:tcPr>
            <w:tcW w:w="24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155"/>
        </w:trPr>
        <w:tc>
          <w:tcPr>
            <w:tcW w:w="3740" w:type="dxa"/>
            <w:vAlign w:val="bottom"/>
          </w:tcPr>
          <w:p>
            <w:pPr>
              <w:spacing w:after="0" w:line="155" w:lineRule="exact"/>
              <w:rPr>
                <w:sz w:val="20"/>
                <w:szCs w:val="20"/>
                <w:color w:val="auto"/>
              </w:rPr>
            </w:pPr>
            <w:r>
              <w:rPr>
                <w:rFonts w:ascii="Arial" w:cs="Arial" w:eastAsia="Arial" w:hAnsi="Arial"/>
                <w:sz w:val="16"/>
                <w:szCs w:val="16"/>
                <w:color w:val="auto"/>
              </w:rPr>
              <w:t>Total reclassification adjustments related to defined</w:t>
            </w:r>
          </w:p>
        </w:tc>
        <w:tc>
          <w:tcPr>
            <w:tcW w:w="2800" w:type="dxa"/>
            <w:vAlign w:val="bottom"/>
          </w:tcPr>
          <w:p>
            <w:pPr>
              <w:spacing w:after="0"/>
              <w:rPr>
                <w:sz w:val="13"/>
                <w:szCs w:val="13"/>
                <w:color w:val="auto"/>
              </w:rPr>
            </w:pPr>
          </w:p>
        </w:tc>
        <w:tc>
          <w:tcPr>
            <w:tcW w:w="380" w:type="dxa"/>
            <w:vAlign w:val="bottom"/>
            <w:gridSpan w:val="2"/>
            <w:vMerge w:val="restart"/>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vMerge w:val="restart"/>
          </w:tcPr>
          <w:p>
            <w:pPr>
              <w:jc w:val="right"/>
              <w:ind w:right="539"/>
              <w:spacing w:after="0"/>
              <w:rPr>
                <w:sz w:val="20"/>
                <w:szCs w:val="20"/>
                <w:color w:val="auto"/>
              </w:rPr>
            </w:pPr>
            <w:r>
              <w:rPr>
                <w:rFonts w:ascii="Arial" w:cs="Arial" w:eastAsia="Arial" w:hAnsi="Arial"/>
                <w:sz w:val="16"/>
                <w:szCs w:val="16"/>
                <w:color w:val="auto"/>
                <w:w w:val="89"/>
              </w:rPr>
              <w:t>$</w:t>
            </w:r>
          </w:p>
        </w:tc>
        <w:tc>
          <w:tcPr>
            <w:tcW w:w="400" w:type="dxa"/>
            <w:vAlign w:val="bottom"/>
            <w:vMerge w:val="restart"/>
          </w:tcPr>
          <w:p>
            <w:pPr>
              <w:jc w:val="right"/>
              <w:spacing w:after="0"/>
              <w:rPr>
                <w:sz w:val="20"/>
                <w:szCs w:val="20"/>
                <w:color w:val="auto"/>
              </w:rPr>
            </w:pPr>
            <w:r>
              <w:rPr>
                <w:rFonts w:ascii="Arial" w:cs="Arial" w:eastAsia="Arial" w:hAnsi="Arial"/>
                <w:sz w:val="16"/>
                <w:szCs w:val="16"/>
                <w:color w:val="auto"/>
              </w:rPr>
              <w:t>(0.1)</w:t>
            </w:r>
          </w:p>
        </w:tc>
        <w:tc>
          <w:tcPr>
            <w:tcW w:w="24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190"/>
        </w:trPr>
        <w:tc>
          <w:tcPr>
            <w:tcW w:w="3740" w:type="dxa"/>
            <w:vAlign w:val="bottom"/>
          </w:tcPr>
          <w:p>
            <w:pPr>
              <w:spacing w:after="0"/>
              <w:rPr>
                <w:sz w:val="20"/>
                <w:szCs w:val="20"/>
                <w:color w:val="auto"/>
              </w:rPr>
            </w:pPr>
            <w:r>
              <w:rPr>
                <w:rFonts w:ascii="Arial" w:cs="Arial" w:eastAsia="Arial" w:hAnsi="Arial"/>
                <w:sz w:val="16"/>
                <w:szCs w:val="16"/>
                <w:color w:val="auto"/>
              </w:rPr>
              <w:t>benefit plans, net of tax</w:t>
            </w:r>
          </w:p>
        </w:tc>
        <w:tc>
          <w:tcPr>
            <w:tcW w:w="2800" w:type="dxa"/>
            <w:vAlign w:val="bottom"/>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400" w:type="dxa"/>
            <w:vAlign w:val="bottom"/>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740" w:type="dxa"/>
            <w:vAlign w:val="bottom"/>
            <w:shd w:val="clear" w:color="auto" w:fill="CFF0FC"/>
          </w:tcPr>
          <w:p>
            <w:pPr>
              <w:spacing w:after="0" w:line="169" w:lineRule="exact"/>
              <w:rPr>
                <w:sz w:val="20"/>
                <w:szCs w:val="20"/>
                <w:color w:val="auto"/>
              </w:rPr>
            </w:pPr>
            <w:r>
              <w:rPr>
                <w:rFonts w:ascii="Arial" w:cs="Arial" w:eastAsia="Arial" w:hAnsi="Arial"/>
                <w:sz w:val="16"/>
                <w:szCs w:val="16"/>
                <w:color w:val="auto"/>
              </w:rPr>
              <w:t>Total reclassifications</w:t>
            </w:r>
          </w:p>
        </w:tc>
        <w:tc>
          <w:tcPr>
            <w:tcW w:w="2800" w:type="dxa"/>
            <w:vAlign w:val="bottom"/>
            <w:shd w:val="clear" w:color="auto" w:fill="CFF0FC"/>
          </w:tcPr>
          <w:p>
            <w:pPr>
              <w:spacing w:after="0"/>
              <w:rPr>
                <w:sz w:val="17"/>
                <w:szCs w:val="17"/>
                <w:color w:val="auto"/>
              </w:rPr>
            </w:pPr>
          </w:p>
        </w:tc>
        <w:tc>
          <w:tcPr>
            <w:tcW w:w="380" w:type="dxa"/>
            <w:vAlign w:val="bottom"/>
            <w:gridSpan w:val="2"/>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(0.7)</w:t>
            </w:r>
          </w:p>
        </w:tc>
        <w:tc>
          <w:tcPr>
            <w:tcW w:w="220" w:type="dxa"/>
            <w:vAlign w:val="bottom"/>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w w:val="89"/>
              </w:rPr>
              <w:t>$</w:t>
            </w:r>
          </w:p>
        </w:tc>
        <w:tc>
          <w:tcPr>
            <w:tcW w:w="90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(1.0)</w:t>
            </w:r>
          </w:p>
        </w:tc>
        <w:tc>
          <w:tcPr>
            <w:tcW w:w="720" w:type="dxa"/>
            <w:vAlign w:val="bottom"/>
            <w:shd w:val="clear" w:color="auto" w:fill="CFF0FC"/>
          </w:tcPr>
          <w:p>
            <w:pPr>
              <w:jc w:val="right"/>
              <w:ind w:right="539"/>
              <w:spacing w:after="0" w:line="169" w:lineRule="exact"/>
              <w:rPr>
                <w:sz w:val="20"/>
                <w:szCs w:val="20"/>
                <w:color w:val="auto"/>
              </w:rPr>
            </w:pPr>
            <w:r>
              <w:rPr>
                <w:rFonts w:ascii="Arial" w:cs="Arial" w:eastAsia="Arial" w:hAnsi="Arial"/>
                <w:sz w:val="16"/>
                <w:szCs w:val="16"/>
                <w:color w:val="auto"/>
                <w:w w:val="89"/>
              </w:rPr>
              <w:t>$</w:t>
            </w:r>
          </w:p>
        </w:tc>
        <w:tc>
          <w:tcPr>
            <w:tcW w:w="40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(1.6)</w:t>
            </w:r>
          </w:p>
        </w:tc>
        <w:tc>
          <w:tcPr>
            <w:tcW w:w="240" w:type="dxa"/>
            <w:vAlign w:val="bottom"/>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0"/>
        </w:trPr>
        <w:tc>
          <w:tcPr>
            <w:tcW w:w="3740" w:type="dxa"/>
            <w:vAlign w:val="bottom"/>
            <w:tcBorders>
              <w:top w:val="single" w:sz="8" w:color="CFF0FC"/>
            </w:tcBorders>
            <w:shd w:val="clear" w:color="auto" w:fill="CFF0FC"/>
          </w:tcPr>
          <w:p>
            <w:pPr>
              <w:spacing w:after="0" w:line="20" w:lineRule="exact"/>
              <w:rPr>
                <w:sz w:val="1"/>
                <w:szCs w:val="1"/>
                <w:color w:val="auto"/>
              </w:rPr>
            </w:pPr>
          </w:p>
        </w:tc>
        <w:tc>
          <w:tcPr>
            <w:tcW w:w="28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Balances by classification included within AOCI, net of tax on the accompanying Consolidated Balance Sheets were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60" w:type="dxa"/>
            <w:vAlign w:val="bottom"/>
            <w:gridSpan w:val="3"/>
          </w:tcPr>
          <w:p>
            <w:pPr>
              <w:jc w:val="center"/>
              <w:ind w:right="239"/>
              <w:spacing w:after="0"/>
              <w:rPr>
                <w:sz w:val="20"/>
                <w:szCs w:val="20"/>
                <w:color w:val="auto"/>
              </w:rPr>
            </w:pPr>
            <w:r>
              <w:rPr>
                <w:rFonts w:ascii="Arial" w:cs="Arial" w:eastAsia="Arial" w:hAnsi="Arial"/>
                <w:sz w:val="16"/>
                <w:szCs w:val="16"/>
                <w:b w:val="1"/>
                <w:bCs w:val="1"/>
                <w:color w:val="auto"/>
              </w:rPr>
              <w:t>Derivatives Designated as Cash Flow</w:t>
            </w: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2"/>
          </w:tcPr>
          <w:p>
            <w:pPr>
              <w:jc w:val="center"/>
              <w:ind w:left="1059"/>
              <w:spacing w:after="0"/>
              <w:rPr>
                <w:sz w:val="20"/>
                <w:szCs w:val="20"/>
                <w:color w:val="auto"/>
              </w:rPr>
            </w:pPr>
            <w:r>
              <w:rPr>
                <w:rFonts w:ascii="Arial" w:cs="Arial" w:eastAsia="Arial" w:hAnsi="Arial"/>
                <w:sz w:val="16"/>
                <w:szCs w:val="16"/>
                <w:b w:val="1"/>
                <w:bCs w:val="1"/>
                <w:color w:val="auto"/>
              </w:rPr>
              <w:t>Hedges</w:t>
            </w:r>
          </w:p>
        </w:tc>
        <w:tc>
          <w:tcPr>
            <w:tcW w:w="14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vMerge w:val="restart"/>
          </w:tcPr>
          <w:p>
            <w:pPr>
              <w:jc w:val="center"/>
              <w:ind w:right="139"/>
              <w:spacing w:after="0"/>
              <w:rPr>
                <w:sz w:val="20"/>
                <w:szCs w:val="20"/>
                <w:color w:val="auto"/>
              </w:rPr>
            </w:pPr>
            <w:r>
              <w:rPr>
                <w:rFonts w:ascii="Arial" w:cs="Arial" w:eastAsia="Arial" w:hAnsi="Arial"/>
                <w:sz w:val="16"/>
                <w:szCs w:val="16"/>
                <w:b w:val="1"/>
                <w:bCs w:val="1"/>
                <w:color w:val="auto"/>
              </w:rPr>
              <w:t>Employee Benefit</w:t>
            </w:r>
          </w:p>
        </w:tc>
        <w:tc>
          <w:tcPr>
            <w:tcW w:w="4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4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tcPr>
          <w:p>
            <w:pPr>
              <w:jc w:val="right"/>
              <w:ind w:right="379"/>
              <w:spacing w:after="0" w:line="168" w:lineRule="exact"/>
              <w:rPr>
                <w:sz w:val="20"/>
                <w:szCs w:val="20"/>
                <w:color w:val="auto"/>
              </w:rPr>
            </w:pPr>
            <w:r>
              <w:rPr>
                <w:rFonts w:ascii="Arial" w:cs="Arial" w:eastAsia="Arial" w:hAnsi="Arial"/>
                <w:sz w:val="16"/>
                <w:szCs w:val="16"/>
                <w:b w:val="1"/>
                <w:bCs w:val="1"/>
                <w:color w:val="auto"/>
              </w:rPr>
              <w:t>Commodity</w:t>
            </w:r>
          </w:p>
        </w:tc>
        <w:tc>
          <w:tcPr>
            <w:tcW w:w="100" w:type="dxa"/>
            <w:vAlign w:val="bottom"/>
          </w:tcPr>
          <w:p>
            <w:pPr>
              <w:spacing w:after="0"/>
              <w:rPr>
                <w:sz w:val="14"/>
                <w:szCs w:val="14"/>
                <w:color w:val="auto"/>
              </w:rPr>
            </w:pPr>
          </w:p>
        </w:tc>
        <w:tc>
          <w:tcPr>
            <w:tcW w:w="158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060" w:type="dxa"/>
            <w:vAlign w:val="bottom"/>
          </w:tcPr>
          <w:p>
            <w:pPr>
              <w:spacing w:after="0"/>
              <w:rPr>
                <w:sz w:val="17"/>
                <w:szCs w:val="17"/>
                <w:color w:val="auto"/>
              </w:rPr>
            </w:pPr>
          </w:p>
        </w:tc>
        <w:tc>
          <w:tcPr>
            <w:tcW w:w="172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6"/>
                <w:szCs w:val="16"/>
                <w:b w:val="1"/>
                <w:bCs w:val="1"/>
                <w:color w:val="auto"/>
              </w:rPr>
              <w:t>Interest Rate Swaps</w:t>
            </w:r>
          </w:p>
        </w:tc>
        <w:tc>
          <w:tcPr>
            <w:tcW w:w="2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Derivatives</w:t>
            </w:r>
          </w:p>
        </w:tc>
        <w:tc>
          <w:tcPr>
            <w:tcW w:w="1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Plans</w:t>
            </w:r>
          </w:p>
        </w:tc>
        <w:tc>
          <w:tcPr>
            <w:tcW w:w="4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83"/>
        </w:trPr>
        <w:tc>
          <w:tcPr>
            <w:tcW w:w="40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080" w:type="dxa"/>
            <w:vAlign w:val="bottom"/>
            <w:tcBorders>
              <w:bottom w:val="single" w:sz="8" w:color="auto"/>
            </w:tcBorders>
            <w:gridSpan w:val="3"/>
          </w:tcPr>
          <w:p>
            <w:pPr>
              <w:jc w:val="right"/>
              <w:ind w:right="1059"/>
              <w:spacing w:after="0" w:line="183" w:lineRule="exact"/>
              <w:rPr>
                <w:sz w:val="20"/>
                <w:szCs w:val="20"/>
                <w:color w:val="auto"/>
              </w:rPr>
            </w:pPr>
            <w:r>
              <w:rPr>
                <w:rFonts w:ascii="Arial" w:cs="Arial" w:eastAsia="Arial" w:hAnsi="Arial"/>
                <w:sz w:val="16"/>
                <w:szCs w:val="16"/>
                <w:color w:val="auto"/>
              </w:rPr>
              <w:t>(in millions)</w:t>
            </w:r>
          </w:p>
        </w:tc>
        <w:tc>
          <w:tcPr>
            <w:tcW w:w="4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6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As of December 31, 2024</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(3.8)</w:t>
            </w:r>
          </w:p>
        </w:tc>
        <w:tc>
          <w:tcPr>
            <w:tcW w:w="280" w:type="dxa"/>
            <w:vAlign w:val="bottom"/>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14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(0.3)</w:t>
            </w:r>
          </w:p>
        </w:tc>
        <w:tc>
          <w:tcPr>
            <w:tcW w:w="1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5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(5.3)</w:t>
            </w:r>
          </w:p>
        </w:tc>
        <w:tc>
          <w:tcPr>
            <w:tcW w:w="460" w:type="dxa"/>
            <w:vAlign w:val="bottom"/>
            <w:shd w:val="clear" w:color="auto" w:fill="CFF0FC"/>
          </w:tcPr>
          <w:p>
            <w:pPr>
              <w:jc w:val="right"/>
              <w:ind w:right="259"/>
              <w:spacing w:after="0" w:line="183" w:lineRule="exact"/>
              <w:rPr>
                <w:sz w:val="20"/>
                <w:szCs w:val="20"/>
                <w:color w:val="auto"/>
              </w:rPr>
            </w:pPr>
            <w:r>
              <w:rPr>
                <w:rFonts w:ascii="Arial" w:cs="Arial" w:eastAsia="Arial" w:hAnsi="Arial"/>
                <w:sz w:val="16"/>
                <w:szCs w:val="16"/>
                <w:color w:val="auto"/>
              </w:rPr>
              <w:t>$</w:t>
            </w:r>
          </w:p>
        </w:tc>
        <w:tc>
          <w:tcPr>
            <w:tcW w:w="16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175"/>
        </w:trPr>
        <w:tc>
          <w:tcPr>
            <w:tcW w:w="4060" w:type="dxa"/>
            <w:vAlign w:val="bottom"/>
          </w:tcPr>
          <w:p>
            <w:pPr>
              <w:ind w:left="40"/>
              <w:spacing w:after="0" w:line="175" w:lineRule="exact"/>
              <w:rPr>
                <w:sz w:val="20"/>
                <w:szCs w:val="20"/>
                <w:color w:val="auto"/>
              </w:rPr>
            </w:pPr>
            <w:r>
              <w:rPr>
                <w:rFonts w:ascii="Arial" w:cs="Arial" w:eastAsia="Arial" w:hAnsi="Arial"/>
                <w:sz w:val="16"/>
                <w:szCs w:val="16"/>
                <w:color w:val="auto"/>
              </w:rPr>
              <w:t>Other comprehensive income (loss) before</w:t>
            </w:r>
          </w:p>
        </w:tc>
        <w:tc>
          <w:tcPr>
            <w:tcW w:w="1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060" w:type="dxa"/>
            <w:vAlign w:val="bottom"/>
          </w:tcPr>
          <w:p>
            <w:pPr>
              <w:ind w:left="40"/>
              <w:spacing w:after="0"/>
              <w:rPr>
                <w:sz w:val="20"/>
                <w:szCs w:val="20"/>
                <w:color w:val="auto"/>
              </w:rPr>
            </w:pPr>
            <w:r>
              <w:rPr>
                <w:rFonts w:ascii="Arial" w:cs="Arial" w:eastAsia="Arial" w:hAnsi="Arial"/>
                <w:sz w:val="16"/>
                <w:szCs w:val="16"/>
                <w:color w:val="auto"/>
              </w:rPr>
              <w:t>reclassifications</w:t>
            </w:r>
          </w:p>
        </w:tc>
        <w:tc>
          <w:tcPr>
            <w:tcW w:w="140" w:type="dxa"/>
            <w:vAlign w:val="bottom"/>
          </w:tcPr>
          <w:p>
            <w:pPr>
              <w:spacing w:after="0"/>
              <w:rPr>
                <w:sz w:val="17"/>
                <w:szCs w:val="17"/>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189"/>
        </w:trPr>
        <w:tc>
          <w:tcPr>
            <w:tcW w:w="40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Amounts reclassified from AOCI</w:t>
            </w:r>
          </w:p>
        </w:tc>
        <w:tc>
          <w:tcPr>
            <w:tcW w:w="140" w:type="dxa"/>
            <w:vAlign w:val="bottom"/>
            <w:tcBorders>
              <w:bottom w:val="single" w:sz="8" w:color="auto"/>
            </w:tcBorders>
            <w:shd w:val="clear" w:color="auto" w:fill="CFF0FC"/>
          </w:tcPr>
          <w:p>
            <w:pPr>
              <w:spacing w:after="0"/>
              <w:rPr>
                <w:sz w:val="16"/>
                <w:szCs w:val="16"/>
                <w:color w:val="auto"/>
              </w:rPr>
            </w:pPr>
          </w:p>
        </w:tc>
        <w:tc>
          <w:tcPr>
            <w:tcW w:w="15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1.1</w:t>
            </w:r>
          </w:p>
        </w:tc>
        <w:tc>
          <w:tcPr>
            <w:tcW w:w="280" w:type="dxa"/>
            <w:vAlign w:val="bottom"/>
            <w:tcBorders>
              <w:bottom w:val="single" w:sz="8" w:color="auto"/>
            </w:tcBorders>
            <w:shd w:val="clear" w:color="auto" w:fill="CFF0FC"/>
          </w:tcPr>
          <w:p>
            <w:pPr>
              <w:spacing w:after="0"/>
              <w:rPr>
                <w:sz w:val="16"/>
                <w:szCs w:val="16"/>
                <w:color w:val="auto"/>
              </w:rPr>
            </w:pPr>
          </w:p>
        </w:tc>
        <w:tc>
          <w:tcPr>
            <w:tcW w:w="14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0.4</w:t>
            </w:r>
          </w:p>
        </w:tc>
        <w:tc>
          <w:tcPr>
            <w:tcW w:w="100" w:type="dxa"/>
            <w:vAlign w:val="bottom"/>
            <w:tcBorders>
              <w:bottom w:val="single" w:sz="8" w:color="auto"/>
            </w:tcBorders>
            <w:shd w:val="clear" w:color="auto" w:fill="CFF0FC"/>
          </w:tcPr>
          <w:p>
            <w:pPr>
              <w:spacing w:after="0"/>
              <w:rPr>
                <w:sz w:val="16"/>
                <w:szCs w:val="16"/>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0.1</w:t>
            </w:r>
          </w:p>
        </w:tc>
        <w:tc>
          <w:tcPr>
            <w:tcW w:w="460" w:type="dxa"/>
            <w:vAlign w:val="bottom"/>
            <w:tcBorders>
              <w:bottom w:val="single" w:sz="8" w:color="auto"/>
            </w:tcBorders>
            <w:shd w:val="clear" w:color="auto" w:fill="CFF0FC"/>
          </w:tcPr>
          <w:p>
            <w:pPr>
              <w:spacing w:after="0"/>
              <w:rPr>
                <w:sz w:val="16"/>
                <w:szCs w:val="16"/>
                <w:color w:val="auto"/>
              </w:rPr>
            </w:pPr>
          </w:p>
        </w:tc>
        <w:tc>
          <w:tcPr>
            <w:tcW w:w="16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183"/>
        </w:trPr>
        <w:tc>
          <w:tcPr>
            <w:tcW w:w="4060" w:type="dxa"/>
            <w:vAlign w:val="bottom"/>
          </w:tcPr>
          <w:p>
            <w:pPr>
              <w:spacing w:after="0" w:line="169" w:lineRule="exact"/>
              <w:rPr>
                <w:sz w:val="20"/>
                <w:szCs w:val="20"/>
                <w:color w:val="auto"/>
              </w:rPr>
            </w:pPr>
            <w:r>
              <w:rPr>
                <w:rFonts w:ascii="Arial" w:cs="Arial" w:eastAsia="Arial" w:hAnsi="Arial"/>
                <w:sz w:val="16"/>
                <w:szCs w:val="16"/>
                <w:color w:val="auto"/>
              </w:rPr>
              <w:t>As of June 30, 2025</w:t>
            </w:r>
          </w:p>
        </w:tc>
        <w:tc>
          <w:tcPr>
            <w:tcW w:w="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15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(2.7)</w:t>
            </w:r>
          </w:p>
        </w:tc>
        <w:tc>
          <w:tcPr>
            <w:tcW w:w="280" w:type="dxa"/>
            <w:vAlign w:val="bottom"/>
            <w:tcBorders>
              <w:bottom w:val="single" w:sz="8" w:color="auto"/>
            </w:tcBorders>
          </w:tcPr>
          <w:p>
            <w:pPr>
              <w:jc w:val="right"/>
              <w:ind w:right="79"/>
              <w:spacing w:after="0" w:line="169" w:lineRule="exact"/>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(0.1)</w:t>
            </w:r>
          </w:p>
        </w:tc>
        <w:tc>
          <w:tcPr>
            <w:tcW w:w="1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(5.2)</w:t>
            </w:r>
          </w:p>
        </w:tc>
        <w:tc>
          <w:tcPr>
            <w:tcW w:w="460" w:type="dxa"/>
            <w:vAlign w:val="bottom"/>
            <w:tcBorders>
              <w:bottom w:val="single" w:sz="8" w:color="auto"/>
            </w:tcBorders>
          </w:tcPr>
          <w:p>
            <w:pPr>
              <w:jc w:val="right"/>
              <w:ind w:right="259"/>
              <w:spacing w:after="0" w:line="169" w:lineRule="exact"/>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60" w:type="dxa"/>
            <w:vAlign w:val="bottom"/>
            <w:tcBorders>
              <w:bottom w:val="single" w:sz="8" w:color="auto"/>
            </w:tcBorders>
            <w:gridSpan w:val="3"/>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4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60" w:type="dxa"/>
            <w:vAlign w:val="bottom"/>
            <w:gridSpan w:val="3"/>
          </w:tcPr>
          <w:p>
            <w:pPr>
              <w:jc w:val="center"/>
              <w:ind w:right="199"/>
              <w:spacing w:after="0"/>
              <w:rPr>
                <w:sz w:val="20"/>
                <w:szCs w:val="20"/>
                <w:color w:val="auto"/>
              </w:rPr>
            </w:pPr>
            <w:r>
              <w:rPr>
                <w:rFonts w:ascii="Arial" w:cs="Arial" w:eastAsia="Arial" w:hAnsi="Arial"/>
                <w:sz w:val="16"/>
                <w:szCs w:val="16"/>
                <w:b w:val="1"/>
                <w:bCs w:val="1"/>
                <w:color w:val="auto"/>
              </w:rPr>
              <w:t>Derivatives Designated as Cash Flow</w:t>
            </w: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0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Hedges</w:t>
            </w:r>
          </w:p>
        </w:tc>
        <w:tc>
          <w:tcPr>
            <w:tcW w:w="14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vMerge w:val="restart"/>
          </w:tcPr>
          <w:p>
            <w:pPr>
              <w:jc w:val="center"/>
              <w:ind w:right="139"/>
              <w:spacing w:after="0"/>
              <w:rPr>
                <w:sz w:val="20"/>
                <w:szCs w:val="20"/>
                <w:color w:val="auto"/>
              </w:rPr>
            </w:pPr>
            <w:r>
              <w:rPr>
                <w:rFonts w:ascii="Arial" w:cs="Arial" w:eastAsia="Arial" w:hAnsi="Arial"/>
                <w:sz w:val="16"/>
                <w:szCs w:val="16"/>
                <w:b w:val="1"/>
                <w:bCs w:val="1"/>
                <w:color w:val="auto"/>
              </w:rPr>
              <w:t>Employee Benefit</w:t>
            </w:r>
          </w:p>
        </w:tc>
        <w:tc>
          <w:tcPr>
            <w:tcW w:w="4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4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tcPr>
          <w:p>
            <w:pPr>
              <w:jc w:val="right"/>
              <w:ind w:right="379"/>
              <w:spacing w:after="0" w:line="168" w:lineRule="exact"/>
              <w:rPr>
                <w:sz w:val="20"/>
                <w:szCs w:val="20"/>
                <w:color w:val="auto"/>
              </w:rPr>
            </w:pPr>
            <w:r>
              <w:rPr>
                <w:rFonts w:ascii="Arial" w:cs="Arial" w:eastAsia="Arial" w:hAnsi="Arial"/>
                <w:sz w:val="16"/>
                <w:szCs w:val="16"/>
                <w:b w:val="1"/>
                <w:bCs w:val="1"/>
                <w:color w:val="auto"/>
              </w:rPr>
              <w:t>Commodity</w:t>
            </w:r>
          </w:p>
        </w:tc>
        <w:tc>
          <w:tcPr>
            <w:tcW w:w="100" w:type="dxa"/>
            <w:vAlign w:val="bottom"/>
          </w:tcPr>
          <w:p>
            <w:pPr>
              <w:spacing w:after="0"/>
              <w:rPr>
                <w:sz w:val="14"/>
                <w:szCs w:val="14"/>
                <w:color w:val="auto"/>
              </w:rPr>
            </w:pPr>
          </w:p>
        </w:tc>
        <w:tc>
          <w:tcPr>
            <w:tcW w:w="158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060" w:type="dxa"/>
            <w:vAlign w:val="bottom"/>
          </w:tcPr>
          <w:p>
            <w:pPr>
              <w:spacing w:after="0"/>
              <w:rPr>
                <w:sz w:val="17"/>
                <w:szCs w:val="17"/>
                <w:color w:val="auto"/>
              </w:rPr>
            </w:pPr>
          </w:p>
        </w:tc>
        <w:tc>
          <w:tcPr>
            <w:tcW w:w="172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6"/>
                <w:szCs w:val="16"/>
                <w:b w:val="1"/>
                <w:bCs w:val="1"/>
                <w:color w:val="auto"/>
              </w:rPr>
              <w:t>Interest Rate Swaps</w:t>
            </w:r>
          </w:p>
        </w:tc>
        <w:tc>
          <w:tcPr>
            <w:tcW w:w="2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Derivatives</w:t>
            </w:r>
          </w:p>
        </w:tc>
        <w:tc>
          <w:tcPr>
            <w:tcW w:w="1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Plans</w:t>
            </w:r>
          </w:p>
        </w:tc>
        <w:tc>
          <w:tcPr>
            <w:tcW w:w="4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83"/>
        </w:trPr>
        <w:tc>
          <w:tcPr>
            <w:tcW w:w="40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080" w:type="dxa"/>
            <w:vAlign w:val="bottom"/>
            <w:tcBorders>
              <w:bottom w:val="single" w:sz="8" w:color="auto"/>
            </w:tcBorders>
            <w:gridSpan w:val="3"/>
          </w:tcPr>
          <w:p>
            <w:pPr>
              <w:jc w:val="right"/>
              <w:ind w:right="1059"/>
              <w:spacing w:after="0" w:line="183" w:lineRule="exact"/>
              <w:rPr>
                <w:sz w:val="20"/>
                <w:szCs w:val="20"/>
                <w:color w:val="auto"/>
              </w:rPr>
            </w:pPr>
            <w:r>
              <w:rPr>
                <w:rFonts w:ascii="Arial" w:cs="Arial" w:eastAsia="Arial" w:hAnsi="Arial"/>
                <w:sz w:val="16"/>
                <w:szCs w:val="16"/>
                <w:color w:val="auto"/>
              </w:rPr>
              <w:t>(in millions)</w:t>
            </w:r>
          </w:p>
        </w:tc>
        <w:tc>
          <w:tcPr>
            <w:tcW w:w="4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6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As of December 31, 2023</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(6.1)</w:t>
            </w:r>
          </w:p>
        </w:tc>
        <w:tc>
          <w:tcPr>
            <w:tcW w:w="280" w:type="dxa"/>
            <w:vAlign w:val="bottom"/>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14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(2.5)</w:t>
            </w:r>
          </w:p>
        </w:tc>
        <w:tc>
          <w:tcPr>
            <w:tcW w:w="1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5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(6.2)</w:t>
            </w:r>
          </w:p>
        </w:tc>
        <w:tc>
          <w:tcPr>
            <w:tcW w:w="460" w:type="dxa"/>
            <w:vAlign w:val="bottom"/>
            <w:shd w:val="clear" w:color="auto" w:fill="CFF0FC"/>
          </w:tcPr>
          <w:p>
            <w:pPr>
              <w:jc w:val="right"/>
              <w:ind w:right="259"/>
              <w:spacing w:after="0" w:line="183" w:lineRule="exact"/>
              <w:rPr>
                <w:sz w:val="20"/>
                <w:szCs w:val="20"/>
                <w:color w:val="auto"/>
              </w:rPr>
            </w:pPr>
            <w:r>
              <w:rPr>
                <w:rFonts w:ascii="Arial" w:cs="Arial" w:eastAsia="Arial" w:hAnsi="Arial"/>
                <w:sz w:val="16"/>
                <w:szCs w:val="16"/>
                <w:color w:val="auto"/>
              </w:rPr>
              <w:t>$</w:t>
            </w:r>
          </w:p>
        </w:tc>
        <w:tc>
          <w:tcPr>
            <w:tcW w:w="16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(14.8)</w:t>
            </w:r>
          </w:p>
        </w:tc>
        <w:tc>
          <w:tcPr>
            <w:tcW w:w="0" w:type="dxa"/>
            <w:vAlign w:val="bottom"/>
          </w:tcPr>
          <w:p>
            <w:pPr>
              <w:spacing w:after="0"/>
              <w:rPr>
                <w:sz w:val="1"/>
                <w:szCs w:val="1"/>
                <w:color w:val="auto"/>
              </w:rPr>
            </w:pPr>
          </w:p>
        </w:tc>
      </w:tr>
      <w:tr>
        <w:trPr>
          <w:trHeight w:val="175"/>
        </w:trPr>
        <w:tc>
          <w:tcPr>
            <w:tcW w:w="4060" w:type="dxa"/>
            <w:vAlign w:val="bottom"/>
          </w:tcPr>
          <w:p>
            <w:pPr>
              <w:ind w:left="40"/>
              <w:spacing w:after="0" w:line="175" w:lineRule="exact"/>
              <w:rPr>
                <w:sz w:val="20"/>
                <w:szCs w:val="20"/>
                <w:color w:val="auto"/>
              </w:rPr>
            </w:pPr>
            <w:r>
              <w:rPr>
                <w:rFonts w:ascii="Arial" w:cs="Arial" w:eastAsia="Arial" w:hAnsi="Arial"/>
                <w:sz w:val="16"/>
                <w:szCs w:val="16"/>
                <w:color w:val="auto"/>
              </w:rPr>
              <w:t>Other comprehensive income (loss) before</w:t>
            </w:r>
          </w:p>
        </w:tc>
        <w:tc>
          <w:tcPr>
            <w:tcW w:w="1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060" w:type="dxa"/>
            <w:vAlign w:val="bottom"/>
          </w:tcPr>
          <w:p>
            <w:pPr>
              <w:ind w:left="40"/>
              <w:spacing w:after="0"/>
              <w:rPr>
                <w:sz w:val="20"/>
                <w:szCs w:val="20"/>
                <w:color w:val="auto"/>
              </w:rPr>
            </w:pPr>
            <w:r>
              <w:rPr>
                <w:rFonts w:ascii="Arial" w:cs="Arial" w:eastAsia="Arial" w:hAnsi="Arial"/>
                <w:sz w:val="16"/>
                <w:szCs w:val="16"/>
                <w:color w:val="auto"/>
              </w:rPr>
              <w:t>reclassifications</w:t>
            </w:r>
          </w:p>
        </w:tc>
        <w:tc>
          <w:tcPr>
            <w:tcW w:w="14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189"/>
        </w:trPr>
        <w:tc>
          <w:tcPr>
            <w:tcW w:w="40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Amounts reclassified from AOCI</w:t>
            </w:r>
          </w:p>
        </w:tc>
        <w:tc>
          <w:tcPr>
            <w:tcW w:w="140" w:type="dxa"/>
            <w:vAlign w:val="bottom"/>
            <w:tcBorders>
              <w:bottom w:val="single" w:sz="8" w:color="auto"/>
            </w:tcBorders>
            <w:shd w:val="clear" w:color="auto" w:fill="CFF0FC"/>
          </w:tcPr>
          <w:p>
            <w:pPr>
              <w:spacing w:after="0"/>
              <w:rPr>
                <w:sz w:val="16"/>
                <w:szCs w:val="16"/>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280" w:type="dxa"/>
            <w:vAlign w:val="bottom"/>
            <w:tcBorders>
              <w:bottom w:val="single" w:sz="8" w:color="auto"/>
            </w:tcBorders>
            <w:shd w:val="clear" w:color="auto" w:fill="CFF0FC"/>
          </w:tcPr>
          <w:p>
            <w:pPr>
              <w:spacing w:after="0"/>
              <w:rPr>
                <w:sz w:val="16"/>
                <w:szCs w:val="16"/>
                <w:color w:val="auto"/>
              </w:rPr>
            </w:pPr>
          </w:p>
        </w:tc>
        <w:tc>
          <w:tcPr>
            <w:tcW w:w="14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auto"/>
            </w:tcBorders>
            <w:shd w:val="clear" w:color="auto" w:fill="CFF0FC"/>
          </w:tcPr>
          <w:p>
            <w:pPr>
              <w:spacing w:after="0"/>
              <w:rPr>
                <w:sz w:val="16"/>
                <w:szCs w:val="16"/>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0.1</w:t>
            </w:r>
          </w:p>
        </w:tc>
        <w:tc>
          <w:tcPr>
            <w:tcW w:w="460" w:type="dxa"/>
            <w:vAlign w:val="bottom"/>
            <w:tcBorders>
              <w:bottom w:val="single" w:sz="8" w:color="auto"/>
            </w:tcBorders>
            <w:shd w:val="clear" w:color="auto" w:fill="CFF0FC"/>
          </w:tcPr>
          <w:p>
            <w:pPr>
              <w:spacing w:after="0"/>
              <w:rPr>
                <w:sz w:val="16"/>
                <w:szCs w:val="16"/>
                <w:color w:val="auto"/>
              </w:rPr>
            </w:pPr>
          </w:p>
        </w:tc>
        <w:tc>
          <w:tcPr>
            <w:tcW w:w="164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182"/>
        </w:trPr>
        <w:tc>
          <w:tcPr>
            <w:tcW w:w="4060" w:type="dxa"/>
            <w:vAlign w:val="bottom"/>
          </w:tcPr>
          <w:p>
            <w:pPr>
              <w:spacing w:after="0" w:line="169" w:lineRule="exact"/>
              <w:rPr>
                <w:sz w:val="20"/>
                <w:szCs w:val="20"/>
                <w:color w:val="auto"/>
              </w:rPr>
            </w:pPr>
            <w:r>
              <w:rPr>
                <w:rFonts w:ascii="Arial" w:cs="Arial" w:eastAsia="Arial" w:hAnsi="Arial"/>
                <w:sz w:val="16"/>
                <w:szCs w:val="16"/>
                <w:color w:val="auto"/>
              </w:rPr>
              <w:t>As of June 30, 2024</w:t>
            </w:r>
          </w:p>
        </w:tc>
        <w:tc>
          <w:tcPr>
            <w:tcW w:w="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15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(5.0)</w:t>
            </w:r>
          </w:p>
        </w:tc>
        <w:tc>
          <w:tcPr>
            <w:tcW w:w="280" w:type="dxa"/>
            <w:vAlign w:val="bottom"/>
            <w:tcBorders>
              <w:bottom w:val="single" w:sz="8" w:color="auto"/>
            </w:tcBorders>
          </w:tcPr>
          <w:p>
            <w:pPr>
              <w:jc w:val="right"/>
              <w:ind w:right="79"/>
              <w:spacing w:after="0" w:line="169" w:lineRule="exact"/>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(0.2)</w:t>
            </w:r>
          </w:p>
        </w:tc>
        <w:tc>
          <w:tcPr>
            <w:tcW w:w="1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(6.1)</w:t>
            </w:r>
          </w:p>
        </w:tc>
        <w:tc>
          <w:tcPr>
            <w:tcW w:w="460" w:type="dxa"/>
            <w:vAlign w:val="bottom"/>
            <w:tcBorders>
              <w:bottom w:val="single" w:sz="8" w:color="auto"/>
            </w:tcBorders>
          </w:tcPr>
          <w:p>
            <w:pPr>
              <w:jc w:val="right"/>
              <w:ind w:right="259"/>
              <w:spacing w:after="0" w:line="169" w:lineRule="exact"/>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6"/>
        </w:trPr>
        <w:tc>
          <w:tcPr>
            <w:tcW w:w="4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25</w:t>
            </w: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1"/>
        </w:trPr>
        <w:tc>
          <w:tcPr>
            <w:tcW w:w="40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240" w:type="dxa"/>
            <w:vAlign w:val="bottom"/>
            <w:gridSpan w:val="2"/>
          </w:tcPr>
          <w:p>
            <w:pPr>
              <w:spacing w:after="0"/>
              <w:rPr>
                <w:sz w:val="20"/>
                <w:szCs w:val="20"/>
                <w:color w:val="auto"/>
              </w:rPr>
            </w:pPr>
            <w:r>
              <w:rPr>
                <w:rFonts w:ascii="Arial" w:cs="Arial" w:eastAsia="Arial" w:hAnsi="Arial"/>
                <w:sz w:val="16"/>
                <w:szCs w:val="16"/>
                <w:b w:val="1"/>
                <w:bCs w:val="1"/>
                <w:color w:val="auto"/>
              </w:rPr>
              <w:t>(10)   Employee Benefit Plans</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1"/>
        </w:trPr>
        <w:tc>
          <w:tcPr>
            <w:tcW w:w="3240" w:type="dxa"/>
            <w:vAlign w:val="bottom"/>
            <w:gridSpan w:val="2"/>
          </w:tcPr>
          <w:p>
            <w:pPr>
              <w:spacing w:after="0"/>
              <w:rPr>
                <w:sz w:val="20"/>
                <w:szCs w:val="20"/>
                <w:color w:val="auto"/>
              </w:rPr>
            </w:pPr>
            <w:r>
              <w:rPr>
                <w:rFonts w:ascii="Arial" w:cs="Arial" w:eastAsia="Arial" w:hAnsi="Arial"/>
                <w:sz w:val="16"/>
                <w:szCs w:val="16"/>
                <w:color w:val="auto"/>
              </w:rPr>
              <w:t>Components of Net Periodic Expense</w:t>
            </w: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700" w:type="dxa"/>
            <w:vAlign w:val="bottom"/>
            <w:shd w:val="clear" w:color="auto" w:fill="000000"/>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4540" w:type="dxa"/>
            <w:vAlign w:val="bottom"/>
            <w:gridSpan w:val="4"/>
          </w:tcPr>
          <w:p>
            <w:pPr>
              <w:spacing w:after="0"/>
              <w:rPr>
                <w:sz w:val="20"/>
                <w:szCs w:val="20"/>
                <w:color w:val="auto"/>
              </w:rPr>
            </w:pPr>
            <w:r>
              <w:rPr>
                <w:rFonts w:ascii="Arial" w:cs="Arial" w:eastAsia="Arial" w:hAnsi="Arial"/>
                <w:sz w:val="16"/>
                <w:szCs w:val="16"/>
                <w:color w:val="auto"/>
              </w:rPr>
              <w:t>The components of net periodic expense were as follows:</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2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0" w:type="dxa"/>
            <w:vAlign w:val="bottom"/>
            <w:gridSpan w:val="3"/>
          </w:tcPr>
          <w:p>
            <w:pPr>
              <w:jc w:val="right"/>
              <w:ind w:right="159"/>
              <w:spacing w:after="0"/>
              <w:rPr>
                <w:sz w:val="20"/>
                <w:szCs w:val="20"/>
                <w:color w:val="auto"/>
              </w:rPr>
            </w:pPr>
            <w:r>
              <w:rPr>
                <w:rFonts w:ascii="Arial" w:cs="Arial" w:eastAsia="Arial" w:hAnsi="Arial"/>
                <w:sz w:val="16"/>
                <w:szCs w:val="16"/>
                <w:b w:val="1"/>
                <w:bCs w:val="1"/>
                <w:color w:val="auto"/>
              </w:rPr>
              <w:t>Supplemental Non-qualified</w:t>
            </w:r>
          </w:p>
        </w:tc>
        <w:tc>
          <w:tcPr>
            <w:tcW w:w="160" w:type="dxa"/>
            <w:vAlign w:val="bottom"/>
          </w:tcPr>
          <w:p>
            <w:pPr>
              <w:spacing w:after="0"/>
              <w:rPr>
                <w:sz w:val="24"/>
                <w:szCs w:val="24"/>
                <w:color w:val="auto"/>
              </w:rPr>
            </w:pPr>
          </w:p>
        </w:tc>
        <w:tc>
          <w:tcPr>
            <w:tcW w:w="2680" w:type="dxa"/>
            <w:vAlign w:val="bottom"/>
            <w:gridSpan w:val="3"/>
          </w:tcPr>
          <w:p>
            <w:pPr>
              <w:jc w:val="center"/>
              <w:ind w:right="179"/>
              <w:spacing w:after="0"/>
              <w:rPr>
                <w:sz w:val="20"/>
                <w:szCs w:val="20"/>
                <w:color w:val="auto"/>
              </w:rPr>
            </w:pPr>
            <w:r>
              <w:rPr>
                <w:rFonts w:ascii="Arial" w:cs="Arial" w:eastAsia="Arial" w:hAnsi="Arial"/>
                <w:sz w:val="16"/>
                <w:szCs w:val="16"/>
                <w:b w:val="1"/>
                <w:bCs w:val="1"/>
                <w:color w:val="auto"/>
              </w:rPr>
              <w:t>Non-pension Defined Benefit</w:t>
            </w:r>
          </w:p>
        </w:tc>
        <w:tc>
          <w:tcPr>
            <w:tcW w:w="0" w:type="dxa"/>
            <w:vAlign w:val="bottom"/>
          </w:tcPr>
          <w:p>
            <w:pPr>
              <w:spacing w:after="0"/>
              <w:rPr>
                <w:sz w:val="1"/>
                <w:szCs w:val="1"/>
                <w:color w:val="auto"/>
              </w:rPr>
            </w:pPr>
          </w:p>
        </w:tc>
      </w:tr>
      <w:tr>
        <w:trPr>
          <w:trHeight w:val="203"/>
        </w:trPr>
        <w:tc>
          <w:tcPr>
            <w:tcW w:w="32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Three Months Ended June 30,</w:t>
            </w:r>
          </w:p>
        </w:tc>
        <w:tc>
          <w:tcPr>
            <w:tcW w:w="12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3"/>
          </w:tcPr>
          <w:p>
            <w:pPr>
              <w:jc w:val="right"/>
              <w:ind w:right="159"/>
              <w:spacing w:after="0"/>
              <w:rPr>
                <w:sz w:val="20"/>
                <w:szCs w:val="20"/>
                <w:color w:val="auto"/>
              </w:rPr>
            </w:pPr>
            <w:r>
              <w:rPr>
                <w:rFonts w:ascii="Arial" w:cs="Arial" w:eastAsia="Arial" w:hAnsi="Arial"/>
                <w:sz w:val="16"/>
                <w:szCs w:val="16"/>
                <w:b w:val="1"/>
                <w:bCs w:val="1"/>
                <w:color w:val="auto"/>
              </w:rPr>
              <w:t>Defined Benefit Pension Plan</w:t>
            </w:r>
          </w:p>
        </w:tc>
        <w:tc>
          <w:tcPr>
            <w:tcW w:w="14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3"/>
          </w:tcPr>
          <w:p>
            <w:pPr>
              <w:ind w:left="280"/>
              <w:spacing w:after="0"/>
              <w:rPr>
                <w:sz w:val="20"/>
                <w:szCs w:val="20"/>
                <w:color w:val="auto"/>
              </w:rPr>
            </w:pPr>
            <w:r>
              <w:rPr>
                <w:rFonts w:ascii="Arial" w:cs="Arial" w:eastAsia="Arial" w:hAnsi="Arial"/>
                <w:sz w:val="16"/>
                <w:szCs w:val="16"/>
                <w:b w:val="1"/>
                <w:bCs w:val="1"/>
                <w:color w:val="auto"/>
              </w:rPr>
              <w:t>Defined Benefit Plans</w:t>
            </w:r>
          </w:p>
        </w:tc>
        <w:tc>
          <w:tcPr>
            <w:tcW w:w="16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3"/>
          </w:tcPr>
          <w:p>
            <w:pPr>
              <w:jc w:val="center"/>
              <w:ind w:right="139"/>
              <w:spacing w:after="0"/>
              <w:rPr>
                <w:sz w:val="20"/>
                <w:szCs w:val="20"/>
                <w:color w:val="auto"/>
              </w:rPr>
            </w:pPr>
            <w:r>
              <w:rPr>
                <w:rFonts w:ascii="Arial" w:cs="Arial" w:eastAsia="Arial" w:hAnsi="Arial"/>
                <w:sz w:val="16"/>
                <w:szCs w:val="16"/>
                <w:b w:val="1"/>
                <w:bCs w:val="1"/>
                <w:color w:val="auto"/>
              </w:rPr>
              <w:t>Postretirement Healthcare Plan</w:t>
            </w:r>
          </w:p>
        </w:tc>
        <w:tc>
          <w:tcPr>
            <w:tcW w:w="0" w:type="dxa"/>
            <w:vAlign w:val="bottom"/>
          </w:tcPr>
          <w:p>
            <w:pPr>
              <w:spacing w:after="0"/>
              <w:rPr>
                <w:sz w:val="1"/>
                <w:szCs w:val="1"/>
                <w:color w:val="auto"/>
              </w:rPr>
            </w:pPr>
          </w:p>
        </w:tc>
      </w:tr>
      <w:tr>
        <w:trPr>
          <w:trHeight w:val="183"/>
        </w:trPr>
        <w:tc>
          <w:tcPr>
            <w:tcW w:w="3240" w:type="dxa"/>
            <w:vAlign w:val="bottom"/>
            <w:tcBorders>
              <w:bottom w:val="single" w:sz="8" w:color="auto"/>
            </w:tcBorders>
            <w:gridSpan w:val="2"/>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39"/>
              <w:spacing w:after="0" w:line="183" w:lineRule="exact"/>
              <w:rPr>
                <w:sz w:val="20"/>
                <w:szCs w:val="20"/>
                <w:color w:val="auto"/>
              </w:rPr>
            </w:pPr>
            <w:r>
              <w:rPr>
                <w:rFonts w:ascii="Arial" w:cs="Arial" w:eastAsia="Arial" w:hAnsi="Arial"/>
                <w:sz w:val="16"/>
                <w:szCs w:val="16"/>
                <w:b w:val="1"/>
                <w:bCs w:val="1"/>
                <w:color w:val="auto"/>
              </w:rPr>
              <w:t>2025</w:t>
            </w: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39"/>
              <w:spacing w:after="0" w:line="183" w:lineRule="exact"/>
              <w:rPr>
                <w:sz w:val="20"/>
                <w:szCs w:val="20"/>
                <w:color w:val="auto"/>
              </w:rPr>
            </w:pPr>
            <w:r>
              <w:rPr>
                <w:rFonts w:ascii="Arial" w:cs="Arial" w:eastAsia="Arial" w:hAnsi="Arial"/>
                <w:sz w:val="16"/>
                <w:szCs w:val="16"/>
                <w:b w:val="1"/>
                <w:bCs w:val="1"/>
                <w:color w:val="auto"/>
              </w:rPr>
              <w:t>2024</w:t>
            </w: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ind w:left="300"/>
              <w:spacing w:after="0" w:line="183" w:lineRule="exact"/>
              <w:rPr>
                <w:sz w:val="20"/>
                <w:szCs w:val="20"/>
                <w:color w:val="auto"/>
              </w:rPr>
            </w:pPr>
            <w:r>
              <w:rPr>
                <w:rFonts w:ascii="Arial" w:cs="Arial" w:eastAsia="Arial" w:hAnsi="Arial"/>
                <w:sz w:val="16"/>
                <w:szCs w:val="16"/>
                <w:b w:val="1"/>
                <w:bCs w:val="1"/>
                <w:color w:val="auto"/>
              </w:rPr>
              <w:t>2025</w:t>
            </w: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79"/>
              <w:spacing w:after="0" w:line="183" w:lineRule="exact"/>
              <w:rPr>
                <w:sz w:val="20"/>
                <w:szCs w:val="20"/>
                <w:color w:val="auto"/>
              </w:rPr>
            </w:pPr>
            <w:r>
              <w:rPr>
                <w:rFonts w:ascii="Arial" w:cs="Arial" w:eastAsia="Arial" w:hAnsi="Arial"/>
                <w:sz w:val="16"/>
                <w:szCs w:val="16"/>
                <w:b w:val="1"/>
                <w:bCs w:val="1"/>
                <w:color w:val="auto"/>
              </w:rPr>
              <w:t>2024</w:t>
            </w: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59"/>
              <w:spacing w:after="0" w:line="183" w:lineRule="exact"/>
              <w:rPr>
                <w:sz w:val="20"/>
                <w:szCs w:val="20"/>
                <w:color w:val="auto"/>
              </w:rPr>
            </w:pPr>
            <w:r>
              <w:rPr>
                <w:rFonts w:ascii="Arial" w:cs="Arial" w:eastAsia="Arial" w:hAnsi="Arial"/>
                <w:sz w:val="16"/>
                <w:szCs w:val="16"/>
                <w:b w:val="1"/>
                <w:bCs w:val="1"/>
                <w:color w:val="auto"/>
              </w:rPr>
              <w:t>2025</w:t>
            </w: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99"/>
              <w:spacing w:after="0" w:line="183" w:lineRule="exact"/>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183"/>
        </w:trPr>
        <w:tc>
          <w:tcPr>
            <w:tcW w:w="3240" w:type="dxa"/>
            <w:vAlign w:val="bottom"/>
            <w:gridSpan w:val="2"/>
            <w:vMerge w:val="restart"/>
          </w:tcPr>
          <w:p>
            <w:pPr>
              <w:spacing w:after="0"/>
              <w:rPr>
                <w:sz w:val="20"/>
                <w:szCs w:val="20"/>
                <w:color w:val="auto"/>
              </w:rPr>
            </w:pPr>
            <w:r>
              <w:rPr>
                <w:rFonts w:ascii="Arial" w:cs="Arial" w:eastAsia="Arial" w:hAnsi="Arial"/>
                <w:sz w:val="16"/>
                <w:szCs w:val="16"/>
                <w:color w:val="auto"/>
              </w:rPr>
              <w:t>Service cost</w:t>
            </w: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3"/>
          </w:tcPr>
          <w:p>
            <w:pPr>
              <w:jc w:val="right"/>
              <w:ind w:right="719"/>
              <w:spacing w:after="0" w:line="183" w:lineRule="exact"/>
              <w:rPr>
                <w:sz w:val="20"/>
                <w:szCs w:val="20"/>
                <w:color w:val="auto"/>
              </w:rPr>
            </w:pPr>
            <w:r>
              <w:rPr>
                <w:rFonts w:ascii="Arial" w:cs="Arial" w:eastAsia="Arial" w:hAnsi="Arial"/>
                <w:sz w:val="16"/>
                <w:szCs w:val="16"/>
                <w:color w:val="auto"/>
              </w:rPr>
              <w:t>(in millions)</w:t>
            </w: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240" w:type="dxa"/>
            <w:vAlign w:val="bottom"/>
            <w:gridSpan w:val="2"/>
            <w:vMerge w:val="continue"/>
          </w:tcPr>
          <w:p>
            <w:pPr>
              <w:spacing w:after="0"/>
              <w:rPr>
                <w:sz w:val="15"/>
                <w:szCs w:val="15"/>
                <w:color w:val="auto"/>
              </w:rPr>
            </w:pPr>
          </w:p>
        </w:tc>
        <w:tc>
          <w:tcPr>
            <w:tcW w:w="120" w:type="dxa"/>
            <w:vAlign w:val="bottom"/>
          </w:tcPr>
          <w:p>
            <w:pPr>
              <w:jc w:val="right"/>
              <w:spacing w:after="0" w:line="183" w:lineRule="exact"/>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9"/>
              <w:spacing w:after="0" w:line="183" w:lineRule="exact"/>
              <w:rPr>
                <w:sz w:val="20"/>
                <w:szCs w:val="20"/>
                <w:color w:val="auto"/>
              </w:rPr>
            </w:pPr>
            <w:r>
              <w:rPr>
                <w:rFonts w:ascii="Arial" w:cs="Arial" w:eastAsia="Arial" w:hAnsi="Arial"/>
                <w:sz w:val="16"/>
                <w:szCs w:val="16"/>
                <w:color w:val="auto"/>
              </w:rPr>
              <w:t>0.4</w:t>
            </w:r>
          </w:p>
        </w:tc>
        <w:tc>
          <w:tcPr>
            <w:tcW w:w="280" w:type="dxa"/>
            <w:vAlign w:val="bottom"/>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line="183" w:lineRule="exact"/>
              <w:rPr>
                <w:sz w:val="20"/>
                <w:szCs w:val="20"/>
                <w:color w:val="auto"/>
              </w:rPr>
            </w:pPr>
            <w:r>
              <w:rPr>
                <w:rFonts w:ascii="Arial" w:cs="Arial" w:eastAsia="Arial" w:hAnsi="Arial"/>
                <w:sz w:val="16"/>
                <w:szCs w:val="16"/>
                <w:color w:val="auto"/>
              </w:rPr>
              <w:t>0.6</w:t>
            </w:r>
          </w:p>
        </w:tc>
        <w:tc>
          <w:tcPr>
            <w:tcW w:w="14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120" w:type="dxa"/>
            <w:vAlign w:val="bottom"/>
          </w:tcPr>
          <w:p>
            <w:pPr>
              <w:jc w:val="right"/>
              <w:spacing w:after="0" w:line="183" w:lineRule="exact"/>
              <w:rPr>
                <w:sz w:val="20"/>
                <w:szCs w:val="20"/>
                <w:color w:val="auto"/>
              </w:rPr>
            </w:pPr>
            <w:r>
              <w:rPr>
                <w:rFonts w:ascii="Arial" w:cs="Arial" w:eastAsia="Arial" w:hAnsi="Arial"/>
                <w:sz w:val="16"/>
                <w:szCs w:val="16"/>
                <w:color w:val="auto"/>
              </w:rPr>
              <w:t>1.5</w:t>
            </w:r>
          </w:p>
        </w:tc>
        <w:tc>
          <w:tcPr>
            <w:tcW w:w="300" w:type="dxa"/>
            <w:vAlign w:val="bottom"/>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980" w:type="dxa"/>
            <w:vAlign w:val="bottom"/>
          </w:tcPr>
          <w:p>
            <w:pPr>
              <w:jc w:val="right"/>
              <w:spacing w:after="0" w:line="183" w:lineRule="exact"/>
              <w:rPr>
                <w:sz w:val="20"/>
                <w:szCs w:val="20"/>
                <w:color w:val="auto"/>
              </w:rPr>
            </w:pPr>
            <w:r>
              <w:rPr>
                <w:rFonts w:ascii="Arial" w:cs="Arial" w:eastAsia="Arial" w:hAnsi="Arial"/>
                <w:sz w:val="16"/>
                <w:szCs w:val="16"/>
                <w:color w:val="auto"/>
              </w:rPr>
              <w:t>0.7</w:t>
            </w:r>
          </w:p>
        </w:tc>
        <w:tc>
          <w:tcPr>
            <w:tcW w:w="16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line="183" w:lineRule="exact"/>
              <w:rPr>
                <w:sz w:val="20"/>
                <w:szCs w:val="20"/>
                <w:color w:val="auto"/>
              </w:rPr>
            </w:pPr>
            <w:r>
              <w:rPr>
                <w:rFonts w:ascii="Arial" w:cs="Arial" w:eastAsia="Arial" w:hAnsi="Arial"/>
                <w:sz w:val="16"/>
                <w:szCs w:val="16"/>
                <w:color w:val="auto"/>
              </w:rPr>
              <w:t>0.4</w:t>
            </w:r>
          </w:p>
        </w:tc>
        <w:tc>
          <w:tcPr>
            <w:tcW w:w="300" w:type="dxa"/>
            <w:vAlign w:val="bottom"/>
          </w:tcPr>
          <w:p>
            <w:pPr>
              <w:jc w:val="right"/>
              <w:ind w:right="99"/>
              <w:spacing w:after="0" w:line="183" w:lineRule="exact"/>
              <w:rPr>
                <w:sz w:val="20"/>
                <w:szCs w:val="20"/>
                <w:color w:val="auto"/>
              </w:rPr>
            </w:pPr>
            <w:r>
              <w:rPr>
                <w:rFonts w:ascii="Arial" w:cs="Arial" w:eastAsia="Arial" w:hAnsi="Arial"/>
                <w:sz w:val="16"/>
                <w:szCs w:val="16"/>
                <w:color w:val="auto"/>
              </w:rPr>
              <w:t>$</w:t>
            </w:r>
          </w:p>
        </w:tc>
        <w:tc>
          <w:tcPr>
            <w:tcW w:w="1120" w:type="dxa"/>
            <w:vAlign w:val="bottom"/>
          </w:tcPr>
          <w:p>
            <w:pPr>
              <w:jc w:val="right"/>
              <w:ind w:right="39"/>
              <w:spacing w:after="0" w:line="183" w:lineRule="exact"/>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189"/>
        </w:trPr>
        <w:tc>
          <w:tcPr>
            <w:tcW w:w="32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Interest cost</w:t>
            </w:r>
          </w:p>
        </w:tc>
        <w:tc>
          <w:tcPr>
            <w:tcW w:w="12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4.0</w:t>
            </w:r>
          </w:p>
        </w:tc>
        <w:tc>
          <w:tcPr>
            <w:tcW w:w="28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4.1</w:t>
            </w:r>
          </w:p>
        </w:tc>
        <w:tc>
          <w:tcPr>
            <w:tcW w:w="14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0.3</w:t>
            </w:r>
          </w:p>
        </w:tc>
        <w:tc>
          <w:tcPr>
            <w:tcW w:w="30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0.3</w:t>
            </w:r>
          </w:p>
        </w:tc>
        <w:tc>
          <w:tcPr>
            <w:tcW w:w="160" w:type="dxa"/>
            <w:vAlign w:val="bottom"/>
            <w:shd w:val="clear" w:color="auto" w:fill="CFF0FC"/>
          </w:tcPr>
          <w:p>
            <w:pPr>
              <w:spacing w:after="0"/>
              <w:rPr>
                <w:sz w:val="16"/>
                <w:szCs w:val="16"/>
                <w:color w:val="auto"/>
              </w:rPr>
            </w:pPr>
          </w:p>
        </w:tc>
        <w:tc>
          <w:tcPr>
            <w:tcW w:w="12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0.6</w:t>
            </w: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189"/>
        </w:trPr>
        <w:tc>
          <w:tcPr>
            <w:tcW w:w="3240" w:type="dxa"/>
            <w:vAlign w:val="bottom"/>
            <w:gridSpan w:val="2"/>
          </w:tcPr>
          <w:p>
            <w:pPr>
              <w:spacing w:after="0"/>
              <w:rPr>
                <w:sz w:val="20"/>
                <w:szCs w:val="20"/>
                <w:color w:val="auto"/>
              </w:rPr>
            </w:pPr>
            <w:r>
              <w:rPr>
                <w:rFonts w:ascii="Arial" w:cs="Arial" w:eastAsia="Arial" w:hAnsi="Arial"/>
                <w:sz w:val="16"/>
                <w:szCs w:val="16"/>
                <w:color w:val="auto"/>
              </w:rPr>
              <w:t>Expected return on plan assets</w:t>
            </w:r>
          </w:p>
        </w:tc>
        <w:tc>
          <w:tcPr>
            <w:tcW w:w="1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(4.2)</w:t>
            </w: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(4.5)</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(0.1)</w:t>
            </w:r>
          </w:p>
        </w:tc>
        <w:tc>
          <w:tcPr>
            <w:tcW w:w="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189"/>
        </w:trPr>
        <w:tc>
          <w:tcPr>
            <w:tcW w:w="32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Net amortization of prior service costs</w:t>
            </w:r>
          </w:p>
        </w:tc>
        <w:tc>
          <w:tcPr>
            <w:tcW w:w="12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6"/>
                <w:szCs w:val="16"/>
                <w:color w:val="auto"/>
              </w:rPr>
            </w:pPr>
          </w:p>
        </w:tc>
        <w:tc>
          <w:tcPr>
            <w:tcW w:w="12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0.1</w:t>
            </w: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189"/>
        </w:trPr>
        <w:tc>
          <w:tcPr>
            <w:tcW w:w="3240" w:type="dxa"/>
            <w:vAlign w:val="bottom"/>
            <w:gridSpan w:val="2"/>
          </w:tcPr>
          <w:p>
            <w:pPr>
              <w:spacing w:after="0"/>
              <w:rPr>
                <w:sz w:val="20"/>
                <w:szCs w:val="20"/>
                <w:color w:val="auto"/>
              </w:rPr>
            </w:pPr>
            <w:r>
              <w:rPr>
                <w:rFonts w:ascii="Arial" w:cs="Arial" w:eastAsia="Arial" w:hAnsi="Arial"/>
                <w:sz w:val="16"/>
                <w:szCs w:val="16"/>
                <w:color w:val="auto"/>
              </w:rPr>
              <w:t>Recognized net actuarial loss</w:t>
            </w: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0.5</w:t>
            </w: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0.5</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3240" w:type="dxa"/>
            <w:vAlign w:val="bottom"/>
            <w:tcBorders>
              <w:bottom w:val="single" w:sz="8" w:color="CFF0FC"/>
            </w:tcBorders>
            <w:gridSpan w:val="2"/>
            <w:shd w:val="clear" w:color="auto" w:fill="CFF0FC"/>
          </w:tcPr>
          <w:p>
            <w:pPr>
              <w:spacing w:after="0" w:line="169" w:lineRule="exact"/>
              <w:rPr>
                <w:sz w:val="20"/>
                <w:szCs w:val="20"/>
                <w:color w:val="auto"/>
              </w:rPr>
            </w:pPr>
            <w:r>
              <w:rPr>
                <w:rFonts w:ascii="Arial" w:cs="Arial" w:eastAsia="Arial" w:hAnsi="Arial"/>
                <w:sz w:val="16"/>
                <w:szCs w:val="16"/>
                <w:color w:val="auto"/>
              </w:rPr>
              <w:t>Net periodic expense</w:t>
            </w:r>
          </w:p>
        </w:tc>
        <w:tc>
          <w:tcPr>
            <w:tcW w:w="12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FF0FC"/>
          </w:tcPr>
          <w:p>
            <w:pPr>
              <w:jc w:val="right"/>
              <w:ind w:right="19"/>
              <w:spacing w:after="0" w:line="169" w:lineRule="exact"/>
              <w:rPr>
                <w:sz w:val="20"/>
                <w:szCs w:val="20"/>
                <w:color w:val="auto"/>
              </w:rPr>
            </w:pPr>
            <w:r>
              <w:rPr>
                <w:rFonts w:ascii="Arial" w:cs="Arial" w:eastAsia="Arial" w:hAnsi="Arial"/>
                <w:sz w:val="16"/>
                <w:szCs w:val="16"/>
                <w:color w:val="auto"/>
              </w:rPr>
              <w:t>0.7</w:t>
            </w:r>
          </w:p>
        </w:tc>
        <w:tc>
          <w:tcPr>
            <w:tcW w:w="280" w:type="dxa"/>
            <w:vAlign w:val="bottom"/>
            <w:tcBorders>
              <w:bottom w:val="single" w:sz="8" w:color="auto"/>
            </w:tcBorders>
            <w:shd w:val="clear" w:color="auto" w:fill="CFF0FC"/>
          </w:tcPr>
          <w:p>
            <w:pPr>
              <w:jc w:val="right"/>
              <w:ind w:right="79"/>
              <w:spacing w:after="0" w:line="169" w:lineRule="exact"/>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FF0FC"/>
          </w:tcPr>
          <w:p>
            <w:pPr>
              <w:jc w:val="right"/>
              <w:ind w:right="19"/>
              <w:spacing w:after="0" w:line="169" w:lineRule="exact"/>
              <w:rPr>
                <w:sz w:val="20"/>
                <w:szCs w:val="20"/>
                <w:color w:val="auto"/>
              </w:rPr>
            </w:pPr>
            <w:r>
              <w:rPr>
                <w:rFonts w:ascii="Arial" w:cs="Arial" w:eastAsia="Arial" w:hAnsi="Arial"/>
                <w:sz w:val="16"/>
                <w:szCs w:val="16"/>
                <w:color w:val="auto"/>
              </w:rPr>
              <w:t>0.7</w:t>
            </w:r>
          </w:p>
        </w:tc>
        <w:tc>
          <w:tcPr>
            <w:tcW w:w="14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1.8</w:t>
            </w:r>
          </w:p>
        </w:tc>
        <w:tc>
          <w:tcPr>
            <w:tcW w:w="300" w:type="dxa"/>
            <w:vAlign w:val="bottom"/>
            <w:tcBorders>
              <w:bottom w:val="single" w:sz="8" w:color="auto"/>
            </w:tcBorders>
            <w:shd w:val="clear" w:color="auto" w:fill="CFF0FC"/>
          </w:tcPr>
          <w:p>
            <w:pPr>
              <w:jc w:val="right"/>
              <w:ind w:right="79"/>
              <w:spacing w:after="0" w:line="169" w:lineRule="exact"/>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1.0</w:t>
            </w:r>
          </w:p>
        </w:tc>
        <w:tc>
          <w:tcPr>
            <w:tcW w:w="16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FF0FC"/>
          </w:tcPr>
          <w:p>
            <w:pPr>
              <w:jc w:val="right"/>
              <w:ind w:right="19"/>
              <w:spacing w:after="0" w:line="169" w:lineRule="exact"/>
              <w:rPr>
                <w:sz w:val="20"/>
                <w:szCs w:val="20"/>
                <w:color w:val="auto"/>
              </w:rPr>
            </w:pPr>
            <w:r>
              <w:rPr>
                <w:rFonts w:ascii="Arial" w:cs="Arial" w:eastAsia="Arial" w:hAnsi="Arial"/>
                <w:sz w:val="16"/>
                <w:szCs w:val="16"/>
                <w:color w:val="auto"/>
              </w:rPr>
              <w:t>1.0</w:t>
            </w:r>
          </w:p>
        </w:tc>
        <w:tc>
          <w:tcPr>
            <w:tcW w:w="300" w:type="dxa"/>
            <w:vAlign w:val="bottom"/>
            <w:tcBorders>
              <w:bottom w:val="single" w:sz="8" w:color="auto"/>
            </w:tcBorders>
            <w:shd w:val="clear" w:color="auto" w:fill="CFF0FC"/>
          </w:tcPr>
          <w:p>
            <w:pPr>
              <w:jc w:val="right"/>
              <w:ind w:right="99"/>
              <w:spacing w:after="0" w:line="169" w:lineRule="exact"/>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344"/>
        </w:trPr>
        <w:tc>
          <w:tcPr>
            <w:tcW w:w="2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0" w:type="dxa"/>
            <w:vAlign w:val="bottom"/>
            <w:gridSpan w:val="3"/>
          </w:tcPr>
          <w:p>
            <w:pPr>
              <w:jc w:val="right"/>
              <w:ind w:right="159"/>
              <w:spacing w:after="0"/>
              <w:rPr>
                <w:sz w:val="20"/>
                <w:szCs w:val="20"/>
                <w:color w:val="auto"/>
              </w:rPr>
            </w:pPr>
            <w:r>
              <w:rPr>
                <w:rFonts w:ascii="Arial" w:cs="Arial" w:eastAsia="Arial" w:hAnsi="Arial"/>
                <w:sz w:val="16"/>
                <w:szCs w:val="16"/>
                <w:b w:val="1"/>
                <w:bCs w:val="1"/>
                <w:color w:val="auto"/>
              </w:rPr>
              <w:t>Supplemental Non-qualified</w:t>
            </w:r>
          </w:p>
        </w:tc>
        <w:tc>
          <w:tcPr>
            <w:tcW w:w="160" w:type="dxa"/>
            <w:vAlign w:val="bottom"/>
          </w:tcPr>
          <w:p>
            <w:pPr>
              <w:spacing w:after="0"/>
              <w:rPr>
                <w:sz w:val="24"/>
                <w:szCs w:val="24"/>
                <w:color w:val="auto"/>
              </w:rPr>
            </w:pPr>
          </w:p>
        </w:tc>
        <w:tc>
          <w:tcPr>
            <w:tcW w:w="2680" w:type="dxa"/>
            <w:vAlign w:val="bottom"/>
            <w:gridSpan w:val="3"/>
          </w:tcPr>
          <w:p>
            <w:pPr>
              <w:jc w:val="center"/>
              <w:ind w:right="179"/>
              <w:spacing w:after="0"/>
              <w:rPr>
                <w:sz w:val="20"/>
                <w:szCs w:val="20"/>
                <w:color w:val="auto"/>
              </w:rPr>
            </w:pPr>
            <w:r>
              <w:rPr>
                <w:rFonts w:ascii="Arial" w:cs="Arial" w:eastAsia="Arial" w:hAnsi="Arial"/>
                <w:sz w:val="16"/>
                <w:szCs w:val="16"/>
                <w:b w:val="1"/>
                <w:bCs w:val="1"/>
                <w:color w:val="auto"/>
              </w:rPr>
              <w:t>Non-pension Defined Benefit</w:t>
            </w:r>
          </w:p>
        </w:tc>
        <w:tc>
          <w:tcPr>
            <w:tcW w:w="0" w:type="dxa"/>
            <w:vAlign w:val="bottom"/>
          </w:tcPr>
          <w:p>
            <w:pPr>
              <w:spacing w:after="0"/>
              <w:rPr>
                <w:sz w:val="1"/>
                <w:szCs w:val="1"/>
                <w:color w:val="auto"/>
              </w:rPr>
            </w:pPr>
          </w:p>
        </w:tc>
      </w:tr>
      <w:tr>
        <w:trPr>
          <w:trHeight w:val="203"/>
        </w:trPr>
        <w:tc>
          <w:tcPr>
            <w:tcW w:w="32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Six Months Ended June 30,</w:t>
            </w:r>
          </w:p>
        </w:tc>
        <w:tc>
          <w:tcPr>
            <w:tcW w:w="12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3"/>
          </w:tcPr>
          <w:p>
            <w:pPr>
              <w:jc w:val="right"/>
              <w:ind w:right="159"/>
              <w:spacing w:after="0"/>
              <w:rPr>
                <w:sz w:val="20"/>
                <w:szCs w:val="20"/>
                <w:color w:val="auto"/>
              </w:rPr>
            </w:pPr>
            <w:r>
              <w:rPr>
                <w:rFonts w:ascii="Arial" w:cs="Arial" w:eastAsia="Arial" w:hAnsi="Arial"/>
                <w:sz w:val="16"/>
                <w:szCs w:val="16"/>
                <w:b w:val="1"/>
                <w:bCs w:val="1"/>
                <w:color w:val="auto"/>
              </w:rPr>
              <w:t>Defined Benefit Pension Plan</w:t>
            </w:r>
          </w:p>
        </w:tc>
        <w:tc>
          <w:tcPr>
            <w:tcW w:w="14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3"/>
          </w:tcPr>
          <w:p>
            <w:pPr>
              <w:ind w:left="280"/>
              <w:spacing w:after="0"/>
              <w:rPr>
                <w:sz w:val="20"/>
                <w:szCs w:val="20"/>
                <w:color w:val="auto"/>
              </w:rPr>
            </w:pPr>
            <w:r>
              <w:rPr>
                <w:rFonts w:ascii="Arial" w:cs="Arial" w:eastAsia="Arial" w:hAnsi="Arial"/>
                <w:sz w:val="16"/>
                <w:szCs w:val="16"/>
                <w:b w:val="1"/>
                <w:bCs w:val="1"/>
                <w:color w:val="auto"/>
              </w:rPr>
              <w:t>Defined Benefit Plans</w:t>
            </w:r>
          </w:p>
        </w:tc>
        <w:tc>
          <w:tcPr>
            <w:tcW w:w="16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3"/>
          </w:tcPr>
          <w:p>
            <w:pPr>
              <w:jc w:val="center"/>
              <w:ind w:right="139"/>
              <w:spacing w:after="0"/>
              <w:rPr>
                <w:sz w:val="20"/>
                <w:szCs w:val="20"/>
                <w:color w:val="auto"/>
              </w:rPr>
            </w:pPr>
            <w:r>
              <w:rPr>
                <w:rFonts w:ascii="Arial" w:cs="Arial" w:eastAsia="Arial" w:hAnsi="Arial"/>
                <w:sz w:val="16"/>
                <w:szCs w:val="16"/>
                <w:b w:val="1"/>
                <w:bCs w:val="1"/>
                <w:color w:val="auto"/>
              </w:rPr>
              <w:t>Postretirement Healthcare Plan</w:t>
            </w:r>
          </w:p>
        </w:tc>
        <w:tc>
          <w:tcPr>
            <w:tcW w:w="0" w:type="dxa"/>
            <w:vAlign w:val="bottom"/>
          </w:tcPr>
          <w:p>
            <w:pPr>
              <w:spacing w:after="0"/>
              <w:rPr>
                <w:sz w:val="1"/>
                <w:szCs w:val="1"/>
                <w:color w:val="auto"/>
              </w:rPr>
            </w:pPr>
          </w:p>
        </w:tc>
      </w:tr>
      <w:tr>
        <w:trPr>
          <w:trHeight w:val="183"/>
        </w:trPr>
        <w:tc>
          <w:tcPr>
            <w:tcW w:w="3240" w:type="dxa"/>
            <w:vAlign w:val="bottom"/>
            <w:tcBorders>
              <w:bottom w:val="single" w:sz="8" w:color="auto"/>
            </w:tcBorders>
            <w:gridSpan w:val="2"/>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39"/>
              <w:spacing w:after="0" w:line="183" w:lineRule="exact"/>
              <w:rPr>
                <w:sz w:val="20"/>
                <w:szCs w:val="20"/>
                <w:color w:val="auto"/>
              </w:rPr>
            </w:pPr>
            <w:r>
              <w:rPr>
                <w:rFonts w:ascii="Arial" w:cs="Arial" w:eastAsia="Arial" w:hAnsi="Arial"/>
                <w:sz w:val="16"/>
                <w:szCs w:val="16"/>
                <w:b w:val="1"/>
                <w:bCs w:val="1"/>
                <w:color w:val="auto"/>
              </w:rPr>
              <w:t>2025</w:t>
            </w: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39"/>
              <w:spacing w:after="0" w:line="183" w:lineRule="exact"/>
              <w:rPr>
                <w:sz w:val="20"/>
                <w:szCs w:val="20"/>
                <w:color w:val="auto"/>
              </w:rPr>
            </w:pPr>
            <w:r>
              <w:rPr>
                <w:rFonts w:ascii="Arial" w:cs="Arial" w:eastAsia="Arial" w:hAnsi="Arial"/>
                <w:sz w:val="16"/>
                <w:szCs w:val="16"/>
                <w:b w:val="1"/>
                <w:bCs w:val="1"/>
                <w:color w:val="auto"/>
              </w:rPr>
              <w:t>2024</w:t>
            </w: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ind w:left="300"/>
              <w:spacing w:after="0" w:line="183" w:lineRule="exact"/>
              <w:rPr>
                <w:sz w:val="20"/>
                <w:szCs w:val="20"/>
                <w:color w:val="auto"/>
              </w:rPr>
            </w:pPr>
            <w:r>
              <w:rPr>
                <w:rFonts w:ascii="Arial" w:cs="Arial" w:eastAsia="Arial" w:hAnsi="Arial"/>
                <w:sz w:val="16"/>
                <w:szCs w:val="16"/>
                <w:b w:val="1"/>
                <w:bCs w:val="1"/>
                <w:color w:val="auto"/>
              </w:rPr>
              <w:t>2025</w:t>
            </w: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79"/>
              <w:spacing w:after="0" w:line="183" w:lineRule="exact"/>
              <w:rPr>
                <w:sz w:val="20"/>
                <w:szCs w:val="20"/>
                <w:color w:val="auto"/>
              </w:rPr>
            </w:pPr>
            <w:r>
              <w:rPr>
                <w:rFonts w:ascii="Arial" w:cs="Arial" w:eastAsia="Arial" w:hAnsi="Arial"/>
                <w:sz w:val="16"/>
                <w:szCs w:val="16"/>
                <w:b w:val="1"/>
                <w:bCs w:val="1"/>
                <w:color w:val="auto"/>
              </w:rPr>
              <w:t>2024</w:t>
            </w: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59"/>
              <w:spacing w:after="0" w:line="183" w:lineRule="exact"/>
              <w:rPr>
                <w:sz w:val="20"/>
                <w:szCs w:val="20"/>
                <w:color w:val="auto"/>
              </w:rPr>
            </w:pPr>
            <w:r>
              <w:rPr>
                <w:rFonts w:ascii="Arial" w:cs="Arial" w:eastAsia="Arial" w:hAnsi="Arial"/>
                <w:sz w:val="16"/>
                <w:szCs w:val="16"/>
                <w:b w:val="1"/>
                <w:bCs w:val="1"/>
                <w:color w:val="auto"/>
              </w:rPr>
              <w:t>2025</w:t>
            </w: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99"/>
              <w:spacing w:after="0" w:line="183" w:lineRule="exact"/>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183"/>
        </w:trPr>
        <w:tc>
          <w:tcPr>
            <w:tcW w:w="2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3"/>
          </w:tcPr>
          <w:p>
            <w:pPr>
              <w:jc w:val="right"/>
              <w:ind w:right="719"/>
              <w:spacing w:after="0" w:line="183" w:lineRule="exact"/>
              <w:rPr>
                <w:sz w:val="20"/>
                <w:szCs w:val="20"/>
                <w:color w:val="auto"/>
              </w:rPr>
            </w:pPr>
            <w:r>
              <w:rPr>
                <w:rFonts w:ascii="Arial" w:cs="Arial" w:eastAsia="Arial" w:hAnsi="Arial"/>
                <w:sz w:val="16"/>
                <w:szCs w:val="16"/>
                <w:color w:val="auto"/>
              </w:rPr>
              <w:t>(in millions)</w:t>
            </w: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240" w:type="dxa"/>
            <w:vAlign w:val="bottom"/>
            <w:gridSpan w:val="2"/>
            <w:shd w:val="clear" w:color="auto" w:fill="CFF0FC"/>
          </w:tcPr>
          <w:p>
            <w:pPr>
              <w:spacing w:after="0" w:line="183" w:lineRule="exact"/>
              <w:rPr>
                <w:sz w:val="20"/>
                <w:szCs w:val="20"/>
                <w:color w:val="auto"/>
              </w:rPr>
            </w:pPr>
            <w:r>
              <w:rPr>
                <w:rFonts w:ascii="Arial" w:cs="Arial" w:eastAsia="Arial" w:hAnsi="Arial"/>
                <w:sz w:val="16"/>
                <w:szCs w:val="16"/>
                <w:color w:val="auto"/>
              </w:rPr>
              <w:t>Service cost</w:t>
            </w:r>
          </w:p>
        </w:tc>
        <w:tc>
          <w:tcPr>
            <w:tcW w:w="1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18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0.8</w:t>
            </w:r>
          </w:p>
        </w:tc>
        <w:tc>
          <w:tcPr>
            <w:tcW w:w="280" w:type="dxa"/>
            <w:vAlign w:val="bottom"/>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1.1</w:t>
            </w:r>
          </w:p>
        </w:tc>
        <w:tc>
          <w:tcPr>
            <w:tcW w:w="1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1.6</w:t>
            </w:r>
          </w:p>
        </w:tc>
        <w:tc>
          <w:tcPr>
            <w:tcW w:w="300" w:type="dxa"/>
            <w:vAlign w:val="bottom"/>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1.6</w:t>
            </w:r>
          </w:p>
        </w:tc>
        <w:tc>
          <w:tcPr>
            <w:tcW w:w="1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0.7</w:t>
            </w:r>
          </w:p>
        </w:tc>
        <w:tc>
          <w:tcPr>
            <w:tcW w:w="300" w:type="dxa"/>
            <w:vAlign w:val="bottom"/>
            <w:shd w:val="clear" w:color="auto" w:fill="CFF0FC"/>
          </w:tcPr>
          <w:p>
            <w:pPr>
              <w:jc w:val="right"/>
              <w:ind w:right="99"/>
              <w:spacing w:after="0" w:line="183" w:lineRule="exact"/>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189"/>
        </w:trPr>
        <w:tc>
          <w:tcPr>
            <w:tcW w:w="3240" w:type="dxa"/>
            <w:vAlign w:val="bottom"/>
            <w:gridSpan w:val="2"/>
          </w:tcPr>
          <w:p>
            <w:pPr>
              <w:spacing w:after="0"/>
              <w:rPr>
                <w:sz w:val="20"/>
                <w:szCs w:val="20"/>
                <w:color w:val="auto"/>
              </w:rPr>
            </w:pPr>
            <w:r>
              <w:rPr>
                <w:rFonts w:ascii="Arial" w:cs="Arial" w:eastAsia="Arial" w:hAnsi="Arial"/>
                <w:sz w:val="16"/>
                <w:szCs w:val="16"/>
                <w:color w:val="auto"/>
              </w:rPr>
              <w:t>Interest cost</w:t>
            </w:r>
          </w:p>
        </w:tc>
        <w:tc>
          <w:tcPr>
            <w:tcW w:w="120" w:type="dxa"/>
            <w:vAlign w:val="bottom"/>
          </w:tcPr>
          <w:p>
            <w:pPr>
              <w:spacing w:after="0"/>
              <w:rPr>
                <w:sz w:val="16"/>
                <w:szCs w:val="16"/>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8.0</w:t>
            </w:r>
          </w:p>
        </w:tc>
        <w:tc>
          <w:tcPr>
            <w:tcW w:w="280" w:type="dxa"/>
            <w:vAlign w:val="bottom"/>
          </w:tcPr>
          <w:p>
            <w:pPr>
              <w:spacing w:after="0"/>
              <w:rPr>
                <w:sz w:val="16"/>
                <w:szCs w:val="16"/>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8.2</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0.7</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0.7</w:t>
            </w:r>
          </w:p>
        </w:tc>
        <w:tc>
          <w:tcPr>
            <w:tcW w:w="160" w:type="dxa"/>
            <w:vAlign w:val="bottom"/>
          </w:tcPr>
          <w:p>
            <w:pPr>
              <w:spacing w:after="0"/>
              <w:rPr>
                <w:sz w:val="16"/>
                <w:szCs w:val="16"/>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1.2</w:t>
            </w:r>
          </w:p>
        </w:tc>
        <w:tc>
          <w:tcPr>
            <w:tcW w:w="300" w:type="dxa"/>
            <w:vAlign w:val="bottom"/>
          </w:tcPr>
          <w:p>
            <w:pPr>
              <w:spacing w:after="0"/>
              <w:rPr>
                <w:sz w:val="16"/>
                <w:szCs w:val="16"/>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89"/>
        </w:trPr>
        <w:tc>
          <w:tcPr>
            <w:tcW w:w="32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Expected return on plan assets</w:t>
            </w:r>
          </w:p>
        </w:tc>
        <w:tc>
          <w:tcPr>
            <w:tcW w:w="12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w:t>
            </w:r>
          </w:p>
        </w:tc>
        <w:tc>
          <w:tcPr>
            <w:tcW w:w="28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w:t>
            </w:r>
          </w:p>
        </w:tc>
        <w:tc>
          <w:tcPr>
            <w:tcW w:w="14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w:t>
            </w: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189"/>
        </w:trPr>
        <w:tc>
          <w:tcPr>
            <w:tcW w:w="3240" w:type="dxa"/>
            <w:vAlign w:val="bottom"/>
            <w:gridSpan w:val="2"/>
          </w:tcPr>
          <w:p>
            <w:pPr>
              <w:spacing w:after="0"/>
              <w:rPr>
                <w:sz w:val="20"/>
                <w:szCs w:val="20"/>
                <w:color w:val="auto"/>
              </w:rPr>
            </w:pPr>
            <w:r>
              <w:rPr>
                <w:rFonts w:ascii="Arial" w:cs="Arial" w:eastAsia="Arial" w:hAnsi="Arial"/>
                <w:sz w:val="16"/>
                <w:szCs w:val="16"/>
                <w:color w:val="auto"/>
              </w:rPr>
              <w:t>Net amortization of prior service costs</w:t>
            </w:r>
          </w:p>
        </w:tc>
        <w:tc>
          <w:tcPr>
            <w:tcW w:w="120" w:type="dxa"/>
            <w:vAlign w:val="bottom"/>
          </w:tcPr>
          <w:p>
            <w:pPr>
              <w:spacing w:after="0"/>
              <w:rPr>
                <w:sz w:val="16"/>
                <w:szCs w:val="16"/>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0.1</w:t>
            </w:r>
          </w:p>
        </w:tc>
        <w:tc>
          <w:tcPr>
            <w:tcW w:w="300" w:type="dxa"/>
            <w:vAlign w:val="bottom"/>
          </w:tcPr>
          <w:p>
            <w:pPr>
              <w:spacing w:after="0"/>
              <w:rPr>
                <w:sz w:val="16"/>
                <w:szCs w:val="16"/>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189"/>
        </w:trPr>
        <w:tc>
          <w:tcPr>
            <w:tcW w:w="32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Recognized net actuarial loss</w:t>
            </w:r>
          </w:p>
        </w:tc>
        <w:tc>
          <w:tcPr>
            <w:tcW w:w="120" w:type="dxa"/>
            <w:vAlign w:val="bottom"/>
            <w:tcBorders>
              <w:bottom w:val="single" w:sz="8" w:color="auto"/>
            </w:tcBorders>
            <w:shd w:val="clear" w:color="auto" w:fill="CFF0FC"/>
          </w:tcPr>
          <w:p>
            <w:pPr>
              <w:spacing w:after="0"/>
              <w:rPr>
                <w:sz w:val="16"/>
                <w:szCs w:val="16"/>
                <w:color w:val="auto"/>
              </w:rPr>
            </w:pPr>
          </w:p>
        </w:tc>
        <w:tc>
          <w:tcPr>
            <w:tcW w:w="11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1.1</w:t>
            </w:r>
          </w:p>
        </w:tc>
        <w:tc>
          <w:tcPr>
            <w:tcW w:w="28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1.0</w:t>
            </w:r>
          </w:p>
        </w:tc>
        <w:tc>
          <w:tcPr>
            <w:tcW w:w="140" w:type="dxa"/>
            <w:vAlign w:val="bottom"/>
            <w:tcBorders>
              <w:bottom w:val="single" w:sz="8" w:color="auto"/>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CFF0FC"/>
          </w:tcPr>
          <w:p>
            <w:pPr>
              <w:spacing w:after="0"/>
              <w:rPr>
                <w:sz w:val="16"/>
                <w:szCs w:val="16"/>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FF0FC"/>
          </w:tcPr>
          <w:p>
            <w:pPr>
              <w:spacing w:after="0"/>
              <w:rPr>
                <w:sz w:val="16"/>
                <w:szCs w:val="16"/>
                <w:color w:val="auto"/>
              </w:rPr>
            </w:pPr>
          </w:p>
        </w:tc>
        <w:tc>
          <w:tcPr>
            <w:tcW w:w="126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3240" w:type="dxa"/>
            <w:vAlign w:val="bottom"/>
            <w:gridSpan w:val="2"/>
          </w:tcPr>
          <w:p>
            <w:pPr>
              <w:spacing w:after="0" w:line="169" w:lineRule="exact"/>
              <w:rPr>
                <w:sz w:val="20"/>
                <w:szCs w:val="20"/>
                <w:color w:val="auto"/>
              </w:rPr>
            </w:pPr>
            <w:r>
              <w:rPr>
                <w:rFonts w:ascii="Arial" w:cs="Arial" w:eastAsia="Arial" w:hAnsi="Arial"/>
                <w:sz w:val="16"/>
                <w:szCs w:val="16"/>
                <w:color w:val="auto"/>
              </w:rPr>
              <w:t>Net periodic expense</w:t>
            </w:r>
          </w:p>
        </w:tc>
        <w:tc>
          <w:tcPr>
            <w:tcW w:w="1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19"/>
              <w:spacing w:after="0" w:line="169" w:lineRule="exact"/>
              <w:rPr>
                <w:sz w:val="20"/>
                <w:szCs w:val="20"/>
                <w:color w:val="auto"/>
              </w:rPr>
            </w:pPr>
            <w:r>
              <w:rPr>
                <w:rFonts w:ascii="Arial" w:cs="Arial" w:eastAsia="Arial" w:hAnsi="Arial"/>
                <w:sz w:val="16"/>
                <w:szCs w:val="16"/>
                <w:color w:val="auto"/>
              </w:rPr>
              <w:t>1.4</w:t>
            </w:r>
          </w:p>
        </w:tc>
        <w:tc>
          <w:tcPr>
            <w:tcW w:w="280" w:type="dxa"/>
            <w:vAlign w:val="bottom"/>
            <w:tcBorders>
              <w:bottom w:val="single" w:sz="8" w:color="auto"/>
            </w:tcBorders>
          </w:tcPr>
          <w:p>
            <w:pPr>
              <w:jc w:val="right"/>
              <w:ind w:right="79"/>
              <w:spacing w:after="0" w:line="169" w:lineRule="exact"/>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9"/>
              <w:spacing w:after="0" w:line="169" w:lineRule="exact"/>
              <w:rPr>
                <w:sz w:val="20"/>
                <w:szCs w:val="20"/>
                <w:color w:val="auto"/>
              </w:rPr>
            </w:pPr>
            <w:r>
              <w:rPr>
                <w:rFonts w:ascii="Arial" w:cs="Arial" w:eastAsia="Arial" w:hAnsi="Arial"/>
                <w:sz w:val="16"/>
                <w:szCs w:val="16"/>
                <w:color w:val="auto"/>
              </w:rPr>
              <w:t>1.3</w:t>
            </w:r>
          </w:p>
        </w:tc>
        <w:tc>
          <w:tcPr>
            <w:tcW w:w="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2.3</w:t>
            </w:r>
          </w:p>
        </w:tc>
        <w:tc>
          <w:tcPr>
            <w:tcW w:w="300" w:type="dxa"/>
            <w:vAlign w:val="bottom"/>
            <w:tcBorders>
              <w:bottom w:val="single" w:sz="8" w:color="auto"/>
            </w:tcBorders>
          </w:tcPr>
          <w:p>
            <w:pPr>
              <w:jc w:val="right"/>
              <w:ind w:right="79"/>
              <w:spacing w:after="0" w:line="169" w:lineRule="exact"/>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2.3</w:t>
            </w:r>
          </w:p>
        </w:tc>
        <w:tc>
          <w:tcPr>
            <w:tcW w:w="1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19"/>
              <w:spacing w:after="0" w:line="169" w:lineRule="exact"/>
              <w:rPr>
                <w:sz w:val="20"/>
                <w:szCs w:val="20"/>
                <w:color w:val="auto"/>
              </w:rPr>
            </w:pPr>
            <w:r>
              <w:rPr>
                <w:rFonts w:ascii="Arial" w:cs="Arial" w:eastAsia="Arial" w:hAnsi="Arial"/>
                <w:sz w:val="16"/>
                <w:szCs w:val="16"/>
                <w:color w:val="auto"/>
              </w:rPr>
              <w:t>1.9</w:t>
            </w:r>
          </w:p>
        </w:tc>
        <w:tc>
          <w:tcPr>
            <w:tcW w:w="300" w:type="dxa"/>
            <w:vAlign w:val="bottom"/>
            <w:tcBorders>
              <w:bottom w:val="single" w:sz="8" w:color="auto"/>
            </w:tcBorders>
          </w:tcPr>
          <w:p>
            <w:pPr>
              <w:jc w:val="right"/>
              <w:ind w:right="99"/>
              <w:spacing w:after="0" w:line="169" w:lineRule="exact"/>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39"/>
              <w:spacing w:after="0" w:line="169" w:lineRule="exact"/>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Plan Contributions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Contributions made in the first six months of 2025 and anticipated contributions for 2025 are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4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540" w:type="dxa"/>
            <w:vAlign w:val="bottom"/>
          </w:tcPr>
          <w:p>
            <w:pPr>
              <w:jc w:val="center"/>
              <w:ind w:left="279"/>
              <w:spacing w:after="0"/>
              <w:rPr>
                <w:sz w:val="20"/>
                <w:szCs w:val="20"/>
                <w:color w:val="auto"/>
              </w:rPr>
            </w:pPr>
            <w:r>
              <w:rPr>
                <w:rFonts w:ascii="Arial" w:cs="Arial" w:eastAsia="Arial" w:hAnsi="Arial"/>
                <w:sz w:val="16"/>
                <w:szCs w:val="16"/>
                <w:b w:val="1"/>
                <w:bCs w:val="1"/>
                <w:color w:val="auto"/>
              </w:rPr>
              <w:t>Contributions</w:t>
            </w: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20" w:type="dxa"/>
            <w:vAlign w:val="bottom"/>
          </w:tcPr>
          <w:p>
            <w:pPr>
              <w:spacing w:after="0"/>
              <w:rPr>
                <w:sz w:val="16"/>
                <w:szCs w:val="16"/>
                <w:color w:val="auto"/>
              </w:rPr>
            </w:pPr>
          </w:p>
        </w:tc>
      </w:tr>
      <w:tr>
        <w:trPr>
          <w:trHeight w:val="189"/>
        </w:trPr>
        <w:tc>
          <w:tcPr>
            <w:tcW w:w="54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540" w:type="dxa"/>
            <w:vAlign w:val="bottom"/>
          </w:tcPr>
          <w:p>
            <w:pPr>
              <w:jc w:val="center"/>
              <w:ind w:left="339"/>
              <w:spacing w:after="0"/>
              <w:rPr>
                <w:sz w:val="20"/>
                <w:szCs w:val="20"/>
                <w:color w:val="auto"/>
              </w:rPr>
            </w:pPr>
            <w:r>
              <w:rPr>
                <w:rFonts w:ascii="Arial" w:cs="Arial" w:eastAsia="Arial" w:hAnsi="Arial"/>
                <w:sz w:val="16"/>
                <w:szCs w:val="16"/>
                <w:b w:val="1"/>
                <w:bCs w:val="1"/>
                <w:color w:val="auto"/>
                <w:w w:val="97"/>
              </w:rPr>
              <w:t>Made</w:t>
            </w:r>
          </w:p>
        </w:tc>
        <w:tc>
          <w:tcPr>
            <w:tcW w:w="480" w:type="dxa"/>
            <w:vAlign w:val="bottom"/>
          </w:tcPr>
          <w:p>
            <w:pPr>
              <w:spacing w:after="0"/>
              <w:rPr>
                <w:sz w:val="16"/>
                <w:szCs w:val="16"/>
                <w:color w:val="auto"/>
              </w:rPr>
            </w:pPr>
          </w:p>
        </w:tc>
        <w:tc>
          <w:tcPr>
            <w:tcW w:w="2120" w:type="dxa"/>
            <w:vAlign w:val="bottom"/>
            <w:gridSpan w:val="2"/>
          </w:tcPr>
          <w:p>
            <w:pPr>
              <w:ind w:left="80"/>
              <w:spacing w:after="0"/>
              <w:rPr>
                <w:sz w:val="20"/>
                <w:szCs w:val="20"/>
                <w:color w:val="auto"/>
              </w:rPr>
            </w:pPr>
            <w:r>
              <w:rPr>
                <w:rFonts w:ascii="Arial" w:cs="Arial" w:eastAsia="Arial" w:hAnsi="Arial"/>
                <w:sz w:val="16"/>
                <w:szCs w:val="16"/>
                <w:b w:val="1"/>
                <w:bCs w:val="1"/>
                <w:color w:val="auto"/>
              </w:rPr>
              <w:t>Additional Contributions</w:t>
            </w:r>
          </w:p>
        </w:tc>
      </w:tr>
      <w:tr>
        <w:trPr>
          <w:trHeight w:val="189"/>
        </w:trPr>
        <w:tc>
          <w:tcPr>
            <w:tcW w:w="54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020" w:type="dxa"/>
            <w:vAlign w:val="bottom"/>
            <w:gridSpan w:val="2"/>
          </w:tcPr>
          <w:p>
            <w:pPr>
              <w:jc w:val="center"/>
              <w:ind w:right="19"/>
              <w:spacing w:after="0"/>
              <w:rPr>
                <w:sz w:val="20"/>
                <w:szCs w:val="20"/>
                <w:color w:val="auto"/>
              </w:rPr>
            </w:pPr>
            <w:r>
              <w:rPr>
                <w:rFonts w:ascii="Arial" w:cs="Arial" w:eastAsia="Arial" w:hAnsi="Arial"/>
                <w:sz w:val="16"/>
                <w:szCs w:val="16"/>
                <w:b w:val="1"/>
                <w:bCs w:val="1"/>
                <w:color w:val="auto"/>
              </w:rPr>
              <w:t>Six Months Ended June</w:t>
            </w:r>
          </w:p>
        </w:tc>
        <w:tc>
          <w:tcPr>
            <w:tcW w:w="200" w:type="dxa"/>
            <w:vAlign w:val="bottom"/>
          </w:tcPr>
          <w:p>
            <w:pPr>
              <w:spacing w:after="0"/>
              <w:rPr>
                <w:sz w:val="16"/>
                <w:szCs w:val="16"/>
                <w:color w:val="auto"/>
              </w:rPr>
            </w:pPr>
          </w:p>
        </w:tc>
        <w:tc>
          <w:tcPr>
            <w:tcW w:w="1920" w:type="dxa"/>
            <w:vAlign w:val="bottom"/>
          </w:tcPr>
          <w:p>
            <w:pPr>
              <w:spacing w:after="0"/>
              <w:rPr>
                <w:sz w:val="16"/>
                <w:szCs w:val="16"/>
                <w:color w:val="auto"/>
              </w:rPr>
            </w:pPr>
          </w:p>
        </w:tc>
      </w:tr>
      <w:tr>
        <w:trPr>
          <w:trHeight w:val="203"/>
        </w:trPr>
        <w:tc>
          <w:tcPr>
            <w:tcW w:w="5480" w:type="dxa"/>
            <w:vAlign w:val="bottom"/>
          </w:tcPr>
          <w:p>
            <w:pPr>
              <w:spacing w:after="0"/>
              <w:rPr>
                <w:sz w:val="17"/>
                <w:szCs w:val="17"/>
                <w:color w:val="auto"/>
              </w:rPr>
            </w:pPr>
          </w:p>
        </w:tc>
        <w:tc>
          <w:tcPr>
            <w:tcW w:w="3160" w:type="dxa"/>
            <w:vAlign w:val="bottom"/>
            <w:gridSpan w:val="2"/>
          </w:tcPr>
          <w:p>
            <w:pPr>
              <w:jc w:val="center"/>
              <w:ind w:left="1959"/>
              <w:spacing w:after="0"/>
              <w:rPr>
                <w:sz w:val="20"/>
                <w:szCs w:val="20"/>
                <w:color w:val="auto"/>
              </w:rPr>
            </w:pPr>
            <w:r>
              <w:rPr>
                <w:rFonts w:ascii="Arial" w:cs="Arial" w:eastAsia="Arial" w:hAnsi="Arial"/>
                <w:sz w:val="16"/>
                <w:szCs w:val="16"/>
                <w:b w:val="1"/>
                <w:bCs w:val="1"/>
                <w:color w:val="auto"/>
              </w:rPr>
              <w:t>30, 2025</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20" w:type="dxa"/>
            <w:vAlign w:val="bottom"/>
          </w:tcPr>
          <w:p>
            <w:pPr>
              <w:jc w:val="right"/>
              <w:ind w:right="239"/>
              <w:spacing w:after="0"/>
              <w:rPr>
                <w:sz w:val="20"/>
                <w:szCs w:val="20"/>
                <w:color w:val="auto"/>
              </w:rPr>
            </w:pPr>
            <w:r>
              <w:rPr>
                <w:rFonts w:ascii="Arial" w:cs="Arial" w:eastAsia="Arial" w:hAnsi="Arial"/>
                <w:sz w:val="16"/>
                <w:szCs w:val="16"/>
                <w:b w:val="1"/>
                <w:bCs w:val="1"/>
                <w:color w:val="auto"/>
              </w:rPr>
              <w:t>Anticipated for 2025</w:t>
            </w:r>
          </w:p>
        </w:tc>
      </w:tr>
      <w:tr>
        <w:trPr>
          <w:trHeight w:val="183"/>
        </w:trPr>
        <w:tc>
          <w:tcPr>
            <w:tcW w:w="54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540" w:type="dxa"/>
            <w:vAlign w:val="bottom"/>
            <w:tcBorders>
              <w:top w:val="single" w:sz="8" w:color="auto"/>
              <w:bottom w:val="single" w:sz="8" w:color="auto"/>
            </w:tcBorders>
          </w:tcPr>
          <w:p>
            <w:pPr>
              <w:spacing w:after="0"/>
              <w:rPr>
                <w:sz w:val="15"/>
                <w:szCs w:val="15"/>
                <w:color w:val="auto"/>
              </w:rPr>
            </w:pPr>
          </w:p>
        </w:tc>
        <w:tc>
          <w:tcPr>
            <w:tcW w:w="2600" w:type="dxa"/>
            <w:vAlign w:val="bottom"/>
            <w:tcBorders>
              <w:top w:val="single" w:sz="8" w:color="auto"/>
              <w:bottom w:val="single" w:sz="8" w:color="auto"/>
            </w:tcBorders>
            <w:gridSpan w:val="3"/>
          </w:tcPr>
          <w:p>
            <w:pPr>
              <w:jc w:val="right"/>
              <w:ind w:right="1639"/>
              <w:spacing w:after="0" w:line="183" w:lineRule="exact"/>
              <w:rPr>
                <w:sz w:val="20"/>
                <w:szCs w:val="20"/>
                <w:color w:val="auto"/>
              </w:rPr>
            </w:pPr>
            <w:r>
              <w:rPr>
                <w:rFonts w:ascii="Arial" w:cs="Arial" w:eastAsia="Arial" w:hAnsi="Arial"/>
                <w:sz w:val="16"/>
                <w:szCs w:val="16"/>
                <w:color w:val="auto"/>
              </w:rPr>
              <w:t>(in millions)</w:t>
            </w:r>
          </w:p>
        </w:tc>
      </w:tr>
      <w:tr>
        <w:trPr>
          <w:trHeight w:val="183"/>
        </w:trPr>
        <w:tc>
          <w:tcPr>
            <w:tcW w:w="54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Defined Benefit Pension Plan</w:t>
            </w:r>
          </w:p>
        </w:tc>
        <w:tc>
          <w:tcPr>
            <w:tcW w:w="3160" w:type="dxa"/>
            <w:vAlign w:val="bottom"/>
            <w:gridSpan w:val="2"/>
            <w:shd w:val="clear" w:color="auto" w:fill="CFF0FC"/>
          </w:tcPr>
          <w:p>
            <w:pPr>
              <w:jc w:val="right"/>
              <w:ind w:right="1379"/>
              <w:spacing w:after="0" w:line="183" w:lineRule="exact"/>
              <w:rPr>
                <w:sz w:val="20"/>
                <w:szCs w:val="20"/>
                <w:color w:val="auto"/>
              </w:rPr>
            </w:pPr>
            <w:r>
              <w:rPr>
                <w:rFonts w:ascii="Arial" w:cs="Arial" w:eastAsia="Arial" w:hAnsi="Arial"/>
                <w:sz w:val="16"/>
                <w:szCs w:val="16"/>
                <w:color w:val="auto"/>
              </w:rPr>
              <w:t>$</w:t>
            </w:r>
          </w:p>
        </w:tc>
        <w:tc>
          <w:tcPr>
            <w:tcW w:w="4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1.8</w:t>
            </w:r>
          </w:p>
        </w:tc>
        <w:tc>
          <w:tcPr>
            <w:tcW w:w="200" w:type="dxa"/>
            <w:vAlign w:val="bottom"/>
            <w:shd w:val="clear" w:color="auto" w:fill="CFF0FC"/>
          </w:tcPr>
          <w:p>
            <w:pPr>
              <w:ind w:left="60"/>
              <w:spacing w:after="0" w:line="183" w:lineRule="exact"/>
              <w:rPr>
                <w:sz w:val="20"/>
                <w:szCs w:val="20"/>
                <w:color w:val="auto"/>
              </w:rPr>
            </w:pPr>
            <w:r>
              <w:rPr>
                <w:rFonts w:ascii="Arial" w:cs="Arial" w:eastAsia="Arial" w:hAnsi="Arial"/>
                <w:sz w:val="16"/>
                <w:szCs w:val="16"/>
                <w:color w:val="auto"/>
              </w:rPr>
              <w:t>$</w:t>
            </w:r>
          </w:p>
        </w:tc>
        <w:tc>
          <w:tcPr>
            <w:tcW w:w="192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w:t>
            </w:r>
          </w:p>
        </w:tc>
      </w:tr>
      <w:tr>
        <w:trPr>
          <w:trHeight w:val="189"/>
        </w:trPr>
        <w:tc>
          <w:tcPr>
            <w:tcW w:w="5480" w:type="dxa"/>
            <w:vAlign w:val="bottom"/>
          </w:tcPr>
          <w:p>
            <w:pPr>
              <w:spacing w:after="0"/>
              <w:rPr>
                <w:sz w:val="20"/>
                <w:szCs w:val="20"/>
                <w:color w:val="auto"/>
              </w:rPr>
            </w:pPr>
            <w:r>
              <w:rPr>
                <w:rFonts w:ascii="Arial" w:cs="Arial" w:eastAsia="Arial" w:hAnsi="Arial"/>
                <w:sz w:val="16"/>
                <w:szCs w:val="16"/>
                <w:color w:val="auto"/>
              </w:rPr>
              <w:t>Non-pension Defined Benefit Postretirement Healthcare Plan</w:t>
            </w:r>
          </w:p>
        </w:tc>
        <w:tc>
          <w:tcPr>
            <w:tcW w:w="16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2.3</w:t>
            </w:r>
          </w:p>
        </w:tc>
        <w:tc>
          <w:tcPr>
            <w:tcW w:w="200" w:type="dxa"/>
            <w:vAlign w:val="bottom"/>
          </w:tcPr>
          <w:p>
            <w:pPr>
              <w:spacing w:after="0"/>
              <w:rPr>
                <w:sz w:val="16"/>
                <w:szCs w:val="16"/>
                <w:color w:val="auto"/>
              </w:rPr>
            </w:pPr>
          </w:p>
        </w:tc>
        <w:tc>
          <w:tcPr>
            <w:tcW w:w="1920" w:type="dxa"/>
            <w:vAlign w:val="bottom"/>
          </w:tcPr>
          <w:p>
            <w:pPr>
              <w:jc w:val="right"/>
              <w:ind w:right="39"/>
              <w:spacing w:after="0"/>
              <w:rPr>
                <w:sz w:val="20"/>
                <w:szCs w:val="20"/>
                <w:color w:val="auto"/>
              </w:rPr>
            </w:pPr>
            <w:r>
              <w:rPr>
                <w:rFonts w:ascii="Arial" w:cs="Arial" w:eastAsia="Arial" w:hAnsi="Arial"/>
                <w:sz w:val="16"/>
                <w:szCs w:val="16"/>
                <w:color w:val="auto"/>
              </w:rPr>
              <w:t>2.3</w:t>
            </w:r>
          </w:p>
        </w:tc>
      </w:tr>
      <w:tr>
        <w:trPr>
          <w:trHeight w:val="189"/>
        </w:trPr>
        <w:tc>
          <w:tcPr>
            <w:tcW w:w="5480" w:type="dxa"/>
            <w:vAlign w:val="bottom"/>
            <w:shd w:val="clear" w:color="auto" w:fill="CFF0FC"/>
          </w:tcPr>
          <w:p>
            <w:pPr>
              <w:spacing w:after="0"/>
              <w:rPr>
                <w:sz w:val="20"/>
                <w:szCs w:val="20"/>
                <w:color w:val="auto"/>
              </w:rPr>
            </w:pPr>
            <w:r>
              <w:rPr>
                <w:rFonts w:ascii="Arial" w:cs="Arial" w:eastAsia="Arial" w:hAnsi="Arial"/>
                <w:sz w:val="16"/>
                <w:szCs w:val="16"/>
                <w:color w:val="auto"/>
              </w:rPr>
              <w:t>Supplemental Non-qualified Defined Benefit and Defined Contribution Plans</w:t>
            </w:r>
          </w:p>
        </w:tc>
        <w:tc>
          <w:tcPr>
            <w:tcW w:w="1620" w:type="dxa"/>
            <w:vAlign w:val="bottom"/>
            <w:shd w:val="clear" w:color="auto" w:fill="CFF0FC"/>
          </w:tcPr>
          <w:p>
            <w:pPr>
              <w:spacing w:after="0"/>
              <w:rPr>
                <w:sz w:val="16"/>
                <w:szCs w:val="16"/>
                <w:color w:val="auto"/>
              </w:rPr>
            </w:pPr>
          </w:p>
        </w:tc>
        <w:tc>
          <w:tcPr>
            <w:tcW w:w="1540" w:type="dxa"/>
            <w:vAlign w:val="bottom"/>
            <w:shd w:val="clear" w:color="auto" w:fill="CFF0FC"/>
          </w:tcPr>
          <w:p>
            <w:pPr>
              <w:spacing w:after="0"/>
              <w:rPr>
                <w:sz w:val="16"/>
                <w:szCs w:val="16"/>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w:t>
            </w:r>
          </w:p>
        </w:tc>
        <w:tc>
          <w:tcPr>
            <w:tcW w:w="200" w:type="dxa"/>
            <w:vAlign w:val="bottom"/>
            <w:shd w:val="clear" w:color="auto" w:fill="CFF0FC"/>
          </w:tcPr>
          <w:p>
            <w:pPr>
              <w:spacing w:after="0"/>
              <w:rPr>
                <w:sz w:val="16"/>
                <w:szCs w:val="16"/>
                <w:color w:val="auto"/>
              </w:rPr>
            </w:pPr>
          </w:p>
        </w:tc>
        <w:tc>
          <w:tcPr>
            <w:tcW w:w="19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1.4</w:t>
            </w:r>
          </w:p>
        </w:tc>
      </w:tr>
      <w:tr>
        <w:trPr>
          <w:trHeight w:val="605"/>
        </w:trPr>
        <w:tc>
          <w:tcPr>
            <w:tcW w:w="5480" w:type="dxa"/>
            <w:vAlign w:val="bottom"/>
          </w:tcPr>
          <w:p>
            <w:pPr>
              <w:spacing w:after="0"/>
              <w:rPr>
                <w:sz w:val="24"/>
                <w:szCs w:val="24"/>
                <w:color w:val="auto"/>
              </w:rPr>
            </w:pPr>
          </w:p>
        </w:tc>
        <w:tc>
          <w:tcPr>
            <w:tcW w:w="1620" w:type="dxa"/>
            <w:vAlign w:val="bottom"/>
          </w:tcPr>
          <w:p>
            <w:pPr>
              <w:jc w:val="right"/>
              <w:ind w:right="1299"/>
              <w:spacing w:after="0"/>
              <w:rPr>
                <w:sz w:val="20"/>
                <w:szCs w:val="20"/>
                <w:color w:val="auto"/>
              </w:rPr>
            </w:pPr>
            <w:r>
              <w:rPr>
                <w:rFonts w:ascii="Arial" w:cs="Arial" w:eastAsia="Arial" w:hAnsi="Arial"/>
                <w:sz w:val="16"/>
                <w:szCs w:val="16"/>
                <w:color w:val="auto"/>
              </w:rPr>
              <w:t>26</w:t>
            </w:r>
          </w:p>
        </w:tc>
        <w:tc>
          <w:tcPr>
            <w:tcW w:w="1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752"/>
        </w:trPr>
        <w:tc>
          <w:tcPr>
            <w:tcW w:w="548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20" w:hanging="512"/>
        <w:spacing w:after="0"/>
        <w:tabs>
          <w:tab w:leader="none" w:pos="520" w:val="left"/>
        </w:tabs>
        <w:numPr>
          <w:ilvl w:val="0"/>
          <w:numId w:val="18"/>
        </w:numPr>
        <w:rPr>
          <w:rFonts w:ascii="Arial" w:cs="Arial" w:eastAsia="Arial" w:hAnsi="Arial"/>
          <w:sz w:val="16"/>
          <w:szCs w:val="16"/>
          <w:b w:val="1"/>
          <w:bCs w:val="1"/>
          <w:color w:val="auto"/>
        </w:rPr>
      </w:pPr>
      <w:r>
        <w:rPr>
          <w:rFonts w:ascii="Arial" w:cs="Arial" w:eastAsia="Arial" w:hAnsi="Arial"/>
          <w:sz w:val="16"/>
          <w:szCs w:val="16"/>
          <w:b w:val="1"/>
          <w:bCs w:val="1"/>
          <w:color w:val="auto"/>
        </w:rPr>
        <w:t>Income Taxes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Transfers of Production Tax Credits</w:t>
      </w:r>
    </w:p>
    <w:p>
      <w:pPr>
        <w:spacing w:after="0" w:line="194"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In August 2022, President Biden signed H.R. 5376 into law, commonly known as the IRA of 2022, or IRA. The IRA contains a tax credit transferability provision that allows us to transfer (e.g. sell) PTCs produced after December 31, 2022, to third parties. In January 2025, under this transferability provision, we entered into an agreement with a third party to sell $17.0 million of our 2024 generated PTCs.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We expect to continue to explore the ability to efficiently monetize our tax credits through third party transferability agreements.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One Big Beautiful Bill Act</w:t>
      </w:r>
    </w:p>
    <w:p>
      <w:pPr>
        <w:spacing w:after="0" w:line="194"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On July 4, 2025, President Trump signed H.R. 1, commonly referred to as the OBBBA, a legislative package designed to permanently extend certain expiring provisions of the TCJA and deliver additional tax relief for individuals and businesses. The OBBBA introduced changes to federal energy policies by rolling back several clean energy provisions and codified restrictions related to prohibited foreign entities, termination and restrictions on clean energy PTCs, and extension and modification of clean fuel production. The OBBBA does not repeal tax credit transferability provisions enacted under the IRA and continues to permit the execution of our transferability agreements as originally agreed upon, but restricts credit transfers to prohibited foreign entities. Additionally, on July 7, 2025, President Trump issued Executive Order 14315, which relates to the implementation of such changes to energy tax credits. Further clarity is expected from the Secretaries of the Treasury and the Interior as it relates to their findings and actions taken under Executive Order 14315 within 45 days. We are currently evaluating the provisions of the OBBBA and Executive Order 14315 on our consolidated financial statements but we do not anticipate impacts to our clean energy generation facilities already in service or the execution of Colorado Electric's Clean Energy Plan.</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 (Expense) and Effective Tax Rates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Three Months Ended June 30, 2025, Compared to the Three Months Ended June 30, 2024</w:t>
      </w:r>
    </w:p>
    <w:p>
      <w:pPr>
        <w:spacing w:after="0" w:line="194"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Income tax (expense) for the three months ended June 30, 2025, was $(4.4) million compared to $(3.7) million reported for the same period in 2024. For the three months ended June 30, 2025, the effective tax rate was 13.3%, which was comparable to 13.0% for the same period in 2024.</w:t>
      </w: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Six Months Ended June 30, 2025, Compared to the Six Months Ended June 30, 2024</w:t>
      </w:r>
    </w:p>
    <w:p>
      <w:pPr>
        <w:spacing w:after="0" w:line="194"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Income tax (expense) for the six months ended June 30, 2025, was $(22.5) million compared to $(20.6) million reported for the same period in 2024. For the six months ended June 30, 2025, the effective tax rate was 12.0%, which was comparable to 11.7% for the same period in 2024.</w:t>
      </w:r>
    </w:p>
    <w:p>
      <w:pPr>
        <w:spacing w:after="0" w:line="318" w:lineRule="exact"/>
        <w:rPr>
          <w:sz w:val="20"/>
          <w:szCs w:val="20"/>
          <w:color w:val="auto"/>
        </w:rPr>
      </w:pPr>
    </w:p>
    <w:p>
      <w:pPr>
        <w:ind w:left="520" w:hanging="512"/>
        <w:spacing w:after="0"/>
        <w:tabs>
          <w:tab w:leader="none" w:pos="520" w:val="left"/>
        </w:tabs>
        <w:numPr>
          <w:ilvl w:val="0"/>
          <w:numId w:val="19"/>
        </w:numPr>
        <w:rPr>
          <w:rFonts w:ascii="Arial" w:cs="Arial" w:eastAsia="Arial" w:hAnsi="Arial"/>
          <w:sz w:val="16"/>
          <w:szCs w:val="16"/>
          <w:b w:val="1"/>
          <w:bCs w:val="1"/>
          <w:color w:val="auto"/>
        </w:rPr>
      </w:pPr>
      <w:r>
        <w:rPr>
          <w:rFonts w:ascii="Arial" w:cs="Arial" w:eastAsia="Arial" w:hAnsi="Arial"/>
          <w:sz w:val="16"/>
          <w:szCs w:val="16"/>
          <w:b w:val="1"/>
          <w:bCs w:val="1"/>
          <w:color w:val="auto"/>
        </w:rPr>
        <w:t>Business Segment Information</w:t>
      </w:r>
    </w:p>
    <w:p>
      <w:pPr>
        <w:spacing w:after="0" w:line="194" w:lineRule="exact"/>
        <w:rPr>
          <w:sz w:val="20"/>
          <w:szCs w:val="20"/>
          <w:color w:val="auto"/>
        </w:rPr>
      </w:pPr>
    </w:p>
    <w:p>
      <w:pPr>
        <w:ind w:right="360"/>
        <w:spacing w:after="0" w:line="286" w:lineRule="auto"/>
        <w:rPr>
          <w:sz w:val="20"/>
          <w:szCs w:val="20"/>
          <w:color w:val="auto"/>
        </w:rPr>
      </w:pPr>
      <w:r>
        <w:rPr>
          <w:rFonts w:ascii="Arial" w:cs="Arial" w:eastAsia="Arial" w:hAnsi="Arial"/>
          <w:sz w:val="16"/>
          <w:szCs w:val="16"/>
          <w:color w:val="auto"/>
        </w:rPr>
        <w:t>We are a holding company that, through our subsidiaries, conducts our operations through the following reportable segments: Electric Utilities and Gas Utilities. Certain unallocated corporate expenses that support our reportable segments are presented as Corporate and Other.</w:t>
      </w:r>
    </w:p>
    <w:p>
      <w:pPr>
        <w:spacing w:after="0" w:line="129"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Our operating segments, which are equivalent to our reportable segments, are based on our method of internal reporting, which is generally segregated by differences in products and services. All of our operations and assets are located within the United States.</w:t>
      </w:r>
    </w:p>
    <w:p>
      <w:pPr>
        <w:spacing w:after="0" w:line="129" w:lineRule="exact"/>
        <w:rPr>
          <w:sz w:val="20"/>
          <w:szCs w:val="20"/>
          <w:color w:val="auto"/>
        </w:rPr>
      </w:pPr>
    </w:p>
    <w:p>
      <w:pPr>
        <w:ind w:right="280"/>
        <w:spacing w:after="0" w:line="266" w:lineRule="auto"/>
        <w:rPr>
          <w:sz w:val="20"/>
          <w:szCs w:val="20"/>
          <w:color w:val="auto"/>
        </w:rPr>
      </w:pPr>
      <w:r>
        <w:rPr>
          <w:rFonts w:ascii="Arial" w:cs="Arial" w:eastAsia="Arial" w:hAnsi="Arial"/>
          <w:sz w:val="16"/>
          <w:szCs w:val="16"/>
          <w:color w:val="auto"/>
        </w:rPr>
        <w:t>Our Electric Utilities segment includes the operating results of the regulated electric utility operations of Colorado Electric, South Dakota Electric, and Wyoming Electric, which supply regulated electric utility services to areas in Colorado, Montana, South Dakota, and Wyoming. We also own and operate non-regulated power generation and mining businesses that are vertically integrated with our Electric Utilities.</w:t>
      </w:r>
    </w:p>
    <w:p>
      <w:pPr>
        <w:spacing w:after="0" w:line="144"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Our Gas Utilities segment consists of the operating results of our regulated natural gas utility subsidiaries in Arkansas, Colorado, Iowa, Kansas, Nebraska, and Wyoming.</w:t>
      </w:r>
    </w:p>
    <w:p>
      <w:pPr>
        <w:spacing w:after="0" w:line="129"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Corporate and Other consists of certain unallocated expenses for administrative activities that support our operating segments. Corporate and Other also includes business development activities that are not part of our operating segments and inter-segment eliminations.</w:t>
      </w:r>
    </w:p>
    <w:p>
      <w:pPr>
        <w:spacing w:after="0" w:line="15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7" w:name="page28"/>
    <w:bookmarkEnd w:id="2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Our Chief Executive Officer, who is considered to be our CODM, reviews financial information presented on an operating segment basis for purposes of making decisions, allocating resources, and assessing financial performance. Our CODM assesses the performance of our operating segments and decides how to allocate resources based on operating income. Our CODM reviews capital expenditures by operating segment rather than any individual or total asset amount.</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100" w:type="dxa"/>
            <w:vAlign w:val="bottom"/>
          </w:tcPr>
          <w:p>
            <w:pPr>
              <w:spacing w:after="0"/>
              <w:rPr>
                <w:sz w:val="20"/>
                <w:szCs w:val="20"/>
                <w:color w:val="auto"/>
              </w:rPr>
            </w:pPr>
            <w:r>
              <w:rPr>
                <w:rFonts w:ascii="Arial" w:cs="Arial" w:eastAsia="Arial" w:hAnsi="Arial"/>
                <w:sz w:val="16"/>
                <w:szCs w:val="16"/>
                <w:color w:val="auto"/>
              </w:rPr>
              <w:t>Segment information was as follows:</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367"/>
        </w:trPr>
        <w:tc>
          <w:tcPr>
            <w:tcW w:w="4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3"/>
          </w:tcPr>
          <w:p>
            <w:pPr>
              <w:jc w:val="right"/>
              <w:ind w:right="399"/>
              <w:spacing w:after="0"/>
              <w:rPr>
                <w:sz w:val="20"/>
                <w:szCs w:val="20"/>
                <w:color w:val="auto"/>
              </w:rPr>
            </w:pPr>
            <w:r>
              <w:rPr>
                <w:rFonts w:ascii="Arial" w:cs="Arial" w:eastAsia="Arial" w:hAnsi="Arial"/>
                <w:sz w:val="16"/>
                <w:szCs w:val="16"/>
                <w:b w:val="1"/>
                <w:bCs w:val="1"/>
                <w:color w:val="auto"/>
              </w:rPr>
              <w:t>Consolidating Income Statement</w:t>
            </w: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r>
        <w:trPr>
          <w:trHeight w:val="168"/>
        </w:trPr>
        <w:tc>
          <w:tcPr>
            <w:tcW w:w="4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tcPr>
          <w:p>
            <w:pPr>
              <w:jc w:val="right"/>
              <w:ind w:right="419"/>
              <w:spacing w:after="0" w:line="168" w:lineRule="exact"/>
              <w:rPr>
                <w:sz w:val="20"/>
                <w:szCs w:val="20"/>
                <w:color w:val="auto"/>
              </w:rPr>
            </w:pPr>
            <w:r>
              <w:rPr>
                <w:rFonts w:ascii="Arial" w:cs="Arial" w:eastAsia="Arial" w:hAnsi="Arial"/>
                <w:sz w:val="16"/>
                <w:szCs w:val="16"/>
                <w:b w:val="1"/>
                <w:bCs w:val="1"/>
                <w:color w:val="auto"/>
              </w:rPr>
              <w:t>Corporate</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203"/>
        </w:trPr>
        <w:tc>
          <w:tcPr>
            <w:tcW w:w="41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Three Months Ended June 30, 2025</w:t>
            </w:r>
          </w:p>
        </w:tc>
        <w:tc>
          <w:tcPr>
            <w:tcW w:w="44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right"/>
              <w:ind w:right="179"/>
              <w:spacing w:after="0"/>
              <w:rPr>
                <w:sz w:val="20"/>
                <w:szCs w:val="20"/>
                <w:color w:val="auto"/>
              </w:rPr>
            </w:pPr>
            <w:r>
              <w:rPr>
                <w:rFonts w:ascii="Arial" w:cs="Arial" w:eastAsia="Arial" w:hAnsi="Arial"/>
                <w:sz w:val="16"/>
                <w:szCs w:val="16"/>
                <w:b w:val="1"/>
                <w:bCs w:val="1"/>
                <w:color w:val="auto"/>
              </w:rPr>
              <w:t>Electric Utilities</w:t>
            </w:r>
          </w:p>
        </w:tc>
        <w:tc>
          <w:tcPr>
            <w:tcW w:w="2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Gas Utilities</w:t>
            </w:r>
          </w:p>
        </w:tc>
        <w:tc>
          <w:tcPr>
            <w:tcW w:w="3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and Other</w:t>
            </w:r>
          </w:p>
        </w:tc>
        <w:tc>
          <w:tcPr>
            <w:tcW w:w="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Total</w:t>
            </w:r>
          </w:p>
        </w:tc>
      </w:tr>
      <w:tr>
        <w:trPr>
          <w:trHeight w:val="183"/>
        </w:trPr>
        <w:tc>
          <w:tcPr>
            <w:tcW w:w="4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2"/>
          </w:tcPr>
          <w:p>
            <w:pPr>
              <w:jc w:val="right"/>
              <w:spacing w:after="0" w:line="183" w:lineRule="exact"/>
              <w:rPr>
                <w:sz w:val="20"/>
                <w:szCs w:val="20"/>
                <w:color w:val="auto"/>
              </w:rPr>
            </w:pPr>
            <w:r>
              <w:rPr>
                <w:rFonts w:ascii="Arial" w:cs="Arial" w:eastAsia="Arial" w:hAnsi="Arial"/>
                <w:sz w:val="16"/>
                <w:szCs w:val="16"/>
                <w:color w:val="auto"/>
              </w:rPr>
              <w:t>(in millions)</w:t>
            </w:r>
          </w:p>
        </w:tc>
        <w:tc>
          <w:tcPr>
            <w:tcW w:w="13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r>
      <w:tr>
        <w:trPr>
          <w:trHeight w:val="183"/>
        </w:trPr>
        <w:tc>
          <w:tcPr>
            <w:tcW w:w="41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Revenue -</w:t>
            </w:r>
          </w:p>
        </w:tc>
        <w:tc>
          <w:tcPr>
            <w:tcW w:w="4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r>
      <w:tr>
        <w:trPr>
          <w:trHeight w:val="189"/>
        </w:trPr>
        <w:tc>
          <w:tcPr>
            <w:tcW w:w="4100" w:type="dxa"/>
            <w:vAlign w:val="bottom"/>
          </w:tcPr>
          <w:p>
            <w:pPr>
              <w:ind w:left="100"/>
              <w:spacing w:after="0"/>
              <w:rPr>
                <w:sz w:val="20"/>
                <w:szCs w:val="20"/>
                <w:color w:val="auto"/>
              </w:rPr>
            </w:pPr>
            <w:r>
              <w:rPr>
                <w:rFonts w:ascii="Arial" w:cs="Arial" w:eastAsia="Arial" w:hAnsi="Arial"/>
                <w:sz w:val="16"/>
                <w:szCs w:val="16"/>
                <w:color w:val="auto"/>
              </w:rPr>
              <w:t>External Customers</w:t>
            </w:r>
          </w:p>
        </w:tc>
        <w:tc>
          <w:tcPr>
            <w:tcW w:w="66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217.5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221.5</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60" w:type="dxa"/>
            <w:vAlign w:val="bottom"/>
            <w:gridSpan w:val="2"/>
          </w:tcPr>
          <w:p>
            <w:pPr>
              <w:jc w:val="right"/>
              <w:ind w:right="260"/>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439.0</w:t>
            </w:r>
          </w:p>
        </w:tc>
      </w:tr>
      <w:tr>
        <w:trPr>
          <w:trHeight w:val="189"/>
        </w:trPr>
        <w:tc>
          <w:tcPr>
            <w:tcW w:w="410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6"/>
                <w:szCs w:val="16"/>
                <w:color w:val="auto"/>
              </w:rPr>
              <w:t>Inter-segment</w:t>
            </w:r>
          </w:p>
        </w:tc>
        <w:tc>
          <w:tcPr>
            <w:tcW w:w="44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w:t>
            </w:r>
          </w:p>
        </w:tc>
        <w:tc>
          <w:tcPr>
            <w:tcW w:w="200" w:type="dxa"/>
            <w:vAlign w:val="bottom"/>
            <w:tcBorders>
              <w:bottom w:val="single" w:sz="8" w:color="auto"/>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13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1.5</w:t>
            </w:r>
          </w:p>
        </w:tc>
        <w:tc>
          <w:tcPr>
            <w:tcW w:w="360" w:type="dxa"/>
            <w:vAlign w:val="bottom"/>
            <w:tcBorders>
              <w:bottom w:val="single" w:sz="8" w:color="auto"/>
            </w:tcBorders>
            <w:shd w:val="clear" w:color="auto" w:fill="CFF0FC"/>
          </w:tcPr>
          <w:p>
            <w:pPr>
              <w:spacing w:after="0"/>
              <w:rPr>
                <w:sz w:val="16"/>
                <w:szCs w:val="16"/>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w:t>
            </w:r>
          </w:p>
        </w:tc>
        <w:tc>
          <w:tcPr>
            <w:tcW w:w="20" w:type="dxa"/>
            <w:vAlign w:val="bottom"/>
            <w:tcBorders>
              <w:bottom w:val="single" w:sz="8" w:color="auto"/>
            </w:tcBorders>
            <w:shd w:val="clear" w:color="auto" w:fill="CFF0FC"/>
          </w:tcPr>
          <w:p>
            <w:pPr>
              <w:spacing w:after="0"/>
              <w:rPr>
                <w:sz w:val="16"/>
                <w:szCs w:val="16"/>
                <w:color w:val="auto"/>
              </w:rPr>
            </w:pPr>
          </w:p>
        </w:tc>
        <w:tc>
          <w:tcPr>
            <w:tcW w:w="340" w:type="dxa"/>
            <w:vAlign w:val="bottom"/>
            <w:tcBorders>
              <w:bottom w:val="single" w:sz="8" w:color="auto"/>
            </w:tcBorders>
            <w:shd w:val="clear" w:color="auto" w:fill="CFF0FC"/>
          </w:tcPr>
          <w:p>
            <w:pPr>
              <w:spacing w:after="0"/>
              <w:rPr>
                <w:sz w:val="16"/>
                <w:szCs w:val="16"/>
                <w:color w:val="auto"/>
              </w:rPr>
            </w:pPr>
          </w:p>
        </w:tc>
        <w:tc>
          <w:tcPr>
            <w:tcW w:w="13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183"/>
        </w:trPr>
        <w:tc>
          <w:tcPr>
            <w:tcW w:w="4100" w:type="dxa"/>
            <w:vAlign w:val="bottom"/>
          </w:tcPr>
          <w:p>
            <w:pPr>
              <w:spacing w:after="0" w:line="183" w:lineRule="exact"/>
              <w:rPr>
                <w:sz w:val="20"/>
                <w:szCs w:val="20"/>
                <w:color w:val="auto"/>
              </w:rPr>
            </w:pPr>
            <w:r>
              <w:rPr>
                <w:rFonts w:ascii="Arial" w:cs="Arial" w:eastAsia="Arial" w:hAnsi="Arial"/>
                <w:sz w:val="16"/>
                <w:szCs w:val="16"/>
                <w:color w:val="auto"/>
              </w:rPr>
              <w:t>Total revenue</w:t>
            </w:r>
          </w:p>
        </w:tc>
        <w:tc>
          <w:tcPr>
            <w:tcW w:w="4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219.9</w:t>
            </w: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223.0</w:t>
            </w:r>
          </w:p>
        </w:tc>
        <w:tc>
          <w:tcPr>
            <w:tcW w:w="3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(3.9)</w:t>
            </w:r>
          </w:p>
        </w:tc>
        <w:tc>
          <w:tcPr>
            <w:tcW w:w="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439.0</w:t>
            </w:r>
          </w:p>
        </w:tc>
      </w:tr>
      <w:tr>
        <w:trPr>
          <w:trHeight w:val="183"/>
        </w:trPr>
        <w:tc>
          <w:tcPr>
            <w:tcW w:w="410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r>
      <w:tr>
        <w:trPr>
          <w:trHeight w:val="189"/>
        </w:trPr>
        <w:tc>
          <w:tcPr>
            <w:tcW w:w="4100" w:type="dxa"/>
            <w:vAlign w:val="bottom"/>
          </w:tcPr>
          <w:p>
            <w:pPr>
              <w:spacing w:after="0"/>
              <w:rPr>
                <w:sz w:val="20"/>
                <w:szCs w:val="20"/>
                <w:color w:val="auto"/>
              </w:rPr>
            </w:pPr>
            <w:r>
              <w:rPr>
                <w:rFonts w:ascii="Arial" w:cs="Arial" w:eastAsia="Arial" w:hAnsi="Arial"/>
                <w:sz w:val="16"/>
                <w:szCs w:val="16"/>
                <w:color w:val="auto"/>
              </w:rPr>
              <w:t>Fuel, purchased power and cost of natural gas sold</w:t>
            </w: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55.3</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68.9</w:t>
            </w:r>
          </w:p>
        </w:tc>
        <w:tc>
          <w:tcPr>
            <w:tcW w:w="3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(0.2)</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124.0</w:t>
            </w:r>
          </w:p>
        </w:tc>
      </w:tr>
      <w:tr>
        <w:trPr>
          <w:trHeight w:val="189"/>
        </w:trPr>
        <w:tc>
          <w:tcPr>
            <w:tcW w:w="4100" w:type="dxa"/>
            <w:vAlign w:val="bottom"/>
            <w:shd w:val="clear" w:color="auto" w:fill="CFF0FC"/>
          </w:tcPr>
          <w:p>
            <w:pPr>
              <w:spacing w:after="0" w:line="189" w:lineRule="exact"/>
              <w:rPr>
                <w:sz w:val="20"/>
                <w:szCs w:val="20"/>
                <w:color w:val="auto"/>
              </w:rPr>
            </w:pPr>
            <w:r>
              <w:rPr>
                <w:rFonts w:ascii="Arial" w:cs="Arial" w:eastAsia="Arial" w:hAnsi="Arial"/>
                <w:sz w:val="16"/>
                <w:szCs w:val="16"/>
                <w:color w:val="auto"/>
              </w:rPr>
              <w:t xml:space="preserve">Operations and maintenance </w:t>
            </w:r>
            <w:r>
              <w:rPr>
                <w:rFonts w:ascii="Arial" w:cs="Arial" w:eastAsia="Arial" w:hAnsi="Arial"/>
                <w:sz w:val="21"/>
                <w:szCs w:val="21"/>
                <w:color w:val="auto"/>
                <w:vertAlign w:val="superscript"/>
              </w:rPr>
              <w:t>(a)</w:t>
            </w:r>
            <w:r>
              <w:rPr>
                <w:rFonts w:ascii="Arial" w:cs="Arial" w:eastAsia="Arial" w:hAnsi="Arial"/>
                <w:sz w:val="16"/>
                <w:szCs w:val="16"/>
                <w:color w:val="auto"/>
              </w:rPr>
              <w:t xml:space="preserve"> -</w:t>
            </w:r>
          </w:p>
        </w:tc>
        <w:tc>
          <w:tcPr>
            <w:tcW w:w="4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r>
      <w:tr>
        <w:trPr>
          <w:trHeight w:val="189"/>
        </w:trPr>
        <w:tc>
          <w:tcPr>
            <w:tcW w:w="4100" w:type="dxa"/>
            <w:vAlign w:val="bottom"/>
          </w:tcPr>
          <w:p>
            <w:pPr>
              <w:ind w:left="100"/>
              <w:spacing w:after="0"/>
              <w:rPr>
                <w:sz w:val="20"/>
                <w:szCs w:val="20"/>
                <w:color w:val="auto"/>
              </w:rPr>
            </w:pPr>
            <w:r>
              <w:rPr>
                <w:rFonts w:ascii="Arial" w:cs="Arial" w:eastAsia="Arial" w:hAnsi="Arial"/>
                <w:sz w:val="16"/>
                <w:szCs w:val="16"/>
                <w:color w:val="auto"/>
              </w:rPr>
              <w:t>Direct</w:t>
            </w: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36.1</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38.9</w:t>
            </w:r>
          </w:p>
        </w:tc>
        <w:tc>
          <w:tcPr>
            <w:tcW w:w="3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(1.7)</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73.3</w:t>
            </w:r>
          </w:p>
        </w:tc>
      </w:tr>
      <w:tr>
        <w:trPr>
          <w:trHeight w:val="189"/>
        </w:trPr>
        <w:tc>
          <w:tcPr>
            <w:tcW w:w="4100" w:type="dxa"/>
            <w:vAlign w:val="bottom"/>
            <w:shd w:val="clear" w:color="auto" w:fill="CFF0FC"/>
          </w:tcPr>
          <w:p>
            <w:pPr>
              <w:ind w:left="100"/>
              <w:spacing w:after="0"/>
              <w:rPr>
                <w:sz w:val="20"/>
                <w:szCs w:val="20"/>
                <w:color w:val="auto"/>
              </w:rPr>
            </w:pPr>
            <w:r>
              <w:rPr>
                <w:rFonts w:ascii="Arial" w:cs="Arial" w:eastAsia="Arial" w:hAnsi="Arial"/>
                <w:sz w:val="16"/>
                <w:szCs w:val="16"/>
                <w:color w:val="auto"/>
              </w:rPr>
              <w:t>Allocated</w:t>
            </w:r>
          </w:p>
        </w:tc>
        <w:tc>
          <w:tcPr>
            <w:tcW w:w="4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33.1</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41.2</w:t>
            </w:r>
          </w:p>
        </w:tc>
        <w:tc>
          <w:tcPr>
            <w:tcW w:w="360" w:type="dxa"/>
            <w:vAlign w:val="bottom"/>
            <w:shd w:val="clear" w:color="auto" w:fill="CFF0FC"/>
          </w:tcPr>
          <w:p>
            <w:pPr>
              <w:spacing w:after="0"/>
              <w:rPr>
                <w:sz w:val="16"/>
                <w:szCs w:val="16"/>
                <w:color w:val="auto"/>
              </w:rPr>
            </w:pPr>
          </w:p>
        </w:tc>
        <w:tc>
          <w:tcPr>
            <w:tcW w:w="13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74.3</w:t>
            </w:r>
          </w:p>
        </w:tc>
      </w:tr>
      <w:tr>
        <w:trPr>
          <w:trHeight w:val="189"/>
        </w:trPr>
        <w:tc>
          <w:tcPr>
            <w:tcW w:w="410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37.5</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32.3</w:t>
            </w:r>
          </w:p>
        </w:tc>
        <w:tc>
          <w:tcPr>
            <w:tcW w:w="360" w:type="dxa"/>
            <w:vAlign w:val="bottom"/>
          </w:tcPr>
          <w:p>
            <w:pPr>
              <w:spacing w:after="0"/>
              <w:rPr>
                <w:sz w:val="16"/>
                <w:szCs w:val="16"/>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69.8</w:t>
            </w:r>
          </w:p>
        </w:tc>
      </w:tr>
      <w:tr>
        <w:trPr>
          <w:trHeight w:val="189"/>
        </w:trPr>
        <w:tc>
          <w:tcPr>
            <w:tcW w:w="4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Taxes other than income taxes</w:t>
            </w:r>
          </w:p>
        </w:tc>
        <w:tc>
          <w:tcPr>
            <w:tcW w:w="44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8.9</w:t>
            </w:r>
          </w:p>
        </w:tc>
        <w:tc>
          <w:tcPr>
            <w:tcW w:w="200" w:type="dxa"/>
            <w:vAlign w:val="bottom"/>
            <w:tcBorders>
              <w:bottom w:val="single" w:sz="8" w:color="auto"/>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13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6.2</w:t>
            </w:r>
          </w:p>
        </w:tc>
        <w:tc>
          <w:tcPr>
            <w:tcW w:w="360" w:type="dxa"/>
            <w:vAlign w:val="bottom"/>
            <w:tcBorders>
              <w:bottom w:val="single" w:sz="8" w:color="auto"/>
            </w:tcBorders>
            <w:shd w:val="clear" w:color="auto" w:fill="CFF0FC"/>
          </w:tcPr>
          <w:p>
            <w:pPr>
              <w:spacing w:after="0"/>
              <w:rPr>
                <w:sz w:val="16"/>
                <w:szCs w:val="16"/>
                <w:color w:val="auto"/>
              </w:rPr>
            </w:pPr>
          </w:p>
        </w:tc>
        <w:tc>
          <w:tcPr>
            <w:tcW w:w="13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auto"/>
            </w:tcBorders>
            <w:shd w:val="clear" w:color="auto" w:fill="CFF0FC"/>
          </w:tcPr>
          <w:p>
            <w:pPr>
              <w:spacing w:after="0"/>
              <w:rPr>
                <w:sz w:val="16"/>
                <w:szCs w:val="16"/>
                <w:color w:val="auto"/>
              </w:rPr>
            </w:pPr>
          </w:p>
        </w:tc>
        <w:tc>
          <w:tcPr>
            <w:tcW w:w="340" w:type="dxa"/>
            <w:vAlign w:val="bottom"/>
            <w:tcBorders>
              <w:bottom w:val="single" w:sz="8" w:color="auto"/>
            </w:tcBorders>
            <w:shd w:val="clear" w:color="auto" w:fill="CFF0FC"/>
          </w:tcPr>
          <w:p>
            <w:pPr>
              <w:spacing w:after="0"/>
              <w:rPr>
                <w:sz w:val="16"/>
                <w:szCs w:val="16"/>
                <w:color w:val="auto"/>
              </w:rPr>
            </w:pPr>
          </w:p>
        </w:tc>
        <w:tc>
          <w:tcPr>
            <w:tcW w:w="13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15.1</w:t>
            </w:r>
          </w:p>
        </w:tc>
      </w:tr>
      <w:tr>
        <w:trPr>
          <w:trHeight w:val="183"/>
        </w:trPr>
        <w:tc>
          <w:tcPr>
            <w:tcW w:w="4100" w:type="dxa"/>
            <w:vAlign w:val="bottom"/>
          </w:tcPr>
          <w:p>
            <w:pPr>
              <w:ind w:left="100"/>
              <w:spacing w:after="0" w:line="183" w:lineRule="exact"/>
              <w:rPr>
                <w:sz w:val="20"/>
                <w:szCs w:val="20"/>
                <w:color w:val="auto"/>
              </w:rPr>
            </w:pPr>
            <w:r>
              <w:rPr>
                <w:rFonts w:ascii="Arial" w:cs="Arial" w:eastAsia="Arial" w:hAnsi="Arial"/>
                <w:sz w:val="16"/>
                <w:szCs w:val="16"/>
                <w:color w:val="auto"/>
              </w:rPr>
              <w:t>Operating income (loss)</w:t>
            </w:r>
          </w:p>
        </w:tc>
        <w:tc>
          <w:tcPr>
            <w:tcW w:w="660" w:type="dxa"/>
            <w:vAlign w:val="bottom"/>
            <w:gridSpan w:val="2"/>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300" w:type="dxa"/>
            <w:vAlign w:val="bottom"/>
          </w:tcPr>
          <w:p>
            <w:pPr>
              <w:jc w:val="right"/>
              <w:spacing w:after="0" w:line="183" w:lineRule="exact"/>
              <w:rPr>
                <w:sz w:val="20"/>
                <w:szCs w:val="20"/>
                <w:color w:val="auto"/>
              </w:rPr>
            </w:pPr>
            <w:r>
              <w:rPr>
                <w:rFonts w:ascii="Arial" w:cs="Arial" w:eastAsia="Arial" w:hAnsi="Arial"/>
                <w:sz w:val="16"/>
                <w:szCs w:val="16"/>
                <w:color w:val="auto"/>
              </w:rPr>
              <w:t>49.0</w:t>
            </w:r>
          </w:p>
        </w:tc>
        <w:tc>
          <w:tcPr>
            <w:tcW w:w="20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1380" w:type="dxa"/>
            <w:vAlign w:val="bottom"/>
          </w:tcPr>
          <w:p>
            <w:pPr>
              <w:jc w:val="right"/>
              <w:ind w:right="19"/>
              <w:spacing w:after="0" w:line="183" w:lineRule="exact"/>
              <w:rPr>
                <w:sz w:val="20"/>
                <w:szCs w:val="20"/>
                <w:color w:val="auto"/>
              </w:rPr>
            </w:pPr>
            <w:r>
              <w:rPr>
                <w:rFonts w:ascii="Arial" w:cs="Arial" w:eastAsia="Arial" w:hAnsi="Arial"/>
                <w:sz w:val="16"/>
                <w:szCs w:val="16"/>
                <w:color w:val="auto"/>
              </w:rPr>
              <w:t>35.5</w:t>
            </w:r>
          </w:p>
        </w:tc>
        <w:tc>
          <w:tcPr>
            <w:tcW w:w="360" w:type="dxa"/>
            <w:vAlign w:val="bottom"/>
          </w:tcPr>
          <w:p>
            <w:pPr>
              <w:jc w:val="right"/>
              <w:ind w:right="179"/>
              <w:spacing w:after="0" w:line="183" w:lineRule="exact"/>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line="183" w:lineRule="exact"/>
              <w:rPr>
                <w:sz w:val="20"/>
                <w:szCs w:val="20"/>
                <w:color w:val="auto"/>
              </w:rPr>
            </w:pPr>
            <w:r>
              <w:rPr>
                <w:rFonts w:ascii="Arial" w:cs="Arial" w:eastAsia="Arial" w:hAnsi="Arial"/>
                <w:sz w:val="16"/>
                <w:szCs w:val="16"/>
                <w:color w:val="auto"/>
              </w:rPr>
              <w:t>(2.0)</w:t>
            </w:r>
          </w:p>
        </w:tc>
        <w:tc>
          <w:tcPr>
            <w:tcW w:w="360" w:type="dxa"/>
            <w:vAlign w:val="bottom"/>
            <w:gridSpan w:val="2"/>
          </w:tcPr>
          <w:p>
            <w:pPr>
              <w:jc w:val="right"/>
              <w:ind w:right="260"/>
              <w:spacing w:after="0" w:line="183" w:lineRule="exact"/>
              <w:rPr>
                <w:sz w:val="20"/>
                <w:szCs w:val="20"/>
                <w:color w:val="auto"/>
              </w:rPr>
            </w:pPr>
            <w:r>
              <w:rPr>
                <w:rFonts w:ascii="Arial" w:cs="Arial" w:eastAsia="Arial" w:hAnsi="Arial"/>
                <w:sz w:val="16"/>
                <w:szCs w:val="16"/>
                <w:color w:val="auto"/>
                <w:w w:val="89"/>
              </w:rPr>
              <w:t>$</w:t>
            </w:r>
          </w:p>
        </w:tc>
        <w:tc>
          <w:tcPr>
            <w:tcW w:w="1320" w:type="dxa"/>
            <w:vAlign w:val="bottom"/>
          </w:tcPr>
          <w:p>
            <w:pPr>
              <w:jc w:val="right"/>
              <w:ind w:right="39"/>
              <w:spacing w:after="0" w:line="183" w:lineRule="exact"/>
              <w:rPr>
                <w:sz w:val="20"/>
                <w:szCs w:val="20"/>
                <w:color w:val="auto"/>
              </w:rPr>
            </w:pPr>
            <w:r>
              <w:rPr>
                <w:rFonts w:ascii="Arial" w:cs="Arial" w:eastAsia="Arial" w:hAnsi="Arial"/>
                <w:sz w:val="16"/>
                <w:szCs w:val="16"/>
                <w:color w:val="auto"/>
              </w:rPr>
              <w:t>82.5</w:t>
            </w:r>
          </w:p>
        </w:tc>
      </w:tr>
      <w:tr>
        <w:trPr>
          <w:trHeight w:val="183"/>
        </w:trPr>
        <w:tc>
          <w:tcPr>
            <w:tcW w:w="410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1300" w:type="dxa"/>
            <w:vAlign w:val="bottom"/>
            <w:tcBorders>
              <w:top w:val="single" w:sz="8" w:color="auto"/>
            </w:tcBorders>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1380" w:type="dxa"/>
            <w:vAlign w:val="bottom"/>
            <w:tcBorders>
              <w:top w:val="single" w:sz="8" w:color="auto"/>
            </w:tcBorders>
            <w:shd w:val="clear" w:color="auto" w:fill="CFF0FC"/>
          </w:tcPr>
          <w:p>
            <w:pPr>
              <w:spacing w:after="0"/>
              <w:rPr>
                <w:sz w:val="15"/>
                <w:szCs w:val="15"/>
                <w:color w:val="auto"/>
              </w:rPr>
            </w:pPr>
          </w:p>
        </w:tc>
        <w:tc>
          <w:tcPr>
            <w:tcW w:w="360" w:type="dxa"/>
            <w:vAlign w:val="bottom"/>
            <w:tcBorders>
              <w:top w:val="single" w:sz="8" w:color="auto"/>
            </w:tcBorders>
            <w:shd w:val="clear" w:color="auto" w:fill="CFF0FC"/>
          </w:tcPr>
          <w:p>
            <w:pPr>
              <w:spacing w:after="0"/>
              <w:rPr>
                <w:sz w:val="15"/>
                <w:szCs w:val="15"/>
                <w:color w:val="auto"/>
              </w:rPr>
            </w:pPr>
          </w:p>
        </w:tc>
        <w:tc>
          <w:tcPr>
            <w:tcW w:w="1300" w:type="dxa"/>
            <w:vAlign w:val="bottom"/>
            <w:tcBorders>
              <w:top w:val="single" w:sz="8" w:color="auto"/>
            </w:tcBorders>
            <w:shd w:val="clear" w:color="auto" w:fill="CFF0FC"/>
          </w:tcPr>
          <w:p>
            <w:pPr>
              <w:spacing w:after="0"/>
              <w:rPr>
                <w:sz w:val="15"/>
                <w:szCs w:val="15"/>
                <w:color w:val="auto"/>
              </w:rPr>
            </w:pPr>
          </w:p>
        </w:tc>
        <w:tc>
          <w:tcPr>
            <w:tcW w:w="20" w:type="dxa"/>
            <w:vAlign w:val="bottom"/>
            <w:tcBorders>
              <w:top w:val="single" w:sz="8" w:color="auto"/>
            </w:tcBorders>
            <w:shd w:val="clear" w:color="auto" w:fill="CFF0FC"/>
          </w:tcPr>
          <w:p>
            <w:pPr>
              <w:spacing w:after="0"/>
              <w:rPr>
                <w:sz w:val="15"/>
                <w:szCs w:val="15"/>
                <w:color w:val="auto"/>
              </w:rPr>
            </w:pPr>
          </w:p>
        </w:tc>
        <w:tc>
          <w:tcPr>
            <w:tcW w:w="340" w:type="dxa"/>
            <w:vAlign w:val="bottom"/>
            <w:tcBorders>
              <w:top w:val="single" w:sz="8" w:color="auto"/>
            </w:tcBorders>
            <w:shd w:val="clear" w:color="auto" w:fill="CFF0FC"/>
          </w:tcPr>
          <w:p>
            <w:pPr>
              <w:spacing w:after="0"/>
              <w:rPr>
                <w:sz w:val="15"/>
                <w:szCs w:val="15"/>
                <w:color w:val="auto"/>
              </w:rPr>
            </w:pPr>
          </w:p>
        </w:tc>
        <w:tc>
          <w:tcPr>
            <w:tcW w:w="1320" w:type="dxa"/>
            <w:vAlign w:val="bottom"/>
            <w:tcBorders>
              <w:top w:val="single" w:sz="8" w:color="auto"/>
            </w:tcBorders>
            <w:shd w:val="clear" w:color="auto" w:fill="CFF0FC"/>
          </w:tcPr>
          <w:p>
            <w:pPr>
              <w:spacing w:after="0"/>
              <w:rPr>
                <w:sz w:val="15"/>
                <w:szCs w:val="15"/>
                <w:color w:val="auto"/>
              </w:rPr>
            </w:pPr>
          </w:p>
        </w:tc>
      </w:tr>
      <w:tr>
        <w:trPr>
          <w:trHeight w:val="189"/>
        </w:trPr>
        <w:tc>
          <w:tcPr>
            <w:tcW w:w="4100" w:type="dxa"/>
            <w:vAlign w:val="bottom"/>
          </w:tcPr>
          <w:p>
            <w:pPr>
              <w:spacing w:after="0"/>
              <w:rPr>
                <w:sz w:val="20"/>
                <w:szCs w:val="20"/>
                <w:color w:val="auto"/>
              </w:rPr>
            </w:pPr>
            <w:r>
              <w:rPr>
                <w:rFonts w:ascii="Arial" w:cs="Arial" w:eastAsia="Arial" w:hAnsi="Arial"/>
                <w:sz w:val="16"/>
                <w:szCs w:val="16"/>
                <w:color w:val="auto"/>
              </w:rPr>
              <w:t>Interest expense, net</w:t>
            </w: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(48.9)</w:t>
            </w:r>
          </w:p>
        </w:tc>
      </w:tr>
      <w:tr>
        <w:trPr>
          <w:trHeight w:val="189"/>
        </w:trPr>
        <w:tc>
          <w:tcPr>
            <w:tcW w:w="4100" w:type="dxa"/>
            <w:vAlign w:val="bottom"/>
            <w:shd w:val="clear" w:color="auto" w:fill="CFF0FC"/>
          </w:tcPr>
          <w:p>
            <w:pPr>
              <w:spacing w:after="0"/>
              <w:rPr>
                <w:sz w:val="20"/>
                <w:szCs w:val="20"/>
                <w:color w:val="auto"/>
              </w:rPr>
            </w:pPr>
            <w:r>
              <w:rPr>
                <w:rFonts w:ascii="Arial" w:cs="Arial" w:eastAsia="Arial" w:hAnsi="Arial"/>
                <w:sz w:val="16"/>
                <w:szCs w:val="16"/>
                <w:color w:val="auto"/>
              </w:rPr>
              <w:t>Other income (expense), net</w:t>
            </w:r>
          </w:p>
        </w:tc>
        <w:tc>
          <w:tcPr>
            <w:tcW w:w="4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(0.4)</w:t>
            </w:r>
          </w:p>
        </w:tc>
      </w:tr>
      <w:tr>
        <w:trPr>
          <w:trHeight w:val="189"/>
        </w:trPr>
        <w:tc>
          <w:tcPr>
            <w:tcW w:w="4100" w:type="dxa"/>
            <w:vAlign w:val="bottom"/>
          </w:tcPr>
          <w:p>
            <w:pPr>
              <w:spacing w:after="0"/>
              <w:rPr>
                <w:sz w:val="20"/>
                <w:szCs w:val="20"/>
                <w:color w:val="auto"/>
              </w:rPr>
            </w:pPr>
            <w:r>
              <w:rPr>
                <w:rFonts w:ascii="Arial" w:cs="Arial" w:eastAsia="Arial" w:hAnsi="Arial"/>
                <w:sz w:val="16"/>
                <w:szCs w:val="16"/>
                <w:color w:val="auto"/>
              </w:rPr>
              <w:t>Income tax (expense)</w:t>
            </w: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r>
      <w:tr>
        <w:trPr>
          <w:trHeight w:val="183"/>
        </w:trPr>
        <w:tc>
          <w:tcPr>
            <w:tcW w:w="4100" w:type="dxa"/>
            <w:vAlign w:val="bottom"/>
            <w:shd w:val="clear" w:color="auto" w:fill="CFF0FC"/>
          </w:tcPr>
          <w:p>
            <w:pPr>
              <w:ind w:left="100"/>
              <w:spacing w:after="0" w:line="183" w:lineRule="exact"/>
              <w:rPr>
                <w:sz w:val="20"/>
                <w:szCs w:val="20"/>
                <w:color w:val="auto"/>
              </w:rPr>
            </w:pPr>
            <w:r>
              <w:rPr>
                <w:rFonts w:ascii="Arial" w:cs="Arial" w:eastAsia="Arial" w:hAnsi="Arial"/>
                <w:sz w:val="16"/>
                <w:szCs w:val="16"/>
                <w:color w:val="auto"/>
              </w:rPr>
              <w:t>Net income</w:t>
            </w:r>
          </w:p>
        </w:tc>
        <w:tc>
          <w:tcPr>
            <w:tcW w:w="4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28.8</w:t>
            </w:r>
          </w:p>
        </w:tc>
      </w:tr>
      <w:tr>
        <w:trPr>
          <w:trHeight w:val="189"/>
        </w:trPr>
        <w:tc>
          <w:tcPr>
            <w:tcW w:w="4100" w:type="dxa"/>
            <w:vAlign w:val="bottom"/>
          </w:tcPr>
          <w:p>
            <w:pPr>
              <w:spacing w:after="0"/>
              <w:rPr>
                <w:sz w:val="20"/>
                <w:szCs w:val="20"/>
                <w:color w:val="auto"/>
              </w:rPr>
            </w:pPr>
            <w:r>
              <w:rPr>
                <w:rFonts w:ascii="Arial" w:cs="Arial" w:eastAsia="Arial" w:hAnsi="Arial"/>
                <w:sz w:val="16"/>
                <w:szCs w:val="16"/>
                <w:color w:val="auto"/>
              </w:rPr>
              <w:t>Net income attributable to non-controlling interest</w:t>
            </w: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r>
      <w:tr>
        <w:trPr>
          <w:trHeight w:val="183"/>
        </w:trPr>
        <w:tc>
          <w:tcPr>
            <w:tcW w:w="4100" w:type="dxa"/>
            <w:vAlign w:val="bottom"/>
            <w:shd w:val="clear" w:color="auto" w:fill="CFF0FC"/>
          </w:tcPr>
          <w:p>
            <w:pPr>
              <w:ind w:left="100"/>
              <w:spacing w:after="0" w:line="183" w:lineRule="exact"/>
              <w:rPr>
                <w:sz w:val="20"/>
                <w:szCs w:val="20"/>
                <w:color w:val="auto"/>
              </w:rPr>
            </w:pPr>
            <w:r>
              <w:rPr>
                <w:rFonts w:ascii="Arial" w:cs="Arial" w:eastAsia="Arial" w:hAnsi="Arial"/>
                <w:sz w:val="16"/>
                <w:szCs w:val="16"/>
                <w:color w:val="auto"/>
              </w:rPr>
              <w:t>Net income available for common stock</w:t>
            </w:r>
          </w:p>
        </w:tc>
        <w:tc>
          <w:tcPr>
            <w:tcW w:w="4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360" w:type="dxa"/>
            <w:vAlign w:val="bottom"/>
            <w:gridSpan w:val="2"/>
            <w:shd w:val="clear" w:color="auto" w:fill="CFF0FC"/>
          </w:tcPr>
          <w:p>
            <w:pPr>
              <w:jc w:val="right"/>
              <w:ind w:right="260"/>
              <w:spacing w:after="0" w:line="183" w:lineRule="exact"/>
              <w:rPr>
                <w:sz w:val="20"/>
                <w:szCs w:val="20"/>
                <w:color w:val="auto"/>
              </w:rPr>
            </w:pPr>
            <w:r>
              <w:rPr>
                <w:rFonts w:ascii="Arial" w:cs="Arial" w:eastAsia="Arial" w:hAnsi="Arial"/>
                <w:sz w:val="16"/>
                <w:szCs w:val="16"/>
                <w:color w:val="auto"/>
                <w:w w:val="89"/>
              </w:rPr>
              <w:t>$</w:t>
            </w:r>
          </w:p>
        </w:tc>
        <w:tc>
          <w:tcPr>
            <w:tcW w:w="132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27.5</w:t>
            </w:r>
          </w:p>
        </w:tc>
      </w:tr>
      <w:tr>
        <w:trPr>
          <w:trHeight w:val="371"/>
        </w:trPr>
        <w:tc>
          <w:tcPr>
            <w:tcW w:w="4100" w:type="dxa"/>
            <w:vAlign w:val="bottom"/>
            <w:tcBorders>
              <w:top w:val="single" w:sz="8" w:color="CFF0FC"/>
            </w:tcBorders>
          </w:tcPr>
          <w:p>
            <w:pPr>
              <w:spacing w:after="0"/>
              <w:rPr>
                <w:sz w:val="24"/>
                <w:szCs w:val="24"/>
                <w:color w:val="auto"/>
              </w:rPr>
            </w:pPr>
          </w:p>
        </w:tc>
        <w:tc>
          <w:tcPr>
            <w:tcW w:w="440" w:type="dxa"/>
            <w:vAlign w:val="bottom"/>
            <w:tcBorders>
              <w:top w:val="single" w:sz="8" w:color="CFF0FC"/>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20" w:type="dxa"/>
            <w:vAlign w:val="bottom"/>
            <w:tcBorders>
              <w:top w:val="single" w:sz="8" w:color="CFF0FC"/>
              <w:bottom w:val="single" w:sz="8" w:color="auto"/>
            </w:tcBorders>
          </w:tcPr>
          <w:p>
            <w:pPr>
              <w:spacing w:after="0"/>
              <w:rPr>
                <w:sz w:val="24"/>
                <w:szCs w:val="24"/>
                <w:color w:val="auto"/>
              </w:rPr>
            </w:pPr>
          </w:p>
        </w:tc>
        <w:tc>
          <w:tcPr>
            <w:tcW w:w="1300" w:type="dxa"/>
            <w:vAlign w:val="bottom"/>
            <w:tcBorders>
              <w:top w:val="single" w:sz="8" w:color="CFF0FC"/>
              <w:bottom w:val="single" w:sz="8" w:color="auto"/>
            </w:tcBorders>
          </w:tcPr>
          <w:p>
            <w:pPr>
              <w:spacing w:after="0"/>
              <w:rPr>
                <w:sz w:val="24"/>
                <w:szCs w:val="24"/>
                <w:color w:val="auto"/>
              </w:rPr>
            </w:pPr>
          </w:p>
        </w:tc>
        <w:tc>
          <w:tcPr>
            <w:tcW w:w="200" w:type="dxa"/>
            <w:vAlign w:val="bottom"/>
            <w:tcBorders>
              <w:top w:val="single" w:sz="8" w:color="CFF0FC"/>
              <w:bottom w:val="single" w:sz="8" w:color="auto"/>
            </w:tcBorders>
          </w:tcPr>
          <w:p>
            <w:pPr>
              <w:spacing w:after="0"/>
              <w:rPr>
                <w:sz w:val="24"/>
                <w:szCs w:val="24"/>
                <w:color w:val="auto"/>
              </w:rPr>
            </w:pPr>
          </w:p>
        </w:tc>
        <w:tc>
          <w:tcPr>
            <w:tcW w:w="140" w:type="dxa"/>
            <w:vAlign w:val="bottom"/>
            <w:tcBorders>
              <w:top w:val="single" w:sz="8" w:color="CFF0FC"/>
              <w:bottom w:val="single" w:sz="8" w:color="auto"/>
            </w:tcBorders>
          </w:tcPr>
          <w:p>
            <w:pPr>
              <w:spacing w:after="0"/>
              <w:rPr>
                <w:sz w:val="24"/>
                <w:szCs w:val="24"/>
                <w:color w:val="auto"/>
              </w:rPr>
            </w:pPr>
          </w:p>
        </w:tc>
        <w:tc>
          <w:tcPr>
            <w:tcW w:w="3040" w:type="dxa"/>
            <w:vAlign w:val="bottom"/>
            <w:tcBorders>
              <w:top w:val="single" w:sz="8" w:color="CFF0FC"/>
              <w:bottom w:val="single" w:sz="8" w:color="auto"/>
            </w:tcBorders>
            <w:gridSpan w:val="3"/>
          </w:tcPr>
          <w:p>
            <w:pPr>
              <w:ind w:left="160"/>
              <w:spacing w:after="0"/>
              <w:rPr>
                <w:sz w:val="20"/>
                <w:szCs w:val="20"/>
                <w:color w:val="auto"/>
              </w:rPr>
            </w:pPr>
            <w:r>
              <w:rPr>
                <w:rFonts w:ascii="Arial" w:cs="Arial" w:eastAsia="Arial" w:hAnsi="Arial"/>
                <w:sz w:val="16"/>
                <w:szCs w:val="16"/>
                <w:b w:val="1"/>
                <w:bCs w:val="1"/>
                <w:color w:val="auto"/>
              </w:rPr>
              <w:t>Consolidating Income Statement</w:t>
            </w:r>
          </w:p>
        </w:tc>
        <w:tc>
          <w:tcPr>
            <w:tcW w:w="20" w:type="dxa"/>
            <w:vAlign w:val="bottom"/>
            <w:tcBorders>
              <w:top w:val="single" w:sz="8" w:color="CFF0FC"/>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320" w:type="dxa"/>
            <w:vAlign w:val="bottom"/>
            <w:tcBorders>
              <w:top w:val="single" w:sz="8" w:color="auto"/>
              <w:bottom w:val="single" w:sz="8" w:color="auto"/>
            </w:tcBorders>
          </w:tcPr>
          <w:p>
            <w:pPr>
              <w:spacing w:after="0"/>
              <w:rPr>
                <w:sz w:val="24"/>
                <w:szCs w:val="24"/>
                <w:color w:val="auto"/>
              </w:rPr>
            </w:pPr>
          </w:p>
        </w:tc>
      </w:tr>
      <w:tr>
        <w:trPr>
          <w:trHeight w:val="168"/>
        </w:trPr>
        <w:tc>
          <w:tcPr>
            <w:tcW w:w="4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tcPr>
          <w:p>
            <w:pPr>
              <w:jc w:val="right"/>
              <w:ind w:right="379"/>
              <w:spacing w:after="0" w:line="168" w:lineRule="exact"/>
              <w:rPr>
                <w:sz w:val="20"/>
                <w:szCs w:val="20"/>
                <w:color w:val="auto"/>
              </w:rPr>
            </w:pPr>
            <w:r>
              <w:rPr>
                <w:rFonts w:ascii="Arial" w:cs="Arial" w:eastAsia="Arial" w:hAnsi="Arial"/>
                <w:sz w:val="16"/>
                <w:szCs w:val="16"/>
                <w:b w:val="1"/>
                <w:bCs w:val="1"/>
                <w:color w:val="auto"/>
              </w:rPr>
              <w:t>Corporate</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203"/>
        </w:trPr>
        <w:tc>
          <w:tcPr>
            <w:tcW w:w="41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Three Months Ended June 30, 2024</w:t>
            </w:r>
          </w:p>
        </w:tc>
        <w:tc>
          <w:tcPr>
            <w:tcW w:w="4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Electric Utilities</w:t>
            </w:r>
          </w:p>
        </w:tc>
        <w:tc>
          <w:tcPr>
            <w:tcW w:w="2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Gas Utilities</w:t>
            </w:r>
          </w:p>
        </w:tc>
        <w:tc>
          <w:tcPr>
            <w:tcW w:w="3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and Other</w:t>
            </w:r>
          </w:p>
        </w:tc>
        <w:tc>
          <w:tcPr>
            <w:tcW w:w="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Total</w:t>
            </w:r>
          </w:p>
        </w:tc>
      </w:tr>
      <w:tr>
        <w:trPr>
          <w:trHeight w:val="183"/>
        </w:trPr>
        <w:tc>
          <w:tcPr>
            <w:tcW w:w="4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040" w:type="dxa"/>
            <w:vAlign w:val="bottom"/>
            <w:tcBorders>
              <w:bottom w:val="single" w:sz="8" w:color="auto"/>
            </w:tcBorders>
            <w:gridSpan w:val="3"/>
          </w:tcPr>
          <w:p>
            <w:pPr>
              <w:jc w:val="right"/>
              <w:ind w:right="1139"/>
              <w:spacing w:after="0" w:line="183" w:lineRule="exact"/>
              <w:rPr>
                <w:sz w:val="20"/>
                <w:szCs w:val="20"/>
                <w:color w:val="auto"/>
              </w:rPr>
            </w:pPr>
            <w:r>
              <w:rPr>
                <w:rFonts w:ascii="Arial" w:cs="Arial" w:eastAsia="Arial" w:hAnsi="Arial"/>
                <w:sz w:val="16"/>
                <w:szCs w:val="16"/>
                <w:color w:val="auto"/>
              </w:rPr>
              <w:t>(in millions)</w:t>
            </w:r>
          </w:p>
        </w:tc>
        <w:tc>
          <w:tcPr>
            <w:tcW w:w="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r>
      <w:tr>
        <w:trPr>
          <w:trHeight w:val="183"/>
        </w:trPr>
        <w:tc>
          <w:tcPr>
            <w:tcW w:w="41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Revenue -</w:t>
            </w:r>
          </w:p>
        </w:tc>
        <w:tc>
          <w:tcPr>
            <w:tcW w:w="4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r>
      <w:tr>
        <w:trPr>
          <w:trHeight w:val="189"/>
        </w:trPr>
        <w:tc>
          <w:tcPr>
            <w:tcW w:w="4100" w:type="dxa"/>
            <w:vAlign w:val="bottom"/>
          </w:tcPr>
          <w:p>
            <w:pPr>
              <w:ind w:left="100"/>
              <w:spacing w:after="0"/>
              <w:rPr>
                <w:sz w:val="20"/>
                <w:szCs w:val="20"/>
                <w:color w:val="auto"/>
              </w:rPr>
            </w:pPr>
            <w:r>
              <w:rPr>
                <w:rFonts w:ascii="Arial" w:cs="Arial" w:eastAsia="Arial" w:hAnsi="Arial"/>
                <w:sz w:val="16"/>
                <w:szCs w:val="16"/>
                <w:color w:val="auto"/>
              </w:rPr>
              <w:t>External Customers</w:t>
            </w:r>
          </w:p>
        </w:tc>
        <w:tc>
          <w:tcPr>
            <w:tcW w:w="78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202.1</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200.5</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60" w:type="dxa"/>
            <w:vAlign w:val="bottom"/>
            <w:gridSpan w:val="2"/>
          </w:tcPr>
          <w:p>
            <w:pPr>
              <w:jc w:val="right"/>
              <w:ind w:right="260"/>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402.6</w:t>
            </w:r>
          </w:p>
        </w:tc>
      </w:tr>
      <w:tr>
        <w:trPr>
          <w:trHeight w:val="189"/>
        </w:trPr>
        <w:tc>
          <w:tcPr>
            <w:tcW w:w="410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6"/>
                <w:szCs w:val="16"/>
                <w:color w:val="auto"/>
              </w:rPr>
              <w:t>Inter-segment</w:t>
            </w:r>
          </w:p>
        </w:tc>
        <w:tc>
          <w:tcPr>
            <w:tcW w:w="44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5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3.0</w:t>
            </w:r>
          </w:p>
        </w:tc>
        <w:tc>
          <w:tcPr>
            <w:tcW w:w="140" w:type="dxa"/>
            <w:vAlign w:val="bottom"/>
            <w:tcBorders>
              <w:bottom w:val="single" w:sz="8" w:color="auto"/>
            </w:tcBorders>
            <w:shd w:val="clear" w:color="auto" w:fill="CFF0FC"/>
          </w:tcPr>
          <w:p>
            <w:pPr>
              <w:spacing w:after="0"/>
              <w:rPr>
                <w:sz w:val="16"/>
                <w:szCs w:val="16"/>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w:t>
            </w:r>
          </w:p>
        </w:tc>
        <w:tc>
          <w:tcPr>
            <w:tcW w:w="360" w:type="dxa"/>
            <w:vAlign w:val="bottom"/>
            <w:tcBorders>
              <w:bottom w:val="single" w:sz="8" w:color="auto"/>
            </w:tcBorders>
            <w:shd w:val="clear" w:color="auto" w:fill="CFF0FC"/>
          </w:tcPr>
          <w:p>
            <w:pPr>
              <w:spacing w:after="0"/>
              <w:rPr>
                <w:sz w:val="16"/>
                <w:szCs w:val="16"/>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(4.5)</w:t>
            </w:r>
          </w:p>
        </w:tc>
        <w:tc>
          <w:tcPr>
            <w:tcW w:w="20" w:type="dxa"/>
            <w:vAlign w:val="bottom"/>
            <w:tcBorders>
              <w:bottom w:val="single" w:sz="8" w:color="auto"/>
            </w:tcBorders>
            <w:shd w:val="clear" w:color="auto" w:fill="CFF0FC"/>
          </w:tcPr>
          <w:p>
            <w:pPr>
              <w:spacing w:after="0"/>
              <w:rPr>
                <w:sz w:val="16"/>
                <w:szCs w:val="16"/>
                <w:color w:val="auto"/>
              </w:rPr>
            </w:pPr>
          </w:p>
        </w:tc>
        <w:tc>
          <w:tcPr>
            <w:tcW w:w="340" w:type="dxa"/>
            <w:vAlign w:val="bottom"/>
            <w:tcBorders>
              <w:bottom w:val="single" w:sz="8" w:color="auto"/>
            </w:tcBorders>
            <w:shd w:val="clear" w:color="auto" w:fill="CFF0FC"/>
          </w:tcPr>
          <w:p>
            <w:pPr>
              <w:spacing w:after="0"/>
              <w:rPr>
                <w:sz w:val="16"/>
                <w:szCs w:val="16"/>
                <w:color w:val="auto"/>
              </w:rPr>
            </w:pPr>
          </w:p>
        </w:tc>
        <w:tc>
          <w:tcPr>
            <w:tcW w:w="13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183"/>
        </w:trPr>
        <w:tc>
          <w:tcPr>
            <w:tcW w:w="4100" w:type="dxa"/>
            <w:vAlign w:val="bottom"/>
          </w:tcPr>
          <w:p>
            <w:pPr>
              <w:spacing w:after="0" w:line="183" w:lineRule="exact"/>
              <w:rPr>
                <w:sz w:val="20"/>
                <w:szCs w:val="20"/>
                <w:color w:val="auto"/>
              </w:rPr>
            </w:pPr>
            <w:r>
              <w:rPr>
                <w:rFonts w:ascii="Arial" w:cs="Arial" w:eastAsia="Arial" w:hAnsi="Arial"/>
                <w:sz w:val="16"/>
                <w:szCs w:val="16"/>
                <w:color w:val="auto"/>
              </w:rPr>
              <w:t>Total revenue</w:t>
            </w: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2"/>
          </w:tcPr>
          <w:p>
            <w:pPr>
              <w:jc w:val="right"/>
              <w:spacing w:after="0" w:line="183" w:lineRule="exact"/>
              <w:rPr>
                <w:sz w:val="20"/>
                <w:szCs w:val="20"/>
                <w:color w:val="auto"/>
              </w:rPr>
            </w:pPr>
            <w:r>
              <w:rPr>
                <w:rFonts w:ascii="Arial" w:cs="Arial" w:eastAsia="Arial" w:hAnsi="Arial"/>
                <w:sz w:val="16"/>
                <w:szCs w:val="16"/>
                <w:color w:val="auto"/>
              </w:rPr>
              <w:t>205.1</w:t>
            </w:r>
          </w:p>
        </w:tc>
        <w:tc>
          <w:tcPr>
            <w:tcW w:w="1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202.0</w:t>
            </w:r>
          </w:p>
        </w:tc>
        <w:tc>
          <w:tcPr>
            <w:tcW w:w="3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(4.5)</w:t>
            </w:r>
          </w:p>
        </w:tc>
        <w:tc>
          <w:tcPr>
            <w:tcW w:w="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402.6</w:t>
            </w:r>
          </w:p>
        </w:tc>
      </w:tr>
      <w:tr>
        <w:trPr>
          <w:trHeight w:val="183"/>
        </w:trPr>
        <w:tc>
          <w:tcPr>
            <w:tcW w:w="410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00" w:type="dxa"/>
            <w:vAlign w:val="bottom"/>
            <w:gridSpan w:val="2"/>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r>
      <w:tr>
        <w:trPr>
          <w:trHeight w:val="189"/>
        </w:trPr>
        <w:tc>
          <w:tcPr>
            <w:tcW w:w="4100" w:type="dxa"/>
            <w:vAlign w:val="bottom"/>
          </w:tcPr>
          <w:p>
            <w:pPr>
              <w:spacing w:after="0"/>
              <w:rPr>
                <w:sz w:val="20"/>
                <w:szCs w:val="20"/>
                <w:color w:val="auto"/>
              </w:rPr>
            </w:pPr>
            <w:r>
              <w:rPr>
                <w:rFonts w:ascii="Arial" w:cs="Arial" w:eastAsia="Arial" w:hAnsi="Arial"/>
                <w:sz w:val="16"/>
                <w:szCs w:val="16"/>
                <w:color w:val="auto"/>
              </w:rPr>
              <w:t>Fuel, purchased power and cost of natural gas sold</w:t>
            </w: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45.9</w:t>
            </w: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61.3</w:t>
            </w:r>
          </w:p>
        </w:tc>
        <w:tc>
          <w:tcPr>
            <w:tcW w:w="3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(0.1)</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107.1</w:t>
            </w:r>
          </w:p>
        </w:tc>
      </w:tr>
      <w:tr>
        <w:trPr>
          <w:trHeight w:val="189"/>
        </w:trPr>
        <w:tc>
          <w:tcPr>
            <w:tcW w:w="4100" w:type="dxa"/>
            <w:vAlign w:val="bottom"/>
            <w:shd w:val="clear" w:color="auto" w:fill="CFF0FC"/>
          </w:tcPr>
          <w:p>
            <w:pPr>
              <w:spacing w:after="0" w:line="189" w:lineRule="exact"/>
              <w:rPr>
                <w:sz w:val="20"/>
                <w:szCs w:val="20"/>
                <w:color w:val="auto"/>
              </w:rPr>
            </w:pPr>
            <w:r>
              <w:rPr>
                <w:rFonts w:ascii="Arial" w:cs="Arial" w:eastAsia="Arial" w:hAnsi="Arial"/>
                <w:sz w:val="16"/>
                <w:szCs w:val="16"/>
                <w:color w:val="auto"/>
              </w:rPr>
              <w:t xml:space="preserve">Operations and maintenance </w:t>
            </w:r>
            <w:r>
              <w:rPr>
                <w:rFonts w:ascii="Arial" w:cs="Arial" w:eastAsia="Arial" w:hAnsi="Arial"/>
                <w:sz w:val="21"/>
                <w:szCs w:val="21"/>
                <w:color w:val="auto"/>
                <w:vertAlign w:val="superscript"/>
              </w:rPr>
              <w:t>(a)</w:t>
            </w:r>
            <w:r>
              <w:rPr>
                <w:rFonts w:ascii="Arial" w:cs="Arial" w:eastAsia="Arial" w:hAnsi="Arial"/>
                <w:sz w:val="16"/>
                <w:szCs w:val="16"/>
                <w:color w:val="auto"/>
              </w:rPr>
              <w:t xml:space="preserve"> -</w:t>
            </w:r>
          </w:p>
        </w:tc>
        <w:tc>
          <w:tcPr>
            <w:tcW w:w="4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r>
      <w:tr>
        <w:trPr>
          <w:trHeight w:val="189"/>
        </w:trPr>
        <w:tc>
          <w:tcPr>
            <w:tcW w:w="4100" w:type="dxa"/>
            <w:vAlign w:val="bottom"/>
          </w:tcPr>
          <w:p>
            <w:pPr>
              <w:ind w:left="100"/>
              <w:spacing w:after="0"/>
              <w:rPr>
                <w:sz w:val="20"/>
                <w:szCs w:val="20"/>
                <w:color w:val="auto"/>
              </w:rPr>
            </w:pPr>
            <w:r>
              <w:rPr>
                <w:rFonts w:ascii="Arial" w:cs="Arial" w:eastAsia="Arial" w:hAnsi="Arial"/>
                <w:sz w:val="16"/>
                <w:szCs w:val="16"/>
                <w:color w:val="auto"/>
              </w:rPr>
              <w:t>Direct</w:t>
            </w: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37.4</w:t>
            </w: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38.2</w:t>
            </w:r>
          </w:p>
        </w:tc>
        <w:tc>
          <w:tcPr>
            <w:tcW w:w="3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(5.7)</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69.9</w:t>
            </w:r>
          </w:p>
        </w:tc>
      </w:tr>
      <w:tr>
        <w:trPr>
          <w:trHeight w:val="189"/>
        </w:trPr>
        <w:tc>
          <w:tcPr>
            <w:tcW w:w="4100" w:type="dxa"/>
            <w:vAlign w:val="bottom"/>
            <w:shd w:val="clear" w:color="auto" w:fill="CFF0FC"/>
          </w:tcPr>
          <w:p>
            <w:pPr>
              <w:ind w:left="100"/>
              <w:spacing w:after="0"/>
              <w:rPr>
                <w:sz w:val="20"/>
                <w:szCs w:val="20"/>
                <w:color w:val="auto"/>
              </w:rPr>
            </w:pPr>
            <w:r>
              <w:rPr>
                <w:rFonts w:ascii="Arial" w:cs="Arial" w:eastAsia="Arial" w:hAnsi="Arial"/>
                <w:sz w:val="16"/>
                <w:szCs w:val="16"/>
                <w:color w:val="auto"/>
              </w:rPr>
              <w:t>Allocated</w:t>
            </w:r>
          </w:p>
        </w:tc>
        <w:tc>
          <w:tcPr>
            <w:tcW w:w="4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5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30.7</w:t>
            </w:r>
          </w:p>
        </w:tc>
        <w:tc>
          <w:tcPr>
            <w:tcW w:w="14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41.1</w:t>
            </w:r>
          </w:p>
        </w:tc>
        <w:tc>
          <w:tcPr>
            <w:tcW w:w="360" w:type="dxa"/>
            <w:vAlign w:val="bottom"/>
            <w:shd w:val="clear" w:color="auto" w:fill="CFF0FC"/>
          </w:tcPr>
          <w:p>
            <w:pPr>
              <w:spacing w:after="0"/>
              <w:rPr>
                <w:sz w:val="16"/>
                <w:szCs w:val="16"/>
                <w:color w:val="auto"/>
              </w:rPr>
            </w:pPr>
          </w:p>
        </w:tc>
        <w:tc>
          <w:tcPr>
            <w:tcW w:w="13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71.8</w:t>
            </w:r>
          </w:p>
        </w:tc>
      </w:tr>
      <w:tr>
        <w:trPr>
          <w:trHeight w:val="189"/>
        </w:trPr>
        <w:tc>
          <w:tcPr>
            <w:tcW w:w="410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35.5</w:t>
            </w: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31.1</w:t>
            </w:r>
          </w:p>
        </w:tc>
        <w:tc>
          <w:tcPr>
            <w:tcW w:w="360" w:type="dxa"/>
            <w:vAlign w:val="bottom"/>
          </w:tcPr>
          <w:p>
            <w:pPr>
              <w:spacing w:after="0"/>
              <w:rPr>
                <w:sz w:val="16"/>
                <w:szCs w:val="16"/>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66.6</w:t>
            </w:r>
          </w:p>
        </w:tc>
      </w:tr>
      <w:tr>
        <w:trPr>
          <w:trHeight w:val="189"/>
        </w:trPr>
        <w:tc>
          <w:tcPr>
            <w:tcW w:w="4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Taxes other than income taxes</w:t>
            </w:r>
          </w:p>
        </w:tc>
        <w:tc>
          <w:tcPr>
            <w:tcW w:w="44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5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9.3</w:t>
            </w:r>
          </w:p>
        </w:tc>
        <w:tc>
          <w:tcPr>
            <w:tcW w:w="140" w:type="dxa"/>
            <w:vAlign w:val="bottom"/>
            <w:tcBorders>
              <w:bottom w:val="single" w:sz="8" w:color="auto"/>
            </w:tcBorders>
            <w:shd w:val="clear" w:color="auto" w:fill="CFF0FC"/>
          </w:tcPr>
          <w:p>
            <w:pPr>
              <w:spacing w:after="0"/>
              <w:rPr>
                <w:sz w:val="16"/>
                <w:szCs w:val="16"/>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7.3</w:t>
            </w:r>
          </w:p>
        </w:tc>
        <w:tc>
          <w:tcPr>
            <w:tcW w:w="360" w:type="dxa"/>
            <w:vAlign w:val="bottom"/>
            <w:tcBorders>
              <w:bottom w:val="single" w:sz="8" w:color="auto"/>
            </w:tcBorders>
            <w:shd w:val="clear" w:color="auto" w:fill="CFF0FC"/>
          </w:tcPr>
          <w:p>
            <w:pPr>
              <w:spacing w:after="0"/>
              <w:rPr>
                <w:sz w:val="16"/>
                <w:szCs w:val="16"/>
                <w:color w:val="auto"/>
              </w:rPr>
            </w:pPr>
          </w:p>
        </w:tc>
        <w:tc>
          <w:tcPr>
            <w:tcW w:w="13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auto"/>
            </w:tcBorders>
            <w:shd w:val="clear" w:color="auto" w:fill="CFF0FC"/>
          </w:tcPr>
          <w:p>
            <w:pPr>
              <w:spacing w:after="0"/>
              <w:rPr>
                <w:sz w:val="16"/>
                <w:szCs w:val="16"/>
                <w:color w:val="auto"/>
              </w:rPr>
            </w:pPr>
          </w:p>
        </w:tc>
        <w:tc>
          <w:tcPr>
            <w:tcW w:w="340" w:type="dxa"/>
            <w:vAlign w:val="bottom"/>
            <w:tcBorders>
              <w:bottom w:val="single" w:sz="8" w:color="auto"/>
            </w:tcBorders>
            <w:shd w:val="clear" w:color="auto" w:fill="CFF0FC"/>
          </w:tcPr>
          <w:p>
            <w:pPr>
              <w:spacing w:after="0"/>
              <w:rPr>
                <w:sz w:val="16"/>
                <w:szCs w:val="16"/>
                <w:color w:val="auto"/>
              </w:rPr>
            </w:pPr>
          </w:p>
        </w:tc>
        <w:tc>
          <w:tcPr>
            <w:tcW w:w="13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16.6</w:t>
            </w:r>
          </w:p>
        </w:tc>
      </w:tr>
      <w:tr>
        <w:trPr>
          <w:trHeight w:val="183"/>
        </w:trPr>
        <w:tc>
          <w:tcPr>
            <w:tcW w:w="4100" w:type="dxa"/>
            <w:vAlign w:val="bottom"/>
          </w:tcPr>
          <w:p>
            <w:pPr>
              <w:ind w:left="100"/>
              <w:spacing w:after="0" w:line="183" w:lineRule="exact"/>
              <w:rPr>
                <w:sz w:val="20"/>
                <w:szCs w:val="20"/>
                <w:color w:val="auto"/>
              </w:rPr>
            </w:pPr>
            <w:r>
              <w:rPr>
                <w:rFonts w:ascii="Arial" w:cs="Arial" w:eastAsia="Arial" w:hAnsi="Arial"/>
                <w:sz w:val="16"/>
                <w:szCs w:val="16"/>
                <w:color w:val="auto"/>
              </w:rPr>
              <w:t>Operating income</w:t>
            </w:r>
          </w:p>
        </w:tc>
        <w:tc>
          <w:tcPr>
            <w:tcW w:w="780" w:type="dxa"/>
            <w:vAlign w:val="bottom"/>
            <w:gridSpan w:val="3"/>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150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46.3</w:t>
            </w:r>
          </w:p>
        </w:tc>
        <w:tc>
          <w:tcPr>
            <w:tcW w:w="14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380" w:type="dxa"/>
            <w:vAlign w:val="bottom"/>
          </w:tcPr>
          <w:p>
            <w:pPr>
              <w:jc w:val="right"/>
              <w:spacing w:after="0" w:line="183" w:lineRule="exact"/>
              <w:rPr>
                <w:sz w:val="20"/>
                <w:szCs w:val="20"/>
                <w:color w:val="auto"/>
              </w:rPr>
            </w:pPr>
            <w:r>
              <w:rPr>
                <w:rFonts w:ascii="Arial" w:cs="Arial" w:eastAsia="Arial" w:hAnsi="Arial"/>
                <w:sz w:val="16"/>
                <w:szCs w:val="16"/>
                <w:color w:val="auto"/>
              </w:rPr>
              <w:t>23.0</w:t>
            </w:r>
          </w:p>
        </w:tc>
        <w:tc>
          <w:tcPr>
            <w:tcW w:w="360" w:type="dxa"/>
            <w:vAlign w:val="bottom"/>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line="183" w:lineRule="exact"/>
              <w:rPr>
                <w:sz w:val="20"/>
                <w:szCs w:val="20"/>
                <w:color w:val="auto"/>
              </w:rPr>
            </w:pPr>
            <w:r>
              <w:rPr>
                <w:rFonts w:ascii="Arial" w:cs="Arial" w:eastAsia="Arial" w:hAnsi="Arial"/>
                <w:sz w:val="16"/>
                <w:szCs w:val="16"/>
                <w:color w:val="auto"/>
              </w:rPr>
              <w:t>1.3</w:t>
            </w:r>
          </w:p>
        </w:tc>
        <w:tc>
          <w:tcPr>
            <w:tcW w:w="360" w:type="dxa"/>
            <w:vAlign w:val="bottom"/>
            <w:gridSpan w:val="2"/>
          </w:tcPr>
          <w:p>
            <w:pPr>
              <w:jc w:val="right"/>
              <w:ind w:right="260"/>
              <w:spacing w:after="0" w:line="183" w:lineRule="exact"/>
              <w:rPr>
                <w:sz w:val="20"/>
                <w:szCs w:val="20"/>
                <w:color w:val="auto"/>
              </w:rPr>
            </w:pPr>
            <w:r>
              <w:rPr>
                <w:rFonts w:ascii="Arial" w:cs="Arial" w:eastAsia="Arial" w:hAnsi="Arial"/>
                <w:sz w:val="16"/>
                <w:szCs w:val="16"/>
                <w:color w:val="auto"/>
                <w:w w:val="89"/>
              </w:rPr>
              <w:t>$</w:t>
            </w:r>
          </w:p>
        </w:tc>
        <w:tc>
          <w:tcPr>
            <w:tcW w:w="1320" w:type="dxa"/>
            <w:vAlign w:val="bottom"/>
          </w:tcPr>
          <w:p>
            <w:pPr>
              <w:jc w:val="right"/>
              <w:ind w:right="39"/>
              <w:spacing w:after="0" w:line="183" w:lineRule="exact"/>
              <w:rPr>
                <w:sz w:val="20"/>
                <w:szCs w:val="20"/>
                <w:color w:val="auto"/>
              </w:rPr>
            </w:pPr>
            <w:r>
              <w:rPr>
                <w:rFonts w:ascii="Arial" w:cs="Arial" w:eastAsia="Arial" w:hAnsi="Arial"/>
                <w:sz w:val="16"/>
                <w:szCs w:val="16"/>
                <w:color w:val="auto"/>
              </w:rPr>
              <w:t>70.6</w:t>
            </w:r>
          </w:p>
        </w:tc>
      </w:tr>
      <w:tr>
        <w:trPr>
          <w:trHeight w:val="183"/>
        </w:trPr>
        <w:tc>
          <w:tcPr>
            <w:tcW w:w="410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1300" w:type="dxa"/>
            <w:vAlign w:val="bottom"/>
            <w:tcBorders>
              <w:top w:val="single" w:sz="8" w:color="auto"/>
            </w:tcBorders>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1380" w:type="dxa"/>
            <w:vAlign w:val="bottom"/>
            <w:tcBorders>
              <w:top w:val="single" w:sz="8" w:color="auto"/>
            </w:tcBorders>
            <w:shd w:val="clear" w:color="auto" w:fill="CFF0FC"/>
          </w:tcPr>
          <w:p>
            <w:pPr>
              <w:spacing w:after="0"/>
              <w:rPr>
                <w:sz w:val="15"/>
                <w:szCs w:val="15"/>
                <w:color w:val="auto"/>
              </w:rPr>
            </w:pPr>
          </w:p>
        </w:tc>
        <w:tc>
          <w:tcPr>
            <w:tcW w:w="360" w:type="dxa"/>
            <w:vAlign w:val="bottom"/>
            <w:tcBorders>
              <w:top w:val="single" w:sz="8" w:color="auto"/>
            </w:tcBorders>
            <w:shd w:val="clear" w:color="auto" w:fill="CFF0FC"/>
          </w:tcPr>
          <w:p>
            <w:pPr>
              <w:spacing w:after="0"/>
              <w:rPr>
                <w:sz w:val="15"/>
                <w:szCs w:val="15"/>
                <w:color w:val="auto"/>
              </w:rPr>
            </w:pPr>
          </w:p>
        </w:tc>
        <w:tc>
          <w:tcPr>
            <w:tcW w:w="1300" w:type="dxa"/>
            <w:vAlign w:val="bottom"/>
            <w:tcBorders>
              <w:top w:val="single" w:sz="8" w:color="auto"/>
            </w:tcBorders>
            <w:shd w:val="clear" w:color="auto" w:fill="CFF0FC"/>
          </w:tcPr>
          <w:p>
            <w:pPr>
              <w:spacing w:after="0"/>
              <w:rPr>
                <w:sz w:val="15"/>
                <w:szCs w:val="15"/>
                <w:color w:val="auto"/>
              </w:rPr>
            </w:pPr>
          </w:p>
        </w:tc>
        <w:tc>
          <w:tcPr>
            <w:tcW w:w="20" w:type="dxa"/>
            <w:vAlign w:val="bottom"/>
            <w:tcBorders>
              <w:top w:val="single" w:sz="8" w:color="auto"/>
            </w:tcBorders>
            <w:shd w:val="clear" w:color="auto" w:fill="CFF0FC"/>
          </w:tcPr>
          <w:p>
            <w:pPr>
              <w:spacing w:after="0"/>
              <w:rPr>
                <w:sz w:val="15"/>
                <w:szCs w:val="15"/>
                <w:color w:val="auto"/>
              </w:rPr>
            </w:pPr>
          </w:p>
        </w:tc>
        <w:tc>
          <w:tcPr>
            <w:tcW w:w="340" w:type="dxa"/>
            <w:vAlign w:val="bottom"/>
            <w:tcBorders>
              <w:top w:val="single" w:sz="8" w:color="auto"/>
            </w:tcBorders>
            <w:shd w:val="clear" w:color="auto" w:fill="CFF0FC"/>
          </w:tcPr>
          <w:p>
            <w:pPr>
              <w:spacing w:after="0"/>
              <w:rPr>
                <w:sz w:val="15"/>
                <w:szCs w:val="15"/>
                <w:color w:val="auto"/>
              </w:rPr>
            </w:pPr>
          </w:p>
        </w:tc>
        <w:tc>
          <w:tcPr>
            <w:tcW w:w="1320" w:type="dxa"/>
            <w:vAlign w:val="bottom"/>
            <w:tcBorders>
              <w:top w:val="single" w:sz="8" w:color="auto"/>
            </w:tcBorders>
            <w:shd w:val="clear" w:color="auto" w:fill="CFF0FC"/>
          </w:tcPr>
          <w:p>
            <w:pPr>
              <w:spacing w:after="0"/>
              <w:rPr>
                <w:sz w:val="15"/>
                <w:szCs w:val="15"/>
                <w:color w:val="auto"/>
              </w:rPr>
            </w:pPr>
          </w:p>
        </w:tc>
      </w:tr>
      <w:tr>
        <w:trPr>
          <w:trHeight w:val="189"/>
        </w:trPr>
        <w:tc>
          <w:tcPr>
            <w:tcW w:w="4100" w:type="dxa"/>
            <w:vAlign w:val="bottom"/>
          </w:tcPr>
          <w:p>
            <w:pPr>
              <w:spacing w:after="0"/>
              <w:rPr>
                <w:sz w:val="20"/>
                <w:szCs w:val="20"/>
                <w:color w:val="auto"/>
              </w:rPr>
            </w:pPr>
            <w:r>
              <w:rPr>
                <w:rFonts w:ascii="Arial" w:cs="Arial" w:eastAsia="Arial" w:hAnsi="Arial"/>
                <w:sz w:val="16"/>
                <w:szCs w:val="16"/>
                <w:color w:val="auto"/>
              </w:rPr>
              <w:t>Interest expense, net</w:t>
            </w: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(42.6)</w:t>
            </w:r>
          </w:p>
        </w:tc>
      </w:tr>
      <w:tr>
        <w:trPr>
          <w:trHeight w:val="189"/>
        </w:trPr>
        <w:tc>
          <w:tcPr>
            <w:tcW w:w="4100" w:type="dxa"/>
            <w:vAlign w:val="bottom"/>
            <w:shd w:val="clear" w:color="auto" w:fill="CFF0FC"/>
          </w:tcPr>
          <w:p>
            <w:pPr>
              <w:spacing w:after="0"/>
              <w:rPr>
                <w:sz w:val="20"/>
                <w:szCs w:val="20"/>
                <w:color w:val="auto"/>
              </w:rPr>
            </w:pPr>
            <w:r>
              <w:rPr>
                <w:rFonts w:ascii="Arial" w:cs="Arial" w:eastAsia="Arial" w:hAnsi="Arial"/>
                <w:sz w:val="16"/>
                <w:szCs w:val="16"/>
                <w:color w:val="auto"/>
              </w:rPr>
              <w:t>Other income (expense), net</w:t>
            </w:r>
          </w:p>
        </w:tc>
        <w:tc>
          <w:tcPr>
            <w:tcW w:w="4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0.4</w:t>
            </w:r>
          </w:p>
        </w:tc>
      </w:tr>
      <w:tr>
        <w:trPr>
          <w:trHeight w:val="189"/>
        </w:trPr>
        <w:tc>
          <w:tcPr>
            <w:tcW w:w="4100" w:type="dxa"/>
            <w:vAlign w:val="bottom"/>
          </w:tcPr>
          <w:p>
            <w:pPr>
              <w:spacing w:after="0"/>
              <w:rPr>
                <w:sz w:val="20"/>
                <w:szCs w:val="20"/>
                <w:color w:val="auto"/>
              </w:rPr>
            </w:pPr>
            <w:r>
              <w:rPr>
                <w:rFonts w:ascii="Arial" w:cs="Arial" w:eastAsia="Arial" w:hAnsi="Arial"/>
                <w:sz w:val="16"/>
                <w:szCs w:val="16"/>
                <w:color w:val="auto"/>
              </w:rPr>
              <w:t>Income tax (expense)</w:t>
            </w: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r>
      <w:tr>
        <w:trPr>
          <w:trHeight w:val="183"/>
        </w:trPr>
        <w:tc>
          <w:tcPr>
            <w:tcW w:w="4100" w:type="dxa"/>
            <w:vAlign w:val="bottom"/>
            <w:shd w:val="clear" w:color="auto" w:fill="CFF0FC"/>
          </w:tcPr>
          <w:p>
            <w:pPr>
              <w:ind w:left="100"/>
              <w:spacing w:after="0" w:line="183" w:lineRule="exact"/>
              <w:rPr>
                <w:sz w:val="20"/>
                <w:szCs w:val="20"/>
                <w:color w:val="auto"/>
              </w:rPr>
            </w:pPr>
            <w:r>
              <w:rPr>
                <w:rFonts w:ascii="Arial" w:cs="Arial" w:eastAsia="Arial" w:hAnsi="Arial"/>
                <w:sz w:val="16"/>
                <w:szCs w:val="16"/>
                <w:color w:val="auto"/>
              </w:rPr>
              <w:t>Net income</w:t>
            </w:r>
          </w:p>
        </w:tc>
        <w:tc>
          <w:tcPr>
            <w:tcW w:w="4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24.7</w:t>
            </w:r>
          </w:p>
        </w:tc>
      </w:tr>
      <w:tr>
        <w:trPr>
          <w:trHeight w:val="189"/>
        </w:trPr>
        <w:tc>
          <w:tcPr>
            <w:tcW w:w="4100" w:type="dxa"/>
            <w:vAlign w:val="bottom"/>
          </w:tcPr>
          <w:p>
            <w:pPr>
              <w:spacing w:after="0"/>
              <w:rPr>
                <w:sz w:val="20"/>
                <w:szCs w:val="20"/>
                <w:color w:val="auto"/>
              </w:rPr>
            </w:pPr>
            <w:r>
              <w:rPr>
                <w:rFonts w:ascii="Arial" w:cs="Arial" w:eastAsia="Arial" w:hAnsi="Arial"/>
                <w:sz w:val="16"/>
                <w:szCs w:val="16"/>
                <w:color w:val="auto"/>
              </w:rPr>
              <w:t>Net income attributable to non-controlling interest</w:t>
            </w: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r>
      <w:tr>
        <w:trPr>
          <w:trHeight w:val="183"/>
        </w:trPr>
        <w:tc>
          <w:tcPr>
            <w:tcW w:w="4100" w:type="dxa"/>
            <w:vAlign w:val="bottom"/>
            <w:shd w:val="clear" w:color="auto" w:fill="CFF0FC"/>
          </w:tcPr>
          <w:p>
            <w:pPr>
              <w:ind w:left="100"/>
              <w:spacing w:after="0" w:line="183" w:lineRule="exact"/>
              <w:rPr>
                <w:sz w:val="20"/>
                <w:szCs w:val="20"/>
                <w:color w:val="auto"/>
              </w:rPr>
            </w:pPr>
            <w:r>
              <w:rPr>
                <w:rFonts w:ascii="Arial" w:cs="Arial" w:eastAsia="Arial" w:hAnsi="Arial"/>
                <w:sz w:val="16"/>
                <w:szCs w:val="16"/>
                <w:color w:val="auto"/>
              </w:rPr>
              <w:t>Net income available for common stock</w:t>
            </w:r>
          </w:p>
        </w:tc>
        <w:tc>
          <w:tcPr>
            <w:tcW w:w="4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360" w:type="dxa"/>
            <w:vAlign w:val="bottom"/>
            <w:gridSpan w:val="2"/>
            <w:shd w:val="clear" w:color="auto" w:fill="CFF0FC"/>
          </w:tcPr>
          <w:p>
            <w:pPr>
              <w:jc w:val="right"/>
              <w:ind w:right="260"/>
              <w:spacing w:after="0" w:line="183" w:lineRule="exact"/>
              <w:rPr>
                <w:sz w:val="20"/>
                <w:szCs w:val="20"/>
                <w:color w:val="auto"/>
              </w:rPr>
            </w:pPr>
            <w:r>
              <w:rPr>
                <w:rFonts w:ascii="Arial" w:cs="Arial" w:eastAsia="Arial" w:hAnsi="Arial"/>
                <w:sz w:val="16"/>
                <w:szCs w:val="16"/>
                <w:color w:val="auto"/>
                <w:w w:val="89"/>
              </w:rPr>
              <w:t>$</w:t>
            </w:r>
          </w:p>
        </w:tc>
        <w:tc>
          <w:tcPr>
            <w:tcW w:w="132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22.8</w:t>
            </w:r>
          </w:p>
        </w:tc>
      </w:tr>
      <w:tr>
        <w:trPr>
          <w:trHeight w:val="410"/>
        </w:trPr>
        <w:tc>
          <w:tcPr>
            <w:tcW w:w="4100" w:type="dxa"/>
            <w:vAlign w:val="bottom"/>
            <w:tcBorders>
              <w:top w:val="single" w:sz="8" w:color="CFF0FC"/>
            </w:tcBorders>
          </w:tcPr>
          <w:p>
            <w:pPr>
              <w:spacing w:after="0"/>
              <w:rPr>
                <w:sz w:val="24"/>
                <w:szCs w:val="24"/>
                <w:color w:val="auto"/>
              </w:rPr>
            </w:pPr>
          </w:p>
        </w:tc>
        <w:tc>
          <w:tcPr>
            <w:tcW w:w="440" w:type="dxa"/>
            <w:vAlign w:val="bottom"/>
            <w:tcBorders>
              <w:top w:val="single" w:sz="8" w:color="CFF0FC"/>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300" w:type="dxa"/>
            <w:vAlign w:val="bottom"/>
            <w:tcBorders>
              <w:top w:val="single" w:sz="8" w:color="CFF0FC"/>
            </w:tcBorders>
          </w:tcPr>
          <w:p>
            <w:pPr>
              <w:jc w:val="right"/>
              <w:ind w:right="379"/>
              <w:spacing w:after="0"/>
              <w:rPr>
                <w:sz w:val="20"/>
                <w:szCs w:val="20"/>
                <w:color w:val="auto"/>
              </w:rPr>
            </w:pPr>
            <w:r>
              <w:rPr>
                <w:rFonts w:ascii="Arial" w:cs="Arial" w:eastAsia="Arial" w:hAnsi="Arial"/>
                <w:sz w:val="16"/>
                <w:szCs w:val="16"/>
                <w:color w:val="auto"/>
              </w:rPr>
              <w:t>28</w:t>
            </w:r>
          </w:p>
        </w:tc>
        <w:tc>
          <w:tcPr>
            <w:tcW w:w="20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380" w:type="dxa"/>
            <w:vAlign w:val="bottom"/>
            <w:tcBorders>
              <w:top w:val="single" w:sz="8" w:color="CFF0FC"/>
            </w:tcBorders>
          </w:tcPr>
          <w:p>
            <w:pPr>
              <w:spacing w:after="0"/>
              <w:rPr>
                <w:sz w:val="24"/>
                <w:szCs w:val="24"/>
                <w:color w:val="auto"/>
              </w:rPr>
            </w:pPr>
          </w:p>
        </w:tc>
        <w:tc>
          <w:tcPr>
            <w:tcW w:w="360" w:type="dxa"/>
            <w:vAlign w:val="bottom"/>
            <w:tcBorders>
              <w:top w:val="single" w:sz="8" w:color="CFF0FC"/>
            </w:tcBorders>
          </w:tcPr>
          <w:p>
            <w:pPr>
              <w:spacing w:after="0"/>
              <w:rPr>
                <w:sz w:val="24"/>
                <w:szCs w:val="24"/>
                <w:color w:val="auto"/>
              </w:rPr>
            </w:pPr>
          </w:p>
        </w:tc>
        <w:tc>
          <w:tcPr>
            <w:tcW w:w="1300" w:type="dxa"/>
            <w:vAlign w:val="bottom"/>
            <w:tcBorders>
              <w:top w:val="single" w:sz="8" w:color="CFF0FC"/>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r>
      <w:tr>
        <w:trPr>
          <w:trHeight w:val="751"/>
        </w:trPr>
        <w:tc>
          <w:tcPr>
            <w:tcW w:w="4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Consolidating Income Statement</w:t>
            </w:r>
          </w:p>
        </w:tc>
        <w:tc>
          <w:tcPr>
            <w:tcW w:w="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r>
      <w:tr>
        <w:trPr>
          <w:trHeight w:val="168"/>
        </w:trPr>
        <w:tc>
          <w:tcPr>
            <w:tcW w:w="4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jc w:val="right"/>
              <w:ind w:right="379"/>
              <w:spacing w:after="0" w:line="168" w:lineRule="exact"/>
              <w:rPr>
                <w:sz w:val="20"/>
                <w:szCs w:val="20"/>
                <w:color w:val="auto"/>
              </w:rPr>
            </w:pPr>
            <w:r>
              <w:rPr>
                <w:rFonts w:ascii="Arial" w:cs="Arial" w:eastAsia="Arial" w:hAnsi="Arial"/>
                <w:sz w:val="16"/>
                <w:szCs w:val="16"/>
                <w:b w:val="1"/>
                <w:bCs w:val="1"/>
                <w:color w:val="auto"/>
              </w:rPr>
              <w:t>Corporate</w:t>
            </w: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203"/>
        </w:trPr>
        <w:tc>
          <w:tcPr>
            <w:tcW w:w="47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Six Months Ended June 30, 2025</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Electric Utilities</w:t>
            </w: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Gas Utilities</w:t>
            </w:r>
          </w:p>
        </w:tc>
        <w:tc>
          <w:tcPr>
            <w:tcW w:w="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and Other</w:t>
            </w:r>
          </w:p>
        </w:tc>
        <w:tc>
          <w:tcPr>
            <w:tcW w:w="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Total</w:t>
            </w:r>
          </w:p>
        </w:tc>
      </w:tr>
      <w:tr>
        <w:trPr>
          <w:trHeight w:val="183"/>
        </w:trPr>
        <w:tc>
          <w:tcPr>
            <w:tcW w:w="4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960" w:type="dxa"/>
            <w:vAlign w:val="bottom"/>
            <w:tcBorders>
              <w:bottom w:val="single" w:sz="8" w:color="auto"/>
            </w:tcBorders>
            <w:gridSpan w:val="3"/>
          </w:tcPr>
          <w:p>
            <w:pPr>
              <w:jc w:val="right"/>
              <w:ind w:right="1139"/>
              <w:spacing w:after="0" w:line="183" w:lineRule="exact"/>
              <w:rPr>
                <w:sz w:val="20"/>
                <w:szCs w:val="20"/>
                <w:color w:val="auto"/>
              </w:rPr>
            </w:pPr>
            <w:r>
              <w:rPr>
                <w:rFonts w:ascii="Arial" w:cs="Arial" w:eastAsia="Arial" w:hAnsi="Arial"/>
                <w:sz w:val="16"/>
                <w:szCs w:val="16"/>
                <w:color w:val="auto"/>
              </w:rPr>
              <w:t>(in millions)</w:t>
            </w:r>
          </w:p>
        </w:tc>
        <w:tc>
          <w:tcPr>
            <w:tcW w:w="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r>
      <w:tr>
        <w:trPr>
          <w:trHeight w:val="183"/>
        </w:trPr>
        <w:tc>
          <w:tcPr>
            <w:tcW w:w="47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Revenue -</w:t>
            </w:r>
          </w:p>
        </w:tc>
        <w:tc>
          <w:tcPr>
            <w:tcW w:w="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40" w:type="dxa"/>
            <w:vAlign w:val="bottom"/>
            <w:tcBorders>
              <w:right w:val="single" w:sz="8" w:color="CFF0FC"/>
            </w:tcBorders>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r>
      <w:tr>
        <w:trPr>
          <w:trHeight w:val="189"/>
        </w:trPr>
        <w:tc>
          <w:tcPr>
            <w:tcW w:w="4740" w:type="dxa"/>
            <w:vAlign w:val="bottom"/>
          </w:tcPr>
          <w:p>
            <w:pPr>
              <w:ind w:left="100"/>
              <w:spacing w:after="0"/>
              <w:rPr>
                <w:sz w:val="20"/>
                <w:szCs w:val="20"/>
                <w:color w:val="auto"/>
              </w:rPr>
            </w:pPr>
            <w:r>
              <w:rPr>
                <w:rFonts w:ascii="Arial" w:cs="Arial" w:eastAsia="Arial" w:hAnsi="Arial"/>
                <w:sz w:val="16"/>
                <w:szCs w:val="16"/>
                <w:color w:val="auto"/>
              </w:rPr>
              <w:t>External Customers</w:t>
            </w:r>
          </w:p>
        </w:tc>
        <w:tc>
          <w:tcPr>
            <w:tcW w:w="1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451.8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792.4</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60" w:type="dxa"/>
            <w:vAlign w:val="bottom"/>
            <w:gridSpan w:val="2"/>
          </w:tcPr>
          <w:p>
            <w:pPr>
              <w:jc w:val="right"/>
              <w:ind w:right="260"/>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1,244.2</w:t>
            </w:r>
          </w:p>
        </w:tc>
      </w:tr>
      <w:tr>
        <w:trPr>
          <w:trHeight w:val="189"/>
        </w:trPr>
        <w:tc>
          <w:tcPr>
            <w:tcW w:w="474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6"/>
                <w:szCs w:val="16"/>
                <w:color w:val="auto"/>
              </w:rPr>
              <w:t>Inter-segment</w:t>
            </w:r>
          </w:p>
        </w:tc>
        <w:tc>
          <w:tcPr>
            <w:tcW w:w="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4.8</w:t>
            </w:r>
          </w:p>
        </w:tc>
        <w:tc>
          <w:tcPr>
            <w:tcW w:w="240" w:type="dxa"/>
            <w:vAlign w:val="bottom"/>
            <w:tcBorders>
              <w:bottom w:val="single" w:sz="8" w:color="auto"/>
            </w:tcBorders>
            <w:shd w:val="clear" w:color="auto" w:fill="CFF0FC"/>
          </w:tcPr>
          <w:p>
            <w:pPr>
              <w:spacing w:after="0"/>
              <w:rPr>
                <w:sz w:val="16"/>
                <w:szCs w:val="16"/>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w:t>
            </w:r>
          </w:p>
        </w:tc>
        <w:tc>
          <w:tcPr>
            <w:tcW w:w="260" w:type="dxa"/>
            <w:vAlign w:val="bottom"/>
            <w:tcBorders>
              <w:bottom w:val="single" w:sz="8" w:color="auto"/>
            </w:tcBorders>
            <w:shd w:val="clear" w:color="auto" w:fill="CFF0FC"/>
          </w:tcPr>
          <w:p>
            <w:pPr>
              <w:spacing w:after="0"/>
              <w:rPr>
                <w:sz w:val="16"/>
                <w:szCs w:val="16"/>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(7.8)</w:t>
            </w:r>
          </w:p>
        </w:tc>
        <w:tc>
          <w:tcPr>
            <w:tcW w:w="40" w:type="dxa"/>
            <w:vAlign w:val="bottom"/>
            <w:tcBorders>
              <w:bottom w:val="single" w:sz="8" w:color="auto"/>
              <w:right w:val="single" w:sz="8" w:color="CFF0FC"/>
            </w:tcBorders>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13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182"/>
        </w:trPr>
        <w:tc>
          <w:tcPr>
            <w:tcW w:w="4740" w:type="dxa"/>
            <w:vAlign w:val="bottom"/>
          </w:tcPr>
          <w:p>
            <w:pPr>
              <w:spacing w:after="0" w:line="183" w:lineRule="exact"/>
              <w:rPr>
                <w:sz w:val="20"/>
                <w:szCs w:val="20"/>
                <w:color w:val="auto"/>
              </w:rPr>
            </w:pPr>
            <w:r>
              <w:rPr>
                <w:rFonts w:ascii="Arial" w:cs="Arial" w:eastAsia="Arial" w:hAnsi="Arial"/>
                <w:sz w:val="16"/>
                <w:szCs w:val="16"/>
                <w:color w:val="auto"/>
              </w:rPr>
              <w:t>Total revenue</w:t>
            </w: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456.6</w:t>
            </w: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795.4</w:t>
            </w:r>
          </w:p>
        </w:tc>
        <w:tc>
          <w:tcPr>
            <w:tcW w:w="2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(7.8)</w:t>
            </w:r>
          </w:p>
        </w:tc>
        <w:tc>
          <w:tcPr>
            <w:tcW w:w="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1,244.2</w:t>
            </w:r>
          </w:p>
        </w:tc>
      </w:tr>
      <w:tr>
        <w:trPr>
          <w:trHeight w:val="183"/>
        </w:trPr>
        <w:tc>
          <w:tcPr>
            <w:tcW w:w="47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40" w:type="dxa"/>
            <w:vAlign w:val="bottom"/>
            <w:tcBorders>
              <w:right w:val="single" w:sz="8" w:color="CFF0FC"/>
            </w:tcBorders>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r>
      <w:tr>
        <w:trPr>
          <w:trHeight w:val="189"/>
        </w:trPr>
        <w:tc>
          <w:tcPr>
            <w:tcW w:w="4740" w:type="dxa"/>
            <w:vAlign w:val="bottom"/>
          </w:tcPr>
          <w:p>
            <w:pPr>
              <w:spacing w:after="0"/>
              <w:rPr>
                <w:sz w:val="20"/>
                <w:szCs w:val="20"/>
                <w:color w:val="auto"/>
              </w:rPr>
            </w:pPr>
            <w:r>
              <w:rPr>
                <w:rFonts w:ascii="Arial" w:cs="Arial" w:eastAsia="Arial" w:hAnsi="Arial"/>
                <w:sz w:val="16"/>
                <w:szCs w:val="16"/>
                <w:color w:val="auto"/>
              </w:rPr>
              <w:t>Fuel, purchased power and cost of natural gas sold</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122.5</w:t>
            </w:r>
          </w:p>
        </w:tc>
        <w:tc>
          <w:tcPr>
            <w:tcW w:w="2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361.4</w:t>
            </w:r>
          </w:p>
        </w:tc>
        <w:tc>
          <w:tcPr>
            <w:tcW w:w="2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(0.1)</w:t>
            </w: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483.8</w:t>
            </w:r>
          </w:p>
        </w:tc>
      </w:tr>
      <w:tr>
        <w:trPr>
          <w:trHeight w:val="189"/>
        </w:trPr>
        <w:tc>
          <w:tcPr>
            <w:tcW w:w="4740" w:type="dxa"/>
            <w:vAlign w:val="bottom"/>
            <w:shd w:val="clear" w:color="auto" w:fill="CFF0FC"/>
          </w:tcPr>
          <w:p>
            <w:pPr>
              <w:spacing w:after="0" w:line="189" w:lineRule="exact"/>
              <w:rPr>
                <w:sz w:val="20"/>
                <w:szCs w:val="20"/>
                <w:color w:val="auto"/>
              </w:rPr>
            </w:pPr>
            <w:r>
              <w:rPr>
                <w:rFonts w:ascii="Arial" w:cs="Arial" w:eastAsia="Arial" w:hAnsi="Arial"/>
                <w:sz w:val="16"/>
                <w:szCs w:val="16"/>
                <w:color w:val="auto"/>
              </w:rPr>
              <w:t xml:space="preserve">Operations and maintenance </w:t>
            </w:r>
            <w:r>
              <w:rPr>
                <w:rFonts w:ascii="Arial" w:cs="Arial" w:eastAsia="Arial" w:hAnsi="Arial"/>
                <w:sz w:val="21"/>
                <w:szCs w:val="21"/>
                <w:color w:val="auto"/>
                <w:vertAlign w:val="superscript"/>
              </w:rPr>
              <w:t>(a)</w:t>
            </w:r>
            <w:r>
              <w:rPr>
                <w:rFonts w:ascii="Arial" w:cs="Arial" w:eastAsia="Arial" w:hAnsi="Arial"/>
                <w:sz w:val="16"/>
                <w:szCs w:val="16"/>
                <w:color w:val="auto"/>
              </w:rPr>
              <w:t xml:space="preserve"> -</w:t>
            </w:r>
          </w:p>
        </w:tc>
        <w:tc>
          <w:tcPr>
            <w:tcW w:w="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40" w:type="dxa"/>
            <w:vAlign w:val="bottom"/>
            <w:tcBorders>
              <w:right w:val="single" w:sz="8" w:color="CFF0FC"/>
            </w:tcBorders>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r>
      <w:tr>
        <w:trPr>
          <w:trHeight w:val="189"/>
        </w:trPr>
        <w:tc>
          <w:tcPr>
            <w:tcW w:w="4740" w:type="dxa"/>
            <w:vAlign w:val="bottom"/>
          </w:tcPr>
          <w:p>
            <w:pPr>
              <w:ind w:left="100"/>
              <w:spacing w:after="0"/>
              <w:rPr>
                <w:sz w:val="20"/>
                <w:szCs w:val="20"/>
                <w:color w:val="auto"/>
              </w:rPr>
            </w:pPr>
            <w:r>
              <w:rPr>
                <w:rFonts w:ascii="Arial" w:cs="Arial" w:eastAsia="Arial" w:hAnsi="Arial"/>
                <w:sz w:val="16"/>
                <w:szCs w:val="16"/>
                <w:color w:val="auto"/>
              </w:rPr>
              <w:t>Direct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71.8</w:t>
            </w:r>
          </w:p>
        </w:tc>
        <w:tc>
          <w:tcPr>
            <w:tcW w:w="2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83.0</w:t>
            </w:r>
          </w:p>
        </w:tc>
        <w:tc>
          <w:tcPr>
            <w:tcW w:w="2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(4.8)</w:t>
            </w: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150.0</w:t>
            </w:r>
          </w:p>
        </w:tc>
      </w:tr>
      <w:tr>
        <w:trPr>
          <w:trHeight w:val="189"/>
        </w:trPr>
        <w:tc>
          <w:tcPr>
            <w:tcW w:w="4740" w:type="dxa"/>
            <w:vAlign w:val="bottom"/>
            <w:shd w:val="clear" w:color="auto" w:fill="CFF0FC"/>
          </w:tcPr>
          <w:p>
            <w:pPr>
              <w:ind w:left="100"/>
              <w:spacing w:after="0"/>
              <w:rPr>
                <w:sz w:val="20"/>
                <w:szCs w:val="20"/>
                <w:color w:val="auto"/>
              </w:rPr>
            </w:pPr>
            <w:r>
              <w:rPr>
                <w:rFonts w:ascii="Arial" w:cs="Arial" w:eastAsia="Arial" w:hAnsi="Arial"/>
                <w:sz w:val="16"/>
                <w:szCs w:val="16"/>
                <w:color w:val="auto"/>
              </w:rPr>
              <w:t>Allocated</w:t>
            </w:r>
          </w:p>
        </w:tc>
        <w:tc>
          <w:tcPr>
            <w:tcW w:w="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66.2</w:t>
            </w:r>
          </w:p>
        </w:tc>
        <w:tc>
          <w:tcPr>
            <w:tcW w:w="24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85.1</w:t>
            </w:r>
          </w:p>
        </w:tc>
        <w:tc>
          <w:tcPr>
            <w:tcW w:w="260" w:type="dxa"/>
            <w:vAlign w:val="bottom"/>
            <w:shd w:val="clear" w:color="auto" w:fill="CFF0FC"/>
          </w:tcPr>
          <w:p>
            <w:pPr>
              <w:spacing w:after="0"/>
              <w:rPr>
                <w:sz w:val="16"/>
                <w:szCs w:val="16"/>
                <w:color w:val="auto"/>
              </w:rPr>
            </w:pPr>
          </w:p>
        </w:tc>
        <w:tc>
          <w:tcPr>
            <w:tcW w:w="13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40" w:type="dxa"/>
            <w:vAlign w:val="bottom"/>
            <w:tcBorders>
              <w:right w:val="single" w:sz="8" w:color="CFF0FC"/>
            </w:tcBorders>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151.3</w:t>
            </w:r>
          </w:p>
        </w:tc>
      </w:tr>
      <w:tr>
        <w:trPr>
          <w:trHeight w:val="189"/>
        </w:trPr>
        <w:tc>
          <w:tcPr>
            <w:tcW w:w="474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74.6</w:t>
            </w:r>
          </w:p>
        </w:tc>
        <w:tc>
          <w:tcPr>
            <w:tcW w:w="2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64.4</w:t>
            </w:r>
          </w:p>
        </w:tc>
        <w:tc>
          <w:tcPr>
            <w:tcW w:w="260" w:type="dxa"/>
            <w:vAlign w:val="bottom"/>
          </w:tcPr>
          <w:p>
            <w:pPr>
              <w:spacing w:after="0"/>
              <w:rPr>
                <w:sz w:val="16"/>
                <w:szCs w:val="16"/>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139.0</w:t>
            </w:r>
          </w:p>
        </w:tc>
      </w:tr>
      <w:tr>
        <w:trPr>
          <w:trHeight w:val="189"/>
        </w:trPr>
        <w:tc>
          <w:tcPr>
            <w:tcW w:w="4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Taxes other than income taxes</w:t>
            </w:r>
          </w:p>
        </w:tc>
        <w:tc>
          <w:tcPr>
            <w:tcW w:w="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18.2</w:t>
            </w:r>
          </w:p>
        </w:tc>
        <w:tc>
          <w:tcPr>
            <w:tcW w:w="240" w:type="dxa"/>
            <w:vAlign w:val="bottom"/>
            <w:tcBorders>
              <w:bottom w:val="single" w:sz="8" w:color="auto"/>
            </w:tcBorders>
            <w:shd w:val="clear" w:color="auto" w:fill="CFF0FC"/>
          </w:tcPr>
          <w:p>
            <w:pPr>
              <w:spacing w:after="0"/>
              <w:rPr>
                <w:sz w:val="16"/>
                <w:szCs w:val="16"/>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14.5</w:t>
            </w:r>
          </w:p>
        </w:tc>
        <w:tc>
          <w:tcPr>
            <w:tcW w:w="260" w:type="dxa"/>
            <w:vAlign w:val="bottom"/>
            <w:tcBorders>
              <w:bottom w:val="single" w:sz="8" w:color="auto"/>
            </w:tcBorders>
            <w:shd w:val="clear" w:color="auto" w:fill="CFF0FC"/>
          </w:tcPr>
          <w:p>
            <w:pPr>
              <w:spacing w:after="0"/>
              <w:rPr>
                <w:sz w:val="16"/>
                <w:szCs w:val="16"/>
                <w:color w:val="auto"/>
              </w:rPr>
            </w:pPr>
          </w:p>
        </w:tc>
        <w:tc>
          <w:tcPr>
            <w:tcW w:w="134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auto"/>
              <w:right w:val="single" w:sz="8" w:color="CFF0FC"/>
            </w:tcBorders>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13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32.7</w:t>
            </w:r>
          </w:p>
        </w:tc>
      </w:tr>
      <w:tr>
        <w:trPr>
          <w:trHeight w:val="183"/>
        </w:trPr>
        <w:tc>
          <w:tcPr>
            <w:tcW w:w="4740" w:type="dxa"/>
            <w:vAlign w:val="bottom"/>
          </w:tcPr>
          <w:p>
            <w:pPr>
              <w:ind w:left="100"/>
              <w:spacing w:after="0" w:line="183" w:lineRule="exact"/>
              <w:rPr>
                <w:sz w:val="20"/>
                <w:szCs w:val="20"/>
                <w:color w:val="auto"/>
              </w:rPr>
            </w:pPr>
            <w:r>
              <w:rPr>
                <w:rFonts w:ascii="Arial" w:cs="Arial" w:eastAsia="Arial" w:hAnsi="Arial"/>
                <w:sz w:val="16"/>
                <w:szCs w:val="16"/>
                <w:color w:val="auto"/>
              </w:rPr>
              <w:t>Operating income (loss)</w:t>
            </w:r>
          </w:p>
        </w:tc>
        <w:tc>
          <w:tcPr>
            <w:tcW w:w="140" w:type="dxa"/>
            <w:vAlign w:val="bottom"/>
            <w:gridSpan w:val="2"/>
          </w:tcPr>
          <w:p>
            <w:pPr>
              <w:ind w:left="20"/>
              <w:spacing w:after="0" w:line="183" w:lineRule="exact"/>
              <w:rPr>
                <w:sz w:val="20"/>
                <w:szCs w:val="20"/>
                <w:color w:val="auto"/>
              </w:rPr>
            </w:pPr>
            <w:r>
              <w:rPr>
                <w:rFonts w:ascii="Arial" w:cs="Arial" w:eastAsia="Arial" w:hAnsi="Arial"/>
                <w:sz w:val="16"/>
                <w:szCs w:val="16"/>
                <w:color w:val="auto"/>
              </w:rPr>
              <w:t>$</w:t>
            </w:r>
          </w:p>
        </w:tc>
        <w:tc>
          <w:tcPr>
            <w:tcW w:w="1480" w:type="dxa"/>
            <w:vAlign w:val="bottom"/>
          </w:tcPr>
          <w:p>
            <w:pPr>
              <w:jc w:val="right"/>
              <w:spacing w:after="0" w:line="183" w:lineRule="exact"/>
              <w:rPr>
                <w:sz w:val="20"/>
                <w:szCs w:val="20"/>
                <w:color w:val="auto"/>
              </w:rPr>
            </w:pPr>
            <w:r>
              <w:rPr>
                <w:rFonts w:ascii="Arial" w:cs="Arial" w:eastAsia="Arial" w:hAnsi="Arial"/>
                <w:sz w:val="16"/>
                <w:szCs w:val="16"/>
                <w:color w:val="auto"/>
              </w:rPr>
              <w:t>103.3</w:t>
            </w:r>
          </w:p>
        </w:tc>
        <w:tc>
          <w:tcPr>
            <w:tcW w:w="24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360" w:type="dxa"/>
            <w:vAlign w:val="bottom"/>
          </w:tcPr>
          <w:p>
            <w:pPr>
              <w:jc w:val="right"/>
              <w:spacing w:after="0" w:line="183" w:lineRule="exact"/>
              <w:rPr>
                <w:sz w:val="20"/>
                <w:szCs w:val="20"/>
                <w:color w:val="auto"/>
              </w:rPr>
            </w:pPr>
            <w:r>
              <w:rPr>
                <w:rFonts w:ascii="Arial" w:cs="Arial" w:eastAsia="Arial" w:hAnsi="Arial"/>
                <w:sz w:val="16"/>
                <w:szCs w:val="16"/>
                <w:color w:val="auto"/>
              </w:rPr>
              <w:t>187.0</w:t>
            </w:r>
          </w:p>
        </w:tc>
        <w:tc>
          <w:tcPr>
            <w:tcW w:w="260" w:type="dxa"/>
            <w:vAlign w:val="bottom"/>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1340" w:type="dxa"/>
            <w:vAlign w:val="bottom"/>
          </w:tcPr>
          <w:p>
            <w:pPr>
              <w:jc w:val="right"/>
              <w:spacing w:after="0" w:line="183" w:lineRule="exact"/>
              <w:rPr>
                <w:sz w:val="20"/>
                <w:szCs w:val="20"/>
                <w:color w:val="auto"/>
              </w:rPr>
            </w:pPr>
            <w:r>
              <w:rPr>
                <w:rFonts w:ascii="Arial" w:cs="Arial" w:eastAsia="Arial" w:hAnsi="Arial"/>
                <w:sz w:val="16"/>
                <w:szCs w:val="16"/>
                <w:color w:val="auto"/>
              </w:rPr>
              <w:t>(2.9)</w:t>
            </w:r>
          </w:p>
        </w:tc>
        <w:tc>
          <w:tcPr>
            <w:tcW w:w="360" w:type="dxa"/>
            <w:vAlign w:val="bottom"/>
            <w:gridSpan w:val="2"/>
          </w:tcPr>
          <w:p>
            <w:pPr>
              <w:jc w:val="right"/>
              <w:ind w:right="260"/>
              <w:spacing w:after="0" w:line="183" w:lineRule="exact"/>
              <w:rPr>
                <w:sz w:val="20"/>
                <w:szCs w:val="20"/>
                <w:color w:val="auto"/>
              </w:rPr>
            </w:pPr>
            <w:r>
              <w:rPr>
                <w:rFonts w:ascii="Arial" w:cs="Arial" w:eastAsia="Arial" w:hAnsi="Arial"/>
                <w:sz w:val="16"/>
                <w:szCs w:val="16"/>
                <w:color w:val="auto"/>
                <w:w w:val="89"/>
              </w:rPr>
              <w:t>$</w:t>
            </w:r>
          </w:p>
        </w:tc>
        <w:tc>
          <w:tcPr>
            <w:tcW w:w="1320" w:type="dxa"/>
            <w:vAlign w:val="bottom"/>
          </w:tcPr>
          <w:p>
            <w:pPr>
              <w:jc w:val="right"/>
              <w:ind w:right="39"/>
              <w:spacing w:after="0" w:line="183" w:lineRule="exact"/>
              <w:rPr>
                <w:sz w:val="20"/>
                <w:szCs w:val="20"/>
                <w:color w:val="auto"/>
              </w:rPr>
            </w:pPr>
            <w:r>
              <w:rPr>
                <w:rFonts w:ascii="Arial" w:cs="Arial" w:eastAsia="Arial" w:hAnsi="Arial"/>
                <w:sz w:val="16"/>
                <w:szCs w:val="16"/>
                <w:color w:val="auto"/>
              </w:rPr>
              <w:t>287.4</w:t>
            </w:r>
          </w:p>
        </w:tc>
      </w:tr>
      <w:tr>
        <w:trPr>
          <w:trHeight w:val="183"/>
        </w:trPr>
        <w:tc>
          <w:tcPr>
            <w:tcW w:w="47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1480" w:type="dxa"/>
            <w:vAlign w:val="bottom"/>
            <w:tcBorders>
              <w:top w:val="single" w:sz="8" w:color="auto"/>
            </w:tcBorders>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spacing w:after="0"/>
              <w:rPr>
                <w:sz w:val="15"/>
                <w:szCs w:val="15"/>
                <w:color w:val="auto"/>
              </w:rPr>
            </w:pPr>
          </w:p>
        </w:tc>
        <w:tc>
          <w:tcPr>
            <w:tcW w:w="1360" w:type="dxa"/>
            <w:vAlign w:val="bottom"/>
            <w:tcBorders>
              <w:top w:val="single" w:sz="8" w:color="auto"/>
            </w:tcBorders>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spacing w:after="0"/>
              <w:rPr>
                <w:sz w:val="15"/>
                <w:szCs w:val="15"/>
                <w:color w:val="auto"/>
              </w:rPr>
            </w:pPr>
          </w:p>
        </w:tc>
        <w:tc>
          <w:tcPr>
            <w:tcW w:w="1340" w:type="dxa"/>
            <w:vAlign w:val="bottom"/>
            <w:tcBorders>
              <w:top w:val="single" w:sz="8" w:color="auto"/>
            </w:tcBorders>
            <w:shd w:val="clear" w:color="auto" w:fill="CFF0FC"/>
          </w:tcPr>
          <w:p>
            <w:pPr>
              <w:spacing w:after="0"/>
              <w:rPr>
                <w:sz w:val="15"/>
                <w:szCs w:val="15"/>
                <w:color w:val="auto"/>
              </w:rPr>
            </w:pPr>
          </w:p>
        </w:tc>
        <w:tc>
          <w:tcPr>
            <w:tcW w:w="40" w:type="dxa"/>
            <w:vAlign w:val="bottom"/>
            <w:tcBorders>
              <w:top w:val="single" w:sz="8" w:color="auto"/>
              <w:right w:val="single" w:sz="8" w:color="CFF0FC"/>
            </w:tcBorders>
            <w:shd w:val="clear" w:color="auto" w:fill="CFF0FC"/>
          </w:tcPr>
          <w:p>
            <w:pPr>
              <w:spacing w:after="0"/>
              <w:rPr>
                <w:sz w:val="15"/>
                <w:szCs w:val="15"/>
                <w:color w:val="auto"/>
              </w:rPr>
            </w:pPr>
          </w:p>
        </w:tc>
        <w:tc>
          <w:tcPr>
            <w:tcW w:w="320" w:type="dxa"/>
            <w:vAlign w:val="bottom"/>
            <w:tcBorders>
              <w:top w:val="single" w:sz="8" w:color="auto"/>
            </w:tcBorders>
            <w:shd w:val="clear" w:color="auto" w:fill="CFF0FC"/>
          </w:tcPr>
          <w:p>
            <w:pPr>
              <w:spacing w:after="0"/>
              <w:rPr>
                <w:sz w:val="15"/>
                <w:szCs w:val="15"/>
                <w:color w:val="auto"/>
              </w:rPr>
            </w:pPr>
          </w:p>
        </w:tc>
        <w:tc>
          <w:tcPr>
            <w:tcW w:w="1320" w:type="dxa"/>
            <w:vAlign w:val="bottom"/>
            <w:tcBorders>
              <w:top w:val="single" w:sz="8" w:color="auto"/>
            </w:tcBorders>
            <w:shd w:val="clear" w:color="auto" w:fill="CFF0FC"/>
          </w:tcPr>
          <w:p>
            <w:pPr>
              <w:spacing w:after="0"/>
              <w:rPr>
                <w:sz w:val="15"/>
                <w:szCs w:val="15"/>
                <w:color w:val="auto"/>
              </w:rPr>
            </w:pPr>
          </w:p>
        </w:tc>
      </w:tr>
      <w:tr>
        <w:trPr>
          <w:trHeight w:val="189"/>
        </w:trPr>
        <w:tc>
          <w:tcPr>
            <w:tcW w:w="4740" w:type="dxa"/>
            <w:vAlign w:val="bottom"/>
          </w:tcPr>
          <w:p>
            <w:pPr>
              <w:spacing w:after="0"/>
              <w:rPr>
                <w:sz w:val="20"/>
                <w:szCs w:val="20"/>
                <w:color w:val="auto"/>
              </w:rPr>
            </w:pPr>
            <w:r>
              <w:rPr>
                <w:rFonts w:ascii="Arial" w:cs="Arial" w:eastAsia="Arial" w:hAnsi="Arial"/>
                <w:sz w:val="16"/>
                <w:szCs w:val="16"/>
                <w:color w:val="auto"/>
              </w:rPr>
              <w:t>Interest expense, net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(100.3)</w:t>
            </w:r>
          </w:p>
        </w:tc>
      </w:tr>
      <w:tr>
        <w:trPr>
          <w:trHeight w:val="189"/>
        </w:trPr>
        <w:tc>
          <w:tcPr>
            <w:tcW w:w="4740" w:type="dxa"/>
            <w:vAlign w:val="bottom"/>
            <w:shd w:val="clear" w:color="auto" w:fill="CFF0FC"/>
          </w:tcPr>
          <w:p>
            <w:pPr>
              <w:spacing w:after="0"/>
              <w:rPr>
                <w:sz w:val="20"/>
                <w:szCs w:val="20"/>
                <w:color w:val="auto"/>
              </w:rPr>
            </w:pPr>
            <w:r>
              <w:rPr>
                <w:rFonts w:ascii="Arial" w:cs="Arial" w:eastAsia="Arial" w:hAnsi="Arial"/>
                <w:sz w:val="16"/>
                <w:szCs w:val="16"/>
                <w:color w:val="auto"/>
              </w:rPr>
              <w:t>Other income (expense), net</w:t>
            </w:r>
          </w:p>
        </w:tc>
        <w:tc>
          <w:tcPr>
            <w:tcW w:w="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40" w:type="dxa"/>
            <w:vAlign w:val="bottom"/>
            <w:tcBorders>
              <w:right w:val="single" w:sz="8" w:color="CFF0FC"/>
            </w:tcBorders>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0.6</w:t>
            </w:r>
          </w:p>
        </w:tc>
      </w:tr>
      <w:tr>
        <w:trPr>
          <w:trHeight w:val="189"/>
        </w:trPr>
        <w:tc>
          <w:tcPr>
            <w:tcW w:w="4740" w:type="dxa"/>
            <w:vAlign w:val="bottom"/>
          </w:tcPr>
          <w:p>
            <w:pPr>
              <w:spacing w:after="0"/>
              <w:rPr>
                <w:sz w:val="20"/>
                <w:szCs w:val="20"/>
                <w:color w:val="auto"/>
              </w:rPr>
            </w:pPr>
            <w:r>
              <w:rPr>
                <w:rFonts w:ascii="Arial" w:cs="Arial" w:eastAsia="Arial" w:hAnsi="Arial"/>
                <w:sz w:val="16"/>
                <w:szCs w:val="16"/>
                <w:color w:val="auto"/>
              </w:rPr>
              <w:t>Income tax (expense)</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w:t>
            </w:r>
          </w:p>
        </w:tc>
      </w:tr>
      <w:tr>
        <w:trPr>
          <w:trHeight w:val="183"/>
        </w:trPr>
        <w:tc>
          <w:tcPr>
            <w:tcW w:w="4740" w:type="dxa"/>
            <w:vAlign w:val="bottom"/>
            <w:shd w:val="clear" w:color="auto" w:fill="CFF0FC"/>
          </w:tcPr>
          <w:p>
            <w:pPr>
              <w:ind w:left="100"/>
              <w:spacing w:after="0" w:line="183" w:lineRule="exact"/>
              <w:rPr>
                <w:sz w:val="20"/>
                <w:szCs w:val="20"/>
                <w:color w:val="auto"/>
              </w:rPr>
            </w:pPr>
            <w:r>
              <w:rPr>
                <w:rFonts w:ascii="Arial" w:cs="Arial" w:eastAsia="Arial" w:hAnsi="Arial"/>
                <w:sz w:val="16"/>
                <w:szCs w:val="16"/>
                <w:color w:val="auto"/>
              </w:rPr>
              <w:t>Net income</w:t>
            </w:r>
          </w:p>
        </w:tc>
        <w:tc>
          <w:tcPr>
            <w:tcW w:w="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40" w:type="dxa"/>
            <w:vAlign w:val="bottom"/>
            <w:tcBorders>
              <w:right w:val="single" w:sz="8" w:color="CFF0FC"/>
            </w:tcBorders>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165.2</w:t>
            </w:r>
          </w:p>
        </w:tc>
      </w:tr>
      <w:tr>
        <w:trPr>
          <w:trHeight w:val="189"/>
        </w:trPr>
        <w:tc>
          <w:tcPr>
            <w:tcW w:w="4740" w:type="dxa"/>
            <w:vAlign w:val="bottom"/>
          </w:tcPr>
          <w:p>
            <w:pPr>
              <w:spacing w:after="0"/>
              <w:rPr>
                <w:sz w:val="20"/>
                <w:szCs w:val="20"/>
                <w:color w:val="auto"/>
              </w:rPr>
            </w:pPr>
            <w:r>
              <w:rPr>
                <w:rFonts w:ascii="Arial" w:cs="Arial" w:eastAsia="Arial" w:hAnsi="Arial"/>
                <w:sz w:val="16"/>
                <w:szCs w:val="16"/>
                <w:color w:val="auto"/>
              </w:rPr>
              <w:t>Net income attributable to non-controlling interest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r>
      <w:tr>
        <w:trPr>
          <w:trHeight w:val="183"/>
        </w:trPr>
        <w:tc>
          <w:tcPr>
            <w:tcW w:w="4740" w:type="dxa"/>
            <w:vAlign w:val="bottom"/>
            <w:shd w:val="clear" w:color="auto" w:fill="CFF0FC"/>
          </w:tcPr>
          <w:p>
            <w:pPr>
              <w:ind w:left="100"/>
              <w:spacing w:after="0" w:line="183" w:lineRule="exact"/>
              <w:rPr>
                <w:sz w:val="20"/>
                <w:szCs w:val="20"/>
                <w:color w:val="auto"/>
              </w:rPr>
            </w:pPr>
            <w:r>
              <w:rPr>
                <w:rFonts w:ascii="Arial" w:cs="Arial" w:eastAsia="Arial" w:hAnsi="Arial"/>
                <w:sz w:val="16"/>
                <w:szCs w:val="16"/>
                <w:color w:val="auto"/>
              </w:rPr>
              <w:t>Net income available for common stock</w:t>
            </w:r>
          </w:p>
        </w:tc>
        <w:tc>
          <w:tcPr>
            <w:tcW w:w="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360" w:type="dxa"/>
            <w:vAlign w:val="bottom"/>
            <w:gridSpan w:val="2"/>
            <w:shd w:val="clear" w:color="auto" w:fill="CFF0FC"/>
          </w:tcPr>
          <w:p>
            <w:pPr>
              <w:jc w:val="right"/>
              <w:ind w:right="260"/>
              <w:spacing w:after="0" w:line="183" w:lineRule="exact"/>
              <w:rPr>
                <w:sz w:val="20"/>
                <w:szCs w:val="20"/>
                <w:color w:val="auto"/>
              </w:rPr>
            </w:pPr>
            <w:r>
              <w:rPr>
                <w:rFonts w:ascii="Arial" w:cs="Arial" w:eastAsia="Arial" w:hAnsi="Arial"/>
                <w:sz w:val="16"/>
                <w:szCs w:val="16"/>
                <w:color w:val="auto"/>
                <w:w w:val="89"/>
              </w:rPr>
              <w:t>$</w:t>
            </w:r>
          </w:p>
        </w:tc>
        <w:tc>
          <w:tcPr>
            <w:tcW w:w="132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161.7</w:t>
            </w:r>
          </w:p>
        </w:tc>
      </w:tr>
      <w:tr>
        <w:trPr>
          <w:trHeight w:val="304"/>
        </w:trPr>
        <w:tc>
          <w:tcPr>
            <w:tcW w:w="4740" w:type="dxa"/>
            <w:vAlign w:val="bottom"/>
            <w:tcBorders>
              <w:top w:val="single" w:sz="8" w:color="CFF0FC"/>
            </w:tcBorders>
          </w:tcPr>
          <w:p>
            <w:pPr>
              <w:spacing w:after="0"/>
              <w:rPr>
                <w:sz w:val="24"/>
                <w:szCs w:val="24"/>
                <w:color w:val="auto"/>
              </w:rPr>
            </w:pPr>
          </w:p>
        </w:tc>
        <w:tc>
          <w:tcPr>
            <w:tcW w:w="20" w:type="dxa"/>
            <w:vAlign w:val="bottom"/>
            <w:tcBorders>
              <w:top w:val="single" w:sz="8" w:color="CFF0FC"/>
              <w:bottom w:val="single" w:sz="8" w:color="auto"/>
            </w:tcBorders>
          </w:tcPr>
          <w:p>
            <w:pPr>
              <w:spacing w:after="0"/>
              <w:rPr>
                <w:sz w:val="24"/>
                <w:szCs w:val="24"/>
                <w:color w:val="auto"/>
              </w:rPr>
            </w:pPr>
          </w:p>
        </w:tc>
        <w:tc>
          <w:tcPr>
            <w:tcW w:w="120" w:type="dxa"/>
            <w:vAlign w:val="bottom"/>
            <w:tcBorders>
              <w:top w:val="single" w:sz="8" w:color="CFF0FC"/>
              <w:bottom w:val="single" w:sz="8" w:color="auto"/>
            </w:tcBorders>
          </w:tcPr>
          <w:p>
            <w:pPr>
              <w:spacing w:after="0"/>
              <w:rPr>
                <w:sz w:val="24"/>
                <w:szCs w:val="24"/>
                <w:color w:val="auto"/>
              </w:rPr>
            </w:pPr>
          </w:p>
        </w:tc>
        <w:tc>
          <w:tcPr>
            <w:tcW w:w="1480" w:type="dxa"/>
            <w:vAlign w:val="bottom"/>
            <w:tcBorders>
              <w:top w:val="single" w:sz="8" w:color="CFF0FC"/>
              <w:bottom w:val="single" w:sz="8" w:color="auto"/>
            </w:tcBorders>
          </w:tcPr>
          <w:p>
            <w:pPr>
              <w:spacing w:after="0"/>
              <w:rPr>
                <w:sz w:val="24"/>
                <w:szCs w:val="24"/>
                <w:color w:val="auto"/>
              </w:rPr>
            </w:pPr>
          </w:p>
        </w:tc>
        <w:tc>
          <w:tcPr>
            <w:tcW w:w="240" w:type="dxa"/>
            <w:vAlign w:val="bottom"/>
            <w:tcBorders>
              <w:top w:val="single" w:sz="8" w:color="CFF0FC"/>
              <w:bottom w:val="single" w:sz="8" w:color="auto"/>
            </w:tcBorders>
          </w:tcPr>
          <w:p>
            <w:pPr>
              <w:spacing w:after="0"/>
              <w:rPr>
                <w:sz w:val="24"/>
                <w:szCs w:val="24"/>
                <w:color w:val="auto"/>
              </w:rPr>
            </w:pPr>
          </w:p>
        </w:tc>
        <w:tc>
          <w:tcPr>
            <w:tcW w:w="2960" w:type="dxa"/>
            <w:vAlign w:val="bottom"/>
            <w:tcBorders>
              <w:top w:val="single" w:sz="8" w:color="CFF0FC"/>
              <w:bottom w:val="single" w:sz="8" w:color="auto"/>
            </w:tcBorders>
            <w:gridSpan w:val="3"/>
          </w:tcPr>
          <w:p>
            <w:pPr>
              <w:ind w:left="60"/>
              <w:spacing w:after="0"/>
              <w:rPr>
                <w:sz w:val="20"/>
                <w:szCs w:val="20"/>
                <w:color w:val="auto"/>
              </w:rPr>
            </w:pPr>
            <w:r>
              <w:rPr>
                <w:rFonts w:ascii="Arial" w:cs="Arial" w:eastAsia="Arial" w:hAnsi="Arial"/>
                <w:sz w:val="16"/>
                <w:szCs w:val="16"/>
                <w:b w:val="1"/>
                <w:bCs w:val="1"/>
                <w:color w:val="auto"/>
              </w:rPr>
              <w:t>Consolidating Income Statement</w:t>
            </w:r>
          </w:p>
        </w:tc>
        <w:tc>
          <w:tcPr>
            <w:tcW w:w="40" w:type="dxa"/>
            <w:vAlign w:val="bottom"/>
            <w:tcBorders>
              <w:top w:val="single" w:sz="8" w:color="CFF0FC"/>
              <w:bottom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320" w:type="dxa"/>
            <w:vAlign w:val="bottom"/>
            <w:tcBorders>
              <w:top w:val="single" w:sz="8" w:color="auto"/>
              <w:bottom w:val="single" w:sz="8" w:color="auto"/>
            </w:tcBorders>
          </w:tcPr>
          <w:p>
            <w:pPr>
              <w:spacing w:after="0"/>
              <w:rPr>
                <w:sz w:val="24"/>
                <w:szCs w:val="24"/>
                <w:color w:val="auto"/>
              </w:rPr>
            </w:pPr>
          </w:p>
        </w:tc>
      </w:tr>
      <w:tr>
        <w:trPr>
          <w:trHeight w:val="168"/>
        </w:trPr>
        <w:tc>
          <w:tcPr>
            <w:tcW w:w="4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ind w:left="120"/>
              <w:spacing w:after="0" w:line="168" w:lineRule="exact"/>
              <w:rPr>
                <w:sz w:val="20"/>
                <w:szCs w:val="20"/>
                <w:color w:val="auto"/>
              </w:rPr>
            </w:pPr>
            <w:r>
              <w:rPr>
                <w:rFonts w:ascii="Arial" w:cs="Arial" w:eastAsia="Arial" w:hAnsi="Arial"/>
                <w:sz w:val="16"/>
                <w:szCs w:val="16"/>
                <w:b w:val="1"/>
                <w:bCs w:val="1"/>
                <w:color w:val="auto"/>
              </w:rPr>
              <w:t>Corporate</w:t>
            </w: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203"/>
        </w:trPr>
        <w:tc>
          <w:tcPr>
            <w:tcW w:w="47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Six Months Ended June 30, 2024</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Electric Utilities</w:t>
            </w: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Gas Utilities</w:t>
            </w:r>
          </w:p>
        </w:tc>
        <w:tc>
          <w:tcPr>
            <w:tcW w:w="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and Other</w:t>
            </w:r>
          </w:p>
        </w:tc>
        <w:tc>
          <w:tcPr>
            <w:tcW w:w="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Total</w:t>
            </w:r>
          </w:p>
        </w:tc>
      </w:tr>
      <w:tr>
        <w:trPr>
          <w:trHeight w:val="183"/>
        </w:trPr>
        <w:tc>
          <w:tcPr>
            <w:tcW w:w="47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960" w:type="dxa"/>
            <w:vAlign w:val="bottom"/>
            <w:tcBorders>
              <w:bottom w:val="single" w:sz="8" w:color="auto"/>
            </w:tcBorders>
            <w:gridSpan w:val="3"/>
          </w:tcPr>
          <w:p>
            <w:pPr>
              <w:jc w:val="right"/>
              <w:ind w:right="1139"/>
              <w:spacing w:after="0" w:line="183" w:lineRule="exact"/>
              <w:rPr>
                <w:sz w:val="20"/>
                <w:szCs w:val="20"/>
                <w:color w:val="auto"/>
              </w:rPr>
            </w:pPr>
            <w:r>
              <w:rPr>
                <w:rFonts w:ascii="Arial" w:cs="Arial" w:eastAsia="Arial" w:hAnsi="Arial"/>
                <w:sz w:val="16"/>
                <w:szCs w:val="16"/>
                <w:color w:val="auto"/>
              </w:rPr>
              <w:t>(in millions)</w:t>
            </w:r>
          </w:p>
        </w:tc>
        <w:tc>
          <w:tcPr>
            <w:tcW w:w="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r>
      <w:tr>
        <w:trPr>
          <w:trHeight w:val="183"/>
        </w:trPr>
        <w:tc>
          <w:tcPr>
            <w:tcW w:w="47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Revenue -</w:t>
            </w:r>
          </w:p>
        </w:tc>
        <w:tc>
          <w:tcPr>
            <w:tcW w:w="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40" w:type="dxa"/>
            <w:vAlign w:val="bottom"/>
            <w:tcBorders>
              <w:right w:val="single" w:sz="8" w:color="CFF0FC"/>
            </w:tcBorders>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r>
      <w:tr>
        <w:trPr>
          <w:trHeight w:val="189"/>
        </w:trPr>
        <w:tc>
          <w:tcPr>
            <w:tcW w:w="4740" w:type="dxa"/>
            <w:vAlign w:val="bottom"/>
          </w:tcPr>
          <w:p>
            <w:pPr>
              <w:ind w:left="100"/>
              <w:spacing w:after="0"/>
              <w:rPr>
                <w:sz w:val="20"/>
                <w:szCs w:val="20"/>
                <w:color w:val="auto"/>
              </w:rPr>
            </w:pPr>
            <w:r>
              <w:rPr>
                <w:rFonts w:ascii="Arial" w:cs="Arial" w:eastAsia="Arial" w:hAnsi="Arial"/>
                <w:sz w:val="16"/>
                <w:szCs w:val="16"/>
                <w:color w:val="auto"/>
              </w:rPr>
              <w:t>External Customers</w:t>
            </w:r>
          </w:p>
        </w:tc>
        <w:tc>
          <w:tcPr>
            <w:tcW w:w="140" w:type="dxa"/>
            <w:vAlign w:val="bottom"/>
            <w:gridSpan w:val="2"/>
          </w:tcPr>
          <w:p>
            <w:pPr>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421.4</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707.6</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1,129.0</w:t>
            </w:r>
          </w:p>
        </w:tc>
      </w:tr>
      <w:tr>
        <w:trPr>
          <w:trHeight w:val="189"/>
        </w:trPr>
        <w:tc>
          <w:tcPr>
            <w:tcW w:w="474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6"/>
                <w:szCs w:val="16"/>
                <w:color w:val="auto"/>
              </w:rPr>
              <w:t>Inter-segment</w:t>
            </w:r>
          </w:p>
        </w:tc>
        <w:tc>
          <w:tcPr>
            <w:tcW w:w="20" w:type="dxa"/>
            <w:vAlign w:val="bottom"/>
            <w:tcBorders>
              <w:bottom w:val="single" w:sz="8" w:color="auto"/>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5.9</w:t>
            </w:r>
          </w:p>
        </w:tc>
        <w:tc>
          <w:tcPr>
            <w:tcW w:w="240" w:type="dxa"/>
            <w:vAlign w:val="bottom"/>
            <w:tcBorders>
              <w:bottom w:val="single" w:sz="8" w:color="auto"/>
            </w:tcBorders>
            <w:shd w:val="clear" w:color="auto" w:fill="CFF0FC"/>
          </w:tcPr>
          <w:p>
            <w:pPr>
              <w:spacing w:after="0"/>
              <w:rPr>
                <w:sz w:val="16"/>
                <w:szCs w:val="16"/>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w:t>
            </w:r>
          </w:p>
        </w:tc>
        <w:tc>
          <w:tcPr>
            <w:tcW w:w="260" w:type="dxa"/>
            <w:vAlign w:val="bottom"/>
            <w:tcBorders>
              <w:bottom w:val="single" w:sz="8" w:color="auto"/>
            </w:tcBorders>
            <w:shd w:val="clear" w:color="auto" w:fill="CFF0FC"/>
          </w:tcPr>
          <w:p>
            <w:pPr>
              <w:spacing w:after="0"/>
              <w:rPr>
                <w:sz w:val="16"/>
                <w:szCs w:val="16"/>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(8.9)</w:t>
            </w:r>
          </w:p>
        </w:tc>
        <w:tc>
          <w:tcPr>
            <w:tcW w:w="40" w:type="dxa"/>
            <w:vAlign w:val="bottom"/>
            <w:tcBorders>
              <w:bottom w:val="single" w:sz="8" w:color="auto"/>
              <w:right w:val="single" w:sz="8" w:color="CFF0FC"/>
            </w:tcBorders>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13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183"/>
        </w:trPr>
        <w:tc>
          <w:tcPr>
            <w:tcW w:w="4740" w:type="dxa"/>
            <w:vAlign w:val="bottom"/>
          </w:tcPr>
          <w:p>
            <w:pPr>
              <w:spacing w:after="0" w:line="183" w:lineRule="exact"/>
              <w:rPr>
                <w:sz w:val="20"/>
                <w:szCs w:val="20"/>
                <w:color w:val="auto"/>
              </w:rPr>
            </w:pPr>
            <w:r>
              <w:rPr>
                <w:rFonts w:ascii="Arial" w:cs="Arial" w:eastAsia="Arial" w:hAnsi="Arial"/>
                <w:sz w:val="16"/>
                <w:szCs w:val="16"/>
                <w:color w:val="auto"/>
              </w:rPr>
              <w:t>Total revenue</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427.3</w:t>
            </w: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710.6</w:t>
            </w:r>
          </w:p>
        </w:tc>
        <w:tc>
          <w:tcPr>
            <w:tcW w:w="2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(8.9)</w:t>
            </w:r>
          </w:p>
        </w:tc>
        <w:tc>
          <w:tcPr>
            <w:tcW w:w="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1,129.0</w:t>
            </w:r>
          </w:p>
        </w:tc>
      </w:tr>
      <w:tr>
        <w:trPr>
          <w:trHeight w:val="182"/>
        </w:trPr>
        <w:tc>
          <w:tcPr>
            <w:tcW w:w="47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40" w:type="dxa"/>
            <w:vAlign w:val="bottom"/>
            <w:tcBorders>
              <w:right w:val="single" w:sz="8" w:color="CFF0FC"/>
            </w:tcBorders>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r>
      <w:tr>
        <w:trPr>
          <w:trHeight w:val="189"/>
        </w:trPr>
        <w:tc>
          <w:tcPr>
            <w:tcW w:w="4740" w:type="dxa"/>
            <w:vAlign w:val="bottom"/>
          </w:tcPr>
          <w:p>
            <w:pPr>
              <w:spacing w:after="0"/>
              <w:rPr>
                <w:sz w:val="20"/>
                <w:szCs w:val="20"/>
                <w:color w:val="auto"/>
              </w:rPr>
            </w:pPr>
            <w:r>
              <w:rPr>
                <w:rFonts w:ascii="Arial" w:cs="Arial" w:eastAsia="Arial" w:hAnsi="Arial"/>
                <w:sz w:val="16"/>
                <w:szCs w:val="16"/>
                <w:color w:val="auto"/>
              </w:rPr>
              <w:t>Fuel, purchased power and cost of natural gas sold</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100.8</w:t>
            </w:r>
          </w:p>
        </w:tc>
        <w:tc>
          <w:tcPr>
            <w:tcW w:w="2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323.2</w:t>
            </w:r>
          </w:p>
        </w:tc>
        <w:tc>
          <w:tcPr>
            <w:tcW w:w="2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(0.3)</w:t>
            </w: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423.7</w:t>
            </w:r>
          </w:p>
        </w:tc>
      </w:tr>
      <w:tr>
        <w:trPr>
          <w:trHeight w:val="189"/>
        </w:trPr>
        <w:tc>
          <w:tcPr>
            <w:tcW w:w="4740" w:type="dxa"/>
            <w:vAlign w:val="bottom"/>
            <w:shd w:val="clear" w:color="auto" w:fill="CFF0FC"/>
          </w:tcPr>
          <w:p>
            <w:pPr>
              <w:spacing w:after="0" w:line="189" w:lineRule="exact"/>
              <w:rPr>
                <w:sz w:val="20"/>
                <w:szCs w:val="20"/>
                <w:color w:val="auto"/>
              </w:rPr>
            </w:pPr>
            <w:r>
              <w:rPr>
                <w:rFonts w:ascii="Arial" w:cs="Arial" w:eastAsia="Arial" w:hAnsi="Arial"/>
                <w:sz w:val="16"/>
                <w:szCs w:val="16"/>
                <w:color w:val="auto"/>
              </w:rPr>
              <w:t xml:space="preserve">Operations and maintenance </w:t>
            </w:r>
            <w:r>
              <w:rPr>
                <w:rFonts w:ascii="Arial" w:cs="Arial" w:eastAsia="Arial" w:hAnsi="Arial"/>
                <w:sz w:val="21"/>
                <w:szCs w:val="21"/>
                <w:color w:val="auto"/>
                <w:vertAlign w:val="superscript"/>
              </w:rPr>
              <w:t>(a)</w:t>
            </w:r>
            <w:r>
              <w:rPr>
                <w:rFonts w:ascii="Arial" w:cs="Arial" w:eastAsia="Arial" w:hAnsi="Arial"/>
                <w:sz w:val="16"/>
                <w:szCs w:val="16"/>
                <w:color w:val="auto"/>
              </w:rPr>
              <w:t xml:space="preserve"> -</w:t>
            </w:r>
          </w:p>
        </w:tc>
        <w:tc>
          <w:tcPr>
            <w:tcW w:w="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40" w:type="dxa"/>
            <w:vAlign w:val="bottom"/>
            <w:tcBorders>
              <w:right w:val="single" w:sz="8" w:color="CFF0FC"/>
            </w:tcBorders>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r>
      <w:tr>
        <w:trPr>
          <w:trHeight w:val="189"/>
        </w:trPr>
        <w:tc>
          <w:tcPr>
            <w:tcW w:w="4740" w:type="dxa"/>
            <w:vAlign w:val="bottom"/>
          </w:tcPr>
          <w:p>
            <w:pPr>
              <w:ind w:left="100"/>
              <w:spacing w:after="0"/>
              <w:rPr>
                <w:sz w:val="20"/>
                <w:szCs w:val="20"/>
                <w:color w:val="auto"/>
              </w:rPr>
            </w:pPr>
            <w:r>
              <w:rPr>
                <w:rFonts w:ascii="Arial" w:cs="Arial" w:eastAsia="Arial" w:hAnsi="Arial"/>
                <w:sz w:val="16"/>
                <w:szCs w:val="16"/>
                <w:color w:val="auto"/>
              </w:rPr>
              <w:t>Direct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64.8</w:t>
            </w:r>
          </w:p>
        </w:tc>
        <w:tc>
          <w:tcPr>
            <w:tcW w:w="2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76.3</w:t>
            </w:r>
          </w:p>
        </w:tc>
        <w:tc>
          <w:tcPr>
            <w:tcW w:w="2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(8.2)</w:t>
            </w: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132.9</w:t>
            </w:r>
          </w:p>
        </w:tc>
      </w:tr>
      <w:tr>
        <w:trPr>
          <w:trHeight w:val="189"/>
        </w:trPr>
        <w:tc>
          <w:tcPr>
            <w:tcW w:w="4740" w:type="dxa"/>
            <w:vAlign w:val="bottom"/>
            <w:shd w:val="clear" w:color="auto" w:fill="CFF0FC"/>
          </w:tcPr>
          <w:p>
            <w:pPr>
              <w:ind w:left="100"/>
              <w:spacing w:after="0"/>
              <w:rPr>
                <w:sz w:val="20"/>
                <w:szCs w:val="20"/>
                <w:color w:val="auto"/>
              </w:rPr>
            </w:pPr>
            <w:r>
              <w:rPr>
                <w:rFonts w:ascii="Arial" w:cs="Arial" w:eastAsia="Arial" w:hAnsi="Arial"/>
                <w:sz w:val="16"/>
                <w:szCs w:val="16"/>
                <w:color w:val="auto"/>
              </w:rPr>
              <w:t>Allocated</w:t>
            </w:r>
          </w:p>
        </w:tc>
        <w:tc>
          <w:tcPr>
            <w:tcW w:w="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60.7</w:t>
            </w:r>
          </w:p>
        </w:tc>
        <w:tc>
          <w:tcPr>
            <w:tcW w:w="24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81.6</w:t>
            </w:r>
          </w:p>
        </w:tc>
        <w:tc>
          <w:tcPr>
            <w:tcW w:w="26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right w:val="single" w:sz="8" w:color="CFF0FC"/>
            </w:tcBorders>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142.3</w:t>
            </w:r>
          </w:p>
        </w:tc>
      </w:tr>
      <w:tr>
        <w:trPr>
          <w:trHeight w:val="189"/>
        </w:trPr>
        <w:tc>
          <w:tcPr>
            <w:tcW w:w="474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70.8</w:t>
            </w:r>
          </w:p>
        </w:tc>
        <w:tc>
          <w:tcPr>
            <w:tcW w:w="2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61.5</w:t>
            </w:r>
          </w:p>
        </w:tc>
        <w:tc>
          <w:tcPr>
            <w:tcW w:w="2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0.2</w:t>
            </w: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132.5</w:t>
            </w:r>
          </w:p>
        </w:tc>
      </w:tr>
      <w:tr>
        <w:trPr>
          <w:trHeight w:val="189"/>
        </w:trPr>
        <w:tc>
          <w:tcPr>
            <w:tcW w:w="4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Taxes other than income taxes</w:t>
            </w:r>
          </w:p>
        </w:tc>
        <w:tc>
          <w:tcPr>
            <w:tcW w:w="20" w:type="dxa"/>
            <w:vAlign w:val="bottom"/>
            <w:tcBorders>
              <w:bottom w:val="single" w:sz="8" w:color="auto"/>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19.3</w:t>
            </w:r>
          </w:p>
        </w:tc>
        <w:tc>
          <w:tcPr>
            <w:tcW w:w="240" w:type="dxa"/>
            <w:vAlign w:val="bottom"/>
            <w:tcBorders>
              <w:bottom w:val="single" w:sz="8" w:color="auto"/>
            </w:tcBorders>
            <w:shd w:val="clear" w:color="auto" w:fill="CFF0FC"/>
          </w:tcPr>
          <w:p>
            <w:pPr>
              <w:spacing w:after="0"/>
              <w:rPr>
                <w:sz w:val="16"/>
                <w:szCs w:val="16"/>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14.3</w:t>
            </w:r>
          </w:p>
        </w:tc>
        <w:tc>
          <w:tcPr>
            <w:tcW w:w="260" w:type="dxa"/>
            <w:vAlign w:val="bottom"/>
            <w:tcBorders>
              <w:bottom w:val="single" w:sz="8" w:color="auto"/>
            </w:tcBorders>
            <w:shd w:val="clear" w:color="auto" w:fill="CFF0FC"/>
          </w:tcPr>
          <w:p>
            <w:pPr>
              <w:spacing w:after="0"/>
              <w:rPr>
                <w:sz w:val="16"/>
                <w:szCs w:val="16"/>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auto"/>
              <w:right w:val="single" w:sz="8" w:color="CFF0FC"/>
            </w:tcBorders>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13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33.6</w:t>
            </w:r>
          </w:p>
        </w:tc>
      </w:tr>
      <w:tr>
        <w:trPr>
          <w:trHeight w:val="183"/>
        </w:trPr>
        <w:tc>
          <w:tcPr>
            <w:tcW w:w="4740" w:type="dxa"/>
            <w:vAlign w:val="bottom"/>
          </w:tcPr>
          <w:p>
            <w:pPr>
              <w:ind w:left="100"/>
              <w:spacing w:after="0" w:line="183" w:lineRule="exact"/>
              <w:rPr>
                <w:sz w:val="20"/>
                <w:szCs w:val="20"/>
                <w:color w:val="auto"/>
              </w:rPr>
            </w:pPr>
            <w:r>
              <w:rPr>
                <w:rFonts w:ascii="Arial" w:cs="Arial" w:eastAsia="Arial" w:hAnsi="Arial"/>
                <w:sz w:val="16"/>
                <w:szCs w:val="16"/>
                <w:color w:val="auto"/>
              </w:rPr>
              <w:t>Operating income (loss)</w:t>
            </w:r>
          </w:p>
        </w:tc>
        <w:tc>
          <w:tcPr>
            <w:tcW w:w="140" w:type="dxa"/>
            <w:vAlign w:val="bottom"/>
            <w:tcBorders>
              <w:bottom w:val="single" w:sz="8" w:color="auto"/>
            </w:tcBorders>
            <w:gridSpan w:val="2"/>
          </w:tcPr>
          <w:p>
            <w:pPr>
              <w:spacing w:after="0" w:line="183" w:lineRule="exact"/>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110.9</w:t>
            </w:r>
          </w:p>
        </w:tc>
        <w:tc>
          <w:tcPr>
            <w:tcW w:w="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153.7</w:t>
            </w:r>
          </w:p>
        </w:tc>
        <w:tc>
          <w:tcPr>
            <w:tcW w:w="26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(0.6)</w:t>
            </w:r>
          </w:p>
        </w:tc>
        <w:tc>
          <w:tcPr>
            <w:tcW w:w="360" w:type="dxa"/>
            <w:vAlign w:val="bottom"/>
            <w:tcBorders>
              <w:bottom w:val="single" w:sz="8" w:color="auto"/>
            </w:tcBorders>
            <w:gridSpan w:val="2"/>
          </w:tcPr>
          <w:p>
            <w:pPr>
              <w:jc w:val="right"/>
              <w:ind w:right="240"/>
              <w:spacing w:after="0" w:line="183" w:lineRule="exact"/>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264.0</w:t>
            </w:r>
          </w:p>
        </w:tc>
      </w:tr>
      <w:tr>
        <w:trPr>
          <w:trHeight w:val="183"/>
        </w:trPr>
        <w:tc>
          <w:tcPr>
            <w:tcW w:w="47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40" w:type="dxa"/>
            <w:vAlign w:val="bottom"/>
            <w:tcBorders>
              <w:right w:val="single" w:sz="8" w:color="CFF0FC"/>
            </w:tcBorders>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r>
      <w:tr>
        <w:trPr>
          <w:trHeight w:val="189"/>
        </w:trPr>
        <w:tc>
          <w:tcPr>
            <w:tcW w:w="4740" w:type="dxa"/>
            <w:vAlign w:val="bottom"/>
          </w:tcPr>
          <w:p>
            <w:pPr>
              <w:spacing w:after="0"/>
              <w:rPr>
                <w:sz w:val="20"/>
                <w:szCs w:val="20"/>
                <w:color w:val="auto"/>
              </w:rPr>
            </w:pPr>
            <w:r>
              <w:rPr>
                <w:rFonts w:ascii="Arial" w:cs="Arial" w:eastAsia="Arial" w:hAnsi="Arial"/>
                <w:sz w:val="16"/>
                <w:szCs w:val="16"/>
                <w:color w:val="auto"/>
              </w:rPr>
              <w:t>Interest expense, net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(86.7)</w:t>
            </w:r>
          </w:p>
        </w:tc>
      </w:tr>
      <w:tr>
        <w:trPr>
          <w:trHeight w:val="189"/>
        </w:trPr>
        <w:tc>
          <w:tcPr>
            <w:tcW w:w="4740" w:type="dxa"/>
            <w:vAlign w:val="bottom"/>
            <w:shd w:val="clear" w:color="auto" w:fill="CFF0FC"/>
          </w:tcPr>
          <w:p>
            <w:pPr>
              <w:spacing w:after="0"/>
              <w:rPr>
                <w:sz w:val="20"/>
                <w:szCs w:val="20"/>
                <w:color w:val="auto"/>
              </w:rPr>
            </w:pPr>
            <w:r>
              <w:rPr>
                <w:rFonts w:ascii="Arial" w:cs="Arial" w:eastAsia="Arial" w:hAnsi="Arial"/>
                <w:sz w:val="16"/>
                <w:szCs w:val="16"/>
                <w:color w:val="auto"/>
              </w:rPr>
              <w:t>Other income (expense), net</w:t>
            </w:r>
          </w:p>
        </w:tc>
        <w:tc>
          <w:tcPr>
            <w:tcW w:w="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40" w:type="dxa"/>
            <w:vAlign w:val="bottom"/>
            <w:tcBorders>
              <w:right w:val="single" w:sz="8" w:color="CFF0FC"/>
            </w:tcBorders>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(0.5)</w:t>
            </w:r>
          </w:p>
        </w:tc>
      </w:tr>
      <w:tr>
        <w:trPr>
          <w:trHeight w:val="189"/>
        </w:trPr>
        <w:tc>
          <w:tcPr>
            <w:tcW w:w="4740" w:type="dxa"/>
            <w:vAlign w:val="bottom"/>
          </w:tcPr>
          <w:p>
            <w:pPr>
              <w:spacing w:after="0"/>
              <w:rPr>
                <w:sz w:val="20"/>
                <w:szCs w:val="20"/>
                <w:color w:val="auto"/>
              </w:rPr>
            </w:pPr>
            <w:r>
              <w:rPr>
                <w:rFonts w:ascii="Arial" w:cs="Arial" w:eastAsia="Arial" w:hAnsi="Arial"/>
                <w:sz w:val="16"/>
                <w:szCs w:val="16"/>
                <w:color w:val="auto"/>
              </w:rPr>
              <w:t>Income tax (expense)</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w:t>
            </w:r>
          </w:p>
        </w:tc>
      </w:tr>
      <w:tr>
        <w:trPr>
          <w:trHeight w:val="183"/>
        </w:trPr>
        <w:tc>
          <w:tcPr>
            <w:tcW w:w="4740" w:type="dxa"/>
            <w:vAlign w:val="bottom"/>
            <w:shd w:val="clear" w:color="auto" w:fill="CFF0FC"/>
          </w:tcPr>
          <w:p>
            <w:pPr>
              <w:ind w:left="100"/>
              <w:spacing w:after="0" w:line="183" w:lineRule="exact"/>
              <w:rPr>
                <w:sz w:val="20"/>
                <w:szCs w:val="20"/>
                <w:color w:val="auto"/>
              </w:rPr>
            </w:pPr>
            <w:r>
              <w:rPr>
                <w:rFonts w:ascii="Arial" w:cs="Arial" w:eastAsia="Arial" w:hAnsi="Arial"/>
                <w:sz w:val="16"/>
                <w:szCs w:val="16"/>
                <w:color w:val="auto"/>
              </w:rPr>
              <w:t>Net income</w:t>
            </w:r>
          </w:p>
        </w:tc>
        <w:tc>
          <w:tcPr>
            <w:tcW w:w="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40" w:type="dxa"/>
            <w:vAlign w:val="bottom"/>
            <w:tcBorders>
              <w:right w:val="single" w:sz="8" w:color="CFF0FC"/>
            </w:tcBorders>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156.2</w:t>
            </w:r>
          </w:p>
        </w:tc>
      </w:tr>
      <w:tr>
        <w:trPr>
          <w:trHeight w:val="189"/>
        </w:trPr>
        <w:tc>
          <w:tcPr>
            <w:tcW w:w="4740" w:type="dxa"/>
            <w:vAlign w:val="bottom"/>
          </w:tcPr>
          <w:p>
            <w:pPr>
              <w:spacing w:after="0"/>
              <w:rPr>
                <w:sz w:val="20"/>
                <w:szCs w:val="20"/>
                <w:color w:val="auto"/>
              </w:rPr>
            </w:pPr>
            <w:r>
              <w:rPr>
                <w:rFonts w:ascii="Arial" w:cs="Arial" w:eastAsia="Arial" w:hAnsi="Arial"/>
                <w:sz w:val="16"/>
                <w:szCs w:val="16"/>
                <w:color w:val="auto"/>
              </w:rPr>
              <w:t>Net income attributable to non-controlling interest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w:t>
            </w:r>
          </w:p>
        </w:tc>
      </w:tr>
      <w:tr>
        <w:trPr>
          <w:trHeight w:val="183"/>
        </w:trPr>
        <w:tc>
          <w:tcPr>
            <w:tcW w:w="4740" w:type="dxa"/>
            <w:vAlign w:val="bottom"/>
            <w:shd w:val="clear" w:color="auto" w:fill="CFF0FC"/>
          </w:tcPr>
          <w:p>
            <w:pPr>
              <w:ind w:left="100"/>
              <w:spacing w:after="0" w:line="183" w:lineRule="exact"/>
              <w:rPr>
                <w:sz w:val="20"/>
                <w:szCs w:val="20"/>
                <w:color w:val="auto"/>
              </w:rPr>
            </w:pPr>
            <w:r>
              <w:rPr>
                <w:rFonts w:ascii="Arial" w:cs="Arial" w:eastAsia="Arial" w:hAnsi="Arial"/>
                <w:sz w:val="16"/>
                <w:szCs w:val="16"/>
                <w:color w:val="auto"/>
              </w:rPr>
              <w:t>Net income available for common stock</w:t>
            </w:r>
          </w:p>
        </w:tc>
        <w:tc>
          <w:tcPr>
            <w:tcW w:w="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360" w:type="dxa"/>
            <w:vAlign w:val="bottom"/>
            <w:gridSpan w:val="2"/>
            <w:shd w:val="clear" w:color="auto" w:fill="CFF0FC"/>
          </w:tcPr>
          <w:p>
            <w:pPr>
              <w:jc w:val="right"/>
              <w:ind w:right="240"/>
              <w:spacing w:after="0" w:line="183" w:lineRule="exact"/>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150.6</w:t>
            </w:r>
          </w:p>
        </w:tc>
      </w:tr>
      <w:tr>
        <w:trPr>
          <w:trHeight w:val="20"/>
        </w:trPr>
        <w:tc>
          <w:tcPr>
            <w:tcW w:w="474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8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36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340" w:type="dxa"/>
            <w:vAlign w:val="bottom"/>
            <w:shd w:val="clear" w:color="auto" w:fill="CFF0FC"/>
          </w:tcPr>
          <w:p>
            <w:pPr>
              <w:spacing w:after="0" w:line="20" w:lineRule="exact"/>
              <w:rPr>
                <w:sz w:val="1"/>
                <w:szCs w:val="1"/>
                <w:color w:val="auto"/>
              </w:rPr>
            </w:pPr>
          </w:p>
        </w:tc>
        <w:tc>
          <w:tcPr>
            <w:tcW w:w="40" w:type="dxa"/>
            <w:vAlign w:val="bottom"/>
            <w:tcBorders>
              <w:right w:val="single" w:sz="8" w:color="CFF0FC"/>
            </w:tcBorders>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218567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185670" cy="8890"/>
                    </a:xfrm>
                    <a:prstGeom prst="rect">
                      <a:avLst/>
                    </a:prstGeom>
                    <a:noFill/>
                  </pic:spPr>
                </pic:pic>
              </a:graphicData>
            </a:graphic>
          </wp:anchor>
        </w:drawing>
      </w:r>
    </w:p>
    <w:p>
      <w:pPr>
        <w:spacing w:after="0" w:line="119" w:lineRule="exact"/>
        <w:rPr>
          <w:sz w:val="20"/>
          <w:szCs w:val="20"/>
          <w:color w:val="auto"/>
        </w:rPr>
      </w:pPr>
    </w:p>
    <w:p>
      <w:pPr>
        <w:ind w:left="520" w:right="120" w:hanging="512"/>
        <w:spacing w:after="0" w:line="256" w:lineRule="auto"/>
        <w:tabs>
          <w:tab w:leader="none" w:pos="5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Direct and Allocated Operations and maintenance expenses for our operating segments are regularly provided to the CODM. Direct Operations and maintenance expense represents the costs incurred directly by our operating segments. Allocated Operations and maintenance expense represent costs incurred by BHSC for various direct and indirect support services provided to our operating segments. Pursuant to the BHSC Cost Allocation Manual, indirect cost allocations are determined in accordance with the Public Utility Holding Company Act of 2005.</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4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 xml:space="preserve">Capital Expenditures </w:t>
            </w:r>
            <w:r>
              <w:rPr>
                <w:rFonts w:ascii="Arial" w:cs="Arial" w:eastAsia="Arial" w:hAnsi="Arial"/>
                <w:sz w:val="21"/>
                <w:szCs w:val="21"/>
                <w:b w:val="1"/>
                <w:bCs w:val="1"/>
                <w:color w:val="auto"/>
                <w:vertAlign w:val="superscript"/>
              </w:rPr>
              <w:t>(a)</w:t>
            </w:r>
            <w:r>
              <w:rPr>
                <w:rFonts w:ascii="Arial" w:cs="Arial" w:eastAsia="Arial" w:hAnsi="Arial"/>
                <w:sz w:val="16"/>
                <w:szCs w:val="16"/>
                <w:b w:val="1"/>
                <w:bCs w:val="1"/>
                <w:color w:val="auto"/>
              </w:rPr>
              <w:t xml:space="preserve"> for the six months ended June 30,</w:t>
            </w:r>
          </w:p>
        </w:tc>
        <w:tc>
          <w:tcPr>
            <w:tcW w:w="2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2025</w:t>
            </w:r>
          </w:p>
        </w:tc>
        <w:tc>
          <w:tcPr>
            <w:tcW w:w="4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2024</w:t>
            </w:r>
          </w:p>
        </w:tc>
      </w:tr>
      <w:tr>
        <w:trPr>
          <w:trHeight w:val="183"/>
        </w:trPr>
        <w:tc>
          <w:tcPr>
            <w:tcW w:w="84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2"/>
          </w:tcPr>
          <w:p>
            <w:pPr>
              <w:jc w:val="right"/>
              <w:spacing w:after="0" w:line="183" w:lineRule="exact"/>
              <w:rPr>
                <w:sz w:val="20"/>
                <w:szCs w:val="20"/>
                <w:color w:val="auto"/>
              </w:rPr>
            </w:pPr>
            <w:r>
              <w:rPr>
                <w:rFonts w:ascii="Arial" w:cs="Arial" w:eastAsia="Arial" w:hAnsi="Arial"/>
                <w:sz w:val="16"/>
                <w:szCs w:val="16"/>
                <w:color w:val="auto"/>
              </w:rPr>
              <w:t>(in millions)</w:t>
            </w:r>
          </w:p>
        </w:tc>
        <w:tc>
          <w:tcPr>
            <w:tcW w:w="1000" w:type="dxa"/>
            <w:vAlign w:val="bottom"/>
            <w:tcBorders>
              <w:bottom w:val="single" w:sz="8" w:color="auto"/>
            </w:tcBorders>
          </w:tcPr>
          <w:p>
            <w:pPr>
              <w:spacing w:after="0"/>
              <w:rPr>
                <w:sz w:val="15"/>
                <w:szCs w:val="15"/>
                <w:color w:val="auto"/>
              </w:rPr>
            </w:pPr>
          </w:p>
        </w:tc>
      </w:tr>
      <w:tr>
        <w:trPr>
          <w:trHeight w:val="183"/>
        </w:trPr>
        <w:tc>
          <w:tcPr>
            <w:tcW w:w="8480" w:type="dxa"/>
            <w:vAlign w:val="bottom"/>
            <w:shd w:val="clear" w:color="auto" w:fill="CFF0FC"/>
          </w:tcPr>
          <w:p>
            <w:pPr>
              <w:ind w:left="80"/>
              <w:spacing w:after="0" w:line="183" w:lineRule="exact"/>
              <w:rPr>
                <w:sz w:val="20"/>
                <w:szCs w:val="20"/>
                <w:color w:val="auto"/>
              </w:rPr>
            </w:pPr>
            <w:r>
              <w:rPr>
                <w:rFonts w:ascii="Arial" w:cs="Arial" w:eastAsia="Arial" w:hAnsi="Arial"/>
                <w:sz w:val="16"/>
                <w:szCs w:val="16"/>
                <w:color w:val="auto"/>
              </w:rPr>
              <w:t>Electric Utilities</w:t>
            </w: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211.8</w:t>
            </w:r>
          </w:p>
        </w:tc>
        <w:tc>
          <w:tcPr>
            <w:tcW w:w="460" w:type="dxa"/>
            <w:vAlign w:val="bottom"/>
            <w:shd w:val="clear" w:color="auto" w:fill="CFF0FC"/>
          </w:tcPr>
          <w:p>
            <w:pPr>
              <w:jc w:val="right"/>
              <w:ind w:right="219"/>
              <w:spacing w:after="0" w:line="183" w:lineRule="exact"/>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185.6</w:t>
            </w:r>
          </w:p>
        </w:tc>
      </w:tr>
      <w:tr>
        <w:trPr>
          <w:trHeight w:val="189"/>
        </w:trPr>
        <w:tc>
          <w:tcPr>
            <w:tcW w:w="8480" w:type="dxa"/>
            <w:vAlign w:val="bottom"/>
          </w:tcPr>
          <w:p>
            <w:pPr>
              <w:ind w:left="80"/>
              <w:spacing w:after="0"/>
              <w:rPr>
                <w:sz w:val="20"/>
                <w:szCs w:val="20"/>
                <w:color w:val="auto"/>
              </w:rPr>
            </w:pPr>
            <w:r>
              <w:rPr>
                <w:rFonts w:ascii="Arial" w:cs="Arial" w:eastAsia="Arial" w:hAnsi="Arial"/>
                <w:sz w:val="16"/>
                <w:szCs w:val="16"/>
                <w:color w:val="auto"/>
              </w:rPr>
              <w:t>Gas Utilities</w:t>
            </w: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153.8</w:t>
            </w:r>
          </w:p>
        </w:tc>
        <w:tc>
          <w:tcPr>
            <w:tcW w:w="460" w:type="dxa"/>
            <w:vAlign w:val="bottom"/>
          </w:tcPr>
          <w:p>
            <w:pPr>
              <w:spacing w:after="0"/>
              <w:rPr>
                <w:sz w:val="16"/>
                <w:szCs w:val="16"/>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190.4</w:t>
            </w:r>
          </w:p>
        </w:tc>
      </w:tr>
      <w:tr>
        <w:trPr>
          <w:trHeight w:val="189"/>
        </w:trPr>
        <w:tc>
          <w:tcPr>
            <w:tcW w:w="848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6"/>
                <w:szCs w:val="16"/>
                <w:color w:val="auto"/>
              </w:rPr>
              <w:t>Corporate and Other</w:t>
            </w:r>
          </w:p>
        </w:tc>
        <w:tc>
          <w:tcPr>
            <w:tcW w:w="26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4.3</w:t>
            </w:r>
          </w:p>
        </w:tc>
        <w:tc>
          <w:tcPr>
            <w:tcW w:w="46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4.8</w:t>
            </w:r>
          </w:p>
        </w:tc>
      </w:tr>
      <w:tr>
        <w:trPr>
          <w:trHeight w:val="183"/>
        </w:trPr>
        <w:tc>
          <w:tcPr>
            <w:tcW w:w="8480" w:type="dxa"/>
            <w:vAlign w:val="bottom"/>
          </w:tcPr>
          <w:p>
            <w:pPr>
              <w:spacing w:after="0" w:line="183" w:lineRule="exact"/>
              <w:rPr>
                <w:sz w:val="20"/>
                <w:szCs w:val="20"/>
                <w:color w:val="auto"/>
              </w:rPr>
            </w:pPr>
            <w:r>
              <w:rPr>
                <w:rFonts w:ascii="Arial" w:cs="Arial" w:eastAsia="Arial" w:hAnsi="Arial"/>
                <w:sz w:val="16"/>
                <w:szCs w:val="16"/>
                <w:color w:val="auto"/>
              </w:rPr>
              <w:t>Total capital expenditures</w:t>
            </w:r>
          </w:p>
        </w:tc>
        <w:tc>
          <w:tcPr>
            <w:tcW w:w="2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369.9</w:t>
            </w:r>
          </w:p>
        </w:tc>
        <w:tc>
          <w:tcPr>
            <w:tcW w:w="460" w:type="dxa"/>
            <w:vAlign w:val="bottom"/>
            <w:tcBorders>
              <w:bottom w:val="single" w:sz="8" w:color="auto"/>
            </w:tcBorders>
          </w:tcPr>
          <w:p>
            <w:pPr>
              <w:jc w:val="right"/>
              <w:ind w:right="219"/>
              <w:spacing w:after="0" w:line="183" w:lineRule="exact"/>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380.8</w:t>
            </w:r>
          </w:p>
        </w:tc>
      </w:tr>
      <w:tr>
        <w:trPr>
          <w:trHeight w:val="20"/>
        </w:trPr>
        <w:tc>
          <w:tcPr>
            <w:tcW w:w="8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04584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119" w:lineRule="exact"/>
        <w:rPr>
          <w:sz w:val="20"/>
          <w:szCs w:val="20"/>
          <w:color w:val="auto"/>
        </w:rPr>
      </w:pPr>
    </w:p>
    <w:p>
      <w:pPr>
        <w:ind w:left="520" w:right="760" w:hanging="512"/>
        <w:spacing w:after="0" w:line="285" w:lineRule="auto"/>
        <w:tabs>
          <w:tab w:leader="none" w:pos="5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 xml:space="preserve">Includes accruals for property, plant, and equipment as disclosed in supplemental cash flow information in the </w:t>
      </w:r>
      <w:r>
        <w:rPr>
          <w:rFonts w:ascii="Arial" w:cs="Arial" w:eastAsia="Arial" w:hAnsi="Arial"/>
          <w:sz w:val="14"/>
          <w:szCs w:val="14"/>
          <w:u w:val="single" w:color="auto"/>
          <w:color w:val="0000FF"/>
        </w:rPr>
        <w:t>Consolidated Statements of Cash Flows</w:t>
      </w:r>
      <w:r>
        <w:rPr>
          <w:rFonts w:ascii="Arial" w:cs="Arial" w:eastAsia="Arial" w:hAnsi="Arial"/>
          <w:sz w:val="14"/>
          <w:szCs w:val="14"/>
          <w:color w:val="auto"/>
        </w:rPr>
        <w:t xml:space="preserve"> in the Consolidated Financial Statements. Capital expenditures are presented net of CIACs in the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4781550</wp:posOffset>
            </wp:positionH>
            <wp:positionV relativeFrom="paragraph">
              <wp:posOffset>-142240</wp:posOffset>
            </wp:positionV>
            <wp:extent cx="162496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624965" cy="8255"/>
                    </a:xfrm>
                    <a:prstGeom prst="rect">
                      <a:avLst/>
                    </a:prstGeom>
                    <a:noFill/>
                  </pic:spPr>
                </pic:pic>
              </a:graphicData>
            </a:graphic>
          </wp:anchor>
        </w:drawing>
      </w:r>
    </w:p>
    <w:p>
      <w:pPr>
        <w:spacing w:after="0" w:line="295" w:lineRule="exact"/>
        <w:rPr>
          <w:sz w:val="20"/>
          <w:szCs w:val="20"/>
          <w:color w:val="auto"/>
        </w:rPr>
      </w:pPr>
    </w:p>
    <w:p>
      <w:pPr>
        <w:ind w:left="520" w:hanging="512"/>
        <w:spacing w:after="0"/>
        <w:tabs>
          <w:tab w:leader="none" w:pos="520" w:val="left"/>
        </w:tabs>
        <w:numPr>
          <w:ilvl w:val="0"/>
          <w:numId w:val="22"/>
        </w:numPr>
        <w:rPr>
          <w:rFonts w:ascii="Arial" w:cs="Arial" w:eastAsia="Arial" w:hAnsi="Arial"/>
          <w:sz w:val="16"/>
          <w:szCs w:val="16"/>
          <w:b w:val="1"/>
          <w:bCs w:val="1"/>
          <w:color w:val="auto"/>
        </w:rPr>
      </w:pPr>
      <w:r>
        <w:rPr>
          <w:rFonts w:ascii="Arial" w:cs="Arial" w:eastAsia="Arial" w:hAnsi="Arial"/>
          <w:sz w:val="16"/>
          <w:szCs w:val="16"/>
          <w:b w:val="1"/>
          <w:bCs w:val="1"/>
          <w:color w:val="auto"/>
        </w:rPr>
        <w:t>Selected Balance Sheet Information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Accounts Receivable and Allowance for Credit Losses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Following is a summary of Accounts receivable, net included in the accompanying Consolidated Balance Sheets as of:</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21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June 30, 2025</w:t>
            </w:r>
          </w:p>
        </w:tc>
        <w:tc>
          <w:tcPr>
            <w:tcW w:w="7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December 31, 2024</w:t>
            </w:r>
          </w:p>
        </w:tc>
      </w:tr>
      <w:tr>
        <w:trPr>
          <w:trHeight w:val="183"/>
        </w:trPr>
        <w:tc>
          <w:tcPr>
            <w:tcW w:w="5620" w:type="dxa"/>
            <w:vAlign w:val="bottom"/>
          </w:tcPr>
          <w:p>
            <w:pPr>
              <w:spacing w:after="0"/>
              <w:rPr>
                <w:sz w:val="15"/>
                <w:szCs w:val="15"/>
                <w:color w:val="auto"/>
              </w:rPr>
            </w:pPr>
          </w:p>
        </w:tc>
        <w:tc>
          <w:tcPr>
            <w:tcW w:w="2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jc w:val="right"/>
              <w:ind w:right="79"/>
              <w:spacing w:after="0" w:line="183" w:lineRule="exact"/>
              <w:rPr>
                <w:sz w:val="20"/>
                <w:szCs w:val="20"/>
                <w:color w:val="auto"/>
              </w:rPr>
            </w:pPr>
            <w:r>
              <w:rPr>
                <w:rFonts w:ascii="Arial" w:cs="Arial" w:eastAsia="Arial" w:hAnsi="Arial"/>
                <w:sz w:val="16"/>
                <w:szCs w:val="16"/>
                <w:color w:val="auto"/>
              </w:rPr>
              <w:t>(in millions)</w:t>
            </w:r>
          </w:p>
        </w:tc>
        <w:tc>
          <w:tcPr>
            <w:tcW w:w="2300" w:type="dxa"/>
            <w:vAlign w:val="bottom"/>
            <w:tcBorders>
              <w:bottom w:val="single" w:sz="8" w:color="auto"/>
            </w:tcBorders>
          </w:tcPr>
          <w:p>
            <w:pPr>
              <w:spacing w:after="0"/>
              <w:rPr>
                <w:sz w:val="15"/>
                <w:szCs w:val="15"/>
                <w:color w:val="auto"/>
              </w:rPr>
            </w:pPr>
          </w:p>
        </w:tc>
      </w:tr>
      <w:tr>
        <w:trPr>
          <w:trHeight w:val="183"/>
        </w:trPr>
        <w:tc>
          <w:tcPr>
            <w:tcW w:w="562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Billed Accounts Receivable</w:t>
            </w:r>
          </w:p>
        </w:tc>
        <w:tc>
          <w:tcPr>
            <w:tcW w:w="2120" w:type="dxa"/>
            <w:vAlign w:val="bottom"/>
            <w:shd w:val="clear" w:color="auto" w:fill="CFF0FC"/>
          </w:tcPr>
          <w:p>
            <w:pPr>
              <w:jc w:val="right"/>
              <w:ind w:right="1939"/>
              <w:spacing w:after="0" w:line="183" w:lineRule="exact"/>
              <w:rPr>
                <w:sz w:val="20"/>
                <w:szCs w:val="20"/>
                <w:color w:val="auto"/>
              </w:rPr>
            </w:pPr>
            <w:r>
              <w:rPr>
                <w:rFonts w:ascii="Arial" w:cs="Arial" w:eastAsia="Arial" w:hAnsi="Arial"/>
                <w:sz w:val="16"/>
                <w:szCs w:val="16"/>
                <w:color w:val="auto"/>
                <w:w w:val="89"/>
              </w:rPr>
              <w:t>$</w:t>
            </w:r>
          </w:p>
        </w:tc>
        <w:tc>
          <w:tcPr>
            <w:tcW w:w="7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180.9</w:t>
            </w:r>
          </w:p>
        </w:tc>
        <w:tc>
          <w:tcPr>
            <w:tcW w:w="480" w:type="dxa"/>
            <w:vAlign w:val="bottom"/>
            <w:shd w:val="clear" w:color="auto" w:fill="CFF0FC"/>
          </w:tcPr>
          <w:p>
            <w:pPr>
              <w:jc w:val="right"/>
              <w:ind w:right="279"/>
              <w:spacing w:after="0" w:line="183" w:lineRule="exact"/>
              <w:rPr>
                <w:sz w:val="20"/>
                <w:szCs w:val="20"/>
                <w:color w:val="auto"/>
              </w:rPr>
            </w:pPr>
            <w:r>
              <w:rPr>
                <w:rFonts w:ascii="Arial" w:cs="Arial" w:eastAsia="Arial" w:hAnsi="Arial"/>
                <w:sz w:val="16"/>
                <w:szCs w:val="16"/>
                <w:color w:val="auto"/>
              </w:rPr>
              <w:t>$</w:t>
            </w:r>
          </w:p>
        </w:tc>
        <w:tc>
          <w:tcPr>
            <w:tcW w:w="230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201.5</w:t>
            </w:r>
          </w:p>
        </w:tc>
      </w:tr>
      <w:tr>
        <w:trPr>
          <w:trHeight w:val="189"/>
        </w:trPr>
        <w:tc>
          <w:tcPr>
            <w:tcW w:w="5620" w:type="dxa"/>
            <w:vAlign w:val="bottom"/>
          </w:tcPr>
          <w:p>
            <w:pPr>
              <w:spacing w:after="0"/>
              <w:rPr>
                <w:sz w:val="20"/>
                <w:szCs w:val="20"/>
                <w:color w:val="auto"/>
              </w:rPr>
            </w:pPr>
            <w:r>
              <w:rPr>
                <w:rFonts w:ascii="Arial" w:cs="Arial" w:eastAsia="Arial" w:hAnsi="Arial"/>
                <w:sz w:val="16"/>
                <w:szCs w:val="16"/>
                <w:color w:val="auto"/>
              </w:rPr>
              <w:t>Unbilled Revenue</w:t>
            </w:r>
          </w:p>
        </w:tc>
        <w:tc>
          <w:tcPr>
            <w:tcW w:w="2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83.6</w:t>
            </w:r>
          </w:p>
        </w:tc>
        <w:tc>
          <w:tcPr>
            <w:tcW w:w="480" w:type="dxa"/>
            <w:vAlign w:val="bottom"/>
          </w:tcPr>
          <w:p>
            <w:pPr>
              <w:spacing w:after="0"/>
              <w:rPr>
                <w:sz w:val="16"/>
                <w:szCs w:val="16"/>
                <w:color w:val="auto"/>
              </w:rPr>
            </w:pPr>
          </w:p>
        </w:tc>
        <w:tc>
          <w:tcPr>
            <w:tcW w:w="2300" w:type="dxa"/>
            <w:vAlign w:val="bottom"/>
          </w:tcPr>
          <w:p>
            <w:pPr>
              <w:jc w:val="right"/>
              <w:ind w:right="19"/>
              <w:spacing w:after="0"/>
              <w:rPr>
                <w:sz w:val="20"/>
                <w:szCs w:val="20"/>
                <w:color w:val="auto"/>
              </w:rPr>
            </w:pPr>
            <w:r>
              <w:rPr>
                <w:rFonts w:ascii="Arial" w:cs="Arial" w:eastAsia="Arial" w:hAnsi="Arial"/>
                <w:sz w:val="16"/>
                <w:szCs w:val="16"/>
                <w:color w:val="auto"/>
              </w:rPr>
              <w:t>151.8</w:t>
            </w:r>
          </w:p>
        </w:tc>
      </w:tr>
      <w:tr>
        <w:trPr>
          <w:trHeight w:val="189"/>
        </w:trPr>
        <w:tc>
          <w:tcPr>
            <w:tcW w:w="5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Less: Allowance for Credit Losses</w:t>
            </w:r>
          </w:p>
        </w:tc>
        <w:tc>
          <w:tcPr>
            <w:tcW w:w="2120" w:type="dxa"/>
            <w:vAlign w:val="bottom"/>
            <w:tcBorders>
              <w:bottom w:val="single" w:sz="8" w:color="auto"/>
            </w:tcBorders>
            <w:shd w:val="clear" w:color="auto" w:fill="CFF0FC"/>
          </w:tcPr>
          <w:p>
            <w:pPr>
              <w:spacing w:after="0"/>
              <w:rPr>
                <w:sz w:val="16"/>
                <w:szCs w:val="16"/>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w:t>
            </w:r>
          </w:p>
        </w:tc>
        <w:tc>
          <w:tcPr>
            <w:tcW w:w="480" w:type="dxa"/>
            <w:vAlign w:val="bottom"/>
            <w:tcBorders>
              <w:bottom w:val="single" w:sz="8" w:color="auto"/>
            </w:tcBorders>
            <w:shd w:val="clear" w:color="auto" w:fill="CFF0FC"/>
          </w:tcPr>
          <w:p>
            <w:pPr>
              <w:spacing w:after="0"/>
              <w:rPr>
                <w:sz w:val="16"/>
                <w:szCs w:val="16"/>
                <w:color w:val="auto"/>
              </w:rPr>
            </w:pPr>
          </w:p>
        </w:tc>
        <w:tc>
          <w:tcPr>
            <w:tcW w:w="2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w:t>
            </w:r>
          </w:p>
        </w:tc>
      </w:tr>
      <w:tr>
        <w:trPr>
          <w:trHeight w:val="183"/>
        </w:trPr>
        <w:tc>
          <w:tcPr>
            <w:tcW w:w="5620" w:type="dxa"/>
            <w:vAlign w:val="bottom"/>
          </w:tcPr>
          <w:p>
            <w:pPr>
              <w:spacing w:after="0" w:line="169" w:lineRule="exact"/>
              <w:rPr>
                <w:sz w:val="20"/>
                <w:szCs w:val="20"/>
                <w:color w:val="auto"/>
              </w:rPr>
            </w:pPr>
            <w:r>
              <w:rPr>
                <w:rFonts w:ascii="Arial" w:cs="Arial" w:eastAsia="Arial" w:hAnsi="Arial"/>
                <w:sz w:val="16"/>
                <w:szCs w:val="16"/>
                <w:color w:val="auto"/>
              </w:rPr>
              <w:t>Account Receivable, net</w:t>
            </w:r>
          </w:p>
        </w:tc>
        <w:tc>
          <w:tcPr>
            <w:tcW w:w="2120" w:type="dxa"/>
            <w:vAlign w:val="bottom"/>
            <w:tcBorders>
              <w:bottom w:val="single" w:sz="8" w:color="auto"/>
            </w:tcBorders>
          </w:tcPr>
          <w:p>
            <w:pPr>
              <w:jc w:val="right"/>
              <w:ind w:right="1939"/>
              <w:spacing w:after="0" w:line="169" w:lineRule="exact"/>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260.8</w:t>
            </w:r>
          </w:p>
        </w:tc>
        <w:tc>
          <w:tcPr>
            <w:tcW w:w="480" w:type="dxa"/>
            <w:vAlign w:val="bottom"/>
            <w:tcBorders>
              <w:bottom w:val="single" w:sz="8" w:color="auto"/>
            </w:tcBorders>
          </w:tcPr>
          <w:p>
            <w:pPr>
              <w:jc w:val="right"/>
              <w:ind w:right="279"/>
              <w:spacing w:after="0" w:line="169" w:lineRule="exact"/>
              <w:rPr>
                <w:sz w:val="20"/>
                <w:szCs w:val="20"/>
                <w:color w:val="auto"/>
              </w:rPr>
            </w:pPr>
            <w:r>
              <w:rPr>
                <w:rFonts w:ascii="Arial" w:cs="Arial" w:eastAsia="Arial" w:hAnsi="Arial"/>
                <w:sz w:val="16"/>
                <w:szCs w:val="16"/>
                <w:color w:val="auto"/>
              </w:rPr>
              <w:t>$</w:t>
            </w:r>
          </w:p>
        </w:tc>
        <w:tc>
          <w:tcPr>
            <w:tcW w:w="2300" w:type="dxa"/>
            <w:vAlign w:val="bottom"/>
            <w:tcBorders>
              <w:bottom w:val="single" w:sz="8" w:color="auto"/>
            </w:tcBorders>
          </w:tcPr>
          <w:p>
            <w:pPr>
              <w:jc w:val="right"/>
              <w:ind w:right="19"/>
              <w:spacing w:after="0" w:line="169" w:lineRule="exact"/>
              <w:rPr>
                <w:sz w:val="20"/>
                <w:szCs w:val="20"/>
                <w:color w:val="auto"/>
              </w:rPr>
            </w:pPr>
            <w:r>
              <w:rPr>
                <w:rFonts w:ascii="Arial" w:cs="Arial" w:eastAsia="Arial" w:hAnsi="Arial"/>
                <w:sz w:val="16"/>
                <w:szCs w:val="16"/>
                <w:color w:val="auto"/>
              </w:rPr>
              <w:t>351.2</w:t>
            </w:r>
          </w:p>
        </w:tc>
      </w:tr>
      <w:tr>
        <w:trPr>
          <w:trHeight w:val="20"/>
        </w:trPr>
        <w:tc>
          <w:tcPr>
            <w:tcW w:w="562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Changes to allowance for credit losses for the six months ended June 30, 2025 and 2024, respectively, were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40" w:type="dxa"/>
            <w:vAlign w:val="bottom"/>
          </w:tcPr>
          <w:p>
            <w:pPr>
              <w:spacing w:after="0"/>
              <w:rPr>
                <w:sz w:val="16"/>
                <w:szCs w:val="16"/>
                <w:color w:val="auto"/>
              </w:rPr>
            </w:pPr>
          </w:p>
        </w:tc>
        <w:tc>
          <w:tcPr>
            <w:tcW w:w="1780" w:type="dxa"/>
            <w:vAlign w:val="bottom"/>
            <w:gridSpan w:val="2"/>
          </w:tcPr>
          <w:p>
            <w:pPr>
              <w:ind w:left="20"/>
              <w:spacing w:after="0"/>
              <w:rPr>
                <w:sz w:val="20"/>
                <w:szCs w:val="20"/>
                <w:color w:val="auto"/>
              </w:rPr>
            </w:pPr>
            <w:r>
              <w:rPr>
                <w:rFonts w:ascii="Arial" w:cs="Arial" w:eastAsia="Arial" w:hAnsi="Arial"/>
                <w:sz w:val="16"/>
                <w:szCs w:val="16"/>
                <w:b w:val="1"/>
                <w:bCs w:val="1"/>
                <w:color w:val="auto"/>
              </w:rPr>
              <w:t>Balance at Beginning</w:t>
            </w:r>
          </w:p>
        </w:tc>
        <w:tc>
          <w:tcPr>
            <w:tcW w:w="1880" w:type="dxa"/>
            <w:vAlign w:val="bottom"/>
            <w:gridSpan w:val="2"/>
          </w:tcPr>
          <w:p>
            <w:pPr>
              <w:ind w:left="100"/>
              <w:spacing w:after="0"/>
              <w:rPr>
                <w:sz w:val="20"/>
                <w:szCs w:val="20"/>
                <w:color w:val="auto"/>
              </w:rPr>
            </w:pPr>
            <w:r>
              <w:rPr>
                <w:rFonts w:ascii="Arial" w:cs="Arial" w:eastAsia="Arial" w:hAnsi="Arial"/>
                <w:sz w:val="16"/>
                <w:szCs w:val="16"/>
                <w:b w:val="1"/>
                <w:bCs w:val="1"/>
                <w:color w:val="auto"/>
              </w:rPr>
              <w:t>Additions Charged to</w:t>
            </w:r>
          </w:p>
        </w:tc>
        <w:tc>
          <w:tcPr>
            <w:tcW w:w="1840" w:type="dxa"/>
            <w:vAlign w:val="bottom"/>
            <w:gridSpan w:val="2"/>
          </w:tcPr>
          <w:p>
            <w:pPr>
              <w:ind w:left="60"/>
              <w:spacing w:after="0"/>
              <w:rPr>
                <w:sz w:val="20"/>
                <w:szCs w:val="20"/>
                <w:color w:val="auto"/>
              </w:rPr>
            </w:pPr>
            <w:r>
              <w:rPr>
                <w:rFonts w:ascii="Arial" w:cs="Arial" w:eastAsia="Arial" w:hAnsi="Arial"/>
                <w:sz w:val="16"/>
                <w:szCs w:val="16"/>
                <w:b w:val="1"/>
                <w:bCs w:val="1"/>
                <w:color w:val="auto"/>
              </w:rPr>
              <w:t>Recoveries and Other</w:t>
            </w:r>
          </w:p>
        </w:tc>
        <w:tc>
          <w:tcPr>
            <w:tcW w:w="1860" w:type="dxa"/>
            <w:vAlign w:val="bottom"/>
            <w:gridSpan w:val="2"/>
          </w:tcPr>
          <w:p>
            <w:pPr>
              <w:jc w:val="right"/>
              <w:ind w:right="119"/>
              <w:spacing w:after="0"/>
              <w:rPr>
                <w:sz w:val="20"/>
                <w:szCs w:val="20"/>
                <w:color w:val="auto"/>
              </w:rPr>
            </w:pPr>
            <w:r>
              <w:rPr>
                <w:rFonts w:ascii="Arial" w:cs="Arial" w:eastAsia="Arial" w:hAnsi="Arial"/>
                <w:sz w:val="16"/>
                <w:szCs w:val="16"/>
                <w:b w:val="1"/>
                <w:bCs w:val="1"/>
                <w:color w:val="auto"/>
              </w:rPr>
              <w:t>Write-offs and Other</w:t>
            </w:r>
          </w:p>
        </w:tc>
        <w:tc>
          <w:tcPr>
            <w:tcW w:w="12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203"/>
        </w:trPr>
        <w:tc>
          <w:tcPr>
            <w:tcW w:w="20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of Year</w:t>
            </w:r>
          </w:p>
        </w:tc>
        <w:tc>
          <w:tcPr>
            <w:tcW w:w="1880" w:type="dxa"/>
            <w:vAlign w:val="bottom"/>
            <w:tcBorders>
              <w:bottom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Costs and Expenses</w:t>
            </w:r>
          </w:p>
        </w:tc>
        <w:tc>
          <w:tcPr>
            <w:tcW w:w="3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Additions</w:t>
            </w:r>
          </w:p>
        </w:tc>
        <w:tc>
          <w:tcPr>
            <w:tcW w:w="3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Deductions</w:t>
            </w:r>
          </w:p>
        </w:tc>
        <w:tc>
          <w:tcPr>
            <w:tcW w:w="12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9"/>
              </w:rPr>
              <w:t>Balance at June 30,</w:t>
            </w:r>
          </w:p>
        </w:tc>
      </w:tr>
      <w:tr>
        <w:trPr>
          <w:trHeight w:val="183"/>
        </w:trPr>
        <w:tc>
          <w:tcPr>
            <w:tcW w:w="20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479"/>
              <w:spacing w:after="0" w:line="183" w:lineRule="exact"/>
              <w:rPr>
                <w:sz w:val="20"/>
                <w:szCs w:val="20"/>
                <w:color w:val="auto"/>
              </w:rPr>
            </w:pPr>
            <w:r>
              <w:rPr>
                <w:rFonts w:ascii="Arial" w:cs="Arial" w:eastAsia="Arial" w:hAnsi="Arial"/>
                <w:sz w:val="16"/>
                <w:szCs w:val="16"/>
                <w:color w:val="auto"/>
              </w:rPr>
              <w:t>(in millions)</w:t>
            </w:r>
          </w:p>
        </w:tc>
        <w:tc>
          <w:tcPr>
            <w:tcW w:w="3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spacing w:after="0"/>
              <w:rPr>
                <w:sz w:val="15"/>
                <w:szCs w:val="15"/>
                <w:color w:val="auto"/>
              </w:rPr>
            </w:pPr>
          </w:p>
        </w:tc>
      </w:tr>
      <w:tr>
        <w:trPr>
          <w:trHeight w:val="183"/>
        </w:trPr>
        <w:tc>
          <w:tcPr>
            <w:tcW w:w="2040" w:type="dxa"/>
            <w:vAlign w:val="bottom"/>
            <w:shd w:val="clear" w:color="auto" w:fill="CFF0FC"/>
          </w:tcPr>
          <w:p>
            <w:pPr>
              <w:jc w:val="right"/>
              <w:ind w:right="1599"/>
              <w:spacing w:after="0" w:line="183" w:lineRule="exact"/>
              <w:rPr>
                <w:sz w:val="20"/>
                <w:szCs w:val="20"/>
                <w:color w:val="auto"/>
              </w:rPr>
            </w:pPr>
            <w:r>
              <w:rPr>
                <w:rFonts w:ascii="Arial" w:cs="Arial" w:eastAsia="Arial" w:hAnsi="Arial"/>
                <w:sz w:val="16"/>
                <w:szCs w:val="16"/>
                <w:color w:val="auto"/>
                <w:w w:val="95"/>
              </w:rPr>
              <w:t>2025</w:t>
            </w:r>
          </w:p>
        </w:tc>
        <w:tc>
          <w:tcPr>
            <w:tcW w:w="3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w:t>
            </w:r>
          </w:p>
        </w:tc>
        <w:tc>
          <w:tcPr>
            <w:tcW w:w="14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2.1</w:t>
            </w:r>
          </w:p>
        </w:tc>
        <w:tc>
          <w:tcPr>
            <w:tcW w:w="880" w:type="dxa"/>
            <w:vAlign w:val="bottom"/>
            <w:shd w:val="clear" w:color="auto" w:fill="CFF0FC"/>
          </w:tcPr>
          <w:p>
            <w:pPr>
              <w:ind w:left="80"/>
              <w:spacing w:after="0" w:line="183" w:lineRule="exact"/>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4.4</w:t>
            </w:r>
          </w:p>
        </w:tc>
        <w:tc>
          <w:tcPr>
            <w:tcW w:w="300" w:type="dxa"/>
            <w:vAlign w:val="bottom"/>
            <w:shd w:val="clear" w:color="auto" w:fill="CFF0FC"/>
          </w:tcPr>
          <w:p>
            <w:pPr>
              <w:ind w:left="60"/>
              <w:spacing w:after="0" w:line="183" w:lineRule="exact"/>
              <w:rPr>
                <w:sz w:val="20"/>
                <w:szCs w:val="20"/>
                <w:color w:val="auto"/>
              </w:rPr>
            </w:pPr>
            <w:r>
              <w:rPr>
                <w:rFonts w:ascii="Arial" w:cs="Arial" w:eastAsia="Arial" w:hAnsi="Arial"/>
                <w:sz w:val="16"/>
                <w:szCs w:val="16"/>
                <w:color w:val="auto"/>
              </w:rPr>
              <w:t>$</w:t>
            </w:r>
          </w:p>
        </w:tc>
        <w:tc>
          <w:tcPr>
            <w:tcW w:w="15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1.6</w:t>
            </w:r>
          </w:p>
        </w:tc>
        <w:tc>
          <w:tcPr>
            <w:tcW w:w="300" w:type="dxa"/>
            <w:vAlign w:val="bottom"/>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15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(4.4)</w:t>
            </w:r>
          </w:p>
        </w:tc>
        <w:tc>
          <w:tcPr>
            <w:tcW w:w="1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72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3.7</w:t>
            </w:r>
          </w:p>
        </w:tc>
      </w:tr>
      <w:tr>
        <w:trPr>
          <w:trHeight w:val="215"/>
        </w:trPr>
        <w:tc>
          <w:tcPr>
            <w:tcW w:w="2040" w:type="dxa"/>
            <w:vAlign w:val="bottom"/>
          </w:tcPr>
          <w:p>
            <w:pPr>
              <w:jc w:val="right"/>
              <w:ind w:right="1599"/>
              <w:spacing w:after="0"/>
              <w:rPr>
                <w:sz w:val="20"/>
                <w:szCs w:val="20"/>
                <w:color w:val="auto"/>
              </w:rPr>
            </w:pPr>
            <w:r>
              <w:rPr>
                <w:rFonts w:ascii="Arial" w:cs="Arial" w:eastAsia="Arial" w:hAnsi="Arial"/>
                <w:sz w:val="16"/>
                <w:szCs w:val="16"/>
                <w:color w:val="auto"/>
                <w:w w:val="95"/>
              </w:rPr>
              <w:t>2024</w:t>
            </w:r>
          </w:p>
        </w:tc>
        <w:tc>
          <w:tcPr>
            <w:tcW w:w="340" w:type="dxa"/>
            <w:vAlign w:val="bottom"/>
          </w:tcPr>
          <w:p>
            <w:pPr>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2.2</w:t>
            </w:r>
          </w:p>
        </w:tc>
        <w:tc>
          <w:tcPr>
            <w:tcW w:w="880" w:type="dxa"/>
            <w:vAlign w:val="bottom"/>
          </w:tcPr>
          <w:p>
            <w:pPr>
              <w:ind w:left="8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2.7</w:t>
            </w:r>
          </w:p>
        </w:tc>
        <w:tc>
          <w:tcPr>
            <w:tcW w:w="300" w:type="dxa"/>
            <w:vAlign w:val="bottom"/>
          </w:tcPr>
          <w:p>
            <w:pPr>
              <w:ind w:left="60"/>
              <w:spacing w:after="0"/>
              <w:rPr>
                <w:sz w:val="20"/>
                <w:szCs w:val="20"/>
                <w:color w:val="auto"/>
              </w:rPr>
            </w:pPr>
            <w:r>
              <w:rPr>
                <w:rFonts w:ascii="Arial" w:cs="Arial" w:eastAsia="Arial" w:hAnsi="Arial"/>
                <w:sz w:val="16"/>
                <w:szCs w:val="16"/>
                <w:color w:val="auto"/>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1.8</w:t>
            </w:r>
          </w:p>
        </w:tc>
        <w:tc>
          <w:tcPr>
            <w:tcW w:w="3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(3.6)</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3.1</w:t>
            </w:r>
          </w:p>
        </w:tc>
      </w:tr>
    </w:tbl>
    <w:p>
      <w:pPr>
        <w:spacing w:after="0" w:line="14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Materials, Supplies and Fuel</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amounts by major classification are included in Materials, supplies, and fuel on the accompanying Consolidated Balance Sheets as of:</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40" w:type="dxa"/>
            <w:vAlign w:val="bottom"/>
          </w:tcPr>
          <w:p>
            <w:pPr>
              <w:spacing w:after="0"/>
              <w:rPr>
                <w:sz w:val="17"/>
                <w:szCs w:val="17"/>
                <w:color w:val="auto"/>
              </w:rPr>
            </w:pPr>
          </w:p>
        </w:tc>
        <w:tc>
          <w:tcPr>
            <w:tcW w:w="21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June 30, 2025</w:t>
            </w:r>
          </w:p>
        </w:tc>
        <w:tc>
          <w:tcPr>
            <w:tcW w:w="7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December 31, 2024</w:t>
            </w:r>
          </w:p>
        </w:tc>
      </w:tr>
      <w:tr>
        <w:trPr>
          <w:trHeight w:val="183"/>
        </w:trPr>
        <w:tc>
          <w:tcPr>
            <w:tcW w:w="5640" w:type="dxa"/>
            <w:vAlign w:val="bottom"/>
          </w:tcPr>
          <w:p>
            <w:pPr>
              <w:spacing w:after="0"/>
              <w:rPr>
                <w:sz w:val="15"/>
                <w:szCs w:val="15"/>
                <w:color w:val="auto"/>
              </w:rPr>
            </w:pPr>
          </w:p>
        </w:tc>
        <w:tc>
          <w:tcPr>
            <w:tcW w:w="2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right"/>
              <w:ind w:right="59"/>
              <w:spacing w:after="0" w:line="183" w:lineRule="exact"/>
              <w:rPr>
                <w:sz w:val="20"/>
                <w:szCs w:val="20"/>
                <w:color w:val="auto"/>
              </w:rPr>
            </w:pPr>
            <w:r>
              <w:rPr>
                <w:rFonts w:ascii="Arial" w:cs="Arial" w:eastAsia="Arial" w:hAnsi="Arial"/>
                <w:sz w:val="16"/>
                <w:szCs w:val="16"/>
                <w:color w:val="auto"/>
              </w:rPr>
              <w:t>(in millions)</w:t>
            </w:r>
          </w:p>
        </w:tc>
        <w:tc>
          <w:tcPr>
            <w:tcW w:w="2300" w:type="dxa"/>
            <w:vAlign w:val="bottom"/>
            <w:tcBorders>
              <w:bottom w:val="single" w:sz="8" w:color="auto"/>
            </w:tcBorders>
          </w:tcPr>
          <w:p>
            <w:pPr>
              <w:spacing w:after="0"/>
              <w:rPr>
                <w:sz w:val="15"/>
                <w:szCs w:val="15"/>
                <w:color w:val="auto"/>
              </w:rPr>
            </w:pPr>
          </w:p>
        </w:tc>
      </w:tr>
      <w:tr>
        <w:trPr>
          <w:trHeight w:val="183"/>
        </w:trPr>
        <w:tc>
          <w:tcPr>
            <w:tcW w:w="56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Materials and supplies</w:t>
            </w:r>
          </w:p>
        </w:tc>
        <w:tc>
          <w:tcPr>
            <w:tcW w:w="2120" w:type="dxa"/>
            <w:vAlign w:val="bottom"/>
            <w:shd w:val="clear" w:color="auto" w:fill="CFF0FC"/>
          </w:tcPr>
          <w:p>
            <w:pPr>
              <w:jc w:val="right"/>
              <w:ind w:right="1962"/>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113.4</w:t>
            </w:r>
          </w:p>
        </w:tc>
        <w:tc>
          <w:tcPr>
            <w:tcW w:w="480" w:type="dxa"/>
            <w:vAlign w:val="bottom"/>
            <w:shd w:val="clear" w:color="auto" w:fill="CFF0FC"/>
          </w:tcPr>
          <w:p>
            <w:pPr>
              <w:jc w:val="right"/>
              <w:ind w:right="259"/>
              <w:spacing w:after="0" w:line="183" w:lineRule="exact"/>
              <w:rPr>
                <w:sz w:val="20"/>
                <w:szCs w:val="20"/>
                <w:color w:val="auto"/>
              </w:rPr>
            </w:pPr>
            <w:r>
              <w:rPr>
                <w:rFonts w:ascii="Arial" w:cs="Arial" w:eastAsia="Arial" w:hAnsi="Arial"/>
                <w:sz w:val="16"/>
                <w:szCs w:val="16"/>
                <w:color w:val="auto"/>
              </w:rPr>
              <w:t>$</w:t>
            </w:r>
          </w:p>
        </w:tc>
        <w:tc>
          <w:tcPr>
            <w:tcW w:w="230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106.1</w:t>
            </w:r>
          </w:p>
        </w:tc>
      </w:tr>
      <w:tr>
        <w:trPr>
          <w:trHeight w:val="189"/>
        </w:trPr>
        <w:tc>
          <w:tcPr>
            <w:tcW w:w="5640" w:type="dxa"/>
            <w:vAlign w:val="bottom"/>
          </w:tcPr>
          <w:p>
            <w:pPr>
              <w:spacing w:after="0"/>
              <w:rPr>
                <w:sz w:val="20"/>
                <w:szCs w:val="20"/>
                <w:color w:val="auto"/>
              </w:rPr>
            </w:pPr>
            <w:r>
              <w:rPr>
                <w:rFonts w:ascii="Arial" w:cs="Arial" w:eastAsia="Arial" w:hAnsi="Arial"/>
                <w:sz w:val="16"/>
                <w:szCs w:val="16"/>
                <w:color w:val="auto"/>
              </w:rPr>
              <w:t>Fuel - Electric Utilities</w:t>
            </w:r>
          </w:p>
        </w:tc>
        <w:tc>
          <w:tcPr>
            <w:tcW w:w="2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6.7</w:t>
            </w:r>
          </w:p>
        </w:tc>
        <w:tc>
          <w:tcPr>
            <w:tcW w:w="480" w:type="dxa"/>
            <w:vAlign w:val="bottom"/>
          </w:tcPr>
          <w:p>
            <w:pPr>
              <w:spacing w:after="0"/>
              <w:rPr>
                <w:sz w:val="16"/>
                <w:szCs w:val="16"/>
                <w:color w:val="auto"/>
              </w:rPr>
            </w:pPr>
          </w:p>
        </w:tc>
        <w:tc>
          <w:tcPr>
            <w:tcW w:w="2300" w:type="dxa"/>
            <w:vAlign w:val="bottom"/>
          </w:tcPr>
          <w:p>
            <w:pPr>
              <w:jc w:val="right"/>
              <w:ind w:right="19"/>
              <w:spacing w:after="0"/>
              <w:rPr>
                <w:sz w:val="20"/>
                <w:szCs w:val="20"/>
                <w:color w:val="auto"/>
              </w:rPr>
            </w:pPr>
            <w:r>
              <w:rPr>
                <w:rFonts w:ascii="Arial" w:cs="Arial" w:eastAsia="Arial" w:hAnsi="Arial"/>
                <w:sz w:val="16"/>
                <w:szCs w:val="16"/>
                <w:color w:val="auto"/>
              </w:rPr>
              <w:t>7.5</w:t>
            </w:r>
          </w:p>
        </w:tc>
      </w:tr>
      <w:tr>
        <w:trPr>
          <w:trHeight w:val="189"/>
        </w:trPr>
        <w:tc>
          <w:tcPr>
            <w:tcW w:w="56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Natural gas in storage</w:t>
            </w:r>
          </w:p>
        </w:tc>
        <w:tc>
          <w:tcPr>
            <w:tcW w:w="2120" w:type="dxa"/>
            <w:vAlign w:val="bottom"/>
            <w:tcBorders>
              <w:bottom w:val="single" w:sz="8" w:color="auto"/>
            </w:tcBorders>
            <w:shd w:val="clear" w:color="auto" w:fill="CFF0FC"/>
          </w:tcPr>
          <w:p>
            <w:pPr>
              <w:spacing w:after="0"/>
              <w:rPr>
                <w:sz w:val="16"/>
                <w:szCs w:val="16"/>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25.1</w:t>
            </w:r>
          </w:p>
        </w:tc>
        <w:tc>
          <w:tcPr>
            <w:tcW w:w="480" w:type="dxa"/>
            <w:vAlign w:val="bottom"/>
            <w:tcBorders>
              <w:bottom w:val="single" w:sz="8" w:color="auto"/>
            </w:tcBorders>
            <w:shd w:val="clear" w:color="auto" w:fill="CFF0FC"/>
          </w:tcPr>
          <w:p>
            <w:pPr>
              <w:spacing w:after="0"/>
              <w:rPr>
                <w:sz w:val="16"/>
                <w:szCs w:val="16"/>
                <w:color w:val="auto"/>
              </w:rPr>
            </w:pPr>
          </w:p>
        </w:tc>
        <w:tc>
          <w:tcPr>
            <w:tcW w:w="23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40.3</w:t>
            </w:r>
          </w:p>
        </w:tc>
      </w:tr>
      <w:tr>
        <w:trPr>
          <w:trHeight w:val="183"/>
        </w:trPr>
        <w:tc>
          <w:tcPr>
            <w:tcW w:w="5640" w:type="dxa"/>
            <w:vAlign w:val="bottom"/>
          </w:tcPr>
          <w:p>
            <w:pPr>
              <w:ind w:left="120"/>
              <w:spacing w:after="0" w:line="169" w:lineRule="exact"/>
              <w:rPr>
                <w:sz w:val="20"/>
                <w:szCs w:val="20"/>
                <w:color w:val="auto"/>
              </w:rPr>
            </w:pPr>
            <w:r>
              <w:rPr>
                <w:rFonts w:ascii="Arial" w:cs="Arial" w:eastAsia="Arial" w:hAnsi="Arial"/>
                <w:sz w:val="16"/>
                <w:szCs w:val="16"/>
                <w:color w:val="auto"/>
              </w:rPr>
              <w:t>Total materials, supplies, and fuel</w:t>
            </w:r>
          </w:p>
        </w:tc>
        <w:tc>
          <w:tcPr>
            <w:tcW w:w="2120" w:type="dxa"/>
            <w:vAlign w:val="bottom"/>
            <w:tcBorders>
              <w:bottom w:val="single" w:sz="8" w:color="auto"/>
            </w:tcBorders>
          </w:tcPr>
          <w:p>
            <w:pPr>
              <w:jc w:val="right"/>
              <w:ind w:right="1962"/>
              <w:spacing w:after="0" w:line="169" w:lineRule="exact"/>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145.2</w:t>
            </w:r>
          </w:p>
        </w:tc>
        <w:tc>
          <w:tcPr>
            <w:tcW w:w="480" w:type="dxa"/>
            <w:vAlign w:val="bottom"/>
            <w:tcBorders>
              <w:bottom w:val="single" w:sz="8" w:color="auto"/>
            </w:tcBorders>
          </w:tcPr>
          <w:p>
            <w:pPr>
              <w:jc w:val="right"/>
              <w:ind w:right="259"/>
              <w:spacing w:after="0" w:line="169" w:lineRule="exact"/>
              <w:rPr>
                <w:sz w:val="20"/>
                <w:szCs w:val="20"/>
                <w:color w:val="auto"/>
              </w:rPr>
            </w:pPr>
            <w:r>
              <w:rPr>
                <w:rFonts w:ascii="Arial" w:cs="Arial" w:eastAsia="Arial" w:hAnsi="Arial"/>
                <w:sz w:val="16"/>
                <w:szCs w:val="16"/>
                <w:color w:val="auto"/>
              </w:rPr>
              <w:t>$</w:t>
            </w:r>
          </w:p>
        </w:tc>
        <w:tc>
          <w:tcPr>
            <w:tcW w:w="2300" w:type="dxa"/>
            <w:vAlign w:val="bottom"/>
            <w:tcBorders>
              <w:bottom w:val="single" w:sz="8" w:color="auto"/>
            </w:tcBorders>
          </w:tcPr>
          <w:p>
            <w:pPr>
              <w:jc w:val="right"/>
              <w:ind w:right="19"/>
              <w:spacing w:after="0" w:line="169" w:lineRule="exact"/>
              <w:rPr>
                <w:sz w:val="20"/>
                <w:szCs w:val="20"/>
                <w:color w:val="auto"/>
              </w:rPr>
            </w:pPr>
            <w:r>
              <w:rPr>
                <w:rFonts w:ascii="Arial" w:cs="Arial" w:eastAsia="Arial" w:hAnsi="Arial"/>
                <w:sz w:val="16"/>
                <w:szCs w:val="16"/>
                <w:color w:val="auto"/>
              </w:rPr>
              <w:t>153.9</w:t>
            </w:r>
          </w:p>
        </w:tc>
      </w:tr>
      <w:tr>
        <w:trPr>
          <w:trHeight w:val="20"/>
        </w:trPr>
        <w:tc>
          <w:tcPr>
            <w:tcW w:w="564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Accrued Liabilities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amounts by major classification are included in Accrued liabilities on the accompanying Consolidated Balance Sheets as of:</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June 30, 2025</w:t>
            </w:r>
          </w:p>
        </w:tc>
        <w:tc>
          <w:tcPr>
            <w:tcW w:w="6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December 31, 2024</w:t>
            </w:r>
          </w:p>
        </w:tc>
      </w:tr>
      <w:tr>
        <w:trPr>
          <w:trHeight w:val="183"/>
        </w:trPr>
        <w:tc>
          <w:tcPr>
            <w:tcW w:w="4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jc w:val="right"/>
              <w:ind w:right="39"/>
              <w:spacing w:after="0" w:line="183" w:lineRule="exact"/>
              <w:rPr>
                <w:sz w:val="20"/>
                <w:szCs w:val="20"/>
                <w:color w:val="auto"/>
              </w:rPr>
            </w:pPr>
            <w:r>
              <w:rPr>
                <w:rFonts w:ascii="Arial" w:cs="Arial" w:eastAsia="Arial" w:hAnsi="Arial"/>
                <w:sz w:val="16"/>
                <w:szCs w:val="16"/>
                <w:color w:val="auto"/>
              </w:rPr>
              <w:t>(in millions)</w:t>
            </w:r>
          </w:p>
        </w:tc>
        <w:tc>
          <w:tcPr>
            <w:tcW w:w="2320" w:type="dxa"/>
            <w:vAlign w:val="bottom"/>
            <w:tcBorders>
              <w:bottom w:val="single" w:sz="8" w:color="auto"/>
            </w:tcBorders>
          </w:tcPr>
          <w:p>
            <w:pPr>
              <w:spacing w:after="0"/>
              <w:rPr>
                <w:sz w:val="15"/>
                <w:szCs w:val="15"/>
                <w:color w:val="auto"/>
              </w:rPr>
            </w:pPr>
          </w:p>
        </w:tc>
      </w:tr>
      <w:tr>
        <w:trPr>
          <w:trHeight w:val="183"/>
        </w:trPr>
        <w:tc>
          <w:tcPr>
            <w:tcW w:w="49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Accrued employee compensation, benefits, and withholdings</w:t>
            </w:r>
          </w:p>
        </w:tc>
        <w:tc>
          <w:tcPr>
            <w:tcW w:w="2780" w:type="dxa"/>
            <w:vAlign w:val="bottom"/>
            <w:gridSpan w:val="3"/>
            <w:shd w:val="clear" w:color="auto" w:fill="CFF0FC"/>
          </w:tcPr>
          <w:p>
            <w:pPr>
              <w:jc w:val="right"/>
              <w:ind w:right="1919"/>
              <w:spacing w:after="0" w:line="183" w:lineRule="exact"/>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73.1</w:t>
            </w:r>
          </w:p>
        </w:tc>
        <w:tc>
          <w:tcPr>
            <w:tcW w:w="520" w:type="dxa"/>
            <w:vAlign w:val="bottom"/>
            <w:shd w:val="clear" w:color="auto" w:fill="CFF0FC"/>
          </w:tcPr>
          <w:p>
            <w:pPr>
              <w:jc w:val="right"/>
              <w:ind w:right="299"/>
              <w:spacing w:after="0" w:line="183" w:lineRule="exact"/>
              <w:rPr>
                <w:sz w:val="20"/>
                <w:szCs w:val="20"/>
                <w:color w:val="auto"/>
              </w:rPr>
            </w:pPr>
            <w:r>
              <w:rPr>
                <w:rFonts w:ascii="Arial" w:cs="Arial" w:eastAsia="Arial" w:hAnsi="Arial"/>
                <w:sz w:val="16"/>
                <w:szCs w:val="16"/>
                <w:color w:val="auto"/>
              </w:rPr>
              <w:t>$</w:t>
            </w:r>
          </w:p>
        </w:tc>
        <w:tc>
          <w:tcPr>
            <w:tcW w:w="232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85.5</w:t>
            </w:r>
          </w:p>
        </w:tc>
      </w:tr>
      <w:tr>
        <w:trPr>
          <w:trHeight w:val="189"/>
        </w:trPr>
        <w:tc>
          <w:tcPr>
            <w:tcW w:w="4940" w:type="dxa"/>
            <w:vAlign w:val="bottom"/>
          </w:tcPr>
          <w:p>
            <w:pPr>
              <w:spacing w:after="0"/>
              <w:rPr>
                <w:sz w:val="20"/>
                <w:szCs w:val="20"/>
                <w:color w:val="auto"/>
              </w:rPr>
            </w:pPr>
            <w:r>
              <w:rPr>
                <w:rFonts w:ascii="Arial" w:cs="Arial" w:eastAsia="Arial" w:hAnsi="Arial"/>
                <w:sz w:val="16"/>
                <w:szCs w:val="16"/>
                <w:color w:val="auto"/>
              </w:rPr>
              <w:t>Accrued property taxes</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43.2</w:t>
            </w:r>
          </w:p>
        </w:tc>
        <w:tc>
          <w:tcPr>
            <w:tcW w:w="520" w:type="dxa"/>
            <w:vAlign w:val="bottom"/>
          </w:tcPr>
          <w:p>
            <w:pPr>
              <w:spacing w:after="0"/>
              <w:rPr>
                <w:sz w:val="16"/>
                <w:szCs w:val="16"/>
                <w:color w:val="auto"/>
              </w:rPr>
            </w:pPr>
          </w:p>
        </w:tc>
        <w:tc>
          <w:tcPr>
            <w:tcW w:w="2320" w:type="dxa"/>
            <w:vAlign w:val="bottom"/>
          </w:tcPr>
          <w:p>
            <w:pPr>
              <w:jc w:val="right"/>
              <w:ind w:right="19"/>
              <w:spacing w:after="0"/>
              <w:rPr>
                <w:sz w:val="20"/>
                <w:szCs w:val="20"/>
                <w:color w:val="auto"/>
              </w:rPr>
            </w:pPr>
            <w:r>
              <w:rPr>
                <w:rFonts w:ascii="Arial" w:cs="Arial" w:eastAsia="Arial" w:hAnsi="Arial"/>
                <w:sz w:val="16"/>
                <w:szCs w:val="16"/>
                <w:color w:val="auto"/>
              </w:rPr>
              <w:t>54.7</w:t>
            </w:r>
          </w:p>
        </w:tc>
      </w:tr>
      <w:tr>
        <w:trPr>
          <w:trHeight w:val="189"/>
        </w:trPr>
        <w:tc>
          <w:tcPr>
            <w:tcW w:w="4940" w:type="dxa"/>
            <w:vAlign w:val="bottom"/>
            <w:shd w:val="clear" w:color="auto" w:fill="CFF0FC"/>
          </w:tcPr>
          <w:p>
            <w:pPr>
              <w:spacing w:after="0"/>
              <w:rPr>
                <w:sz w:val="20"/>
                <w:szCs w:val="20"/>
                <w:color w:val="auto"/>
              </w:rPr>
            </w:pPr>
            <w:r>
              <w:rPr>
                <w:rFonts w:ascii="Arial" w:cs="Arial" w:eastAsia="Arial" w:hAnsi="Arial"/>
                <w:sz w:val="16"/>
                <w:szCs w:val="16"/>
                <w:color w:val="auto"/>
              </w:rPr>
              <w:t>Customer deposits and prepayments</w:t>
            </w:r>
          </w:p>
        </w:tc>
        <w:tc>
          <w:tcPr>
            <w:tcW w:w="7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06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44.7</w:t>
            </w:r>
          </w:p>
        </w:tc>
        <w:tc>
          <w:tcPr>
            <w:tcW w:w="520" w:type="dxa"/>
            <w:vAlign w:val="bottom"/>
            <w:shd w:val="clear" w:color="auto" w:fill="CFF0FC"/>
          </w:tcPr>
          <w:p>
            <w:pPr>
              <w:spacing w:after="0"/>
              <w:rPr>
                <w:sz w:val="16"/>
                <w:szCs w:val="16"/>
                <w:color w:val="auto"/>
              </w:rPr>
            </w:pPr>
          </w:p>
        </w:tc>
        <w:tc>
          <w:tcPr>
            <w:tcW w:w="23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55.6</w:t>
            </w:r>
          </w:p>
        </w:tc>
      </w:tr>
      <w:tr>
        <w:trPr>
          <w:trHeight w:val="189"/>
        </w:trPr>
        <w:tc>
          <w:tcPr>
            <w:tcW w:w="4940" w:type="dxa"/>
            <w:vAlign w:val="bottom"/>
          </w:tcPr>
          <w:p>
            <w:pPr>
              <w:spacing w:after="0"/>
              <w:rPr>
                <w:sz w:val="20"/>
                <w:szCs w:val="20"/>
                <w:color w:val="auto"/>
              </w:rPr>
            </w:pPr>
            <w:r>
              <w:rPr>
                <w:rFonts w:ascii="Arial" w:cs="Arial" w:eastAsia="Arial" w:hAnsi="Arial"/>
                <w:sz w:val="16"/>
                <w:szCs w:val="16"/>
                <w:color w:val="auto"/>
              </w:rPr>
              <w:t>Accrued interest</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52.3</w:t>
            </w:r>
          </w:p>
        </w:tc>
        <w:tc>
          <w:tcPr>
            <w:tcW w:w="520" w:type="dxa"/>
            <w:vAlign w:val="bottom"/>
          </w:tcPr>
          <w:p>
            <w:pPr>
              <w:spacing w:after="0"/>
              <w:rPr>
                <w:sz w:val="16"/>
                <w:szCs w:val="16"/>
                <w:color w:val="auto"/>
              </w:rPr>
            </w:pPr>
          </w:p>
        </w:tc>
        <w:tc>
          <w:tcPr>
            <w:tcW w:w="2320" w:type="dxa"/>
            <w:vAlign w:val="bottom"/>
          </w:tcPr>
          <w:p>
            <w:pPr>
              <w:jc w:val="right"/>
              <w:ind w:right="19"/>
              <w:spacing w:after="0"/>
              <w:rPr>
                <w:sz w:val="20"/>
                <w:szCs w:val="20"/>
                <w:color w:val="auto"/>
              </w:rPr>
            </w:pPr>
            <w:r>
              <w:rPr>
                <w:rFonts w:ascii="Arial" w:cs="Arial" w:eastAsia="Arial" w:hAnsi="Arial"/>
                <w:sz w:val="16"/>
                <w:szCs w:val="16"/>
                <w:color w:val="auto"/>
              </w:rPr>
              <w:t>56.4</w:t>
            </w:r>
          </w:p>
        </w:tc>
      </w:tr>
      <w:tr>
        <w:trPr>
          <w:trHeight w:val="189"/>
        </w:trPr>
        <w:tc>
          <w:tcPr>
            <w:tcW w:w="4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Other (none of which is individually significant)</w:t>
            </w:r>
          </w:p>
        </w:tc>
        <w:tc>
          <w:tcPr>
            <w:tcW w:w="700" w:type="dxa"/>
            <w:vAlign w:val="bottom"/>
            <w:tcBorders>
              <w:bottom w:val="single" w:sz="8" w:color="CFF0FC"/>
            </w:tcBorders>
            <w:shd w:val="clear" w:color="auto" w:fill="CFF0FC"/>
          </w:tcPr>
          <w:p>
            <w:pPr>
              <w:spacing w:after="0"/>
              <w:rPr>
                <w:sz w:val="16"/>
                <w:szCs w:val="16"/>
                <w:color w:val="auto"/>
              </w:rPr>
            </w:pPr>
          </w:p>
        </w:tc>
        <w:tc>
          <w:tcPr>
            <w:tcW w:w="20" w:type="dxa"/>
            <w:vAlign w:val="bottom"/>
            <w:tcBorders>
              <w:bottom w:val="single" w:sz="8" w:color="CFF0FC"/>
            </w:tcBorders>
            <w:shd w:val="clear" w:color="auto" w:fill="CFF0FC"/>
          </w:tcPr>
          <w:p>
            <w:pPr>
              <w:spacing w:after="0"/>
              <w:rPr>
                <w:sz w:val="16"/>
                <w:szCs w:val="16"/>
                <w:color w:val="auto"/>
              </w:rPr>
            </w:pPr>
          </w:p>
        </w:tc>
        <w:tc>
          <w:tcPr>
            <w:tcW w:w="2060" w:type="dxa"/>
            <w:vAlign w:val="bottom"/>
            <w:tcBorders>
              <w:bottom w:val="single" w:sz="8" w:color="auto"/>
            </w:tcBorders>
            <w:shd w:val="clear" w:color="auto" w:fill="CFF0FC"/>
          </w:tcPr>
          <w:p>
            <w:pPr>
              <w:spacing w:after="0"/>
              <w:rPr>
                <w:sz w:val="16"/>
                <w:szCs w:val="16"/>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37.8</w:t>
            </w:r>
          </w:p>
        </w:tc>
        <w:tc>
          <w:tcPr>
            <w:tcW w:w="520" w:type="dxa"/>
            <w:vAlign w:val="bottom"/>
            <w:tcBorders>
              <w:bottom w:val="single" w:sz="8" w:color="auto"/>
            </w:tcBorders>
            <w:shd w:val="clear" w:color="auto" w:fill="CFF0FC"/>
          </w:tcPr>
          <w:p>
            <w:pPr>
              <w:spacing w:after="0"/>
              <w:rPr>
                <w:sz w:val="16"/>
                <w:szCs w:val="16"/>
                <w:color w:val="auto"/>
              </w:rPr>
            </w:pPr>
          </w:p>
        </w:tc>
        <w:tc>
          <w:tcPr>
            <w:tcW w:w="232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50.0</w:t>
            </w:r>
          </w:p>
        </w:tc>
      </w:tr>
      <w:tr>
        <w:trPr>
          <w:trHeight w:val="183"/>
        </w:trPr>
        <w:tc>
          <w:tcPr>
            <w:tcW w:w="4940" w:type="dxa"/>
            <w:vAlign w:val="bottom"/>
          </w:tcPr>
          <w:p>
            <w:pPr>
              <w:ind w:left="120"/>
              <w:spacing w:after="0" w:line="169" w:lineRule="exact"/>
              <w:rPr>
                <w:sz w:val="20"/>
                <w:szCs w:val="20"/>
                <w:color w:val="auto"/>
              </w:rPr>
            </w:pPr>
            <w:r>
              <w:rPr>
                <w:rFonts w:ascii="Arial" w:cs="Arial" w:eastAsia="Arial" w:hAnsi="Arial"/>
                <w:sz w:val="16"/>
                <w:szCs w:val="16"/>
                <w:color w:val="auto"/>
              </w:rPr>
              <w:t>Total accrued liabilities</w:t>
            </w:r>
          </w:p>
        </w:tc>
        <w:tc>
          <w:tcPr>
            <w:tcW w:w="2780" w:type="dxa"/>
            <w:vAlign w:val="bottom"/>
            <w:gridSpan w:val="3"/>
          </w:tcPr>
          <w:p>
            <w:pPr>
              <w:jc w:val="right"/>
              <w:ind w:right="1919"/>
              <w:spacing w:after="0" w:line="169" w:lineRule="exact"/>
              <w:rPr>
                <w:sz w:val="20"/>
                <w:szCs w:val="20"/>
                <w:color w:val="auto"/>
              </w:rPr>
            </w:pPr>
            <w:r>
              <w:rPr>
                <w:rFonts w:ascii="Arial" w:cs="Arial" w:eastAsia="Arial" w:hAnsi="Arial"/>
                <w:sz w:val="16"/>
                <w:szCs w:val="16"/>
                <w:color w:val="auto"/>
              </w:rPr>
              <w:t>$</w:t>
            </w:r>
          </w:p>
        </w:tc>
        <w:tc>
          <w:tcPr>
            <w:tcW w:w="680" w:type="dxa"/>
            <w:vAlign w:val="bottom"/>
          </w:tcPr>
          <w:p>
            <w:pPr>
              <w:jc w:val="right"/>
              <w:spacing w:after="0" w:line="169" w:lineRule="exact"/>
              <w:rPr>
                <w:sz w:val="20"/>
                <w:szCs w:val="20"/>
                <w:color w:val="auto"/>
              </w:rPr>
            </w:pPr>
            <w:r>
              <w:rPr>
                <w:rFonts w:ascii="Arial" w:cs="Arial" w:eastAsia="Arial" w:hAnsi="Arial"/>
                <w:sz w:val="16"/>
                <w:szCs w:val="16"/>
                <w:color w:val="auto"/>
              </w:rPr>
              <w:t>251.1</w:t>
            </w:r>
          </w:p>
        </w:tc>
        <w:tc>
          <w:tcPr>
            <w:tcW w:w="520" w:type="dxa"/>
            <w:vAlign w:val="bottom"/>
          </w:tcPr>
          <w:p>
            <w:pPr>
              <w:jc w:val="right"/>
              <w:ind w:right="299"/>
              <w:spacing w:after="0" w:line="169" w:lineRule="exact"/>
              <w:rPr>
                <w:sz w:val="20"/>
                <w:szCs w:val="20"/>
                <w:color w:val="auto"/>
              </w:rPr>
            </w:pPr>
            <w:r>
              <w:rPr>
                <w:rFonts w:ascii="Arial" w:cs="Arial" w:eastAsia="Arial" w:hAnsi="Arial"/>
                <w:sz w:val="16"/>
                <w:szCs w:val="16"/>
                <w:color w:val="auto"/>
              </w:rPr>
              <w:t>$</w:t>
            </w:r>
          </w:p>
        </w:tc>
        <w:tc>
          <w:tcPr>
            <w:tcW w:w="2320" w:type="dxa"/>
            <w:vAlign w:val="bottom"/>
          </w:tcPr>
          <w:p>
            <w:pPr>
              <w:jc w:val="right"/>
              <w:ind w:right="19"/>
              <w:spacing w:after="0" w:line="169" w:lineRule="exact"/>
              <w:rPr>
                <w:sz w:val="20"/>
                <w:szCs w:val="20"/>
                <w:color w:val="auto"/>
              </w:rPr>
            </w:pPr>
            <w:r>
              <w:rPr>
                <w:rFonts w:ascii="Arial" w:cs="Arial" w:eastAsia="Arial" w:hAnsi="Arial"/>
                <w:sz w:val="16"/>
                <w:szCs w:val="16"/>
                <w:color w:val="auto"/>
              </w:rPr>
              <w:t>302.2</w:t>
            </w:r>
          </w:p>
        </w:tc>
      </w:tr>
      <w:tr>
        <w:trPr>
          <w:trHeight w:val="20"/>
        </w:trPr>
        <w:tc>
          <w:tcPr>
            <w:tcW w:w="4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320" w:type="dxa"/>
            <w:vAlign w:val="bottom"/>
            <w:tcBorders>
              <w:top w:val="single" w:sz="8" w:color="auto"/>
              <w:bottom w:val="single" w:sz="8" w:color="auto"/>
            </w:tcBorders>
          </w:tcPr>
          <w:p>
            <w:pPr>
              <w:spacing w:after="0" w:line="20" w:lineRule="exact"/>
              <w:rPr>
                <w:sz w:val="1"/>
                <w:szCs w:val="1"/>
                <w:color w:val="auto"/>
              </w:rPr>
            </w:pPr>
          </w:p>
        </w:tc>
      </w:tr>
      <w:tr>
        <w:trPr>
          <w:trHeight w:val="397"/>
        </w:trPr>
        <w:tc>
          <w:tcPr>
            <w:tcW w:w="4940" w:type="dxa"/>
            <w:vAlign w:val="bottom"/>
          </w:tcPr>
          <w:p>
            <w:pPr>
              <w:spacing w:after="0"/>
              <w:rPr>
                <w:sz w:val="24"/>
                <w:szCs w:val="24"/>
                <w:color w:val="auto"/>
              </w:rPr>
            </w:pPr>
          </w:p>
        </w:tc>
        <w:tc>
          <w:tcPr>
            <w:tcW w:w="2780" w:type="dxa"/>
            <w:vAlign w:val="bottom"/>
            <w:gridSpan w:val="3"/>
          </w:tcPr>
          <w:p>
            <w:pPr>
              <w:jc w:val="right"/>
              <w:ind w:right="1919"/>
              <w:spacing w:after="0"/>
              <w:rPr>
                <w:sz w:val="20"/>
                <w:szCs w:val="20"/>
                <w:color w:val="auto"/>
              </w:rPr>
            </w:pPr>
            <w:r>
              <w:rPr>
                <w:rFonts w:ascii="Arial" w:cs="Arial" w:eastAsia="Arial" w:hAnsi="Arial"/>
                <w:sz w:val="16"/>
                <w:szCs w:val="16"/>
                <w:color w:val="auto"/>
              </w:rPr>
              <w:t>30</w:t>
            </w: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751"/>
        </w:trPr>
        <w:tc>
          <w:tcPr>
            <w:tcW w:w="49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520" w:hanging="512"/>
        <w:spacing w:after="0"/>
        <w:tabs>
          <w:tab w:leader="none" w:pos="520" w:val="left"/>
        </w:tabs>
        <w:numPr>
          <w:ilvl w:val="0"/>
          <w:numId w:val="23"/>
        </w:numPr>
        <w:rPr>
          <w:rFonts w:ascii="Arial" w:cs="Arial" w:eastAsia="Arial" w:hAnsi="Arial"/>
          <w:sz w:val="16"/>
          <w:szCs w:val="16"/>
          <w:b w:val="1"/>
          <w:bCs w:val="1"/>
          <w:color w:val="auto"/>
        </w:rPr>
      </w:pPr>
      <w:r>
        <w:rPr>
          <w:rFonts w:ascii="Arial" w:cs="Arial" w:eastAsia="Arial" w:hAnsi="Arial"/>
          <w:sz w:val="16"/>
          <w:szCs w:val="16"/>
          <w:b w:val="1"/>
          <w:bCs w:val="1"/>
          <w:color w:val="auto"/>
        </w:rPr>
        <w:t>Subsequent Events</w:t>
      </w:r>
    </w:p>
    <w:p>
      <w:pPr>
        <w:spacing w:after="0" w:line="194"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 xml:space="preserve">Except as described in Notes </w:t>
      </w:r>
      <w:r>
        <w:rPr>
          <w:rFonts w:ascii="Arial" w:cs="Arial" w:eastAsia="Arial" w:hAnsi="Arial"/>
          <w:sz w:val="16"/>
          <w:szCs w:val="16"/>
          <w:u w:val="single" w:color="auto"/>
          <w:color w:val="0000FF"/>
        </w:rPr>
        <w:t>2</w:t>
      </w:r>
      <w:r>
        <w:rPr>
          <w:rFonts w:ascii="Arial" w:cs="Arial" w:eastAsia="Arial" w:hAnsi="Arial"/>
          <w:sz w:val="16"/>
          <w:szCs w:val="16"/>
          <w:color w:val="auto"/>
        </w:rPr>
        <w:t xml:space="preserve"> and </w:t>
      </w:r>
      <w:r>
        <w:rPr>
          <w:rFonts w:ascii="Arial" w:cs="Arial" w:eastAsia="Arial" w:hAnsi="Arial"/>
          <w:sz w:val="16"/>
          <w:szCs w:val="16"/>
          <w:u w:val="single" w:color="auto"/>
          <w:color w:val="0000FF"/>
        </w:rPr>
        <w:t>11</w:t>
      </w:r>
      <w:r>
        <w:rPr>
          <w:rFonts w:ascii="Arial" w:cs="Arial" w:eastAsia="Arial" w:hAnsi="Arial"/>
          <w:sz w:val="16"/>
          <w:szCs w:val="16"/>
          <w:color w:val="auto"/>
        </w:rPr>
        <w:t>, there have been no events subsequent to June 30, 2025, which would require recognition in the Consolidated Financial Statements or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1365885</wp:posOffset>
            </wp:positionH>
            <wp:positionV relativeFrom="paragraph">
              <wp:posOffset>-136525</wp:posOffset>
            </wp:positionV>
            <wp:extent cx="5715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150" cy="8255"/>
                    </a:xfrm>
                    <a:prstGeom prst="rect">
                      <a:avLst/>
                    </a:prstGeom>
                    <a:noFill/>
                  </pic:spPr>
                </pic:pic>
              </a:graphicData>
            </a:graphic>
          </wp:anchor>
        </w:drawing>
        <w:drawing>
          <wp:anchor simplePos="0" relativeHeight="251657728" behindDoc="1" locked="0" layoutInCell="0" allowOverlap="1">
            <wp:simplePos x="0" y="0"/>
            <wp:positionH relativeFrom="column">
              <wp:posOffset>1651635</wp:posOffset>
            </wp:positionH>
            <wp:positionV relativeFrom="paragraph">
              <wp:posOffset>-136525</wp:posOffset>
            </wp:positionV>
            <wp:extent cx="11430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jc w:val="center"/>
        <w:ind w:right="-53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320" w:top="125" w:right="859" w:bottom="1440" w:gutter="0" w:footer="0" w:header="0"/>
        </w:sectPr>
      </w:pPr>
    </w:p>
    <w:bookmarkStart w:id="31" w:name="page32"/>
    <w:bookmarkEnd w:id="3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w:t>
      </w:r>
    </w:p>
    <w:p>
      <w:pPr>
        <w:spacing w:after="0" w:line="194"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The following discussions should be read in conjunction with the Notes contained herein and Management's Discussion and Analysis of Financial Condition and Results of Operations appearing in our 2024 Annual Report on Form 10-K</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Executive Summary</w:t>
      </w:r>
    </w:p>
    <w:p>
      <w:pPr>
        <w:spacing w:after="0" w:line="194"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 xml:space="preserve">We are a customer-focused energy solutions provider with a mission of </w:t>
      </w:r>
      <w:r>
        <w:rPr>
          <w:rFonts w:ascii="Arial" w:cs="Arial" w:eastAsia="Arial" w:hAnsi="Arial"/>
          <w:sz w:val="16"/>
          <w:szCs w:val="16"/>
          <w:i w:val="1"/>
          <w:iCs w:val="1"/>
          <w:color w:val="auto"/>
        </w:rPr>
        <w:t>Improving Life with Energy</w:t>
      </w:r>
      <w:r>
        <w:rPr>
          <w:rFonts w:ascii="Arial" w:cs="Arial" w:eastAsia="Arial" w:hAnsi="Arial"/>
          <w:sz w:val="16"/>
          <w:szCs w:val="16"/>
          <w:color w:val="auto"/>
        </w:rPr>
        <w:t xml:space="preserve"> for more than 1.35 million customers and 800+ communities we serve. Our aspiration is to be the trusted energy partner across our growing eight-state footprint, including Arkansas, Colorado, Iowa, Kansas, Montana, Nebraska, South Dakota, and Wyoming. Our strategy is centered on four priorities: </w:t>
      </w:r>
      <w:r>
        <w:rPr>
          <w:rFonts w:ascii="Arial" w:cs="Arial" w:eastAsia="Arial" w:hAnsi="Arial"/>
          <w:sz w:val="16"/>
          <w:szCs w:val="16"/>
          <w:i w:val="1"/>
          <w:iCs w:val="1"/>
          <w:color w:val="auto"/>
        </w:rPr>
        <w:t>People &amp; Culture</w:t>
      </w:r>
      <w:r>
        <w:rPr>
          <w:rFonts w:ascii="Arial" w:cs="Arial" w:eastAsia="Arial" w:hAnsi="Arial"/>
          <w:sz w:val="16"/>
          <w:szCs w:val="16"/>
          <w:color w:val="auto"/>
        </w:rPr>
        <w:t xml:space="preserve">—build a team that wins together, </w:t>
      </w:r>
      <w:r>
        <w:rPr>
          <w:rFonts w:ascii="Arial" w:cs="Arial" w:eastAsia="Arial" w:hAnsi="Arial"/>
          <w:sz w:val="16"/>
          <w:szCs w:val="16"/>
          <w:i w:val="1"/>
          <w:iCs w:val="1"/>
          <w:color w:val="auto"/>
        </w:rPr>
        <w:t>Operational Excellence—</w:t>
      </w:r>
      <w:r>
        <w:rPr>
          <w:rFonts w:ascii="Arial" w:cs="Arial" w:eastAsia="Arial" w:hAnsi="Arial"/>
          <w:sz w:val="16"/>
          <w:szCs w:val="16"/>
          <w:color w:val="auto"/>
        </w:rPr>
        <w:t>relentlessly deliver on our commitment to serve our customers,</w:t>
      </w:r>
      <w:r>
        <w:rPr>
          <w:rFonts w:ascii="Arial" w:cs="Arial" w:eastAsia="Arial" w:hAnsi="Arial"/>
          <w:sz w:val="16"/>
          <w:szCs w:val="16"/>
          <w:i w:val="1"/>
          <w:iCs w:val="1"/>
          <w:color w:val="auto"/>
        </w:rPr>
        <w:t xml:space="preserve"> Transformation</w:t>
      </w:r>
      <w:r>
        <w:rPr>
          <w:rFonts w:ascii="Arial" w:cs="Arial" w:eastAsia="Arial" w:hAnsi="Arial"/>
          <w:sz w:val="16"/>
          <w:szCs w:val="16"/>
          <w:color w:val="auto"/>
        </w:rPr>
        <w:t>—be a simple and connected company and</w:t>
      </w:r>
      <w:r>
        <w:rPr>
          <w:rFonts w:ascii="Arial" w:cs="Arial" w:eastAsia="Arial" w:hAnsi="Arial"/>
          <w:sz w:val="16"/>
          <w:szCs w:val="16"/>
          <w:i w:val="1"/>
          <w:iCs w:val="1"/>
          <w:color w:val="auto"/>
        </w:rPr>
        <w:t xml:space="preserve"> Growth —</w:t>
      </w:r>
      <w:r>
        <w:rPr>
          <w:rFonts w:ascii="Arial" w:cs="Arial" w:eastAsia="Arial" w:hAnsi="Arial"/>
          <w:sz w:val="16"/>
          <w:szCs w:val="16"/>
          <w:color w:val="auto"/>
        </w:rPr>
        <w:t>grow to be a dominant long-term energy provider.</w:t>
      </w:r>
    </w:p>
    <w:p>
      <w:pPr>
        <w:spacing w:after="0" w:line="153"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We conduct our business operations through two operating segments: Electric Utilities and Gas Utilities. Certain unallocated corporate expenses that support our operating segments are presented as Corporate and Other. We conduct our utility operations under the name Black Hills Energy predominantly in rural areas of the Rocky Mountains and Midwestern states. We consider ourselves a domestic electric and natural gas utility company.</w:t>
      </w:r>
    </w:p>
    <w:p>
      <w:pPr>
        <w:spacing w:after="0" w:line="144" w:lineRule="exact"/>
        <w:rPr>
          <w:sz w:val="20"/>
          <w:szCs w:val="20"/>
          <w:color w:val="auto"/>
        </w:rPr>
      </w:pPr>
    </w:p>
    <w:p>
      <w:pPr>
        <w:ind w:right="240"/>
        <w:spacing w:after="0" w:line="266" w:lineRule="auto"/>
        <w:rPr>
          <w:sz w:val="20"/>
          <w:szCs w:val="20"/>
          <w:color w:val="auto"/>
        </w:rPr>
      </w:pPr>
      <w:r>
        <w:rPr>
          <w:rFonts w:ascii="Arial" w:cs="Arial" w:eastAsia="Arial" w:hAnsi="Arial"/>
          <w:sz w:val="16"/>
          <w:szCs w:val="16"/>
          <w:color w:val="auto"/>
        </w:rPr>
        <w:t>We have provided energy and served customers for 141 years, since the 1883 gold rush days in Deadwood, South Dakota. Throughout our history, the common thread that unites the past to the present is our commitment to serve our customers and communities. By being responsive and service focused, we can help our customers and communities thrive while meeting rapidly changing customer expectations.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Recent Developments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One Big Beautiful Bill Act</w:t>
      </w:r>
    </w:p>
    <w:p>
      <w:pPr>
        <w:spacing w:after="0" w:line="194"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auto"/>
        </w:rPr>
        <w:t xml:space="preserve">On July 4, 2025, the OBBBA was enacted and on July 7, 2025, President Trump issued Executive Order 14315. See </w:t>
      </w:r>
      <w:r>
        <w:rPr>
          <w:rFonts w:ascii="Arial" w:cs="Arial" w:eastAsia="Arial" w:hAnsi="Arial"/>
          <w:sz w:val="16"/>
          <w:szCs w:val="16"/>
          <w:u w:val="single" w:color="auto"/>
          <w:color w:val="0000FF"/>
        </w:rPr>
        <w:t>Note 11</w:t>
      </w:r>
      <w:r>
        <w:rPr>
          <w:rFonts w:ascii="Arial" w:cs="Arial" w:eastAsia="Arial" w:hAnsi="Arial"/>
          <w:sz w:val="16"/>
          <w:szCs w:val="16"/>
          <w:color w:val="auto"/>
        </w:rPr>
        <w:t xml:space="preserve"> of the Condensed Notes to Consolidated Financial Statements for further discussion surrounding the OBBBA and Executive Order 14315.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5334635</wp:posOffset>
            </wp:positionH>
            <wp:positionV relativeFrom="paragraph">
              <wp:posOffset>-165735</wp:posOffset>
            </wp:positionV>
            <wp:extent cx="36004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Trade Tariffs</w:t>
      </w:r>
    </w:p>
    <w:p>
      <w:pPr>
        <w:spacing w:after="0" w:line="194" w:lineRule="exact"/>
        <w:rPr>
          <w:sz w:val="20"/>
          <w:szCs w:val="20"/>
          <w:color w:val="auto"/>
        </w:rPr>
      </w:pPr>
    </w:p>
    <w:p>
      <w:pPr>
        <w:ind w:right="160"/>
        <w:spacing w:after="0" w:line="256" w:lineRule="auto"/>
        <w:rPr>
          <w:sz w:val="20"/>
          <w:szCs w:val="20"/>
          <w:color w:val="auto"/>
        </w:rPr>
      </w:pPr>
      <w:r>
        <w:rPr>
          <w:rFonts w:ascii="Arial" w:cs="Arial" w:eastAsia="Arial" w:hAnsi="Arial"/>
          <w:sz w:val="16"/>
          <w:szCs w:val="16"/>
          <w:color w:val="auto"/>
        </w:rPr>
        <w:t>Trade tariffs were recently enacted and proposed to be enacted through presidential executive orders affecting products exported by several U.S. trading partners. While some tariffs scheduled to take effect were temporarily suspended, broad tariffs remain in effect with the possibility of additional tariffs being imposed. We are currently unable to predict the impact that recently imposed and possible future tariffs may have on our business. Trade tariffs have not had a material impact on our operations or financial performance to date. We are closely monitoring the impacts of trade tariffs and the potential effect they may have on our financial position, results of operations, or cash flows.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Business Segment Recent Developments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Electric Utilities</w:t>
      </w:r>
    </w:p>
    <w:p>
      <w:pPr>
        <w:spacing w:after="0" w:line="194" w:lineRule="exact"/>
        <w:rPr>
          <w:sz w:val="20"/>
          <w:szCs w:val="20"/>
          <w:color w:val="auto"/>
        </w:rPr>
      </w:pPr>
    </w:p>
    <w:p>
      <w:pPr>
        <w:ind w:left="1020" w:hanging="503"/>
        <w:spacing w:after="0"/>
        <w:tabs>
          <w:tab w:leader="none" w:pos="1020"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6"/>
          <w:szCs w:val="16"/>
          <w:color w:val="auto"/>
        </w:rPr>
        <w:t xml:space="preserve">See </w:t>
      </w:r>
      <w:r>
        <w:rPr>
          <w:rFonts w:ascii="Arial" w:cs="Arial" w:eastAsia="Arial" w:hAnsi="Arial"/>
          <w:sz w:val="16"/>
          <w:szCs w:val="16"/>
          <w:u w:val="single" w:color="auto"/>
          <w:color w:val="0000FF"/>
        </w:rPr>
        <w:t>Note 2</w:t>
      </w:r>
      <w:r>
        <w:rPr>
          <w:rFonts w:ascii="Arial" w:cs="Arial" w:eastAsia="Arial" w:hAnsi="Arial"/>
          <w:sz w:val="16"/>
          <w:szCs w:val="16"/>
          <w:color w:val="auto"/>
        </w:rPr>
        <w:t xml:space="preserve"> of the Condensed Notes to Consolidated Financial Statements for recent rate review activity for Colorado Electric.</w:t>
      </w:r>
    </w:p>
    <w:p>
      <w:pPr>
        <w:spacing w:after="0" w:line="233" w:lineRule="exact"/>
        <w:rPr>
          <w:rFonts w:ascii="Times New Roman" w:cs="Times New Roman" w:eastAsia="Times New Roman" w:hAnsi="Times New Roman"/>
          <w:sz w:val="16"/>
          <w:szCs w:val="16"/>
          <w:color w:val="auto"/>
        </w:rPr>
      </w:pPr>
    </w:p>
    <w:p>
      <w:pPr>
        <w:ind w:left="1020" w:hanging="503"/>
        <w:spacing w:after="0" w:line="259" w:lineRule="auto"/>
        <w:tabs>
          <w:tab w:leader="none" w:pos="1020"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6"/>
          <w:szCs w:val="16"/>
          <w:color w:val="auto"/>
        </w:rPr>
        <w:t>On March 6, 2025, the state of Wyoming enacted comprehensive wildfire mitigation legislation (HB0192), effective July 1, 2025. The legislation provides material liability protections for a utility that complies with its commission-approved wildfire mitigation plan. The legislation provides a utility a presumption of meeting an appropriate level of operating care for compliance with an approved wildfire mitigation plan. We plan to file our wildfire mitigation plan with the WPSC in the second half of 2025.</w:t>
      </w:r>
    </w:p>
    <w:p>
      <w:pPr>
        <w:spacing w:after="0" w:line="150" w:lineRule="exact"/>
        <w:rPr>
          <w:rFonts w:ascii="Times New Roman" w:cs="Times New Roman" w:eastAsia="Times New Roman" w:hAnsi="Times New Roman"/>
          <w:sz w:val="16"/>
          <w:szCs w:val="16"/>
          <w:color w:val="auto"/>
        </w:rPr>
      </w:pPr>
    </w:p>
    <w:p>
      <w:pPr>
        <w:ind w:left="1020" w:right="380" w:hanging="503"/>
        <w:spacing w:after="0" w:line="256" w:lineRule="auto"/>
        <w:tabs>
          <w:tab w:leader="none" w:pos="1020"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6"/>
          <w:szCs w:val="16"/>
          <w:color w:val="auto"/>
        </w:rPr>
        <w:t>In 2024, we published our first formal WMP, which is an overview of our three-layered approach to manage wildfire risks driven by asset-based risk assessments that include asset programs, integrity programs and operational response. On June 30, 2025, we established our Emergency PSPS program across all three of our electric utilities to promote customer safety and mitigate wildfire risk. In establishing the Emergency PSPS program, we engaged with wildfire experts and key stakeholders including customers, community and local agencies, regulators and community leaders.</w:t>
      </w:r>
    </w:p>
    <w:p>
      <w:pPr>
        <w:spacing w:after="0" w:line="151" w:lineRule="exact"/>
        <w:rPr>
          <w:rFonts w:ascii="Times New Roman" w:cs="Times New Roman" w:eastAsia="Times New Roman" w:hAnsi="Times New Roman"/>
          <w:sz w:val="16"/>
          <w:szCs w:val="16"/>
          <w:color w:val="auto"/>
        </w:rPr>
      </w:pPr>
    </w:p>
    <w:p>
      <w:pPr>
        <w:ind w:left="1020" w:right="300" w:hanging="503"/>
        <w:spacing w:after="0" w:line="285" w:lineRule="auto"/>
        <w:tabs>
          <w:tab w:leader="none" w:pos="1020"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6"/>
          <w:szCs w:val="16"/>
          <w:color w:val="auto"/>
        </w:rPr>
        <w:t>In the first half of 2025, Wyoming Electric set four new all-time peak loads, including an all-time peak of 379 MW on June 20, 2025. Prior to 2025, the previous all-time peak was 314 MW set on January 11,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-1751330</wp:posOffset>
            </wp:positionV>
            <wp:extent cx="30289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02895" cy="8255"/>
                    </a:xfrm>
                    <a:prstGeom prst="rect">
                      <a:avLst/>
                    </a:prstGeom>
                    <a:noFill/>
                  </pic:spPr>
                </pic:pic>
              </a:graphicData>
            </a:graphic>
          </wp:anchor>
        </w:drawing>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020" w:hanging="503"/>
        <w:spacing w:after="0" w:line="256" w:lineRule="auto"/>
        <w:tabs>
          <w:tab w:leader="none" w:pos="1020" w:val="left"/>
        </w:tabs>
        <w:numPr>
          <w:ilvl w:val="0"/>
          <w:numId w:val="25"/>
        </w:numPr>
        <w:rPr>
          <w:rFonts w:ascii="Times New Roman" w:cs="Times New Roman" w:eastAsia="Times New Roman" w:hAnsi="Times New Roman"/>
          <w:sz w:val="16"/>
          <w:szCs w:val="16"/>
          <w:color w:val="auto"/>
        </w:rPr>
      </w:pPr>
      <w:r>
        <w:rPr>
          <w:rFonts w:ascii="Arial" w:cs="Arial" w:eastAsia="Arial" w:hAnsi="Arial"/>
          <w:sz w:val="16"/>
          <w:szCs w:val="16"/>
          <w:color w:val="auto"/>
        </w:rPr>
        <w:t>During the second quarter of 2025, Colorado Electric continued to advance the addition of 350 MW of new renewable generation resources in support of its Clean Energy Plan. In 2024, the CPUC approved the addition of a 100-MW utility-owned solar project, 50-MW utility-owned battery storage project and a 200-MW solar PPA. On June 12, 2025, Colorado Electric filed a CPCN for the battery storage project and expects a CPUC decision by year-end 2025. Negotiations with counterparties for the other two projects are ongoing, which will drive final cost and timing of projects.</w:t>
      </w:r>
    </w:p>
    <w:p>
      <w:pPr>
        <w:spacing w:after="0" w:line="151" w:lineRule="exact"/>
        <w:rPr>
          <w:rFonts w:ascii="Times New Roman" w:cs="Times New Roman" w:eastAsia="Times New Roman" w:hAnsi="Times New Roman"/>
          <w:sz w:val="16"/>
          <w:szCs w:val="16"/>
          <w:color w:val="auto"/>
        </w:rPr>
      </w:pPr>
    </w:p>
    <w:p>
      <w:pPr>
        <w:ind w:left="1020" w:hanging="503"/>
        <w:spacing w:after="0" w:line="285" w:lineRule="auto"/>
        <w:tabs>
          <w:tab w:leader="none" w:pos="1020" w:val="left"/>
        </w:tabs>
        <w:numPr>
          <w:ilvl w:val="0"/>
          <w:numId w:val="25"/>
        </w:numPr>
        <w:rPr>
          <w:rFonts w:ascii="Times New Roman" w:cs="Times New Roman" w:eastAsia="Times New Roman" w:hAnsi="Times New Roman"/>
          <w:sz w:val="16"/>
          <w:szCs w:val="16"/>
          <w:color w:val="auto"/>
        </w:rPr>
      </w:pPr>
      <w:r>
        <w:rPr>
          <w:rFonts w:ascii="Arial" w:cs="Arial" w:eastAsia="Arial" w:hAnsi="Arial"/>
          <w:sz w:val="16"/>
          <w:szCs w:val="16"/>
          <w:color w:val="auto"/>
        </w:rPr>
        <w:t>On March 28, 2025, South Dakota Electric filed a request with the WPSC for the Lange II project, which was approved in June 2025. The new facility is scheduled to begin construction in the third quarter of 2025 and to be in service by the second half of 2026.</w:t>
      </w:r>
    </w:p>
    <w:p>
      <w:pPr>
        <w:spacing w:after="0" w:line="156" w:lineRule="exact"/>
        <w:rPr>
          <w:rFonts w:ascii="Times New Roman" w:cs="Times New Roman" w:eastAsia="Times New Roman" w:hAnsi="Times New Roman"/>
          <w:sz w:val="16"/>
          <w:szCs w:val="16"/>
          <w:color w:val="auto"/>
        </w:rPr>
      </w:pPr>
    </w:p>
    <w:p>
      <w:pPr>
        <w:ind w:left="1020" w:right="380" w:hanging="503"/>
        <w:spacing w:after="0" w:line="285" w:lineRule="auto"/>
        <w:tabs>
          <w:tab w:leader="none" w:pos="1020" w:val="left"/>
        </w:tabs>
        <w:numPr>
          <w:ilvl w:val="0"/>
          <w:numId w:val="25"/>
        </w:numPr>
        <w:rPr>
          <w:rFonts w:ascii="Times New Roman" w:cs="Times New Roman" w:eastAsia="Times New Roman" w:hAnsi="Times New Roman"/>
          <w:sz w:val="16"/>
          <w:szCs w:val="16"/>
          <w:color w:val="auto"/>
        </w:rPr>
      </w:pPr>
      <w:r>
        <w:rPr>
          <w:rFonts w:ascii="Arial" w:cs="Arial" w:eastAsia="Arial" w:hAnsi="Arial"/>
          <w:sz w:val="16"/>
          <w:szCs w:val="16"/>
          <w:color w:val="auto"/>
        </w:rPr>
        <w:t>During the second quarter of 2025, Wyoming Electric continued construction of its approximately 260-mile, $350 million Ready Wyoming electric transmission expansion project. The project is on track to be completed and in service by year end 2025.</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Gas Utilities</w:t>
      </w:r>
    </w:p>
    <w:p>
      <w:pPr>
        <w:spacing w:after="0" w:line="194" w:lineRule="exact"/>
        <w:rPr>
          <w:sz w:val="20"/>
          <w:szCs w:val="20"/>
          <w:color w:val="auto"/>
        </w:rPr>
      </w:pPr>
    </w:p>
    <w:p>
      <w:pPr>
        <w:ind w:left="1020" w:right="440" w:hanging="503"/>
        <w:spacing w:after="0" w:line="285" w:lineRule="auto"/>
        <w:tabs>
          <w:tab w:leader="none" w:pos="1020" w:val="left"/>
        </w:tabs>
        <w:numPr>
          <w:ilvl w:val="0"/>
          <w:numId w:val="26"/>
        </w:numPr>
        <w:rPr>
          <w:rFonts w:ascii="Times New Roman" w:cs="Times New Roman" w:eastAsia="Times New Roman" w:hAnsi="Times New Roman"/>
          <w:sz w:val="16"/>
          <w:szCs w:val="16"/>
          <w:color w:val="auto"/>
        </w:rPr>
      </w:pPr>
      <w:r>
        <w:rPr>
          <w:rFonts w:ascii="Arial" w:cs="Arial" w:eastAsia="Arial" w:hAnsi="Arial"/>
          <w:sz w:val="16"/>
          <w:szCs w:val="16"/>
          <w:color w:val="auto"/>
        </w:rPr>
        <w:t xml:space="preserve">See </w:t>
      </w:r>
      <w:r>
        <w:rPr>
          <w:rFonts w:ascii="Arial" w:cs="Arial" w:eastAsia="Arial" w:hAnsi="Arial"/>
          <w:sz w:val="16"/>
          <w:szCs w:val="16"/>
          <w:u w:val="single" w:color="auto"/>
          <w:color w:val="0000FF"/>
        </w:rPr>
        <w:t>Note 2</w:t>
      </w:r>
      <w:r>
        <w:rPr>
          <w:rFonts w:ascii="Arial" w:cs="Arial" w:eastAsia="Arial" w:hAnsi="Arial"/>
          <w:sz w:val="16"/>
          <w:szCs w:val="16"/>
          <w:color w:val="auto"/>
        </w:rPr>
        <w:t xml:space="preserve"> of the Condensed Notes to Consolidated Financial Statements for recent rate review activity for Iowa Gas, Kansas Gas and Nebraska 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-165735</wp:posOffset>
            </wp:positionV>
            <wp:extent cx="30289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02895" cy="8255"/>
                    </a:xfrm>
                    <a:prstGeom prst="rect">
                      <a:avLst/>
                    </a:prstGeom>
                    <a:noFill/>
                  </pic:spPr>
                </pic:pic>
              </a:graphicData>
            </a:graphic>
          </wp:anchor>
        </w:drawing>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Corporate and Other</w:t>
      </w:r>
    </w:p>
    <w:p>
      <w:pPr>
        <w:spacing w:after="0" w:line="194" w:lineRule="exact"/>
        <w:rPr>
          <w:sz w:val="20"/>
          <w:szCs w:val="20"/>
          <w:color w:val="auto"/>
        </w:rPr>
      </w:pPr>
    </w:p>
    <w:p>
      <w:pPr>
        <w:ind w:left="1020" w:right="420" w:hanging="503"/>
        <w:spacing w:after="0" w:line="285" w:lineRule="auto"/>
        <w:tabs>
          <w:tab w:leader="none" w:pos="1020" w:val="left"/>
        </w:tabs>
        <w:numPr>
          <w:ilvl w:val="0"/>
          <w:numId w:val="27"/>
        </w:numPr>
        <w:rPr>
          <w:rFonts w:ascii="Times New Roman" w:cs="Times New Roman" w:eastAsia="Times New Roman" w:hAnsi="Times New Roman"/>
          <w:sz w:val="16"/>
          <w:szCs w:val="16"/>
          <w:color w:val="auto"/>
        </w:rPr>
      </w:pPr>
      <w:r>
        <w:rPr>
          <w:rFonts w:ascii="Arial" w:cs="Arial" w:eastAsia="Arial" w:hAnsi="Arial"/>
          <w:sz w:val="16"/>
          <w:szCs w:val="16"/>
          <w:color w:val="auto"/>
        </w:rPr>
        <w:t xml:space="preserve">See </w:t>
      </w:r>
      <w:r>
        <w:rPr>
          <w:rFonts w:ascii="Arial" w:cs="Arial" w:eastAsia="Arial" w:hAnsi="Arial"/>
          <w:sz w:val="16"/>
          <w:szCs w:val="16"/>
          <w:u w:val="single" w:color="auto"/>
          <w:color w:val="0000FF"/>
        </w:rPr>
        <w:t>Note 5</w:t>
      </w:r>
      <w:r>
        <w:rPr>
          <w:rFonts w:ascii="Arial" w:cs="Arial" w:eastAsia="Arial" w:hAnsi="Arial"/>
          <w:sz w:val="16"/>
          <w:szCs w:val="16"/>
          <w:color w:val="auto"/>
        </w:rPr>
        <w:t xml:space="preserve"> of the Condensed Notes to Consolidated Financial Statements for our corporate Revolving Credit Facility and ATM program activity.</w:t>
      </w:r>
    </w:p>
    <w:p>
      <w:pPr>
        <w:spacing w:after="0" w:line="129" w:lineRule="exact"/>
        <w:rPr>
          <w:rFonts w:ascii="Times New Roman" w:cs="Times New Roman" w:eastAsia="Times New Roman" w:hAnsi="Times New Roman"/>
          <w:sz w:val="16"/>
          <w:szCs w:val="16"/>
          <w:color w:val="auto"/>
        </w:rPr>
      </w:pPr>
    </w:p>
    <w:p>
      <w:pPr>
        <w:ind w:left="1020" w:right="220" w:hanging="503"/>
        <w:spacing w:after="0" w:line="285" w:lineRule="auto"/>
        <w:tabs>
          <w:tab w:leader="none" w:pos="1020" w:val="left"/>
        </w:tabs>
        <w:numPr>
          <w:ilvl w:val="0"/>
          <w:numId w:val="27"/>
        </w:numPr>
        <w:rPr>
          <w:rFonts w:ascii="Times New Roman" w:cs="Times New Roman" w:eastAsia="Times New Roman" w:hAnsi="Times New Roman"/>
          <w:sz w:val="16"/>
          <w:szCs w:val="16"/>
          <w:color w:val="auto"/>
        </w:rPr>
      </w:pPr>
      <w:r>
        <w:rPr>
          <w:rFonts w:ascii="Arial" w:cs="Arial" w:eastAsia="Arial" w:hAnsi="Arial"/>
          <w:sz w:val="16"/>
          <w:szCs w:val="16"/>
          <w:color w:val="auto"/>
        </w:rPr>
        <w:t>During the second quarter of 2025, we published our 2024 Corporate Sustainability, highlighting our environmental, social and governance impacts and our progress on major projects and climate goals.</w:t>
      </w:r>
    </w:p>
    <w:p>
      <w:pPr>
        <w:spacing w:after="0" w:line="129" w:lineRule="exact"/>
        <w:rPr>
          <w:rFonts w:ascii="Times New Roman" w:cs="Times New Roman" w:eastAsia="Times New Roman" w:hAnsi="Times New Roman"/>
          <w:sz w:val="16"/>
          <w:szCs w:val="16"/>
          <w:color w:val="auto"/>
        </w:rPr>
      </w:pPr>
    </w:p>
    <w:p>
      <w:pPr>
        <w:ind w:left="1020" w:right="360" w:hanging="503"/>
        <w:spacing w:after="0" w:line="285" w:lineRule="auto"/>
        <w:tabs>
          <w:tab w:leader="none" w:pos="1020" w:val="left"/>
        </w:tabs>
        <w:numPr>
          <w:ilvl w:val="0"/>
          <w:numId w:val="27"/>
        </w:numPr>
        <w:rPr>
          <w:rFonts w:ascii="Times New Roman" w:cs="Times New Roman" w:eastAsia="Times New Roman" w:hAnsi="Times New Roman"/>
          <w:sz w:val="16"/>
          <w:szCs w:val="16"/>
          <w:color w:val="auto"/>
        </w:rPr>
      </w:pPr>
      <w:r>
        <w:rPr>
          <w:rFonts w:ascii="Arial" w:cs="Arial" w:eastAsia="Arial" w:hAnsi="Arial"/>
          <w:sz w:val="16"/>
          <w:szCs w:val="16"/>
          <w:color w:val="auto"/>
        </w:rPr>
        <w:t xml:space="preserve">On January 17, 2025, Fitch affirmed BHC's long-term issuer rating at BBB+ with a negative outlook. Following the affirmation, the parties jointly withdrew the rating. See </w:t>
      </w:r>
      <w:r>
        <w:rPr>
          <w:rFonts w:ascii="Arial" w:cs="Arial" w:eastAsia="Arial" w:hAnsi="Arial"/>
          <w:sz w:val="16"/>
          <w:szCs w:val="16"/>
          <w:u w:val="single" w:color="auto"/>
          <w:color w:val="0000FF"/>
        </w:rPr>
        <w:t>Liquidity and Capital Resources</w:t>
      </w:r>
      <w:r>
        <w:rPr>
          <w:rFonts w:ascii="Arial" w:cs="Arial" w:eastAsia="Arial" w:hAnsi="Arial"/>
          <w:sz w:val="16"/>
          <w:szCs w:val="16"/>
          <w:color w:val="auto"/>
        </w:rPr>
        <w:t xml:space="preserve"> section below for additional information on our credit ratings.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-885825</wp:posOffset>
            </wp:positionV>
            <wp:extent cx="30289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02895" cy="8890"/>
                    </a:xfrm>
                    <a:prstGeom prst="rect">
                      <a:avLst/>
                    </a:prstGeom>
                    <a:noFill/>
                  </pic:spPr>
                </pic:pic>
              </a:graphicData>
            </a:graphic>
          </wp:anchor>
        </w:drawing>
        <w:drawing>
          <wp:anchor simplePos="0" relativeHeight="251657728" behindDoc="1" locked="0" layoutInCell="0" allowOverlap="1">
            <wp:simplePos x="0" y="0"/>
            <wp:positionH relativeFrom="column">
              <wp:posOffset>2075180</wp:posOffset>
            </wp:positionH>
            <wp:positionV relativeFrom="paragraph">
              <wp:posOffset>-45720</wp:posOffset>
            </wp:positionV>
            <wp:extent cx="144653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446530" cy="8255"/>
                    </a:xfrm>
                    <a:prstGeom prst="rect">
                      <a:avLst/>
                    </a:prstGeom>
                    <a:noFill/>
                  </pic:spPr>
                </pic:pic>
              </a:graphicData>
            </a:graphic>
          </wp:anchor>
        </w:drawing>
      </w:r>
    </w:p>
    <w:p>
      <w:pPr>
        <w:spacing w:after="0" w:line="109"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Results of Operations</w:t>
      </w:r>
    </w:p>
    <w:p>
      <w:pPr>
        <w:spacing w:after="0" w:line="194"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Certain lines of business in which we operate are highly seasonal, and revenue from, and certain expenses for, such operations may fluctuate significantly among quarterly periods. Demand for electricity and natural gas is sensitive to seasonal cooling, heating and industrial load requirements. In particular, the normal peak usage season for our Electric Utilities is June through August while the normal peak usage season for our Gas Utilities is November through March. Significant earnings variances can be expected between the Gas Utilities segment’s peak and off-peak seasons. Due to this seasonal nature, our results of operations for the three and six months ended June 30, 2025, and 2024, and our financial condition as of June 30, 2025, and December 31, 2024, are not necessarily indicative of the results of operations and financial condition to be expected as of or for any other period or for the entire year.</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All amounts are presented on a pre-tax basis unless otherwise indicated. Minor differences in amounts may result due to rounding.</w:t>
      </w:r>
    </w:p>
    <w:p>
      <w:pPr>
        <w:spacing w:after="0" w:line="200" w:lineRule="exact"/>
        <w:rPr>
          <w:sz w:val="20"/>
          <w:szCs w:val="20"/>
          <w:color w:val="auto"/>
        </w:rPr>
      </w:pPr>
    </w:p>
    <w:p>
      <w:pPr>
        <w:spacing w:after="0" w:line="21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33" w:name="page34"/>
    <w:bookmarkEnd w:id="3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380" w:type="dxa"/>
            <w:vAlign w:val="bottom"/>
          </w:tcPr>
          <w:p>
            <w:pPr>
              <w:spacing w:after="0"/>
              <w:rPr>
                <w:sz w:val="20"/>
                <w:szCs w:val="20"/>
                <w:color w:val="auto"/>
              </w:rPr>
            </w:pPr>
            <w:r>
              <w:rPr>
                <w:rFonts w:ascii="Arial" w:cs="Arial" w:eastAsia="Arial" w:hAnsi="Arial"/>
                <w:sz w:val="16"/>
                <w:szCs w:val="16"/>
                <w:b w:val="1"/>
                <w:bCs w:val="1"/>
                <w:color w:val="auto"/>
              </w:rPr>
              <w:t>Consolidated Summary and Overview</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344"/>
        </w:trPr>
        <w:tc>
          <w:tcPr>
            <w:tcW w:w="4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80" w:type="dxa"/>
            <w:vAlign w:val="bottom"/>
            <w:gridSpan w:val="5"/>
          </w:tcPr>
          <w:p>
            <w:pPr>
              <w:jc w:val="right"/>
              <w:ind w:right="459"/>
              <w:spacing w:after="0"/>
              <w:rPr>
                <w:sz w:val="20"/>
                <w:szCs w:val="20"/>
                <w:color w:val="auto"/>
              </w:rPr>
            </w:pPr>
            <w:r>
              <w:rPr>
                <w:rFonts w:ascii="Arial" w:cs="Arial" w:eastAsia="Arial" w:hAnsi="Arial"/>
                <w:sz w:val="16"/>
                <w:szCs w:val="16"/>
                <w:b w:val="1"/>
                <w:bCs w:val="1"/>
                <w:color w:val="auto"/>
              </w:rPr>
              <w:t>Three Months Ended June 30,</w:t>
            </w:r>
          </w:p>
        </w:tc>
        <w:tc>
          <w:tcPr>
            <w:tcW w:w="220" w:type="dxa"/>
            <w:vAlign w:val="bottom"/>
          </w:tcPr>
          <w:p>
            <w:pPr>
              <w:spacing w:after="0"/>
              <w:rPr>
                <w:sz w:val="24"/>
                <w:szCs w:val="24"/>
                <w:color w:val="auto"/>
              </w:rPr>
            </w:pPr>
          </w:p>
        </w:tc>
        <w:tc>
          <w:tcPr>
            <w:tcW w:w="3000" w:type="dxa"/>
            <w:vAlign w:val="bottom"/>
            <w:gridSpan w:val="5"/>
          </w:tcPr>
          <w:p>
            <w:pPr>
              <w:jc w:val="right"/>
              <w:ind w:right="539"/>
              <w:spacing w:after="0"/>
              <w:rPr>
                <w:sz w:val="20"/>
                <w:szCs w:val="20"/>
                <w:color w:val="auto"/>
              </w:rPr>
            </w:pPr>
            <w:r>
              <w:rPr>
                <w:rFonts w:ascii="Arial" w:cs="Arial" w:eastAsia="Arial" w:hAnsi="Arial"/>
                <w:sz w:val="16"/>
                <w:szCs w:val="16"/>
                <w:b w:val="1"/>
                <w:bCs w:val="1"/>
                <w:color w:val="auto"/>
              </w:rPr>
              <w:t>Six Months Ended June 30,</w:t>
            </w:r>
          </w:p>
        </w:tc>
      </w:tr>
      <w:tr>
        <w:trPr>
          <w:trHeight w:val="189"/>
        </w:trPr>
        <w:tc>
          <w:tcPr>
            <w:tcW w:w="4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179"/>
              <w:spacing w:after="0"/>
              <w:rPr>
                <w:sz w:val="20"/>
                <w:szCs w:val="20"/>
                <w:color w:val="auto"/>
              </w:rPr>
            </w:pPr>
            <w:r>
              <w:rPr>
                <w:rFonts w:ascii="Arial" w:cs="Arial" w:eastAsia="Arial" w:hAnsi="Arial"/>
                <w:sz w:val="16"/>
                <w:szCs w:val="16"/>
                <w:b w:val="1"/>
                <w:bCs w:val="1"/>
                <w:color w:val="auto"/>
              </w:rPr>
              <w:t>2025 vs</w:t>
            </w: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center"/>
              <w:ind w:right="179"/>
              <w:spacing w:after="0"/>
              <w:rPr>
                <w:sz w:val="20"/>
                <w:szCs w:val="20"/>
                <w:color w:val="auto"/>
              </w:rPr>
            </w:pPr>
            <w:r>
              <w:rPr>
                <w:rFonts w:ascii="Arial" w:cs="Arial" w:eastAsia="Arial" w:hAnsi="Arial"/>
                <w:sz w:val="16"/>
                <w:szCs w:val="16"/>
                <w:b w:val="1"/>
                <w:bCs w:val="1"/>
                <w:color w:val="auto"/>
              </w:rPr>
              <w:t>2025 vs</w:t>
            </w:r>
          </w:p>
        </w:tc>
      </w:tr>
      <w:tr>
        <w:trPr>
          <w:trHeight w:val="189"/>
        </w:trPr>
        <w:tc>
          <w:tcPr>
            <w:tcW w:w="4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179"/>
              <w:spacing w:after="0"/>
              <w:rPr>
                <w:sz w:val="20"/>
                <w:szCs w:val="20"/>
                <w:color w:val="auto"/>
              </w:rPr>
            </w:pPr>
            <w:r>
              <w:rPr>
                <w:rFonts w:ascii="Arial" w:cs="Arial" w:eastAsia="Arial" w:hAnsi="Arial"/>
                <w:sz w:val="16"/>
                <w:szCs w:val="16"/>
                <w:b w:val="1"/>
                <w:bCs w:val="1"/>
                <w:color w:val="auto"/>
              </w:rPr>
              <w:t>2024</w:t>
            </w: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center"/>
              <w:ind w:right="199"/>
              <w:spacing w:after="0"/>
              <w:rPr>
                <w:sz w:val="20"/>
                <w:szCs w:val="20"/>
                <w:color w:val="auto"/>
              </w:rPr>
            </w:pPr>
            <w:r>
              <w:rPr>
                <w:rFonts w:ascii="Arial" w:cs="Arial" w:eastAsia="Arial" w:hAnsi="Arial"/>
                <w:sz w:val="16"/>
                <w:szCs w:val="16"/>
                <w:b w:val="1"/>
                <w:bCs w:val="1"/>
                <w:color w:val="auto"/>
              </w:rPr>
              <w:t>2024</w:t>
            </w:r>
          </w:p>
        </w:tc>
      </w:tr>
      <w:tr>
        <w:trPr>
          <w:trHeight w:val="203"/>
        </w:trPr>
        <w:tc>
          <w:tcPr>
            <w:tcW w:w="4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2025</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2024</w:t>
            </w: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Variance</w:t>
            </w: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2025</w:t>
            </w: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2024</w:t>
            </w: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rPr>
              <w:t>Variance</w:t>
            </w:r>
          </w:p>
        </w:tc>
      </w:tr>
      <w:tr>
        <w:trPr>
          <w:trHeight w:val="182"/>
        </w:trPr>
        <w:tc>
          <w:tcPr>
            <w:tcW w:w="4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300" w:type="dxa"/>
            <w:vAlign w:val="bottom"/>
            <w:tcBorders>
              <w:bottom w:val="single" w:sz="8" w:color="auto"/>
            </w:tcBorders>
            <w:gridSpan w:val="6"/>
          </w:tcPr>
          <w:p>
            <w:pPr>
              <w:jc w:val="right"/>
              <w:spacing w:after="0" w:line="183" w:lineRule="exact"/>
              <w:rPr>
                <w:sz w:val="20"/>
                <w:szCs w:val="20"/>
                <w:color w:val="auto"/>
              </w:rPr>
            </w:pPr>
            <w:r>
              <w:rPr>
                <w:rFonts w:ascii="Arial" w:cs="Arial" w:eastAsia="Arial" w:hAnsi="Arial"/>
                <w:sz w:val="16"/>
                <w:szCs w:val="16"/>
                <w:color w:val="auto"/>
              </w:rPr>
              <w:t>(in millions, except per share amounts)</w:t>
            </w:r>
          </w:p>
        </w:tc>
        <w:tc>
          <w:tcPr>
            <w:tcW w:w="7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r>
      <w:tr>
        <w:trPr>
          <w:trHeight w:val="183"/>
        </w:trPr>
        <w:tc>
          <w:tcPr>
            <w:tcW w:w="43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Operating income (loss):</w:t>
            </w:r>
          </w:p>
        </w:tc>
        <w:tc>
          <w:tcPr>
            <w:tcW w:w="3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r>
      <w:tr>
        <w:trPr>
          <w:trHeight w:val="189"/>
        </w:trPr>
        <w:tc>
          <w:tcPr>
            <w:tcW w:w="4380" w:type="dxa"/>
            <w:vAlign w:val="bottom"/>
          </w:tcPr>
          <w:p>
            <w:pPr>
              <w:ind w:left="60"/>
              <w:spacing w:after="0"/>
              <w:rPr>
                <w:sz w:val="20"/>
                <w:szCs w:val="20"/>
                <w:color w:val="auto"/>
              </w:rPr>
            </w:pPr>
            <w:r>
              <w:rPr>
                <w:rFonts w:ascii="Arial" w:cs="Arial" w:eastAsia="Arial" w:hAnsi="Arial"/>
                <w:sz w:val="16"/>
                <w:szCs w:val="16"/>
                <w:color w:val="auto"/>
              </w:rPr>
              <w:t>Electric Utilities</w:t>
            </w:r>
          </w:p>
        </w:tc>
        <w:tc>
          <w:tcPr>
            <w:tcW w:w="56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49.0</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46.3</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2.7</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103.3</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110.9</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(7.6)</w:t>
            </w:r>
          </w:p>
        </w:tc>
      </w:tr>
      <w:tr>
        <w:trPr>
          <w:trHeight w:val="189"/>
        </w:trPr>
        <w:tc>
          <w:tcPr>
            <w:tcW w:w="4380" w:type="dxa"/>
            <w:vAlign w:val="bottom"/>
            <w:shd w:val="clear" w:color="auto" w:fill="CFF0FC"/>
          </w:tcPr>
          <w:p>
            <w:pPr>
              <w:ind w:left="60"/>
              <w:spacing w:after="0"/>
              <w:rPr>
                <w:sz w:val="20"/>
                <w:szCs w:val="20"/>
                <w:color w:val="auto"/>
              </w:rPr>
            </w:pPr>
            <w:r>
              <w:rPr>
                <w:rFonts w:ascii="Arial" w:cs="Arial" w:eastAsia="Arial" w:hAnsi="Arial"/>
                <w:sz w:val="16"/>
                <w:szCs w:val="16"/>
                <w:color w:val="auto"/>
              </w:rPr>
              <w:t>Gas Utilities</w:t>
            </w:r>
          </w:p>
        </w:tc>
        <w:tc>
          <w:tcPr>
            <w:tcW w:w="3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35.5</w:t>
            </w:r>
          </w:p>
        </w:tc>
        <w:tc>
          <w:tcPr>
            <w:tcW w:w="24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23.0</w:t>
            </w:r>
          </w:p>
        </w:tc>
        <w:tc>
          <w:tcPr>
            <w:tcW w:w="16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12.5</w:t>
            </w:r>
          </w:p>
        </w:tc>
        <w:tc>
          <w:tcPr>
            <w:tcW w:w="22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187.0</w:t>
            </w:r>
          </w:p>
        </w:tc>
        <w:tc>
          <w:tcPr>
            <w:tcW w:w="28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153.7</w:t>
            </w:r>
          </w:p>
        </w:tc>
        <w:tc>
          <w:tcPr>
            <w:tcW w:w="140" w:type="dxa"/>
            <w:vAlign w:val="bottom"/>
            <w:shd w:val="clear" w:color="auto" w:fill="CFF0FC"/>
          </w:tcPr>
          <w:p>
            <w:pPr>
              <w:spacing w:after="0"/>
              <w:rPr>
                <w:sz w:val="16"/>
                <w:szCs w:val="16"/>
                <w:color w:val="auto"/>
              </w:rPr>
            </w:pP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33.3</w:t>
            </w:r>
          </w:p>
        </w:tc>
      </w:tr>
      <w:tr>
        <w:trPr>
          <w:trHeight w:val="189"/>
        </w:trPr>
        <w:tc>
          <w:tcPr>
            <w:tcW w:w="4380" w:type="dxa"/>
            <w:vAlign w:val="bottom"/>
          </w:tcPr>
          <w:p>
            <w:pPr>
              <w:ind w:left="60"/>
              <w:spacing w:after="0" w:line="189" w:lineRule="exact"/>
              <w:rPr>
                <w:sz w:val="20"/>
                <w:szCs w:val="20"/>
                <w:color w:val="auto"/>
              </w:rPr>
            </w:pPr>
            <w:r>
              <w:rPr>
                <w:rFonts w:ascii="Arial" w:cs="Arial" w:eastAsia="Arial" w:hAnsi="Arial"/>
                <w:sz w:val="16"/>
                <w:szCs w:val="16"/>
                <w:color w:val="auto"/>
              </w:rPr>
              <w:t xml:space="preserve">Corporate and Other </w:t>
            </w:r>
            <w:r>
              <w:rPr>
                <w:rFonts w:ascii="Arial" w:cs="Arial" w:eastAsia="Arial" w:hAnsi="Arial"/>
                <w:sz w:val="21"/>
                <w:szCs w:val="21"/>
                <w:color w:val="auto"/>
                <w:vertAlign w:val="superscript"/>
              </w:rPr>
              <w:t>(a)</w:t>
            </w:r>
          </w:p>
        </w:tc>
        <w:tc>
          <w:tcPr>
            <w:tcW w:w="3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w:t>
            </w: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r>
      <w:tr>
        <w:trPr>
          <w:trHeight w:val="183"/>
        </w:trPr>
        <w:tc>
          <w:tcPr>
            <w:tcW w:w="438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6"/>
                <w:szCs w:val="16"/>
                <w:color w:val="auto"/>
              </w:rPr>
              <w:t>Operating income</w:t>
            </w:r>
          </w:p>
        </w:tc>
        <w:tc>
          <w:tcPr>
            <w:tcW w:w="36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82.5</w:t>
            </w:r>
          </w:p>
        </w:tc>
        <w:tc>
          <w:tcPr>
            <w:tcW w:w="240" w:type="dxa"/>
            <w:vAlign w:val="bottom"/>
            <w:tcBorders>
              <w:bottom w:val="single" w:sz="8" w:color="auto"/>
            </w:tcBorders>
            <w:shd w:val="clear" w:color="auto" w:fill="CFF0FC"/>
          </w:tcPr>
          <w:p>
            <w:pPr>
              <w:spacing w:after="0"/>
              <w:rPr>
                <w:sz w:val="15"/>
                <w:szCs w:val="15"/>
                <w:color w:val="auto"/>
              </w:rPr>
            </w:pPr>
          </w:p>
        </w:tc>
        <w:tc>
          <w:tcPr>
            <w:tcW w:w="860" w:type="dxa"/>
            <w:vAlign w:val="bottom"/>
            <w:tcBorders>
              <w:bottom w:val="single" w:sz="8" w:color="auto"/>
            </w:tcBorders>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70.6</w:t>
            </w:r>
          </w:p>
        </w:tc>
        <w:tc>
          <w:tcPr>
            <w:tcW w:w="160" w:type="dxa"/>
            <w:vAlign w:val="bottom"/>
            <w:tcBorders>
              <w:bottom w:val="single" w:sz="8" w:color="auto"/>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11.9</w:t>
            </w:r>
          </w:p>
        </w:tc>
        <w:tc>
          <w:tcPr>
            <w:tcW w:w="220" w:type="dxa"/>
            <w:vAlign w:val="bottom"/>
            <w:tcBorders>
              <w:bottom w:val="single" w:sz="8" w:color="auto"/>
            </w:tcBorders>
            <w:shd w:val="clear" w:color="auto" w:fill="CFF0FC"/>
          </w:tcPr>
          <w:p>
            <w:pPr>
              <w:spacing w:after="0"/>
              <w:rPr>
                <w:sz w:val="15"/>
                <w:szCs w:val="15"/>
                <w:color w:val="auto"/>
              </w:rPr>
            </w:pPr>
          </w:p>
        </w:tc>
        <w:tc>
          <w:tcPr>
            <w:tcW w:w="840" w:type="dxa"/>
            <w:vAlign w:val="bottom"/>
            <w:tcBorders>
              <w:bottom w:val="single" w:sz="8" w:color="auto"/>
            </w:tcBorders>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287.4</w:t>
            </w:r>
          </w:p>
        </w:tc>
        <w:tc>
          <w:tcPr>
            <w:tcW w:w="280" w:type="dxa"/>
            <w:vAlign w:val="bottom"/>
            <w:tcBorders>
              <w:bottom w:val="single" w:sz="8" w:color="auto"/>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264.0</w:t>
            </w:r>
          </w:p>
        </w:tc>
        <w:tc>
          <w:tcPr>
            <w:tcW w:w="14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23.4</w:t>
            </w:r>
          </w:p>
        </w:tc>
      </w:tr>
      <w:tr>
        <w:trPr>
          <w:trHeight w:val="183"/>
        </w:trPr>
        <w:tc>
          <w:tcPr>
            <w:tcW w:w="4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9"/>
        </w:trPr>
        <w:tc>
          <w:tcPr>
            <w:tcW w:w="4380" w:type="dxa"/>
            <w:vAlign w:val="bottom"/>
            <w:shd w:val="clear" w:color="auto" w:fill="CFF0FC"/>
          </w:tcPr>
          <w:p>
            <w:pPr>
              <w:spacing w:after="0"/>
              <w:rPr>
                <w:sz w:val="20"/>
                <w:szCs w:val="20"/>
                <w:color w:val="auto"/>
              </w:rPr>
            </w:pPr>
            <w:r>
              <w:rPr>
                <w:rFonts w:ascii="Arial" w:cs="Arial" w:eastAsia="Arial" w:hAnsi="Arial"/>
                <w:sz w:val="16"/>
                <w:szCs w:val="16"/>
                <w:color w:val="auto"/>
              </w:rPr>
              <w:t>Interest expense, net</w:t>
            </w:r>
          </w:p>
        </w:tc>
        <w:tc>
          <w:tcPr>
            <w:tcW w:w="3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(48.9)</w:t>
            </w:r>
          </w:p>
        </w:tc>
        <w:tc>
          <w:tcPr>
            <w:tcW w:w="24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(42.6)</w:t>
            </w:r>
          </w:p>
        </w:tc>
        <w:tc>
          <w:tcPr>
            <w:tcW w:w="16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w:t>
            </w:r>
          </w:p>
        </w:tc>
        <w:tc>
          <w:tcPr>
            <w:tcW w:w="22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(100.3)</w:t>
            </w:r>
          </w:p>
        </w:tc>
        <w:tc>
          <w:tcPr>
            <w:tcW w:w="28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(86.7)</w:t>
            </w:r>
          </w:p>
        </w:tc>
        <w:tc>
          <w:tcPr>
            <w:tcW w:w="14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(13.6)</w:t>
            </w:r>
          </w:p>
        </w:tc>
      </w:tr>
      <w:tr>
        <w:trPr>
          <w:trHeight w:val="189"/>
        </w:trPr>
        <w:tc>
          <w:tcPr>
            <w:tcW w:w="4380" w:type="dxa"/>
            <w:vAlign w:val="bottom"/>
          </w:tcPr>
          <w:p>
            <w:pPr>
              <w:spacing w:after="0"/>
              <w:rPr>
                <w:sz w:val="20"/>
                <w:szCs w:val="20"/>
                <w:color w:val="auto"/>
              </w:rPr>
            </w:pPr>
            <w:r>
              <w:rPr>
                <w:rFonts w:ascii="Arial" w:cs="Arial" w:eastAsia="Arial" w:hAnsi="Arial"/>
                <w:sz w:val="16"/>
                <w:szCs w:val="16"/>
                <w:color w:val="auto"/>
              </w:rPr>
              <w:t>Other income (expense), net</w:t>
            </w: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(0.4)</w:t>
            </w:r>
          </w:p>
        </w:tc>
        <w:tc>
          <w:tcPr>
            <w:tcW w:w="240" w:type="dxa"/>
            <w:vAlign w:val="bottom"/>
          </w:tcPr>
          <w:p>
            <w:pPr>
              <w:spacing w:after="0"/>
              <w:rPr>
                <w:sz w:val="16"/>
                <w:szCs w:val="16"/>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0.4</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(0.8)</w:t>
            </w:r>
          </w:p>
        </w:tc>
        <w:tc>
          <w:tcPr>
            <w:tcW w:w="220" w:type="dxa"/>
            <w:vAlign w:val="bottom"/>
          </w:tcPr>
          <w:p>
            <w:pPr>
              <w:spacing w:after="0"/>
              <w:rPr>
                <w:sz w:val="16"/>
                <w:szCs w:val="16"/>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0.6</w:t>
            </w:r>
          </w:p>
        </w:tc>
        <w:tc>
          <w:tcPr>
            <w:tcW w:w="2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(0.5)</w:t>
            </w:r>
          </w:p>
        </w:tc>
        <w:tc>
          <w:tcPr>
            <w:tcW w:w="140" w:type="dxa"/>
            <w:vAlign w:val="bottom"/>
          </w:tcPr>
          <w:p>
            <w:pPr>
              <w:spacing w:after="0"/>
              <w:rPr>
                <w:sz w:val="16"/>
                <w:szCs w:val="16"/>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1.1</w:t>
            </w:r>
          </w:p>
        </w:tc>
      </w:tr>
      <w:tr>
        <w:trPr>
          <w:trHeight w:val="189"/>
        </w:trPr>
        <w:tc>
          <w:tcPr>
            <w:tcW w:w="4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Income tax (expense)</w:t>
            </w:r>
          </w:p>
        </w:tc>
        <w:tc>
          <w:tcPr>
            <w:tcW w:w="36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(4.4)</w:t>
            </w:r>
          </w:p>
        </w:tc>
        <w:tc>
          <w:tcPr>
            <w:tcW w:w="240" w:type="dxa"/>
            <w:vAlign w:val="bottom"/>
            <w:tcBorders>
              <w:bottom w:val="single" w:sz="8" w:color="auto"/>
            </w:tcBorders>
            <w:shd w:val="clear" w:color="auto" w:fill="CFF0FC"/>
          </w:tcPr>
          <w:p>
            <w:pPr>
              <w:spacing w:after="0"/>
              <w:rPr>
                <w:sz w:val="16"/>
                <w:szCs w:val="16"/>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w:t>
            </w:r>
          </w:p>
        </w:tc>
        <w:tc>
          <w:tcPr>
            <w:tcW w:w="16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(0.7)</w:t>
            </w:r>
          </w:p>
        </w:tc>
        <w:tc>
          <w:tcPr>
            <w:tcW w:w="220" w:type="dxa"/>
            <w:vAlign w:val="bottom"/>
            <w:tcBorders>
              <w:bottom w:val="single" w:sz="8" w:color="auto"/>
            </w:tcBorders>
            <w:shd w:val="clear" w:color="auto" w:fill="CFF0FC"/>
          </w:tcPr>
          <w:p>
            <w:pPr>
              <w:spacing w:after="0"/>
              <w:rPr>
                <w:sz w:val="16"/>
                <w:szCs w:val="16"/>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(22.5)</w:t>
            </w:r>
          </w:p>
        </w:tc>
        <w:tc>
          <w:tcPr>
            <w:tcW w:w="280" w:type="dxa"/>
            <w:vAlign w:val="bottom"/>
            <w:tcBorders>
              <w:bottom w:val="single" w:sz="8" w:color="auto"/>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(20.6)</w:t>
            </w:r>
          </w:p>
        </w:tc>
        <w:tc>
          <w:tcPr>
            <w:tcW w:w="14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w:t>
            </w:r>
          </w:p>
        </w:tc>
      </w:tr>
      <w:tr>
        <w:trPr>
          <w:trHeight w:val="183"/>
        </w:trPr>
        <w:tc>
          <w:tcPr>
            <w:tcW w:w="4380" w:type="dxa"/>
            <w:vAlign w:val="bottom"/>
          </w:tcPr>
          <w:p>
            <w:pPr>
              <w:spacing w:after="0" w:line="183" w:lineRule="exact"/>
              <w:rPr>
                <w:sz w:val="20"/>
                <w:szCs w:val="20"/>
                <w:color w:val="auto"/>
              </w:rPr>
            </w:pPr>
            <w:r>
              <w:rPr>
                <w:rFonts w:ascii="Arial" w:cs="Arial" w:eastAsia="Arial" w:hAnsi="Arial"/>
                <w:sz w:val="16"/>
                <w:szCs w:val="16"/>
                <w:color w:val="auto"/>
              </w:rPr>
              <w:t>Net income</w:t>
            </w: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ind w:right="19"/>
              <w:spacing w:after="0" w:line="183" w:lineRule="exact"/>
              <w:rPr>
                <w:sz w:val="20"/>
                <w:szCs w:val="20"/>
                <w:color w:val="auto"/>
              </w:rPr>
            </w:pPr>
            <w:r>
              <w:rPr>
                <w:rFonts w:ascii="Arial" w:cs="Arial" w:eastAsia="Arial" w:hAnsi="Arial"/>
                <w:sz w:val="16"/>
                <w:szCs w:val="16"/>
                <w:color w:val="auto"/>
              </w:rPr>
              <w:t>28.8</w:t>
            </w:r>
          </w:p>
        </w:tc>
        <w:tc>
          <w:tcPr>
            <w:tcW w:w="240" w:type="dxa"/>
            <w:vAlign w:val="bottom"/>
          </w:tcPr>
          <w:p>
            <w:pPr>
              <w:spacing w:after="0"/>
              <w:rPr>
                <w:sz w:val="15"/>
                <w:szCs w:val="15"/>
                <w:color w:val="auto"/>
              </w:rPr>
            </w:pPr>
          </w:p>
        </w:tc>
        <w:tc>
          <w:tcPr>
            <w:tcW w:w="860" w:type="dxa"/>
            <w:vAlign w:val="bottom"/>
          </w:tcPr>
          <w:p>
            <w:pPr>
              <w:jc w:val="right"/>
              <w:ind w:right="19"/>
              <w:spacing w:after="0" w:line="183" w:lineRule="exact"/>
              <w:rPr>
                <w:sz w:val="20"/>
                <w:szCs w:val="20"/>
                <w:color w:val="auto"/>
              </w:rPr>
            </w:pPr>
            <w:r>
              <w:rPr>
                <w:rFonts w:ascii="Arial" w:cs="Arial" w:eastAsia="Arial" w:hAnsi="Arial"/>
                <w:sz w:val="16"/>
                <w:szCs w:val="16"/>
                <w:color w:val="auto"/>
              </w:rPr>
              <w:t>24.7</w:t>
            </w:r>
          </w:p>
        </w:tc>
        <w:tc>
          <w:tcPr>
            <w:tcW w:w="160" w:type="dxa"/>
            <w:vAlign w:val="bottom"/>
          </w:tcPr>
          <w:p>
            <w:pPr>
              <w:spacing w:after="0"/>
              <w:rPr>
                <w:sz w:val="15"/>
                <w:szCs w:val="15"/>
                <w:color w:val="auto"/>
              </w:rPr>
            </w:pPr>
          </w:p>
        </w:tc>
        <w:tc>
          <w:tcPr>
            <w:tcW w:w="940" w:type="dxa"/>
            <w:vAlign w:val="bottom"/>
          </w:tcPr>
          <w:p>
            <w:pPr>
              <w:jc w:val="right"/>
              <w:ind w:right="19"/>
              <w:spacing w:after="0" w:line="183" w:lineRule="exact"/>
              <w:rPr>
                <w:sz w:val="20"/>
                <w:szCs w:val="20"/>
                <w:color w:val="auto"/>
              </w:rPr>
            </w:pPr>
            <w:r>
              <w:rPr>
                <w:rFonts w:ascii="Arial" w:cs="Arial" w:eastAsia="Arial" w:hAnsi="Arial"/>
                <w:sz w:val="16"/>
                <w:szCs w:val="16"/>
                <w:color w:val="auto"/>
              </w:rPr>
              <w:t>4.1</w:t>
            </w:r>
          </w:p>
        </w:tc>
        <w:tc>
          <w:tcPr>
            <w:tcW w:w="220" w:type="dxa"/>
            <w:vAlign w:val="bottom"/>
          </w:tcPr>
          <w:p>
            <w:pPr>
              <w:spacing w:after="0"/>
              <w:rPr>
                <w:sz w:val="15"/>
                <w:szCs w:val="15"/>
                <w:color w:val="auto"/>
              </w:rPr>
            </w:pPr>
          </w:p>
        </w:tc>
        <w:tc>
          <w:tcPr>
            <w:tcW w:w="840" w:type="dxa"/>
            <w:vAlign w:val="bottom"/>
          </w:tcPr>
          <w:p>
            <w:pPr>
              <w:jc w:val="right"/>
              <w:ind w:right="19"/>
              <w:spacing w:after="0" w:line="183" w:lineRule="exact"/>
              <w:rPr>
                <w:sz w:val="20"/>
                <w:szCs w:val="20"/>
                <w:color w:val="auto"/>
              </w:rPr>
            </w:pPr>
            <w:r>
              <w:rPr>
                <w:rFonts w:ascii="Arial" w:cs="Arial" w:eastAsia="Arial" w:hAnsi="Arial"/>
                <w:sz w:val="16"/>
                <w:szCs w:val="16"/>
                <w:color w:val="auto"/>
              </w:rPr>
              <w:t>165.2</w:t>
            </w:r>
          </w:p>
        </w:tc>
        <w:tc>
          <w:tcPr>
            <w:tcW w:w="280" w:type="dxa"/>
            <w:vAlign w:val="bottom"/>
          </w:tcPr>
          <w:p>
            <w:pPr>
              <w:spacing w:after="0"/>
              <w:rPr>
                <w:sz w:val="15"/>
                <w:szCs w:val="15"/>
                <w:color w:val="auto"/>
              </w:rPr>
            </w:pPr>
          </w:p>
        </w:tc>
        <w:tc>
          <w:tcPr>
            <w:tcW w:w="780" w:type="dxa"/>
            <w:vAlign w:val="bottom"/>
          </w:tcPr>
          <w:p>
            <w:pPr>
              <w:jc w:val="right"/>
              <w:spacing w:after="0" w:line="183" w:lineRule="exact"/>
              <w:rPr>
                <w:sz w:val="20"/>
                <w:szCs w:val="20"/>
                <w:color w:val="auto"/>
              </w:rPr>
            </w:pPr>
            <w:r>
              <w:rPr>
                <w:rFonts w:ascii="Arial" w:cs="Arial" w:eastAsia="Arial" w:hAnsi="Arial"/>
                <w:sz w:val="16"/>
                <w:szCs w:val="16"/>
                <w:color w:val="auto"/>
              </w:rPr>
              <w:t>156.2</w:t>
            </w:r>
          </w:p>
        </w:tc>
        <w:tc>
          <w:tcPr>
            <w:tcW w:w="140" w:type="dxa"/>
            <w:vAlign w:val="bottom"/>
          </w:tcPr>
          <w:p>
            <w:pPr>
              <w:spacing w:after="0"/>
              <w:rPr>
                <w:sz w:val="15"/>
                <w:szCs w:val="15"/>
                <w:color w:val="auto"/>
              </w:rPr>
            </w:pPr>
          </w:p>
        </w:tc>
        <w:tc>
          <w:tcPr>
            <w:tcW w:w="960" w:type="dxa"/>
            <w:vAlign w:val="bottom"/>
          </w:tcPr>
          <w:p>
            <w:pPr>
              <w:jc w:val="right"/>
              <w:ind w:right="39"/>
              <w:spacing w:after="0" w:line="183" w:lineRule="exact"/>
              <w:rPr>
                <w:sz w:val="20"/>
                <w:szCs w:val="20"/>
                <w:color w:val="auto"/>
              </w:rPr>
            </w:pPr>
            <w:r>
              <w:rPr>
                <w:rFonts w:ascii="Arial" w:cs="Arial" w:eastAsia="Arial" w:hAnsi="Arial"/>
                <w:sz w:val="16"/>
                <w:szCs w:val="16"/>
                <w:color w:val="auto"/>
              </w:rPr>
              <w:t>9.0</w:t>
            </w:r>
          </w:p>
        </w:tc>
      </w:tr>
      <w:tr>
        <w:trPr>
          <w:trHeight w:val="189"/>
        </w:trPr>
        <w:tc>
          <w:tcPr>
            <w:tcW w:w="4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Net income attributable to non-controlling interest</w:t>
            </w:r>
          </w:p>
        </w:tc>
        <w:tc>
          <w:tcPr>
            <w:tcW w:w="36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w:t>
            </w:r>
          </w:p>
        </w:tc>
        <w:tc>
          <w:tcPr>
            <w:tcW w:w="240" w:type="dxa"/>
            <w:vAlign w:val="bottom"/>
            <w:tcBorders>
              <w:bottom w:val="single" w:sz="8" w:color="auto"/>
            </w:tcBorders>
            <w:shd w:val="clear" w:color="auto" w:fill="CFF0FC"/>
          </w:tcPr>
          <w:p>
            <w:pPr>
              <w:spacing w:after="0"/>
              <w:rPr>
                <w:sz w:val="16"/>
                <w:szCs w:val="16"/>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w:t>
            </w:r>
          </w:p>
        </w:tc>
        <w:tc>
          <w:tcPr>
            <w:tcW w:w="16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0.6</w:t>
            </w:r>
          </w:p>
        </w:tc>
        <w:tc>
          <w:tcPr>
            <w:tcW w:w="220" w:type="dxa"/>
            <w:vAlign w:val="bottom"/>
            <w:tcBorders>
              <w:bottom w:val="single" w:sz="8" w:color="auto"/>
            </w:tcBorders>
            <w:shd w:val="clear" w:color="auto" w:fill="CFF0FC"/>
          </w:tcPr>
          <w:p>
            <w:pPr>
              <w:spacing w:after="0"/>
              <w:rPr>
                <w:sz w:val="16"/>
                <w:szCs w:val="16"/>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w:t>
            </w:r>
          </w:p>
        </w:tc>
        <w:tc>
          <w:tcPr>
            <w:tcW w:w="280" w:type="dxa"/>
            <w:vAlign w:val="bottom"/>
            <w:tcBorders>
              <w:bottom w:val="single" w:sz="8" w:color="auto"/>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(5.6)</w:t>
            </w:r>
          </w:p>
        </w:tc>
        <w:tc>
          <w:tcPr>
            <w:tcW w:w="14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2.1</w:t>
            </w:r>
          </w:p>
        </w:tc>
      </w:tr>
      <w:tr>
        <w:trPr>
          <w:trHeight w:val="183"/>
        </w:trPr>
        <w:tc>
          <w:tcPr>
            <w:tcW w:w="4380" w:type="dxa"/>
            <w:vAlign w:val="bottom"/>
          </w:tcPr>
          <w:p>
            <w:pPr>
              <w:spacing w:after="0" w:line="169" w:lineRule="exact"/>
              <w:rPr>
                <w:sz w:val="20"/>
                <w:szCs w:val="20"/>
                <w:color w:val="auto"/>
              </w:rPr>
            </w:pPr>
            <w:r>
              <w:rPr>
                <w:rFonts w:ascii="Arial" w:cs="Arial" w:eastAsia="Arial" w:hAnsi="Arial"/>
                <w:sz w:val="16"/>
                <w:szCs w:val="16"/>
                <w:color w:val="auto"/>
              </w:rPr>
              <w:t>Net income available for common stock</w:t>
            </w:r>
          </w:p>
        </w:tc>
        <w:tc>
          <w:tcPr>
            <w:tcW w:w="560" w:type="dxa"/>
            <w:vAlign w:val="bottom"/>
            <w:gridSpan w:val="2"/>
          </w:tcPr>
          <w:p>
            <w:pPr>
              <w:jc w:val="right"/>
              <w:ind w:right="19"/>
              <w:spacing w:after="0" w:line="169" w:lineRule="exact"/>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line="169" w:lineRule="exact"/>
              <w:rPr>
                <w:sz w:val="20"/>
                <w:szCs w:val="20"/>
                <w:color w:val="auto"/>
              </w:rPr>
            </w:pPr>
            <w:r>
              <w:rPr>
                <w:rFonts w:ascii="Arial" w:cs="Arial" w:eastAsia="Arial" w:hAnsi="Arial"/>
                <w:sz w:val="16"/>
                <w:szCs w:val="16"/>
                <w:color w:val="auto"/>
              </w:rPr>
              <w:t>27.5</w:t>
            </w:r>
          </w:p>
        </w:tc>
        <w:tc>
          <w:tcPr>
            <w:tcW w:w="240" w:type="dxa"/>
            <w:vAlign w:val="bottom"/>
          </w:tcPr>
          <w:p>
            <w:pPr>
              <w:jc w:val="right"/>
              <w:ind w:right="39"/>
              <w:spacing w:after="0" w:line="169" w:lineRule="exact"/>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line="169" w:lineRule="exact"/>
              <w:rPr>
                <w:sz w:val="20"/>
                <w:szCs w:val="20"/>
                <w:color w:val="auto"/>
              </w:rPr>
            </w:pPr>
            <w:r>
              <w:rPr>
                <w:rFonts w:ascii="Arial" w:cs="Arial" w:eastAsia="Arial" w:hAnsi="Arial"/>
                <w:sz w:val="16"/>
                <w:szCs w:val="16"/>
                <w:color w:val="auto"/>
              </w:rPr>
              <w:t>22.8</w:t>
            </w:r>
          </w:p>
        </w:tc>
        <w:tc>
          <w:tcPr>
            <w:tcW w:w="160" w:type="dxa"/>
            <w:vAlign w:val="bottom"/>
          </w:tcPr>
          <w:p>
            <w:pPr>
              <w:jc w:val="right"/>
              <w:spacing w:after="0" w:line="169" w:lineRule="exact"/>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line="169" w:lineRule="exact"/>
              <w:rPr>
                <w:sz w:val="20"/>
                <w:szCs w:val="20"/>
                <w:color w:val="auto"/>
              </w:rPr>
            </w:pPr>
            <w:r>
              <w:rPr>
                <w:rFonts w:ascii="Arial" w:cs="Arial" w:eastAsia="Arial" w:hAnsi="Arial"/>
                <w:sz w:val="16"/>
                <w:szCs w:val="16"/>
                <w:color w:val="auto"/>
              </w:rPr>
              <w:t>4.7</w:t>
            </w:r>
          </w:p>
        </w:tc>
        <w:tc>
          <w:tcPr>
            <w:tcW w:w="220" w:type="dxa"/>
            <w:vAlign w:val="bottom"/>
          </w:tcPr>
          <w:p>
            <w:pPr>
              <w:jc w:val="right"/>
              <w:ind w:right="19"/>
              <w:spacing w:after="0" w:line="169" w:lineRule="exact"/>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line="169" w:lineRule="exact"/>
              <w:rPr>
                <w:sz w:val="20"/>
                <w:szCs w:val="20"/>
                <w:color w:val="auto"/>
              </w:rPr>
            </w:pPr>
            <w:r>
              <w:rPr>
                <w:rFonts w:ascii="Arial" w:cs="Arial" w:eastAsia="Arial" w:hAnsi="Arial"/>
                <w:sz w:val="16"/>
                <w:szCs w:val="16"/>
                <w:color w:val="auto"/>
              </w:rPr>
              <w:t>161.7</w:t>
            </w:r>
          </w:p>
        </w:tc>
        <w:tc>
          <w:tcPr>
            <w:tcW w:w="280" w:type="dxa"/>
            <w:vAlign w:val="bottom"/>
          </w:tcPr>
          <w:p>
            <w:pPr>
              <w:jc w:val="right"/>
              <w:ind w:right="79"/>
              <w:spacing w:after="0" w:line="169" w:lineRule="exact"/>
              <w:rPr>
                <w:sz w:val="20"/>
                <w:szCs w:val="20"/>
                <w:color w:val="auto"/>
              </w:rPr>
            </w:pPr>
            <w:r>
              <w:rPr>
                <w:rFonts w:ascii="Arial" w:cs="Arial" w:eastAsia="Arial" w:hAnsi="Arial"/>
                <w:sz w:val="16"/>
                <w:szCs w:val="16"/>
                <w:color w:val="auto"/>
              </w:rPr>
              <w:t>$</w:t>
            </w:r>
          </w:p>
        </w:tc>
        <w:tc>
          <w:tcPr>
            <w:tcW w:w="780" w:type="dxa"/>
            <w:vAlign w:val="bottom"/>
          </w:tcPr>
          <w:p>
            <w:pPr>
              <w:jc w:val="right"/>
              <w:spacing w:after="0" w:line="169" w:lineRule="exact"/>
              <w:rPr>
                <w:sz w:val="20"/>
                <w:szCs w:val="20"/>
                <w:color w:val="auto"/>
              </w:rPr>
            </w:pPr>
            <w:r>
              <w:rPr>
                <w:rFonts w:ascii="Arial" w:cs="Arial" w:eastAsia="Arial" w:hAnsi="Arial"/>
                <w:sz w:val="16"/>
                <w:szCs w:val="16"/>
                <w:color w:val="auto"/>
              </w:rPr>
              <w:t>150.6</w:t>
            </w:r>
          </w:p>
        </w:tc>
        <w:tc>
          <w:tcPr>
            <w:tcW w:w="140" w:type="dxa"/>
            <w:vAlign w:val="bottom"/>
          </w:tcPr>
          <w:p>
            <w:pPr>
              <w:jc w:val="right"/>
              <w:spacing w:after="0" w:line="169" w:lineRule="exact"/>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line="169" w:lineRule="exact"/>
              <w:rPr>
                <w:sz w:val="20"/>
                <w:szCs w:val="20"/>
                <w:color w:val="auto"/>
              </w:rPr>
            </w:pPr>
            <w:r>
              <w:rPr>
                <w:rFonts w:ascii="Arial" w:cs="Arial" w:eastAsia="Arial" w:hAnsi="Arial"/>
                <w:sz w:val="16"/>
                <w:szCs w:val="16"/>
                <w:color w:val="auto"/>
              </w:rPr>
              <w:t>11.1</w:t>
            </w:r>
          </w:p>
        </w:tc>
      </w:tr>
      <w:tr>
        <w:trPr>
          <w:trHeight w:val="20"/>
        </w:trPr>
        <w:tc>
          <w:tcPr>
            <w:tcW w:w="4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169"/>
        </w:trPr>
        <w:tc>
          <w:tcPr>
            <w:tcW w:w="43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r>
      <w:tr>
        <w:trPr>
          <w:trHeight w:val="189"/>
        </w:trPr>
        <w:tc>
          <w:tcPr>
            <w:tcW w:w="4380" w:type="dxa"/>
            <w:vAlign w:val="bottom"/>
          </w:tcPr>
          <w:p>
            <w:pPr>
              <w:spacing w:after="0"/>
              <w:rPr>
                <w:sz w:val="20"/>
                <w:szCs w:val="20"/>
                <w:color w:val="auto"/>
              </w:rPr>
            </w:pPr>
            <w:r>
              <w:rPr>
                <w:rFonts w:ascii="Arial" w:cs="Arial" w:eastAsia="Arial" w:hAnsi="Arial"/>
                <w:sz w:val="16"/>
                <w:szCs w:val="16"/>
                <w:color w:val="auto"/>
              </w:rPr>
              <w:t>Weighted average common shares outstanding, Diluted</w:t>
            </w: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72.4</w:t>
            </w:r>
          </w:p>
        </w:tc>
        <w:tc>
          <w:tcPr>
            <w:tcW w:w="240" w:type="dxa"/>
            <w:vAlign w:val="bottom"/>
          </w:tcPr>
          <w:p>
            <w:pPr>
              <w:spacing w:after="0"/>
              <w:rPr>
                <w:sz w:val="16"/>
                <w:szCs w:val="16"/>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69.0</w:t>
            </w:r>
          </w:p>
        </w:tc>
        <w:tc>
          <w:tcPr>
            <w:tcW w:w="160" w:type="dxa"/>
            <w:vAlign w:val="bottom"/>
          </w:tcPr>
          <w:p>
            <w:pPr>
              <w:spacing w:after="0"/>
              <w:rPr>
                <w:sz w:val="16"/>
                <w:szCs w:val="16"/>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3.4</w:t>
            </w:r>
          </w:p>
        </w:tc>
        <w:tc>
          <w:tcPr>
            <w:tcW w:w="220" w:type="dxa"/>
            <w:vAlign w:val="bottom"/>
          </w:tcPr>
          <w:p>
            <w:pPr>
              <w:spacing w:after="0"/>
              <w:rPr>
                <w:sz w:val="16"/>
                <w:szCs w:val="16"/>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72.1</w:t>
            </w:r>
          </w:p>
        </w:tc>
        <w:tc>
          <w:tcPr>
            <w:tcW w:w="2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68.7</w:t>
            </w:r>
          </w:p>
        </w:tc>
        <w:tc>
          <w:tcPr>
            <w:tcW w:w="140" w:type="dxa"/>
            <w:vAlign w:val="bottom"/>
          </w:tcPr>
          <w:p>
            <w:pPr>
              <w:spacing w:after="0"/>
              <w:rPr>
                <w:sz w:val="16"/>
                <w:szCs w:val="16"/>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3.4</w:t>
            </w:r>
          </w:p>
        </w:tc>
      </w:tr>
      <w:tr>
        <w:trPr>
          <w:trHeight w:val="229"/>
        </w:trPr>
        <w:tc>
          <w:tcPr>
            <w:tcW w:w="4380" w:type="dxa"/>
            <w:vAlign w:val="bottom"/>
            <w:tcBorders>
              <w:bottom w:val="single" w:sz="8" w:color="CFF0FC"/>
            </w:tcBorders>
            <w:shd w:val="clear" w:color="auto" w:fill="CFF0FC"/>
          </w:tcPr>
          <w:p>
            <w:pPr>
              <w:spacing w:after="0" w:line="169" w:lineRule="exact"/>
              <w:rPr>
                <w:sz w:val="20"/>
                <w:szCs w:val="20"/>
                <w:color w:val="auto"/>
              </w:rPr>
            </w:pPr>
            <w:r>
              <w:rPr>
                <w:rFonts w:ascii="Arial" w:cs="Arial" w:eastAsia="Arial" w:hAnsi="Arial"/>
                <w:sz w:val="16"/>
                <w:szCs w:val="16"/>
                <w:color w:val="auto"/>
              </w:rPr>
              <w:t>Total earnings per share of common stock, Diluted</w:t>
            </w:r>
          </w:p>
        </w:tc>
        <w:tc>
          <w:tcPr>
            <w:tcW w:w="3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9"/>
              <w:spacing w:after="0" w:line="169" w:lineRule="exact"/>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FF0FC"/>
          </w:tcPr>
          <w:p>
            <w:pPr>
              <w:jc w:val="right"/>
              <w:ind w:right="19"/>
              <w:spacing w:after="0" w:line="169" w:lineRule="exact"/>
              <w:rPr>
                <w:sz w:val="20"/>
                <w:szCs w:val="20"/>
                <w:color w:val="auto"/>
              </w:rPr>
            </w:pPr>
            <w:r>
              <w:rPr>
                <w:rFonts w:ascii="Arial" w:cs="Arial" w:eastAsia="Arial" w:hAnsi="Arial"/>
                <w:sz w:val="16"/>
                <w:szCs w:val="16"/>
                <w:color w:val="auto"/>
              </w:rPr>
              <w:t>0.38</w:t>
            </w:r>
          </w:p>
        </w:tc>
        <w:tc>
          <w:tcPr>
            <w:tcW w:w="240" w:type="dxa"/>
            <w:vAlign w:val="bottom"/>
            <w:tcBorders>
              <w:bottom w:val="single" w:sz="8" w:color="auto"/>
            </w:tcBorders>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FF0FC"/>
          </w:tcPr>
          <w:p>
            <w:pPr>
              <w:jc w:val="right"/>
              <w:ind w:right="19"/>
              <w:spacing w:after="0" w:line="169" w:lineRule="exact"/>
              <w:rPr>
                <w:sz w:val="20"/>
                <w:szCs w:val="20"/>
                <w:color w:val="auto"/>
              </w:rPr>
            </w:pPr>
            <w:r>
              <w:rPr>
                <w:rFonts w:ascii="Arial" w:cs="Arial" w:eastAsia="Arial" w:hAnsi="Arial"/>
                <w:sz w:val="16"/>
                <w:szCs w:val="16"/>
                <w:color w:val="auto"/>
              </w:rPr>
              <w:t>0.33</w:t>
            </w:r>
          </w:p>
        </w:tc>
        <w:tc>
          <w:tcPr>
            <w:tcW w:w="16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FF0FC"/>
          </w:tcPr>
          <w:p>
            <w:pPr>
              <w:jc w:val="right"/>
              <w:ind w:right="19"/>
              <w:spacing w:after="0" w:line="169" w:lineRule="exact"/>
              <w:rPr>
                <w:sz w:val="20"/>
                <w:szCs w:val="20"/>
                <w:color w:val="auto"/>
              </w:rPr>
            </w:pPr>
            <w:r>
              <w:rPr>
                <w:rFonts w:ascii="Arial" w:cs="Arial" w:eastAsia="Arial" w:hAnsi="Arial"/>
                <w:sz w:val="16"/>
                <w:szCs w:val="16"/>
                <w:color w:val="auto"/>
              </w:rPr>
              <w:t>0.05</w:t>
            </w:r>
          </w:p>
        </w:tc>
        <w:tc>
          <w:tcPr>
            <w:tcW w:w="220" w:type="dxa"/>
            <w:vAlign w:val="bottom"/>
            <w:tcBorders>
              <w:bottom w:val="single" w:sz="8" w:color="auto"/>
            </w:tcBorders>
            <w:shd w:val="clear" w:color="auto" w:fill="CFF0FC"/>
          </w:tcPr>
          <w:p>
            <w:pPr>
              <w:jc w:val="right"/>
              <w:ind w:right="19"/>
              <w:spacing w:after="0" w:line="169"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FF0FC"/>
          </w:tcPr>
          <w:p>
            <w:pPr>
              <w:jc w:val="right"/>
              <w:ind w:right="19"/>
              <w:spacing w:after="0" w:line="169" w:lineRule="exact"/>
              <w:rPr>
                <w:sz w:val="20"/>
                <w:szCs w:val="20"/>
                <w:color w:val="auto"/>
              </w:rPr>
            </w:pPr>
            <w:r>
              <w:rPr>
                <w:rFonts w:ascii="Arial" w:cs="Arial" w:eastAsia="Arial" w:hAnsi="Arial"/>
                <w:sz w:val="16"/>
                <w:szCs w:val="16"/>
                <w:color w:val="auto"/>
              </w:rPr>
              <w:t>2.24</w:t>
            </w:r>
          </w:p>
        </w:tc>
        <w:tc>
          <w:tcPr>
            <w:tcW w:w="280" w:type="dxa"/>
            <w:vAlign w:val="bottom"/>
            <w:tcBorders>
              <w:bottom w:val="single" w:sz="8" w:color="auto"/>
            </w:tcBorders>
            <w:shd w:val="clear" w:color="auto" w:fill="CFF0FC"/>
          </w:tcPr>
          <w:p>
            <w:pPr>
              <w:jc w:val="right"/>
              <w:ind w:right="79"/>
              <w:spacing w:after="0" w:line="169" w:lineRule="exact"/>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2.19</w:t>
            </w:r>
          </w:p>
        </w:tc>
        <w:tc>
          <w:tcPr>
            <w:tcW w:w="14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rPr>
              <w:t>0.05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04584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119" w:lineRule="exact"/>
        <w:rPr>
          <w:sz w:val="20"/>
          <w:szCs w:val="20"/>
          <w:color w:val="auto"/>
        </w:rPr>
      </w:pPr>
    </w:p>
    <w:p>
      <w:pPr>
        <w:ind w:left="520" w:hanging="512"/>
        <w:spacing w:after="0"/>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Includes inter-segment eliminations.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Three Months Ended June 30, 2025, Compared to the Three Months Ended June 30, 2024</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variance to the prior year included the following:</w:t>
      </w:r>
    </w:p>
    <w:p>
      <w:pPr>
        <w:spacing w:after="0" w:line="194" w:lineRule="exact"/>
        <w:rPr>
          <w:sz w:val="20"/>
          <w:szCs w:val="20"/>
          <w:color w:val="auto"/>
        </w:rPr>
      </w:pPr>
    </w:p>
    <w:p>
      <w:pPr>
        <w:ind w:left="1020" w:right="460" w:hanging="503"/>
        <w:spacing w:after="0" w:line="285" w:lineRule="auto"/>
        <w:tabs>
          <w:tab w:leader="none" w:pos="1020" w:val="left"/>
        </w:tabs>
        <w:numPr>
          <w:ilvl w:val="0"/>
          <w:numId w:val="29"/>
        </w:numPr>
        <w:rPr>
          <w:rFonts w:ascii="Times New Roman" w:cs="Times New Roman" w:eastAsia="Times New Roman" w:hAnsi="Times New Roman"/>
          <w:sz w:val="16"/>
          <w:szCs w:val="16"/>
          <w:color w:val="auto"/>
        </w:rPr>
      </w:pPr>
      <w:r>
        <w:rPr>
          <w:rFonts w:ascii="Arial" w:cs="Arial" w:eastAsia="Arial" w:hAnsi="Arial"/>
          <w:sz w:val="16"/>
          <w:szCs w:val="16"/>
          <w:color w:val="auto"/>
        </w:rPr>
        <w:t>Electric Utilities' operating income increased $2.7 million primarily due to new rates and rider recovery partially offset by higher operating expenses;</w:t>
      </w:r>
    </w:p>
    <w:p>
      <w:pPr>
        <w:spacing w:after="0" w:line="129" w:lineRule="exact"/>
        <w:rPr>
          <w:rFonts w:ascii="Times New Roman" w:cs="Times New Roman" w:eastAsia="Times New Roman" w:hAnsi="Times New Roman"/>
          <w:sz w:val="16"/>
          <w:szCs w:val="16"/>
          <w:color w:val="auto"/>
        </w:rPr>
      </w:pPr>
    </w:p>
    <w:p>
      <w:pPr>
        <w:ind w:left="1020" w:right="340" w:hanging="503"/>
        <w:spacing w:after="0" w:line="285" w:lineRule="auto"/>
        <w:tabs>
          <w:tab w:leader="none" w:pos="1020" w:val="left"/>
        </w:tabs>
        <w:numPr>
          <w:ilvl w:val="0"/>
          <w:numId w:val="29"/>
        </w:numPr>
        <w:rPr>
          <w:rFonts w:ascii="Times New Roman" w:cs="Times New Roman" w:eastAsia="Times New Roman" w:hAnsi="Times New Roman"/>
          <w:sz w:val="16"/>
          <w:szCs w:val="16"/>
          <w:color w:val="auto"/>
        </w:rPr>
      </w:pPr>
      <w:r>
        <w:rPr>
          <w:rFonts w:ascii="Arial" w:cs="Arial" w:eastAsia="Arial" w:hAnsi="Arial"/>
          <w:sz w:val="16"/>
          <w:szCs w:val="16"/>
          <w:color w:val="auto"/>
        </w:rPr>
        <w:t>Gas Utilities' operating income increased $12.5 million primarily due to new rates and rider recovery driven by the Arkansas Gas and Iowa Gas rate reviews and favorable weather;</w:t>
      </w:r>
    </w:p>
    <w:p>
      <w:pPr>
        <w:spacing w:after="0" w:line="129" w:lineRule="exact"/>
        <w:rPr>
          <w:rFonts w:ascii="Times New Roman" w:cs="Times New Roman" w:eastAsia="Times New Roman" w:hAnsi="Times New Roman"/>
          <w:sz w:val="16"/>
          <w:szCs w:val="16"/>
          <w:color w:val="auto"/>
        </w:rPr>
      </w:pPr>
    </w:p>
    <w:p>
      <w:pPr>
        <w:ind w:left="1020" w:right="540" w:hanging="503"/>
        <w:spacing w:after="0" w:line="285" w:lineRule="auto"/>
        <w:tabs>
          <w:tab w:leader="none" w:pos="1020" w:val="left"/>
        </w:tabs>
        <w:numPr>
          <w:ilvl w:val="0"/>
          <w:numId w:val="29"/>
        </w:numPr>
        <w:rPr>
          <w:rFonts w:ascii="Times New Roman" w:cs="Times New Roman" w:eastAsia="Times New Roman" w:hAnsi="Times New Roman"/>
          <w:sz w:val="16"/>
          <w:szCs w:val="16"/>
          <w:color w:val="auto"/>
        </w:rPr>
      </w:pPr>
      <w:r>
        <w:rPr>
          <w:rFonts w:ascii="Arial" w:cs="Arial" w:eastAsia="Arial" w:hAnsi="Arial"/>
          <w:sz w:val="16"/>
          <w:szCs w:val="16"/>
          <w:color w:val="auto"/>
        </w:rPr>
        <w:t>Corporate and Other operating loss increased $3.3 million primarily due to a prior year gain on the sale of a Corporate asset and higher unallocated outside services expenses; and</w:t>
      </w:r>
    </w:p>
    <w:p>
      <w:pPr>
        <w:spacing w:after="0" w:line="129" w:lineRule="exact"/>
        <w:rPr>
          <w:rFonts w:ascii="Times New Roman" w:cs="Times New Roman" w:eastAsia="Times New Roman" w:hAnsi="Times New Roman"/>
          <w:sz w:val="16"/>
          <w:szCs w:val="16"/>
          <w:color w:val="auto"/>
        </w:rPr>
      </w:pPr>
    </w:p>
    <w:p>
      <w:pPr>
        <w:ind w:left="1020" w:right="340" w:hanging="503"/>
        <w:spacing w:after="0" w:line="285" w:lineRule="auto"/>
        <w:tabs>
          <w:tab w:leader="none" w:pos="1020" w:val="left"/>
        </w:tabs>
        <w:numPr>
          <w:ilvl w:val="0"/>
          <w:numId w:val="29"/>
        </w:numPr>
        <w:rPr>
          <w:rFonts w:ascii="Times New Roman" w:cs="Times New Roman" w:eastAsia="Times New Roman" w:hAnsi="Times New Roman"/>
          <w:sz w:val="16"/>
          <w:szCs w:val="16"/>
          <w:color w:val="auto"/>
        </w:rPr>
      </w:pPr>
      <w:r>
        <w:rPr>
          <w:rFonts w:ascii="Arial" w:cs="Arial" w:eastAsia="Arial" w:hAnsi="Arial"/>
          <w:sz w:val="16"/>
          <w:szCs w:val="16"/>
          <w:color w:val="auto"/>
        </w:rPr>
        <w:t>Interest expense increased $6.3 million primarily due to higher CP Program borrowings and lower interest income on lower cash and cash equivalents balances.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Six Months Ended June 30, 2025, Compared to the Six Months Ended June 30, 2024:</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variance to the prior year included the following:</w:t>
      </w:r>
    </w:p>
    <w:p>
      <w:pPr>
        <w:spacing w:after="0" w:line="194" w:lineRule="exact"/>
        <w:rPr>
          <w:sz w:val="20"/>
          <w:szCs w:val="20"/>
          <w:color w:val="auto"/>
        </w:rPr>
      </w:pPr>
    </w:p>
    <w:p>
      <w:pPr>
        <w:ind w:left="1020" w:right="180" w:hanging="503"/>
        <w:spacing w:after="0" w:line="285" w:lineRule="auto"/>
        <w:tabs>
          <w:tab w:leader="none" w:pos="1020" w:val="left"/>
        </w:tabs>
        <w:numPr>
          <w:ilvl w:val="0"/>
          <w:numId w:val="30"/>
        </w:numPr>
        <w:rPr>
          <w:rFonts w:ascii="Times New Roman" w:cs="Times New Roman" w:eastAsia="Times New Roman" w:hAnsi="Times New Roman"/>
          <w:sz w:val="16"/>
          <w:szCs w:val="16"/>
          <w:color w:val="auto"/>
        </w:rPr>
      </w:pPr>
      <w:r>
        <w:rPr>
          <w:rFonts w:ascii="Arial" w:cs="Arial" w:eastAsia="Arial" w:hAnsi="Arial"/>
          <w:sz w:val="16"/>
          <w:szCs w:val="16"/>
          <w:color w:val="auto"/>
        </w:rPr>
        <w:t>Electric Utilities’ operating income decreased $7.6 million primarily due to higher operating expenses and current year unplanned generation outages partially offset by new rates and rider recovery;</w:t>
      </w:r>
    </w:p>
    <w:p>
      <w:pPr>
        <w:spacing w:after="0" w:line="129" w:lineRule="exact"/>
        <w:rPr>
          <w:rFonts w:ascii="Times New Roman" w:cs="Times New Roman" w:eastAsia="Times New Roman" w:hAnsi="Times New Roman"/>
          <w:sz w:val="16"/>
          <w:szCs w:val="16"/>
          <w:color w:val="auto"/>
        </w:rPr>
      </w:pPr>
    </w:p>
    <w:p>
      <w:pPr>
        <w:ind w:left="1020" w:right="260" w:hanging="503"/>
        <w:spacing w:after="0" w:line="285" w:lineRule="auto"/>
        <w:tabs>
          <w:tab w:leader="none" w:pos="1020" w:val="left"/>
        </w:tabs>
        <w:numPr>
          <w:ilvl w:val="0"/>
          <w:numId w:val="30"/>
        </w:numPr>
        <w:rPr>
          <w:rFonts w:ascii="Times New Roman" w:cs="Times New Roman" w:eastAsia="Times New Roman" w:hAnsi="Times New Roman"/>
          <w:sz w:val="16"/>
          <w:szCs w:val="16"/>
          <w:color w:val="auto"/>
        </w:rPr>
      </w:pPr>
      <w:r>
        <w:rPr>
          <w:rFonts w:ascii="Arial" w:cs="Arial" w:eastAsia="Arial" w:hAnsi="Arial"/>
          <w:sz w:val="16"/>
          <w:szCs w:val="16"/>
          <w:color w:val="auto"/>
        </w:rPr>
        <w:t>Gas Utilities’ operating income increased $33.3 million primarily due to new rates and rider recovery driven by the Arkansas Gas, Iowa Gas and Colorado Gas rate reviews and favorable weather partially offset by higher operating expenses;</w:t>
      </w:r>
    </w:p>
    <w:p>
      <w:pPr>
        <w:spacing w:after="0" w:line="129" w:lineRule="exact"/>
        <w:rPr>
          <w:rFonts w:ascii="Times New Roman" w:cs="Times New Roman" w:eastAsia="Times New Roman" w:hAnsi="Times New Roman"/>
          <w:sz w:val="16"/>
          <w:szCs w:val="16"/>
          <w:color w:val="auto"/>
        </w:rPr>
      </w:pPr>
    </w:p>
    <w:p>
      <w:pPr>
        <w:ind w:left="1020" w:right="540" w:hanging="503"/>
        <w:spacing w:after="0" w:line="285" w:lineRule="auto"/>
        <w:tabs>
          <w:tab w:leader="none" w:pos="1020" w:val="left"/>
        </w:tabs>
        <w:numPr>
          <w:ilvl w:val="0"/>
          <w:numId w:val="30"/>
        </w:numPr>
        <w:rPr>
          <w:rFonts w:ascii="Times New Roman" w:cs="Times New Roman" w:eastAsia="Times New Roman" w:hAnsi="Times New Roman"/>
          <w:sz w:val="16"/>
          <w:szCs w:val="16"/>
          <w:color w:val="auto"/>
        </w:rPr>
      </w:pPr>
      <w:r>
        <w:rPr>
          <w:rFonts w:ascii="Arial" w:cs="Arial" w:eastAsia="Arial" w:hAnsi="Arial"/>
          <w:sz w:val="16"/>
          <w:szCs w:val="16"/>
          <w:color w:val="auto"/>
        </w:rPr>
        <w:t>Corporate and Other operating loss increased $2.3 million primarily due to a prior year gain on the sale of a Corporate asset and higher unallocated outside services expenses;</w:t>
      </w:r>
    </w:p>
    <w:p>
      <w:pPr>
        <w:spacing w:after="0" w:line="156" w:lineRule="exact"/>
        <w:rPr>
          <w:rFonts w:ascii="Times New Roman" w:cs="Times New Roman" w:eastAsia="Times New Roman" w:hAnsi="Times New Roman"/>
          <w:sz w:val="16"/>
          <w:szCs w:val="16"/>
          <w:color w:val="auto"/>
        </w:rPr>
      </w:pPr>
    </w:p>
    <w:p>
      <w:pPr>
        <w:ind w:left="1020" w:right="260" w:hanging="503"/>
        <w:spacing w:after="0" w:line="285" w:lineRule="auto"/>
        <w:tabs>
          <w:tab w:leader="none" w:pos="1020" w:val="left"/>
        </w:tabs>
        <w:numPr>
          <w:ilvl w:val="0"/>
          <w:numId w:val="30"/>
        </w:numPr>
        <w:rPr>
          <w:rFonts w:ascii="Times New Roman" w:cs="Times New Roman" w:eastAsia="Times New Roman" w:hAnsi="Times New Roman"/>
          <w:sz w:val="16"/>
          <w:szCs w:val="16"/>
          <w:color w:val="auto"/>
        </w:rPr>
      </w:pPr>
      <w:r>
        <w:rPr>
          <w:rFonts w:ascii="Arial" w:cs="Arial" w:eastAsia="Arial" w:hAnsi="Arial"/>
          <w:sz w:val="16"/>
          <w:szCs w:val="16"/>
          <w:color w:val="auto"/>
        </w:rPr>
        <w:t>Interest expense increased $13.6 million primarily due to higher CP Program borrowings and lower interest income on lower cash and cash equivalents balances; and</w:t>
      </w:r>
    </w:p>
    <w:p>
      <w:pPr>
        <w:spacing w:after="0" w:line="129" w:lineRule="exact"/>
        <w:rPr>
          <w:rFonts w:ascii="Times New Roman" w:cs="Times New Roman" w:eastAsia="Times New Roman" w:hAnsi="Times New Roman"/>
          <w:sz w:val="16"/>
          <w:szCs w:val="16"/>
          <w:color w:val="auto"/>
        </w:rPr>
      </w:pPr>
    </w:p>
    <w:p>
      <w:pPr>
        <w:ind w:left="1020" w:right="420" w:hanging="503"/>
        <w:spacing w:after="0" w:line="285" w:lineRule="auto"/>
        <w:tabs>
          <w:tab w:leader="none" w:pos="1020" w:val="left"/>
        </w:tabs>
        <w:numPr>
          <w:ilvl w:val="0"/>
          <w:numId w:val="30"/>
        </w:numPr>
        <w:rPr>
          <w:rFonts w:ascii="Times New Roman" w:cs="Times New Roman" w:eastAsia="Times New Roman" w:hAnsi="Times New Roman"/>
          <w:sz w:val="16"/>
          <w:szCs w:val="16"/>
          <w:color w:val="auto"/>
        </w:rPr>
      </w:pPr>
      <w:r>
        <w:rPr>
          <w:rFonts w:ascii="Arial" w:cs="Arial" w:eastAsia="Arial" w:hAnsi="Arial"/>
          <w:sz w:val="16"/>
          <w:szCs w:val="16"/>
          <w:color w:val="auto"/>
        </w:rPr>
        <w:t>Net income attributable to non-controlling interest decreased $2.1 million due to lower net income from Black Hills Colorado IPP primarily driven by current year unplanned generation outages.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Segment Operating Results</w:t>
      </w:r>
    </w:p>
    <w:p>
      <w:pPr>
        <w:spacing w:after="0" w:line="194" w:lineRule="exact"/>
        <w:rPr>
          <w:sz w:val="20"/>
          <w:szCs w:val="20"/>
          <w:color w:val="auto"/>
        </w:rPr>
      </w:pPr>
    </w:p>
    <w:p>
      <w:pPr>
        <w:ind w:right="440"/>
        <w:spacing w:after="0" w:line="286" w:lineRule="auto"/>
        <w:rPr>
          <w:sz w:val="20"/>
          <w:szCs w:val="20"/>
          <w:color w:val="auto"/>
        </w:rPr>
      </w:pPr>
      <w:r>
        <w:rPr>
          <w:rFonts w:ascii="Arial" w:cs="Arial" w:eastAsia="Arial" w:hAnsi="Arial"/>
          <w:sz w:val="16"/>
          <w:szCs w:val="16"/>
          <w:color w:val="auto"/>
        </w:rPr>
        <w:t>A discussion of operating results from our business segments follows. Unless otherwise indicated, segment information does not include inter-segment eliminations.</w:t>
      </w:r>
    </w:p>
    <w:p>
      <w:pPr>
        <w:spacing w:after="0" w:line="32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Non-GAAP Financial Measures</w:t>
      </w:r>
    </w:p>
    <w:p>
      <w:pPr>
        <w:spacing w:after="0" w:line="192" w:lineRule="exact"/>
        <w:rPr>
          <w:sz w:val="20"/>
          <w:szCs w:val="20"/>
          <w:color w:val="auto"/>
        </w:rPr>
      </w:pPr>
    </w:p>
    <w:p>
      <w:pPr>
        <w:ind w:right="180"/>
        <w:spacing w:after="0" w:line="254" w:lineRule="auto"/>
        <w:rPr>
          <w:sz w:val="20"/>
          <w:szCs w:val="20"/>
          <w:color w:val="auto"/>
        </w:rPr>
      </w:pPr>
      <w:r>
        <w:rPr>
          <w:rFonts w:ascii="Arial" w:cs="Arial" w:eastAsia="Arial" w:hAnsi="Arial"/>
          <w:sz w:val="16"/>
          <w:szCs w:val="16"/>
          <w:color w:val="auto"/>
        </w:rPr>
        <w:t>The following discussion includes financial information prepared in accordance with GAAP and a “non-GAAP financial measure", Electric and Gas Utility margin. Generally, a non-GAAP financial measure is a numerical measure of a company’s financial performance, financial position or cash flows that excludes (or includes) amounts that are included in (or excluded from) the most directly comparable measure calculated and presented in accordance with GAAP. We define Electric and Gas Utility margin as operating revenue less cost of fuel, purchased power and cost of natural gas sold. Electric and Gas Utility margin is a non-GAAP financial measure due to the exclusion of operation and maintenance expenses determined to be directly attributable to revenue-producing activities, depreciation and amortization expenses, and taxes other than income taxes from the measure.</w:t>
      </w:r>
    </w:p>
    <w:p>
      <w:pPr>
        <w:spacing w:after="0" w:line="155" w:lineRule="exact"/>
        <w:rPr>
          <w:sz w:val="20"/>
          <w:szCs w:val="20"/>
          <w:color w:val="auto"/>
        </w:rPr>
      </w:pPr>
    </w:p>
    <w:p>
      <w:pPr>
        <w:ind w:right="240"/>
        <w:spacing w:after="0" w:line="256" w:lineRule="auto"/>
        <w:rPr>
          <w:sz w:val="20"/>
          <w:szCs w:val="20"/>
          <w:color w:val="auto"/>
        </w:rPr>
      </w:pPr>
      <w:r>
        <w:rPr>
          <w:rFonts w:ascii="Arial" w:cs="Arial" w:eastAsia="Arial" w:hAnsi="Arial"/>
          <w:sz w:val="16"/>
          <w:szCs w:val="16"/>
          <w:color w:val="auto"/>
        </w:rPr>
        <w:t>We believe that Gas and Electric Utility margin provides a useful basis for evaluating our segment operating results since our Utilities have regulatory mechanisms that allow them to pass prudently incurred costs of energy through to the customer in current rates. As a result, management uses Gas and Electric Utility margin internally when assessing the financial performance of our operating segments as this measure excludes the majority of revenue fluctuations caused by changes in these costs of energy. Similarly, the presentation of Gas and Electric Utility margin is intended to supplement investors’ understanding of operating performance.</w:t>
      </w:r>
    </w:p>
    <w:p>
      <w:pPr>
        <w:spacing w:after="0" w:line="153" w:lineRule="exact"/>
        <w:rPr>
          <w:sz w:val="20"/>
          <w:szCs w:val="20"/>
          <w:color w:val="auto"/>
        </w:rPr>
      </w:pPr>
    </w:p>
    <w:p>
      <w:pPr>
        <w:ind w:right="460"/>
        <w:spacing w:after="0" w:line="286" w:lineRule="auto"/>
        <w:rPr>
          <w:sz w:val="20"/>
          <w:szCs w:val="20"/>
          <w:color w:val="auto"/>
        </w:rPr>
      </w:pPr>
      <w:r>
        <w:rPr>
          <w:rFonts w:ascii="Arial" w:cs="Arial" w:eastAsia="Arial" w:hAnsi="Arial"/>
          <w:sz w:val="16"/>
          <w:szCs w:val="16"/>
          <w:color w:val="auto"/>
        </w:rPr>
        <w:t>Our Electric and Gas Utility margin measure may not be comparable to other companies’ Electric and Gas Utility margin measures. The following table includes a reconciliation of Electric and Gas Utility margin to Gross margin, the most directly comparable GAAP measure: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tcPr>
          <w:p>
            <w:pPr>
              <w:jc w:val="right"/>
              <w:ind w:right="259"/>
              <w:spacing w:after="0"/>
              <w:rPr>
                <w:sz w:val="20"/>
                <w:szCs w:val="20"/>
                <w:color w:val="auto"/>
              </w:rPr>
            </w:pPr>
            <w:r>
              <w:rPr>
                <w:rFonts w:ascii="Arial" w:cs="Arial" w:eastAsia="Arial" w:hAnsi="Arial"/>
                <w:sz w:val="16"/>
                <w:szCs w:val="16"/>
                <w:b w:val="1"/>
                <w:bCs w:val="1"/>
                <w:color w:val="auto"/>
              </w:rPr>
              <w:t>Electric Utilities</w:t>
            </w: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right"/>
              <w:ind w:right="339"/>
              <w:spacing w:after="0"/>
              <w:rPr>
                <w:sz w:val="20"/>
                <w:szCs w:val="20"/>
                <w:color w:val="auto"/>
              </w:rPr>
            </w:pPr>
            <w:r>
              <w:rPr>
                <w:rFonts w:ascii="Arial" w:cs="Arial" w:eastAsia="Arial" w:hAnsi="Arial"/>
                <w:sz w:val="16"/>
                <w:szCs w:val="16"/>
                <w:b w:val="1"/>
                <w:bCs w:val="1"/>
                <w:color w:val="auto"/>
              </w:rPr>
              <w:t>Gas Utilities</w:t>
            </w: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r>
      <w:tr>
        <w:trPr>
          <w:trHeight w:val="168"/>
        </w:trPr>
        <w:tc>
          <w:tcPr>
            <w:tcW w:w="4180" w:type="dxa"/>
            <w:vAlign w:val="bottom"/>
          </w:tcPr>
          <w:p>
            <w:pPr>
              <w:spacing w:after="0"/>
              <w:rPr>
                <w:sz w:val="14"/>
                <w:szCs w:val="14"/>
                <w:color w:val="auto"/>
              </w:rPr>
            </w:pPr>
          </w:p>
        </w:tc>
        <w:tc>
          <w:tcPr>
            <w:tcW w:w="1780" w:type="dxa"/>
            <w:vAlign w:val="bottom"/>
            <w:gridSpan w:val="4"/>
          </w:tcPr>
          <w:p>
            <w:pPr>
              <w:ind w:left="20"/>
              <w:spacing w:after="0" w:line="168" w:lineRule="exact"/>
              <w:rPr>
                <w:sz w:val="20"/>
                <w:szCs w:val="20"/>
                <w:color w:val="auto"/>
              </w:rPr>
            </w:pPr>
            <w:r>
              <w:rPr>
                <w:rFonts w:ascii="Arial" w:cs="Arial" w:eastAsia="Arial" w:hAnsi="Arial"/>
                <w:sz w:val="16"/>
                <w:szCs w:val="16"/>
                <w:b w:val="1"/>
                <w:bCs w:val="1"/>
                <w:color w:val="auto"/>
              </w:rPr>
              <w:t>Three Months Ended</w:t>
            </w:r>
          </w:p>
        </w:tc>
        <w:tc>
          <w:tcPr>
            <w:tcW w:w="140" w:type="dxa"/>
            <w:vAlign w:val="bottom"/>
          </w:tcPr>
          <w:p>
            <w:pPr>
              <w:spacing w:after="0"/>
              <w:rPr>
                <w:sz w:val="14"/>
                <w:szCs w:val="14"/>
                <w:color w:val="auto"/>
              </w:rPr>
            </w:pPr>
          </w:p>
        </w:tc>
        <w:tc>
          <w:tcPr>
            <w:tcW w:w="1660" w:type="dxa"/>
            <w:vAlign w:val="bottom"/>
            <w:gridSpan w:val="3"/>
          </w:tcPr>
          <w:p>
            <w:pPr>
              <w:jc w:val="right"/>
              <w:ind w:right="179"/>
              <w:spacing w:after="0" w:line="168" w:lineRule="exact"/>
              <w:rPr>
                <w:sz w:val="20"/>
                <w:szCs w:val="20"/>
                <w:color w:val="auto"/>
              </w:rPr>
            </w:pPr>
            <w:r>
              <w:rPr>
                <w:rFonts w:ascii="Arial" w:cs="Arial" w:eastAsia="Arial" w:hAnsi="Arial"/>
                <w:sz w:val="16"/>
                <w:szCs w:val="16"/>
                <w:b w:val="1"/>
                <w:bCs w:val="1"/>
                <w:color w:val="auto"/>
                <w:w w:val="99"/>
              </w:rPr>
              <w:t>Six Months Ended</w:t>
            </w:r>
          </w:p>
        </w:tc>
        <w:tc>
          <w:tcPr>
            <w:tcW w:w="1720" w:type="dxa"/>
            <w:vAlign w:val="bottom"/>
            <w:gridSpan w:val="4"/>
          </w:tcPr>
          <w:p>
            <w:pPr>
              <w:ind w:left="20"/>
              <w:spacing w:after="0" w:line="168" w:lineRule="exact"/>
              <w:rPr>
                <w:sz w:val="20"/>
                <w:szCs w:val="20"/>
                <w:color w:val="auto"/>
              </w:rPr>
            </w:pPr>
            <w:r>
              <w:rPr>
                <w:rFonts w:ascii="Arial" w:cs="Arial" w:eastAsia="Arial" w:hAnsi="Arial"/>
                <w:sz w:val="16"/>
                <w:szCs w:val="16"/>
                <w:b w:val="1"/>
                <w:bCs w:val="1"/>
                <w:color w:val="auto"/>
              </w:rPr>
              <w:t>Three Months Ended</w:t>
            </w:r>
          </w:p>
        </w:tc>
        <w:tc>
          <w:tcPr>
            <w:tcW w:w="1760" w:type="dxa"/>
            <w:vAlign w:val="bottom"/>
            <w:gridSpan w:val="4"/>
          </w:tcPr>
          <w:p>
            <w:pPr>
              <w:jc w:val="right"/>
              <w:ind w:right="159"/>
              <w:spacing w:after="0" w:line="168" w:lineRule="exact"/>
              <w:rPr>
                <w:sz w:val="20"/>
                <w:szCs w:val="20"/>
                <w:color w:val="auto"/>
              </w:rPr>
            </w:pPr>
            <w:r>
              <w:rPr>
                <w:rFonts w:ascii="Arial" w:cs="Arial" w:eastAsia="Arial" w:hAnsi="Arial"/>
                <w:sz w:val="16"/>
                <w:szCs w:val="16"/>
                <w:b w:val="1"/>
                <w:bCs w:val="1"/>
                <w:color w:val="auto"/>
              </w:rPr>
              <w:t>Six Months Ended</w:t>
            </w:r>
          </w:p>
        </w:tc>
      </w:tr>
      <w:tr>
        <w:trPr>
          <w:trHeight w:val="203"/>
        </w:trPr>
        <w:tc>
          <w:tcPr>
            <w:tcW w:w="4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right"/>
              <w:ind w:right="539"/>
              <w:spacing w:after="0"/>
              <w:rPr>
                <w:sz w:val="20"/>
                <w:szCs w:val="20"/>
                <w:color w:val="auto"/>
              </w:rPr>
            </w:pPr>
            <w:r>
              <w:rPr>
                <w:rFonts w:ascii="Arial" w:cs="Arial" w:eastAsia="Arial" w:hAnsi="Arial"/>
                <w:sz w:val="16"/>
                <w:szCs w:val="16"/>
                <w:b w:val="1"/>
                <w:bCs w:val="1"/>
                <w:color w:val="auto"/>
              </w:rPr>
              <w:t>June 30,</w:t>
            </w:r>
          </w:p>
        </w:tc>
        <w:tc>
          <w:tcPr>
            <w:tcW w:w="1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3"/>
          </w:tcPr>
          <w:p>
            <w:pPr>
              <w:jc w:val="right"/>
              <w:ind w:right="519"/>
              <w:spacing w:after="0"/>
              <w:rPr>
                <w:sz w:val="20"/>
                <w:szCs w:val="20"/>
                <w:color w:val="auto"/>
              </w:rPr>
            </w:pPr>
            <w:r>
              <w:rPr>
                <w:rFonts w:ascii="Arial" w:cs="Arial" w:eastAsia="Arial" w:hAnsi="Arial"/>
                <w:sz w:val="16"/>
                <w:szCs w:val="16"/>
                <w:b w:val="1"/>
                <w:bCs w:val="1"/>
                <w:color w:val="auto"/>
              </w:rPr>
              <w:t>June 30,</w:t>
            </w:r>
          </w:p>
        </w:tc>
        <w:tc>
          <w:tcPr>
            <w:tcW w:w="1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right"/>
              <w:ind w:right="479"/>
              <w:spacing w:after="0"/>
              <w:rPr>
                <w:sz w:val="20"/>
                <w:szCs w:val="20"/>
                <w:color w:val="auto"/>
              </w:rPr>
            </w:pPr>
            <w:r>
              <w:rPr>
                <w:rFonts w:ascii="Arial" w:cs="Arial" w:eastAsia="Arial" w:hAnsi="Arial"/>
                <w:sz w:val="16"/>
                <w:szCs w:val="16"/>
                <w:b w:val="1"/>
                <w:bCs w:val="1"/>
                <w:color w:val="auto"/>
              </w:rPr>
              <w:t>June 30,</w:t>
            </w:r>
          </w:p>
        </w:tc>
        <w:tc>
          <w:tcPr>
            <w:tcW w:w="1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jc w:val="right"/>
              <w:ind w:right="519"/>
              <w:spacing w:after="0"/>
              <w:rPr>
                <w:sz w:val="20"/>
                <w:szCs w:val="20"/>
                <w:color w:val="auto"/>
              </w:rPr>
            </w:pPr>
            <w:r>
              <w:rPr>
                <w:rFonts w:ascii="Arial" w:cs="Arial" w:eastAsia="Arial" w:hAnsi="Arial"/>
                <w:sz w:val="16"/>
                <w:szCs w:val="16"/>
                <w:b w:val="1"/>
                <w:bCs w:val="1"/>
                <w:color w:val="auto"/>
              </w:rPr>
              <w:t>June 30,</w:t>
            </w:r>
          </w:p>
        </w:tc>
      </w:tr>
      <w:tr>
        <w:trPr>
          <w:trHeight w:val="183"/>
        </w:trPr>
        <w:tc>
          <w:tcPr>
            <w:tcW w:w="4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9"/>
              <w:spacing w:after="0" w:line="183" w:lineRule="exact"/>
              <w:rPr>
                <w:sz w:val="20"/>
                <w:szCs w:val="20"/>
                <w:color w:val="auto"/>
              </w:rPr>
            </w:pPr>
            <w:r>
              <w:rPr>
                <w:rFonts w:ascii="Arial" w:cs="Arial" w:eastAsia="Arial" w:hAnsi="Arial"/>
                <w:sz w:val="16"/>
                <w:szCs w:val="16"/>
                <w:b w:val="1"/>
                <w:bCs w:val="1"/>
                <w:color w:val="auto"/>
              </w:rPr>
              <w:t>2025</w:t>
            </w: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9"/>
              <w:spacing w:after="0" w:line="183" w:lineRule="exact"/>
              <w:rPr>
                <w:sz w:val="20"/>
                <w:szCs w:val="20"/>
                <w:color w:val="auto"/>
              </w:rPr>
            </w:pPr>
            <w:r>
              <w:rPr>
                <w:rFonts w:ascii="Arial" w:cs="Arial" w:eastAsia="Arial" w:hAnsi="Arial"/>
                <w:sz w:val="16"/>
                <w:szCs w:val="16"/>
                <w:b w:val="1"/>
                <w:bCs w:val="1"/>
                <w:color w:val="auto"/>
              </w:rPr>
              <w:t>2024</w:t>
            </w: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19"/>
              <w:spacing w:after="0" w:line="183" w:lineRule="exact"/>
              <w:rPr>
                <w:sz w:val="20"/>
                <w:szCs w:val="20"/>
                <w:color w:val="auto"/>
              </w:rPr>
            </w:pPr>
            <w:r>
              <w:rPr>
                <w:rFonts w:ascii="Arial" w:cs="Arial" w:eastAsia="Arial" w:hAnsi="Arial"/>
                <w:sz w:val="16"/>
                <w:szCs w:val="16"/>
                <w:b w:val="1"/>
                <w:bCs w:val="1"/>
                <w:color w:val="auto"/>
              </w:rPr>
              <w:t>2025</w:t>
            </w: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9"/>
              <w:spacing w:after="0" w:line="183" w:lineRule="exact"/>
              <w:rPr>
                <w:sz w:val="20"/>
                <w:szCs w:val="20"/>
                <w:color w:val="auto"/>
              </w:rPr>
            </w:pPr>
            <w:r>
              <w:rPr>
                <w:rFonts w:ascii="Arial" w:cs="Arial" w:eastAsia="Arial" w:hAnsi="Arial"/>
                <w:sz w:val="16"/>
                <w:szCs w:val="16"/>
                <w:b w:val="1"/>
                <w:bCs w:val="1"/>
                <w:color w:val="auto"/>
              </w:rPr>
              <w:t>2024</w:t>
            </w: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9"/>
              <w:spacing w:after="0" w:line="183" w:lineRule="exact"/>
              <w:rPr>
                <w:sz w:val="20"/>
                <w:szCs w:val="20"/>
                <w:color w:val="auto"/>
              </w:rPr>
            </w:pPr>
            <w:r>
              <w:rPr>
                <w:rFonts w:ascii="Arial" w:cs="Arial" w:eastAsia="Arial" w:hAnsi="Arial"/>
                <w:sz w:val="16"/>
                <w:szCs w:val="16"/>
                <w:b w:val="1"/>
                <w:bCs w:val="1"/>
                <w:color w:val="auto"/>
              </w:rPr>
              <w:t>2025</w:t>
            </w: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9"/>
              <w:spacing w:after="0" w:line="183" w:lineRule="exact"/>
              <w:rPr>
                <w:sz w:val="20"/>
                <w:szCs w:val="20"/>
                <w:color w:val="auto"/>
              </w:rPr>
            </w:pPr>
            <w:r>
              <w:rPr>
                <w:rFonts w:ascii="Arial" w:cs="Arial" w:eastAsia="Arial" w:hAnsi="Arial"/>
                <w:sz w:val="16"/>
                <w:szCs w:val="16"/>
                <w:b w:val="1"/>
                <w:bCs w:val="1"/>
                <w:color w:val="auto"/>
              </w:rPr>
              <w:t>2024</w:t>
            </w: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9"/>
              <w:spacing w:after="0" w:line="183" w:lineRule="exact"/>
              <w:rPr>
                <w:sz w:val="20"/>
                <w:szCs w:val="20"/>
                <w:color w:val="auto"/>
              </w:rPr>
            </w:pPr>
            <w:r>
              <w:rPr>
                <w:rFonts w:ascii="Arial" w:cs="Arial" w:eastAsia="Arial" w:hAnsi="Arial"/>
                <w:sz w:val="16"/>
                <w:szCs w:val="16"/>
                <w:b w:val="1"/>
                <w:bCs w:val="1"/>
                <w:color w:val="auto"/>
              </w:rPr>
              <w:t>2025</w:t>
            </w: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9"/>
              <w:spacing w:after="0" w:line="183" w:lineRule="exact"/>
              <w:rPr>
                <w:sz w:val="20"/>
                <w:szCs w:val="20"/>
                <w:color w:val="auto"/>
              </w:rPr>
            </w:pPr>
            <w:r>
              <w:rPr>
                <w:rFonts w:ascii="Arial" w:cs="Arial" w:eastAsia="Arial" w:hAnsi="Arial"/>
                <w:sz w:val="16"/>
                <w:szCs w:val="16"/>
                <w:b w:val="1"/>
                <w:bCs w:val="1"/>
                <w:color w:val="auto"/>
              </w:rPr>
              <w:t>2024</w:t>
            </w:r>
          </w:p>
        </w:tc>
      </w:tr>
      <w:tr>
        <w:trPr>
          <w:trHeight w:val="183"/>
        </w:trPr>
        <w:tc>
          <w:tcPr>
            <w:tcW w:w="4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gridSpan w:val="3"/>
          </w:tcPr>
          <w:p>
            <w:pPr>
              <w:jc w:val="right"/>
              <w:ind w:right="479"/>
              <w:spacing w:after="0" w:line="183" w:lineRule="exact"/>
              <w:rPr>
                <w:sz w:val="20"/>
                <w:szCs w:val="20"/>
                <w:color w:val="auto"/>
              </w:rPr>
            </w:pPr>
            <w:r>
              <w:rPr>
                <w:rFonts w:ascii="Arial" w:cs="Arial" w:eastAsia="Arial" w:hAnsi="Arial"/>
                <w:sz w:val="16"/>
                <w:szCs w:val="16"/>
                <w:color w:val="auto"/>
              </w:rPr>
              <w:t>(in millions)</w:t>
            </w: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89"/>
        </w:trPr>
        <w:tc>
          <w:tcPr>
            <w:tcW w:w="4180" w:type="dxa"/>
            <w:vAlign w:val="bottom"/>
            <w:shd w:val="clear" w:color="auto" w:fill="CFF0FC"/>
          </w:tcPr>
          <w:p>
            <w:pPr>
              <w:spacing w:after="0"/>
              <w:rPr>
                <w:sz w:val="20"/>
                <w:szCs w:val="20"/>
                <w:color w:val="auto"/>
              </w:rPr>
            </w:pPr>
            <w:r>
              <w:rPr>
                <w:rFonts w:ascii="Arial" w:cs="Arial" w:eastAsia="Arial" w:hAnsi="Arial"/>
                <w:sz w:val="16"/>
                <w:szCs w:val="16"/>
                <w:color w:val="auto"/>
              </w:rPr>
              <w:t>Revenue</w:t>
            </w:r>
          </w:p>
        </w:tc>
        <w:tc>
          <w:tcPr>
            <w:tcW w:w="14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219.9</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205.1</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456.6</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427.3</w:t>
            </w:r>
          </w:p>
        </w:tc>
        <w:tc>
          <w:tcPr>
            <w:tcW w:w="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223.0</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202.0</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795.4</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710.6</w:t>
            </w:r>
          </w:p>
        </w:tc>
      </w:tr>
      <w:tr>
        <w:trPr>
          <w:trHeight w:val="189"/>
        </w:trPr>
        <w:tc>
          <w:tcPr>
            <w:tcW w:w="4180" w:type="dxa"/>
            <w:vAlign w:val="bottom"/>
          </w:tcPr>
          <w:p>
            <w:pPr>
              <w:spacing w:after="0"/>
              <w:rPr>
                <w:sz w:val="20"/>
                <w:szCs w:val="20"/>
                <w:color w:val="auto"/>
              </w:rPr>
            </w:pPr>
            <w:r>
              <w:rPr>
                <w:rFonts w:ascii="Arial" w:cs="Arial" w:eastAsia="Arial" w:hAnsi="Arial"/>
                <w:sz w:val="16"/>
                <w:szCs w:val="16"/>
                <w:color w:val="auto"/>
              </w:rPr>
              <w:t>Fuel, purchased power and cost of natural gas sold</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(55.3)</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(45.9)</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(122.5)</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(100.8)</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(68.9)</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(61.3)</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(361.4)</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(323.2)</w:t>
            </w:r>
          </w:p>
        </w:tc>
      </w:tr>
      <w:tr>
        <w:trPr>
          <w:trHeight w:val="189"/>
        </w:trPr>
        <w:tc>
          <w:tcPr>
            <w:tcW w:w="4180" w:type="dxa"/>
            <w:vAlign w:val="bottom"/>
            <w:shd w:val="clear" w:color="auto" w:fill="CFF0FC"/>
          </w:tcPr>
          <w:p>
            <w:pPr>
              <w:spacing w:after="0" w:line="189" w:lineRule="exact"/>
              <w:rPr>
                <w:sz w:val="20"/>
                <w:szCs w:val="20"/>
                <w:color w:val="auto"/>
              </w:rPr>
            </w:pPr>
            <w:r>
              <w:rPr>
                <w:rFonts w:ascii="Arial" w:cs="Arial" w:eastAsia="Arial" w:hAnsi="Arial"/>
                <w:sz w:val="16"/>
                <w:szCs w:val="16"/>
                <w:color w:val="auto"/>
              </w:rPr>
              <w:t xml:space="preserve">Operations and maintenance </w:t>
            </w:r>
            <w:r>
              <w:rPr>
                <w:rFonts w:ascii="Arial" w:cs="Arial" w:eastAsia="Arial" w:hAnsi="Arial"/>
                <w:sz w:val="21"/>
                <w:szCs w:val="21"/>
                <w:color w:val="auto"/>
                <w:vertAlign w:val="superscript"/>
              </w:rPr>
              <w:t>(a)</w:t>
            </w:r>
          </w:p>
        </w:tc>
        <w:tc>
          <w:tcPr>
            <w:tcW w:w="14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(43.8)</w:t>
            </w:r>
          </w:p>
        </w:tc>
        <w:tc>
          <w:tcPr>
            <w:tcW w:w="18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(42.5)</w:t>
            </w:r>
          </w:p>
        </w:tc>
        <w:tc>
          <w:tcPr>
            <w:tcW w:w="14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(85.7)</w:t>
            </w:r>
          </w:p>
        </w:tc>
        <w:tc>
          <w:tcPr>
            <w:tcW w:w="18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(78.5)</w:t>
            </w:r>
          </w:p>
        </w:tc>
        <w:tc>
          <w:tcPr>
            <w:tcW w:w="16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(40.7)</w:t>
            </w:r>
          </w:p>
        </w:tc>
        <w:tc>
          <w:tcPr>
            <w:tcW w:w="16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(42.3)</w:t>
            </w:r>
          </w:p>
        </w:tc>
        <w:tc>
          <w:tcPr>
            <w:tcW w:w="18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(86.9)</w:t>
            </w:r>
          </w:p>
        </w:tc>
        <w:tc>
          <w:tcPr>
            <w:tcW w:w="18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(85.1)</w:t>
            </w:r>
          </w:p>
        </w:tc>
      </w:tr>
      <w:tr>
        <w:trPr>
          <w:trHeight w:val="189"/>
        </w:trPr>
        <w:tc>
          <w:tcPr>
            <w:tcW w:w="418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(37.5)</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(35.5)</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(74.6)</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(70.8)</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(32.3)</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(31.1)</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(64.4)</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(61.5)</w:t>
            </w:r>
          </w:p>
        </w:tc>
      </w:tr>
      <w:tr>
        <w:trPr>
          <w:trHeight w:val="189"/>
        </w:trPr>
        <w:tc>
          <w:tcPr>
            <w:tcW w:w="4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Taxes other than income taxes</w:t>
            </w:r>
          </w:p>
        </w:tc>
        <w:tc>
          <w:tcPr>
            <w:tcW w:w="140" w:type="dxa"/>
            <w:vAlign w:val="bottom"/>
            <w:tcBorders>
              <w:bottom w:val="single" w:sz="8" w:color="auto"/>
            </w:tcBorders>
            <w:shd w:val="clear" w:color="auto" w:fill="CFF0FC"/>
          </w:tcPr>
          <w:p>
            <w:pPr>
              <w:spacing w:after="0"/>
              <w:rPr>
                <w:sz w:val="16"/>
                <w:szCs w:val="16"/>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(8.9)</w:t>
            </w:r>
          </w:p>
        </w:tc>
        <w:tc>
          <w:tcPr>
            <w:tcW w:w="180" w:type="dxa"/>
            <w:vAlign w:val="bottom"/>
            <w:tcBorders>
              <w:bottom w:val="single" w:sz="8" w:color="auto"/>
            </w:tcBorders>
            <w:shd w:val="clear" w:color="auto" w:fill="CFF0FC"/>
          </w:tcPr>
          <w:p>
            <w:pPr>
              <w:spacing w:after="0"/>
              <w:rPr>
                <w:sz w:val="16"/>
                <w:szCs w:val="16"/>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(9.3)</w:t>
            </w:r>
          </w:p>
        </w:tc>
        <w:tc>
          <w:tcPr>
            <w:tcW w:w="140" w:type="dxa"/>
            <w:vAlign w:val="bottom"/>
            <w:tcBorders>
              <w:bottom w:val="single" w:sz="8" w:color="auto"/>
            </w:tcBorders>
            <w:shd w:val="clear" w:color="auto" w:fill="CFF0FC"/>
          </w:tcPr>
          <w:p>
            <w:pPr>
              <w:spacing w:after="0"/>
              <w:rPr>
                <w:sz w:val="16"/>
                <w:szCs w:val="16"/>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(18.2)</w:t>
            </w:r>
          </w:p>
        </w:tc>
        <w:tc>
          <w:tcPr>
            <w:tcW w:w="180" w:type="dxa"/>
            <w:vAlign w:val="bottom"/>
            <w:tcBorders>
              <w:bottom w:val="single" w:sz="8" w:color="auto"/>
            </w:tcBorders>
            <w:shd w:val="clear" w:color="auto" w:fill="CFF0FC"/>
          </w:tcPr>
          <w:p>
            <w:pPr>
              <w:spacing w:after="0"/>
              <w:rPr>
                <w:sz w:val="16"/>
                <w:szCs w:val="16"/>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(19.3)</w:t>
            </w:r>
          </w:p>
        </w:tc>
        <w:tc>
          <w:tcPr>
            <w:tcW w:w="160" w:type="dxa"/>
            <w:vAlign w:val="bottom"/>
            <w:tcBorders>
              <w:bottom w:val="single" w:sz="8" w:color="auto"/>
            </w:tcBorders>
            <w:shd w:val="clear" w:color="auto" w:fill="CFF0FC"/>
          </w:tcPr>
          <w:p>
            <w:pPr>
              <w:spacing w:after="0"/>
              <w:rPr>
                <w:sz w:val="16"/>
                <w:szCs w:val="16"/>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(6.2)</w:t>
            </w:r>
          </w:p>
        </w:tc>
        <w:tc>
          <w:tcPr>
            <w:tcW w:w="160" w:type="dxa"/>
            <w:vAlign w:val="bottom"/>
            <w:tcBorders>
              <w:bottom w:val="single" w:sz="8" w:color="auto"/>
            </w:tcBorders>
            <w:shd w:val="clear" w:color="auto" w:fill="CFF0FC"/>
          </w:tcPr>
          <w:p>
            <w:pPr>
              <w:spacing w:after="0"/>
              <w:rPr>
                <w:sz w:val="16"/>
                <w:szCs w:val="16"/>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(7.3)</w:t>
            </w:r>
          </w:p>
        </w:tc>
        <w:tc>
          <w:tcPr>
            <w:tcW w:w="180" w:type="dxa"/>
            <w:vAlign w:val="bottom"/>
            <w:tcBorders>
              <w:bottom w:val="single" w:sz="8" w:color="auto"/>
            </w:tcBorders>
            <w:shd w:val="clear" w:color="auto" w:fill="CFF0FC"/>
          </w:tcPr>
          <w:p>
            <w:pPr>
              <w:spacing w:after="0"/>
              <w:rPr>
                <w:sz w:val="16"/>
                <w:szCs w:val="16"/>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(14.5)</w:t>
            </w:r>
          </w:p>
        </w:tc>
        <w:tc>
          <w:tcPr>
            <w:tcW w:w="180" w:type="dxa"/>
            <w:vAlign w:val="bottom"/>
            <w:tcBorders>
              <w:bottom w:val="single" w:sz="8" w:color="auto"/>
            </w:tcBorders>
            <w:shd w:val="clear" w:color="auto" w:fill="CFF0FC"/>
          </w:tcPr>
          <w:p>
            <w:pPr>
              <w:spacing w:after="0"/>
              <w:rPr>
                <w:sz w:val="16"/>
                <w:szCs w:val="16"/>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(14.3)</w:t>
            </w:r>
          </w:p>
        </w:tc>
      </w:tr>
      <w:tr>
        <w:trPr>
          <w:trHeight w:val="183"/>
        </w:trPr>
        <w:tc>
          <w:tcPr>
            <w:tcW w:w="4180" w:type="dxa"/>
            <w:vAlign w:val="bottom"/>
          </w:tcPr>
          <w:p>
            <w:pPr>
              <w:ind w:left="40"/>
              <w:spacing w:after="0" w:line="183" w:lineRule="exact"/>
              <w:rPr>
                <w:sz w:val="20"/>
                <w:szCs w:val="20"/>
                <w:color w:val="auto"/>
              </w:rPr>
            </w:pPr>
            <w:r>
              <w:rPr>
                <w:rFonts w:ascii="Arial" w:cs="Arial" w:eastAsia="Arial" w:hAnsi="Arial"/>
                <w:sz w:val="16"/>
                <w:szCs w:val="16"/>
                <w:color w:val="auto"/>
              </w:rPr>
              <w:t>Gross margin (GAAP)</w:t>
            </w:r>
          </w:p>
        </w:tc>
        <w:tc>
          <w:tcPr>
            <w:tcW w:w="14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74.4</w:t>
            </w:r>
          </w:p>
        </w:tc>
        <w:tc>
          <w:tcPr>
            <w:tcW w:w="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71.9</w:t>
            </w:r>
          </w:p>
        </w:tc>
        <w:tc>
          <w:tcPr>
            <w:tcW w:w="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155.6</w:t>
            </w:r>
          </w:p>
        </w:tc>
        <w:tc>
          <w:tcPr>
            <w:tcW w:w="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157.9</w:t>
            </w:r>
          </w:p>
        </w:tc>
        <w:tc>
          <w:tcPr>
            <w:tcW w:w="160" w:type="dxa"/>
            <w:vAlign w:val="bottom"/>
            <w:tcBorders>
              <w:bottom w:val="single" w:sz="8" w:color="auto"/>
            </w:tcBorders>
          </w:tcPr>
          <w:p>
            <w:pPr>
              <w:ind w:left="20"/>
              <w:spacing w:after="0" w:line="183" w:lineRule="exact"/>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74.9</w:t>
            </w:r>
          </w:p>
        </w:tc>
        <w:tc>
          <w:tcPr>
            <w:tcW w:w="1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60.0</w:t>
            </w:r>
          </w:p>
        </w:tc>
        <w:tc>
          <w:tcPr>
            <w:tcW w:w="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268.2</w:t>
            </w:r>
          </w:p>
        </w:tc>
        <w:tc>
          <w:tcPr>
            <w:tcW w:w="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226.5</w:t>
            </w:r>
          </w:p>
        </w:tc>
      </w:tr>
      <w:tr>
        <w:trPr>
          <w:trHeight w:val="183"/>
        </w:trPr>
        <w:tc>
          <w:tcPr>
            <w:tcW w:w="41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 xml:space="preserve">Operations and maintenance </w:t>
            </w:r>
            <w:r>
              <w:rPr>
                <w:rFonts w:ascii="Arial" w:cs="Arial" w:eastAsia="Arial" w:hAnsi="Arial"/>
                <w:sz w:val="21"/>
                <w:szCs w:val="21"/>
                <w:color w:val="auto"/>
                <w:vertAlign w:val="superscript"/>
              </w:rPr>
              <w:t>(a)</w:t>
            </w: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43.8</w:t>
            </w:r>
          </w:p>
        </w:tc>
        <w:tc>
          <w:tcPr>
            <w:tcW w:w="18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42.5</w:t>
            </w: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85.7</w:t>
            </w:r>
          </w:p>
        </w:tc>
        <w:tc>
          <w:tcPr>
            <w:tcW w:w="18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78.5</w:t>
            </w: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40.7</w:t>
            </w: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42.3</w:t>
            </w:r>
          </w:p>
        </w:tc>
        <w:tc>
          <w:tcPr>
            <w:tcW w:w="1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86.9</w:t>
            </w:r>
          </w:p>
        </w:tc>
        <w:tc>
          <w:tcPr>
            <w:tcW w:w="18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85.1</w:t>
            </w:r>
          </w:p>
        </w:tc>
      </w:tr>
      <w:tr>
        <w:trPr>
          <w:trHeight w:val="189"/>
        </w:trPr>
        <w:tc>
          <w:tcPr>
            <w:tcW w:w="418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140" w:type="dxa"/>
            <w:vAlign w:val="bottom"/>
          </w:tcPr>
          <w:p>
            <w:pPr>
              <w:spacing w:after="0"/>
              <w:rPr>
                <w:sz w:val="16"/>
                <w:szCs w:val="16"/>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37.5</w:t>
            </w:r>
          </w:p>
        </w:tc>
        <w:tc>
          <w:tcPr>
            <w:tcW w:w="180" w:type="dxa"/>
            <w:vAlign w:val="bottom"/>
          </w:tcPr>
          <w:p>
            <w:pPr>
              <w:spacing w:after="0"/>
              <w:rPr>
                <w:sz w:val="16"/>
                <w:szCs w:val="16"/>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35.5</w:t>
            </w:r>
          </w:p>
        </w:tc>
        <w:tc>
          <w:tcPr>
            <w:tcW w:w="140" w:type="dxa"/>
            <w:vAlign w:val="bottom"/>
          </w:tcPr>
          <w:p>
            <w:pPr>
              <w:spacing w:after="0"/>
              <w:rPr>
                <w:sz w:val="16"/>
                <w:szCs w:val="16"/>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74.6</w:t>
            </w:r>
          </w:p>
        </w:tc>
        <w:tc>
          <w:tcPr>
            <w:tcW w:w="180" w:type="dxa"/>
            <w:vAlign w:val="bottom"/>
          </w:tcPr>
          <w:p>
            <w:pPr>
              <w:spacing w:after="0"/>
              <w:rPr>
                <w:sz w:val="16"/>
                <w:szCs w:val="16"/>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70.8</w:t>
            </w:r>
          </w:p>
        </w:tc>
        <w:tc>
          <w:tcPr>
            <w:tcW w:w="160" w:type="dxa"/>
            <w:vAlign w:val="bottom"/>
          </w:tcPr>
          <w:p>
            <w:pPr>
              <w:spacing w:after="0"/>
              <w:rPr>
                <w:sz w:val="16"/>
                <w:szCs w:val="16"/>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32.3</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31.1</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64.4</w:t>
            </w:r>
          </w:p>
        </w:tc>
        <w:tc>
          <w:tcPr>
            <w:tcW w:w="180" w:type="dxa"/>
            <w:vAlign w:val="bottom"/>
          </w:tcPr>
          <w:p>
            <w:pPr>
              <w:spacing w:after="0"/>
              <w:rPr>
                <w:sz w:val="16"/>
                <w:szCs w:val="16"/>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61.5</w:t>
            </w:r>
          </w:p>
        </w:tc>
      </w:tr>
      <w:tr>
        <w:trPr>
          <w:trHeight w:val="189"/>
        </w:trPr>
        <w:tc>
          <w:tcPr>
            <w:tcW w:w="4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Taxes other than income taxes</w:t>
            </w:r>
          </w:p>
        </w:tc>
        <w:tc>
          <w:tcPr>
            <w:tcW w:w="140" w:type="dxa"/>
            <w:vAlign w:val="bottom"/>
            <w:tcBorders>
              <w:bottom w:val="single" w:sz="8" w:color="auto"/>
            </w:tcBorders>
            <w:shd w:val="clear" w:color="auto" w:fill="CFF0FC"/>
          </w:tcPr>
          <w:p>
            <w:pPr>
              <w:spacing w:after="0"/>
              <w:rPr>
                <w:sz w:val="16"/>
                <w:szCs w:val="16"/>
                <w:color w:val="auto"/>
              </w:rPr>
            </w:pPr>
          </w:p>
        </w:tc>
        <w:tc>
          <w:tcPr>
            <w:tcW w:w="7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8.9</w:t>
            </w:r>
          </w:p>
        </w:tc>
        <w:tc>
          <w:tcPr>
            <w:tcW w:w="180" w:type="dxa"/>
            <w:vAlign w:val="bottom"/>
            <w:tcBorders>
              <w:bottom w:val="single" w:sz="8" w:color="auto"/>
            </w:tcBorders>
            <w:shd w:val="clear" w:color="auto" w:fill="CFF0FC"/>
          </w:tcPr>
          <w:p>
            <w:pPr>
              <w:spacing w:after="0"/>
              <w:rPr>
                <w:sz w:val="16"/>
                <w:szCs w:val="16"/>
                <w:color w:val="auto"/>
              </w:rPr>
            </w:pPr>
          </w:p>
        </w:tc>
        <w:tc>
          <w:tcPr>
            <w:tcW w:w="72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9.3</w:t>
            </w:r>
          </w:p>
        </w:tc>
        <w:tc>
          <w:tcPr>
            <w:tcW w:w="140" w:type="dxa"/>
            <w:vAlign w:val="bottom"/>
            <w:tcBorders>
              <w:bottom w:val="single" w:sz="8" w:color="auto"/>
            </w:tcBorders>
            <w:shd w:val="clear" w:color="auto" w:fill="CFF0FC"/>
          </w:tcPr>
          <w:p>
            <w:pPr>
              <w:spacing w:after="0"/>
              <w:rPr>
                <w:sz w:val="16"/>
                <w:szCs w:val="16"/>
                <w:color w:val="auto"/>
              </w:rPr>
            </w:pPr>
          </w:p>
        </w:tc>
        <w:tc>
          <w:tcPr>
            <w:tcW w:w="76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18.2</w:t>
            </w:r>
          </w:p>
        </w:tc>
        <w:tc>
          <w:tcPr>
            <w:tcW w:w="180" w:type="dxa"/>
            <w:vAlign w:val="bottom"/>
            <w:tcBorders>
              <w:bottom w:val="single" w:sz="8" w:color="auto"/>
            </w:tcBorders>
            <w:shd w:val="clear" w:color="auto" w:fill="CFF0FC"/>
          </w:tcPr>
          <w:p>
            <w:pPr>
              <w:spacing w:after="0"/>
              <w:rPr>
                <w:sz w:val="16"/>
                <w:szCs w:val="16"/>
                <w:color w:val="auto"/>
              </w:rPr>
            </w:pPr>
          </w:p>
        </w:tc>
        <w:tc>
          <w:tcPr>
            <w:tcW w:w="72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19.3</w:t>
            </w:r>
          </w:p>
        </w:tc>
        <w:tc>
          <w:tcPr>
            <w:tcW w:w="160" w:type="dxa"/>
            <w:vAlign w:val="bottom"/>
            <w:tcBorders>
              <w:bottom w:val="single" w:sz="8" w:color="auto"/>
            </w:tcBorders>
            <w:shd w:val="clear" w:color="auto" w:fill="CFF0FC"/>
          </w:tcPr>
          <w:p>
            <w:pPr>
              <w:spacing w:after="0"/>
              <w:rPr>
                <w:sz w:val="16"/>
                <w:szCs w:val="16"/>
                <w:color w:val="auto"/>
              </w:rPr>
            </w:pPr>
          </w:p>
        </w:tc>
        <w:tc>
          <w:tcPr>
            <w:tcW w:w="7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6.2</w:t>
            </w:r>
          </w:p>
        </w:tc>
        <w:tc>
          <w:tcPr>
            <w:tcW w:w="160" w:type="dxa"/>
            <w:vAlign w:val="bottom"/>
            <w:tcBorders>
              <w:bottom w:val="single" w:sz="8" w:color="auto"/>
            </w:tcBorders>
            <w:shd w:val="clear" w:color="auto" w:fill="CFF0FC"/>
          </w:tcPr>
          <w:p>
            <w:pPr>
              <w:spacing w:after="0"/>
              <w:rPr>
                <w:sz w:val="16"/>
                <w:szCs w:val="16"/>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7.3</w:t>
            </w:r>
          </w:p>
        </w:tc>
        <w:tc>
          <w:tcPr>
            <w:tcW w:w="180" w:type="dxa"/>
            <w:vAlign w:val="bottom"/>
            <w:tcBorders>
              <w:bottom w:val="single" w:sz="8" w:color="auto"/>
            </w:tcBorders>
            <w:shd w:val="clear" w:color="auto" w:fill="CFF0FC"/>
          </w:tcPr>
          <w:p>
            <w:pPr>
              <w:spacing w:after="0"/>
              <w:rPr>
                <w:sz w:val="16"/>
                <w:szCs w:val="16"/>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14.5</w:t>
            </w:r>
          </w:p>
        </w:tc>
        <w:tc>
          <w:tcPr>
            <w:tcW w:w="180" w:type="dxa"/>
            <w:vAlign w:val="bottom"/>
            <w:tcBorders>
              <w:bottom w:val="single" w:sz="8" w:color="auto"/>
            </w:tcBorders>
            <w:shd w:val="clear" w:color="auto" w:fill="CFF0FC"/>
          </w:tcPr>
          <w:p>
            <w:pPr>
              <w:spacing w:after="0"/>
              <w:rPr>
                <w:sz w:val="16"/>
                <w:szCs w:val="16"/>
                <w:color w:val="auto"/>
              </w:rPr>
            </w:pPr>
          </w:p>
        </w:tc>
        <w:tc>
          <w:tcPr>
            <w:tcW w:w="7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14.3</w:t>
            </w:r>
          </w:p>
        </w:tc>
      </w:tr>
      <w:tr>
        <w:trPr>
          <w:trHeight w:val="183"/>
        </w:trPr>
        <w:tc>
          <w:tcPr>
            <w:tcW w:w="4180" w:type="dxa"/>
            <w:vAlign w:val="bottom"/>
          </w:tcPr>
          <w:p>
            <w:pPr>
              <w:ind w:left="40"/>
              <w:spacing w:after="0" w:line="183" w:lineRule="exact"/>
              <w:rPr>
                <w:sz w:val="20"/>
                <w:szCs w:val="20"/>
                <w:color w:val="auto"/>
              </w:rPr>
            </w:pPr>
            <w:r>
              <w:rPr>
                <w:rFonts w:ascii="Arial" w:cs="Arial" w:eastAsia="Arial" w:hAnsi="Arial"/>
                <w:sz w:val="16"/>
                <w:szCs w:val="16"/>
                <w:color w:val="auto"/>
              </w:rPr>
              <w:t>Electric and Gas Utility margin (non-GAAP)</w:t>
            </w:r>
          </w:p>
        </w:tc>
        <w:tc>
          <w:tcPr>
            <w:tcW w:w="14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164.6</w:t>
            </w:r>
          </w:p>
        </w:tc>
        <w:tc>
          <w:tcPr>
            <w:tcW w:w="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159.2</w:t>
            </w:r>
          </w:p>
        </w:tc>
        <w:tc>
          <w:tcPr>
            <w:tcW w:w="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334.1</w:t>
            </w:r>
          </w:p>
        </w:tc>
        <w:tc>
          <w:tcPr>
            <w:tcW w:w="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326.5</w:t>
            </w:r>
          </w:p>
        </w:tc>
        <w:tc>
          <w:tcPr>
            <w:tcW w:w="160" w:type="dxa"/>
            <w:vAlign w:val="bottom"/>
            <w:tcBorders>
              <w:bottom w:val="single" w:sz="8" w:color="auto"/>
            </w:tcBorders>
          </w:tcPr>
          <w:p>
            <w:pPr>
              <w:ind w:left="20"/>
              <w:spacing w:after="0" w:line="183" w:lineRule="exact"/>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154.1</w:t>
            </w:r>
          </w:p>
        </w:tc>
        <w:tc>
          <w:tcPr>
            <w:tcW w:w="1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140.7</w:t>
            </w:r>
          </w:p>
        </w:tc>
        <w:tc>
          <w:tcPr>
            <w:tcW w:w="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434.0</w:t>
            </w:r>
          </w:p>
        </w:tc>
        <w:tc>
          <w:tcPr>
            <w:tcW w:w="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387.4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04584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119" w:lineRule="exact"/>
        <w:rPr>
          <w:sz w:val="20"/>
          <w:szCs w:val="20"/>
          <w:color w:val="auto"/>
        </w:rPr>
      </w:pPr>
    </w:p>
    <w:p>
      <w:pPr>
        <w:ind w:left="520" w:right="40" w:hanging="512"/>
        <w:spacing w:after="0" w:line="250" w:lineRule="auto"/>
        <w:tabs>
          <w:tab w:leader="none" w:pos="5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Operations and maintenance expenses which are deemed to be directly attributable to revenue-producing activities include plant operations and maintenance expenses at our electric generation facilities, operations and maintenance expenses at our WRDC coal mine, and electric and gas transmission and distribution expenses. These amounts are included in the table above to calculate gross margin in accordance with GAAP. These amounts excluded operations and maintenance expenses not directly attributable to revenue-producing activities of $25.4 million, $25.6 million, 52.3 million, and $47.0 million for the three and six months ended June 30, 2025 and 2024, respectively, for the Electric Utilities and $39.4, $37.0, $81.2 million, and $72.8 million for the three and six months ended June 30, 2025 and 2024, respectively, for the Gas Utilities.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080" w:type="dxa"/>
            <w:vAlign w:val="bottom"/>
          </w:tcPr>
          <w:p>
            <w:pPr>
              <w:spacing w:after="0"/>
              <w:rPr>
                <w:sz w:val="20"/>
                <w:szCs w:val="20"/>
                <w:color w:val="auto"/>
              </w:rPr>
            </w:pPr>
            <w:r>
              <w:rPr>
                <w:rFonts w:ascii="Arial" w:cs="Arial" w:eastAsia="Arial" w:hAnsi="Arial"/>
                <w:sz w:val="16"/>
                <w:szCs w:val="16"/>
                <w:b w:val="1"/>
                <w:bCs w:val="1"/>
                <w:color w:val="auto"/>
              </w:rPr>
              <w:t>Electric Utilities</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370"/>
        </w:trPr>
        <w:tc>
          <w:tcPr>
            <w:tcW w:w="4080" w:type="dxa"/>
            <w:vAlign w:val="bottom"/>
          </w:tcPr>
          <w:p>
            <w:pPr>
              <w:spacing w:after="0"/>
              <w:rPr>
                <w:sz w:val="20"/>
                <w:szCs w:val="20"/>
                <w:color w:val="auto"/>
              </w:rPr>
            </w:pPr>
            <w:r>
              <w:rPr>
                <w:rFonts w:ascii="Arial" w:cs="Arial" w:eastAsia="Arial" w:hAnsi="Arial"/>
                <w:sz w:val="16"/>
                <w:szCs w:val="16"/>
                <w:color w:val="auto"/>
              </w:rPr>
              <w:t>Operating results for the Electric Utilities were as follows:</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52"/>
        </w:trPr>
        <w:tc>
          <w:tcPr>
            <w:tcW w:w="4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360" w:type="dxa"/>
            <w:vAlign w:val="bottom"/>
            <w:gridSpan w:val="5"/>
          </w:tcPr>
          <w:p>
            <w:pPr>
              <w:jc w:val="right"/>
              <w:ind w:right="619"/>
              <w:spacing w:after="0"/>
              <w:rPr>
                <w:sz w:val="20"/>
                <w:szCs w:val="20"/>
                <w:color w:val="auto"/>
              </w:rPr>
            </w:pPr>
            <w:r>
              <w:rPr>
                <w:rFonts w:ascii="Arial" w:cs="Arial" w:eastAsia="Arial" w:hAnsi="Arial"/>
                <w:sz w:val="16"/>
                <w:szCs w:val="16"/>
                <w:b w:val="1"/>
                <w:bCs w:val="1"/>
                <w:color w:val="auto"/>
              </w:rPr>
              <w:t>Three Months Ended June 30,</w:t>
            </w:r>
          </w:p>
        </w:tc>
        <w:tc>
          <w:tcPr>
            <w:tcW w:w="360" w:type="dxa"/>
            <w:vAlign w:val="bottom"/>
          </w:tcPr>
          <w:p>
            <w:pPr>
              <w:spacing w:after="0"/>
              <w:rPr>
                <w:sz w:val="24"/>
                <w:szCs w:val="24"/>
                <w:color w:val="auto"/>
              </w:rPr>
            </w:pPr>
          </w:p>
        </w:tc>
        <w:tc>
          <w:tcPr>
            <w:tcW w:w="3200" w:type="dxa"/>
            <w:vAlign w:val="bottom"/>
            <w:gridSpan w:val="5"/>
          </w:tcPr>
          <w:p>
            <w:pPr>
              <w:jc w:val="right"/>
              <w:ind w:right="699"/>
              <w:spacing w:after="0"/>
              <w:rPr>
                <w:sz w:val="20"/>
                <w:szCs w:val="20"/>
                <w:color w:val="auto"/>
              </w:rPr>
            </w:pPr>
            <w:r>
              <w:rPr>
                <w:rFonts w:ascii="Arial" w:cs="Arial" w:eastAsia="Arial" w:hAnsi="Arial"/>
                <w:sz w:val="16"/>
                <w:szCs w:val="16"/>
                <w:b w:val="1"/>
                <w:bCs w:val="1"/>
                <w:color w:val="auto"/>
              </w:rPr>
              <w:t>Six Months Ended June 30,</w:t>
            </w:r>
          </w:p>
        </w:tc>
      </w:tr>
      <w:tr>
        <w:trPr>
          <w:trHeight w:val="189"/>
        </w:trPr>
        <w:tc>
          <w:tcPr>
            <w:tcW w:w="4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40" w:type="dxa"/>
            <w:vAlign w:val="bottom"/>
            <w:gridSpan w:val="2"/>
          </w:tcPr>
          <w:p>
            <w:pPr>
              <w:ind w:left="100"/>
              <w:spacing w:after="0"/>
              <w:rPr>
                <w:sz w:val="20"/>
                <w:szCs w:val="20"/>
                <w:color w:val="auto"/>
              </w:rPr>
            </w:pPr>
            <w:r>
              <w:rPr>
                <w:rFonts w:ascii="Arial" w:cs="Arial" w:eastAsia="Arial" w:hAnsi="Arial"/>
                <w:sz w:val="16"/>
                <w:szCs w:val="16"/>
                <w:b w:val="1"/>
                <w:bCs w:val="1"/>
                <w:color w:val="auto"/>
              </w:rPr>
              <w:t>2025 vs 2024</w:t>
            </w: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40" w:type="dxa"/>
            <w:vAlign w:val="bottom"/>
            <w:gridSpan w:val="2"/>
          </w:tcPr>
          <w:p>
            <w:pPr>
              <w:ind w:left="80"/>
              <w:spacing w:after="0"/>
              <w:rPr>
                <w:sz w:val="20"/>
                <w:szCs w:val="20"/>
                <w:color w:val="auto"/>
              </w:rPr>
            </w:pPr>
            <w:r>
              <w:rPr>
                <w:rFonts w:ascii="Arial" w:cs="Arial" w:eastAsia="Arial" w:hAnsi="Arial"/>
                <w:sz w:val="16"/>
                <w:szCs w:val="16"/>
                <w:b w:val="1"/>
                <w:bCs w:val="1"/>
                <w:color w:val="auto"/>
              </w:rPr>
              <w:t>2025 vs 2024</w:t>
            </w:r>
          </w:p>
        </w:tc>
      </w:tr>
      <w:tr>
        <w:trPr>
          <w:trHeight w:val="203"/>
        </w:trPr>
        <w:tc>
          <w:tcPr>
            <w:tcW w:w="40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2025</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2024</w:t>
            </w: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Variance</w:t>
            </w:r>
          </w:p>
        </w:tc>
        <w:tc>
          <w:tcPr>
            <w:tcW w:w="3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2025</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2024</w:t>
            </w: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Variance</w:t>
            </w:r>
          </w:p>
        </w:tc>
      </w:tr>
      <w:tr>
        <w:trPr>
          <w:trHeight w:val="183"/>
        </w:trPr>
        <w:tc>
          <w:tcPr>
            <w:tcW w:w="40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jc w:val="right"/>
              <w:spacing w:after="0" w:line="183" w:lineRule="exact"/>
              <w:rPr>
                <w:sz w:val="20"/>
                <w:szCs w:val="20"/>
                <w:color w:val="auto"/>
              </w:rPr>
            </w:pPr>
            <w:r>
              <w:rPr>
                <w:rFonts w:ascii="Arial" w:cs="Arial" w:eastAsia="Arial" w:hAnsi="Arial"/>
                <w:sz w:val="16"/>
                <w:szCs w:val="16"/>
                <w:color w:val="auto"/>
              </w:rPr>
              <w:t>(in millions)</w:t>
            </w:r>
          </w:p>
        </w:tc>
        <w:tc>
          <w:tcPr>
            <w:tcW w:w="8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r>
      <w:tr>
        <w:trPr>
          <w:trHeight w:val="183"/>
        </w:trPr>
        <w:tc>
          <w:tcPr>
            <w:tcW w:w="40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Revenue</w:t>
            </w:r>
          </w:p>
        </w:tc>
        <w:tc>
          <w:tcPr>
            <w:tcW w:w="24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w w:val="89"/>
              </w:rPr>
              <w:t>$</w:t>
            </w:r>
          </w:p>
        </w:tc>
        <w:tc>
          <w:tcPr>
            <w:tcW w:w="9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219.9</w:t>
            </w:r>
          </w:p>
        </w:tc>
        <w:tc>
          <w:tcPr>
            <w:tcW w:w="28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205.1</w:t>
            </w:r>
          </w:p>
        </w:tc>
        <w:tc>
          <w:tcPr>
            <w:tcW w:w="220" w:type="dxa"/>
            <w:vAlign w:val="bottom"/>
            <w:shd w:val="clear" w:color="auto" w:fill="CFF0FC"/>
          </w:tcPr>
          <w:p>
            <w:pPr>
              <w:ind w:left="80"/>
              <w:spacing w:after="0" w:line="183" w:lineRule="exact"/>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14.8</w:t>
            </w:r>
          </w:p>
        </w:tc>
        <w:tc>
          <w:tcPr>
            <w:tcW w:w="360" w:type="dxa"/>
            <w:vAlign w:val="bottom"/>
            <w:shd w:val="clear" w:color="auto" w:fill="CFF0FC"/>
          </w:tcPr>
          <w:p>
            <w:pPr>
              <w:jc w:val="right"/>
              <w:ind w:right="159"/>
              <w:spacing w:after="0" w:line="183" w:lineRule="exact"/>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456.6</w:t>
            </w:r>
          </w:p>
        </w:tc>
        <w:tc>
          <w:tcPr>
            <w:tcW w:w="26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427.3</w:t>
            </w:r>
          </w:p>
        </w:tc>
        <w:tc>
          <w:tcPr>
            <w:tcW w:w="200" w:type="dxa"/>
            <w:vAlign w:val="bottom"/>
            <w:shd w:val="clear" w:color="auto" w:fill="CFF0FC"/>
          </w:tcPr>
          <w:p>
            <w:pPr>
              <w:ind w:left="60"/>
              <w:spacing w:after="0" w:line="183" w:lineRule="exact"/>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29.3</w:t>
            </w:r>
          </w:p>
        </w:tc>
      </w:tr>
      <w:tr>
        <w:trPr>
          <w:trHeight w:val="189"/>
        </w:trPr>
        <w:tc>
          <w:tcPr>
            <w:tcW w:w="4080" w:type="dxa"/>
            <w:vAlign w:val="bottom"/>
          </w:tcPr>
          <w:p>
            <w:pPr>
              <w:spacing w:after="0"/>
              <w:rPr>
                <w:sz w:val="20"/>
                <w:szCs w:val="20"/>
                <w:color w:val="auto"/>
              </w:rPr>
            </w:pPr>
            <w:r>
              <w:rPr>
                <w:rFonts w:ascii="Arial" w:cs="Arial" w:eastAsia="Arial" w:hAnsi="Arial"/>
                <w:sz w:val="16"/>
                <w:szCs w:val="16"/>
                <w:color w:val="auto"/>
              </w:rPr>
              <w:t>Fuel and purchased power</w:t>
            </w: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55.3</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45.9</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w:t>
            </w:r>
          </w:p>
        </w:tc>
        <w:tc>
          <w:tcPr>
            <w:tcW w:w="3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122.5</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100.8</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21.7</w:t>
            </w:r>
          </w:p>
        </w:tc>
      </w:tr>
      <w:tr>
        <w:trPr>
          <w:trHeight w:val="183"/>
        </w:trPr>
        <w:tc>
          <w:tcPr>
            <w:tcW w:w="408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6"/>
                <w:szCs w:val="16"/>
                <w:color w:val="auto"/>
              </w:rPr>
              <w:t xml:space="preserve">Electric Utility margin (non-GAAP) </w:t>
            </w:r>
            <w:r>
              <w:rPr>
                <w:rFonts w:ascii="Arial" w:cs="Arial" w:eastAsia="Arial" w:hAnsi="Arial"/>
                <w:sz w:val="21"/>
                <w:szCs w:val="21"/>
                <w:color w:val="auto"/>
                <w:vertAlign w:val="superscript"/>
              </w:rPr>
              <w:t>(a)</w:t>
            </w:r>
          </w:p>
        </w:tc>
        <w:tc>
          <w:tcPr>
            <w:tcW w:w="240" w:type="dxa"/>
            <w:vAlign w:val="bottom"/>
            <w:tcBorders>
              <w:bottom w:val="single" w:sz="8" w:color="auto"/>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164.6</w:t>
            </w:r>
          </w:p>
        </w:tc>
        <w:tc>
          <w:tcPr>
            <w:tcW w:w="280" w:type="dxa"/>
            <w:vAlign w:val="bottom"/>
            <w:tcBorders>
              <w:bottom w:val="single" w:sz="8" w:color="auto"/>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159.2</w:t>
            </w:r>
          </w:p>
        </w:tc>
        <w:tc>
          <w:tcPr>
            <w:tcW w:w="22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5.4</w:t>
            </w:r>
          </w:p>
        </w:tc>
        <w:tc>
          <w:tcPr>
            <w:tcW w:w="360" w:type="dxa"/>
            <w:vAlign w:val="bottom"/>
            <w:tcBorders>
              <w:bottom w:val="single" w:sz="8" w:color="auto"/>
            </w:tcBorders>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334.1</w:t>
            </w:r>
          </w:p>
        </w:tc>
        <w:tc>
          <w:tcPr>
            <w:tcW w:w="26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326.5</w:t>
            </w:r>
          </w:p>
        </w:tc>
        <w:tc>
          <w:tcPr>
            <w:tcW w:w="20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7.6</w:t>
            </w:r>
          </w:p>
        </w:tc>
      </w:tr>
      <w:tr>
        <w:trPr>
          <w:trHeight w:val="183"/>
        </w:trPr>
        <w:tc>
          <w:tcPr>
            <w:tcW w:w="4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9"/>
        </w:trPr>
        <w:tc>
          <w:tcPr>
            <w:tcW w:w="4080" w:type="dxa"/>
            <w:vAlign w:val="bottom"/>
            <w:shd w:val="clear" w:color="auto" w:fill="CFF0FC"/>
          </w:tcPr>
          <w:p>
            <w:pPr>
              <w:spacing w:after="0"/>
              <w:rPr>
                <w:sz w:val="20"/>
                <w:szCs w:val="20"/>
                <w:color w:val="auto"/>
              </w:rPr>
            </w:pPr>
            <w:r>
              <w:rPr>
                <w:rFonts w:ascii="Arial" w:cs="Arial" w:eastAsia="Arial" w:hAnsi="Arial"/>
                <w:sz w:val="16"/>
                <w:szCs w:val="16"/>
                <w:color w:val="auto"/>
              </w:rPr>
              <w:t>Operations and maintenance</w:t>
            </w:r>
          </w:p>
        </w:tc>
        <w:tc>
          <w:tcPr>
            <w:tcW w:w="24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69.2</w:t>
            </w:r>
          </w:p>
        </w:tc>
        <w:tc>
          <w:tcPr>
            <w:tcW w:w="28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68.1</w:t>
            </w:r>
          </w:p>
        </w:tc>
        <w:tc>
          <w:tcPr>
            <w:tcW w:w="22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36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138.0</w:t>
            </w: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125.5</w:t>
            </w:r>
          </w:p>
        </w:tc>
        <w:tc>
          <w:tcPr>
            <w:tcW w:w="20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12.5</w:t>
            </w:r>
          </w:p>
        </w:tc>
      </w:tr>
      <w:tr>
        <w:trPr>
          <w:trHeight w:val="189"/>
        </w:trPr>
        <w:tc>
          <w:tcPr>
            <w:tcW w:w="408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37.5</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35.5</w:t>
            </w: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w:t>
            </w:r>
          </w:p>
        </w:tc>
        <w:tc>
          <w:tcPr>
            <w:tcW w:w="3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74.6</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70.8</w:t>
            </w:r>
          </w:p>
        </w:tc>
        <w:tc>
          <w:tcPr>
            <w:tcW w:w="200" w:type="dxa"/>
            <w:vAlign w:val="bottom"/>
          </w:tcPr>
          <w:p>
            <w:pPr>
              <w:spacing w:after="0"/>
              <w:rPr>
                <w:sz w:val="16"/>
                <w:szCs w:val="16"/>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3.8</w:t>
            </w:r>
          </w:p>
        </w:tc>
      </w:tr>
      <w:tr>
        <w:trPr>
          <w:trHeight w:val="189"/>
        </w:trPr>
        <w:tc>
          <w:tcPr>
            <w:tcW w:w="40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Taxes other than income taxes</w:t>
            </w:r>
          </w:p>
        </w:tc>
        <w:tc>
          <w:tcPr>
            <w:tcW w:w="24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8.9</w:t>
            </w:r>
          </w:p>
        </w:tc>
        <w:tc>
          <w:tcPr>
            <w:tcW w:w="28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9.3</w:t>
            </w:r>
          </w:p>
        </w:tc>
        <w:tc>
          <w:tcPr>
            <w:tcW w:w="22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(0.4)</w:t>
            </w:r>
          </w:p>
        </w:tc>
        <w:tc>
          <w:tcPr>
            <w:tcW w:w="360" w:type="dxa"/>
            <w:vAlign w:val="bottom"/>
            <w:tcBorders>
              <w:bottom w:val="single" w:sz="8" w:color="auto"/>
            </w:tcBorders>
            <w:shd w:val="clear" w:color="auto" w:fill="CFF0FC"/>
          </w:tcPr>
          <w:p>
            <w:pPr>
              <w:spacing w:after="0"/>
              <w:rPr>
                <w:sz w:val="16"/>
                <w:szCs w:val="16"/>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18.2</w:t>
            </w:r>
          </w:p>
        </w:tc>
        <w:tc>
          <w:tcPr>
            <w:tcW w:w="26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19.3</w:t>
            </w:r>
          </w:p>
        </w:tc>
        <w:tc>
          <w:tcPr>
            <w:tcW w:w="20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w:t>
            </w:r>
          </w:p>
        </w:tc>
      </w:tr>
      <w:tr>
        <w:trPr>
          <w:trHeight w:val="183"/>
        </w:trPr>
        <w:tc>
          <w:tcPr>
            <w:tcW w:w="40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115.6</w:t>
            </w: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112.9</w:t>
            </w: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2.7</w:t>
            </w:r>
          </w:p>
        </w:tc>
        <w:tc>
          <w:tcPr>
            <w:tcW w:w="3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230.8</w:t>
            </w: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215.6</w:t>
            </w: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15.2</w:t>
            </w:r>
          </w:p>
        </w:tc>
      </w:tr>
      <w:tr>
        <w:trPr>
          <w:trHeight w:val="183"/>
        </w:trPr>
        <w:tc>
          <w:tcPr>
            <w:tcW w:w="408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spacing w:after="0"/>
              <w:rPr>
                <w:sz w:val="15"/>
                <w:szCs w:val="15"/>
                <w:color w:val="auto"/>
              </w:rPr>
            </w:pPr>
          </w:p>
        </w:tc>
      </w:tr>
      <w:tr>
        <w:trPr>
          <w:trHeight w:val="183"/>
        </w:trPr>
        <w:tc>
          <w:tcPr>
            <w:tcW w:w="4080" w:type="dxa"/>
            <w:vAlign w:val="bottom"/>
          </w:tcPr>
          <w:p>
            <w:pPr>
              <w:spacing w:after="0" w:line="169" w:lineRule="exact"/>
              <w:rPr>
                <w:sz w:val="20"/>
                <w:szCs w:val="20"/>
                <w:color w:val="auto"/>
              </w:rPr>
            </w:pPr>
            <w:r>
              <w:rPr>
                <w:rFonts w:ascii="Arial" w:cs="Arial" w:eastAsia="Arial" w:hAnsi="Arial"/>
                <w:sz w:val="16"/>
                <w:szCs w:val="16"/>
                <w:color w:val="auto"/>
              </w:rPr>
              <w:t>Operating income</w:t>
            </w:r>
          </w:p>
        </w:tc>
        <w:tc>
          <w:tcPr>
            <w:tcW w:w="240" w:type="dxa"/>
            <w:vAlign w:val="bottom"/>
            <w:tcBorders>
              <w:bottom w:val="single" w:sz="8" w:color="auto"/>
            </w:tcBorders>
          </w:tcPr>
          <w:p>
            <w:pPr>
              <w:jc w:val="right"/>
              <w:ind w:right="59"/>
              <w:spacing w:after="0" w:line="169" w:lineRule="exact"/>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49.0</w:t>
            </w:r>
          </w:p>
        </w:tc>
        <w:tc>
          <w:tcPr>
            <w:tcW w:w="280" w:type="dxa"/>
            <w:vAlign w:val="bottom"/>
            <w:tcBorders>
              <w:bottom w:val="single" w:sz="8" w:color="auto"/>
            </w:tcBorders>
          </w:tcPr>
          <w:p>
            <w:pPr>
              <w:jc w:val="right"/>
              <w:ind w:right="39"/>
              <w:spacing w:after="0" w:line="169"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46.3</w:t>
            </w:r>
          </w:p>
        </w:tc>
        <w:tc>
          <w:tcPr>
            <w:tcW w:w="220" w:type="dxa"/>
            <w:vAlign w:val="bottom"/>
            <w:tcBorders>
              <w:bottom w:val="single" w:sz="8" w:color="auto"/>
            </w:tcBorders>
          </w:tcPr>
          <w:p>
            <w:pPr>
              <w:ind w:left="80"/>
              <w:spacing w:after="0" w:line="169" w:lineRule="exact"/>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2.7</w:t>
            </w:r>
          </w:p>
        </w:tc>
        <w:tc>
          <w:tcPr>
            <w:tcW w:w="360" w:type="dxa"/>
            <w:vAlign w:val="bottom"/>
            <w:tcBorders>
              <w:bottom w:val="single" w:sz="8" w:color="auto"/>
            </w:tcBorders>
          </w:tcPr>
          <w:p>
            <w:pPr>
              <w:jc w:val="right"/>
              <w:ind w:right="159"/>
              <w:spacing w:after="0" w:line="169" w:lineRule="exact"/>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103.3</w:t>
            </w:r>
          </w:p>
        </w:tc>
        <w:tc>
          <w:tcPr>
            <w:tcW w:w="260" w:type="dxa"/>
            <w:vAlign w:val="bottom"/>
            <w:tcBorders>
              <w:bottom w:val="single" w:sz="8" w:color="auto"/>
            </w:tcBorders>
          </w:tcPr>
          <w:p>
            <w:pPr>
              <w:jc w:val="right"/>
              <w:ind w:right="39"/>
              <w:spacing w:after="0" w:line="169" w:lineRule="exact"/>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110.9</w:t>
            </w:r>
          </w:p>
        </w:tc>
        <w:tc>
          <w:tcPr>
            <w:tcW w:w="200" w:type="dxa"/>
            <w:vAlign w:val="bottom"/>
            <w:tcBorders>
              <w:bottom w:val="single" w:sz="8" w:color="auto"/>
            </w:tcBorders>
          </w:tcPr>
          <w:p>
            <w:pPr>
              <w:ind w:left="60"/>
              <w:spacing w:after="0" w:line="169" w:lineRule="exact"/>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(7.6)</w:t>
            </w:r>
          </w:p>
        </w:tc>
      </w:tr>
      <w:tr>
        <w:trPr>
          <w:trHeight w:val="20"/>
        </w:trPr>
        <w:tc>
          <w:tcPr>
            <w:tcW w:w="4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04584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119" w:lineRule="exact"/>
        <w:rPr>
          <w:sz w:val="20"/>
          <w:szCs w:val="20"/>
          <w:color w:val="auto"/>
        </w:rPr>
      </w:pPr>
    </w:p>
    <w:p>
      <w:pPr>
        <w:ind w:left="520" w:hanging="512"/>
        <w:spacing w:after="0"/>
        <w:tabs>
          <w:tab w:leader="none" w:pos="5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See Non-GAAP Financial Measures section above for reconciliation to Gross margin, the most directly comparable GAAP measure.</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Three Months Ended June 30, 2025, Compared to the Three Months Ended June 30, 2024:</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Electric Utility margin</w:t>
      </w:r>
      <w:r>
        <w:rPr>
          <w:rFonts w:ascii="Arial" w:cs="Arial" w:eastAsia="Arial" w:hAnsi="Arial"/>
          <w:sz w:val="16"/>
          <w:szCs w:val="16"/>
          <w:color w:val="auto"/>
        </w:rPr>
        <w:t xml:space="preserve"> increased as a result of the following:</w:t>
      </w:r>
    </w:p>
    <w:p>
      <w:pPr>
        <w:sectPr>
          <w:pgSz w:w="11900" w:h="16838" w:orient="portrait"/>
          <w:cols w:equalWidth="0" w:num="1">
            <w:col w:w="11240"/>
          </w:cols>
          <w:pgMar w:left="320" w:top="125" w:right="339" w:bottom="1440" w:gutter="0" w:footer="0" w:header="0"/>
        </w:sectPr>
      </w:pPr>
    </w:p>
    <w:p>
      <w:pPr>
        <w:spacing w:after="0" w:line="397" w:lineRule="exact"/>
        <w:rPr>
          <w:sz w:val="20"/>
          <w:szCs w:val="20"/>
          <w:color w:val="auto"/>
        </w:rPr>
      </w:pPr>
    </w:p>
    <w:p>
      <w:pPr>
        <w:spacing w:after="0"/>
        <w:rPr>
          <w:sz w:val="20"/>
          <w:szCs w:val="20"/>
          <w:color w:val="auto"/>
        </w:rPr>
      </w:pPr>
      <w:r>
        <w:rPr>
          <w:rFonts w:ascii="Arial" w:cs="Arial" w:eastAsia="Arial" w:hAnsi="Arial"/>
          <w:sz w:val="16"/>
          <w:szCs w:val="16"/>
          <w:color w:val="auto"/>
        </w:rPr>
        <w:t>New rates and rider recovery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1200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Weather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289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Other</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Operations and maintenance expense</w:t>
      </w:r>
      <w:r>
        <w:rPr>
          <w:rFonts w:ascii="Arial" w:cs="Arial" w:eastAsia="Arial" w:hAnsi="Arial"/>
          <w:sz w:val="16"/>
          <w:szCs w:val="16"/>
          <w:color w:val="auto"/>
        </w:rPr>
        <w:t xml:space="preserve"> was comparable to the same period in the prior year.</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Depreciation and amortization</w:t>
      </w:r>
      <w:r>
        <w:rPr>
          <w:rFonts w:ascii="Arial" w:cs="Arial" w:eastAsia="Arial" w:hAnsi="Arial"/>
          <w:sz w:val="16"/>
          <w:szCs w:val="16"/>
          <w:color w:val="auto"/>
        </w:rPr>
        <w:t xml:space="preserve"> increased primarily due to higher asset base driven by capital expenditures.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Taxes other than income taxes</w:t>
      </w:r>
      <w:r>
        <w:rPr>
          <w:rFonts w:ascii="Arial" w:cs="Arial" w:eastAsia="Arial" w:hAnsi="Arial"/>
          <w:sz w:val="16"/>
          <w:szCs w:val="16"/>
          <w:color w:val="auto"/>
        </w:rPr>
        <w:t xml:space="preserve"> was comparable to the same period in the prior year.</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Six Months Ended June 30, 2025, Compared to the Six Months Ended June 30, 2024:</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Electric Utility margin</w:t>
      </w:r>
      <w:r>
        <w:rPr>
          <w:rFonts w:ascii="Arial" w:cs="Arial" w:eastAsia="Arial" w:hAnsi="Arial"/>
          <w:sz w:val="16"/>
          <w:szCs w:val="16"/>
          <w:color w:val="auto"/>
        </w:rPr>
        <w:t xml:space="preserve"> increased as a result of the following:</w:t>
      </w:r>
    </w:p>
    <w:p>
      <w:pPr>
        <w:spacing w:after="0" w:line="397" w:lineRule="exact"/>
        <w:rPr>
          <w:sz w:val="20"/>
          <w:szCs w:val="20"/>
          <w:color w:val="auto"/>
        </w:rPr>
      </w:pPr>
    </w:p>
    <w:p>
      <w:pPr>
        <w:spacing w:after="0"/>
        <w:rPr>
          <w:sz w:val="20"/>
          <w:szCs w:val="20"/>
          <w:color w:val="auto"/>
        </w:rPr>
      </w:pPr>
      <w:r>
        <w:rPr>
          <w:rFonts w:ascii="Arial" w:cs="Arial" w:eastAsia="Arial" w:hAnsi="Arial"/>
          <w:sz w:val="16"/>
          <w:szCs w:val="16"/>
          <w:color w:val="auto"/>
        </w:rPr>
        <w:t>New rates and rider recovery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1200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Retail customer growth and usage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200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Weather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Off-system excess energy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289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Other</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ind w:left="327"/>
        <w:spacing w:after="0"/>
        <w:rPr>
          <w:sz w:val="20"/>
          <w:szCs w:val="20"/>
          <w:color w:val="auto"/>
        </w:rPr>
      </w:pPr>
      <w:r>
        <w:rPr>
          <w:rFonts w:ascii="Arial" w:cs="Arial" w:eastAsia="Arial" w:hAnsi="Arial"/>
          <w:sz w:val="16"/>
          <w:szCs w:val="16"/>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101981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019810" cy="8255"/>
                    </a:xfrm>
                    <a:prstGeom prst="rect">
                      <a:avLst/>
                    </a:prstGeom>
                    <a:noFill/>
                  </pic:spPr>
                </pic:pic>
              </a:graphicData>
            </a:graphic>
          </wp:anchor>
        </w:drawing>
      </w:r>
    </w:p>
    <w:p>
      <w:pPr>
        <w:spacing w:after="0" w:line="11" w:lineRule="exact"/>
        <w:rPr>
          <w:sz w:val="20"/>
          <w:szCs w:val="20"/>
          <w:color w:val="auto"/>
        </w:rPr>
      </w:pPr>
    </w:p>
    <w:p>
      <w:pPr>
        <w:ind w:left="1247" w:hanging="1247"/>
        <w:spacing w:after="0"/>
        <w:tabs>
          <w:tab w:leader="none" w:pos="1247" w:val="left"/>
        </w:tabs>
        <w:numPr>
          <w:ilvl w:val="0"/>
          <w:numId w:val="33"/>
        </w:numPr>
        <w:rPr>
          <w:rFonts w:ascii="Arial" w:cs="Arial" w:eastAsia="Arial" w:hAnsi="Arial"/>
          <w:sz w:val="16"/>
          <w:szCs w:val="16"/>
          <w:color w:val="auto"/>
        </w:rPr>
      </w:pPr>
      <w:r>
        <w:rPr>
          <w:rFonts w:ascii="Arial" w:cs="Arial" w:eastAsia="Arial" w:hAnsi="Arial"/>
          <w:sz w:val="16"/>
          <w:szCs w:val="16"/>
          <w:color w:val="auto"/>
        </w:rPr>
        <w:t>5.0</w:t>
      </w:r>
    </w:p>
    <w:p>
      <w:pPr>
        <w:spacing w:after="0" w:line="8" w:lineRule="exact"/>
        <w:rPr>
          <w:rFonts w:ascii="Arial" w:cs="Arial" w:eastAsia="Arial" w:hAnsi="Arial"/>
          <w:sz w:val="16"/>
          <w:szCs w:val="16"/>
          <w:color w:val="auto"/>
        </w:rPr>
      </w:pPr>
    </w:p>
    <w:p>
      <w:pPr>
        <w:ind w:left="1187"/>
        <w:spacing w:after="0"/>
        <w:rPr>
          <w:rFonts w:ascii="Arial" w:cs="Arial" w:eastAsia="Arial" w:hAnsi="Arial"/>
          <w:sz w:val="16"/>
          <w:szCs w:val="16"/>
          <w:color w:val="auto"/>
        </w:rPr>
      </w:pPr>
      <w:r>
        <w:rPr>
          <w:rFonts w:ascii="Arial" w:cs="Arial" w:eastAsia="Arial" w:hAnsi="Arial"/>
          <w:sz w:val="16"/>
          <w:szCs w:val="16"/>
          <w:color w:val="auto"/>
        </w:rPr>
        <w:t>(0.8)</w:t>
      </w:r>
    </w:p>
    <w:p>
      <w:pPr>
        <w:spacing w:after="0" w:line="5" w:lineRule="exact"/>
        <w:rPr>
          <w:rFonts w:ascii="Arial" w:cs="Arial" w:eastAsia="Arial" w:hAnsi="Arial"/>
          <w:sz w:val="16"/>
          <w:szCs w:val="16"/>
          <w:color w:val="auto"/>
        </w:rPr>
      </w:pPr>
    </w:p>
    <w:p>
      <w:pPr>
        <w:ind w:left="1247"/>
        <w:spacing w:after="0"/>
        <w:rPr>
          <w:rFonts w:ascii="Arial" w:cs="Arial" w:eastAsia="Arial" w:hAnsi="Arial"/>
          <w:sz w:val="16"/>
          <w:szCs w:val="16"/>
          <w:color w:val="auto"/>
        </w:rPr>
      </w:pPr>
      <w:r>
        <w:rPr>
          <w:rFonts w:ascii="Arial" w:cs="Arial" w:eastAsia="Arial" w:hAnsi="Arial"/>
          <w:sz w:val="16"/>
          <w:szCs w:val="16"/>
          <w:color w:val="auto"/>
        </w:rPr>
        <w:t>1.2</w:t>
      </w:r>
    </w:p>
    <w:p>
      <w:pPr>
        <w:spacing w:after="0" w:line="15" w:lineRule="exact"/>
        <w:rPr>
          <w:sz w:val="20"/>
          <w:szCs w:val="20"/>
          <w:color w:val="auto"/>
        </w:rPr>
      </w:pPr>
    </w:p>
    <w:p>
      <w:pPr>
        <w:ind w:left="1247" w:hanging="1247"/>
        <w:spacing w:after="0"/>
        <w:tabs>
          <w:tab w:leader="none" w:pos="1247" w:val="left"/>
        </w:tabs>
        <w:numPr>
          <w:ilvl w:val="0"/>
          <w:numId w:val="34"/>
        </w:numPr>
        <w:rPr>
          <w:rFonts w:ascii="Arial" w:cs="Arial" w:eastAsia="Arial" w:hAnsi="Arial"/>
          <w:sz w:val="16"/>
          <w:szCs w:val="16"/>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4445</wp:posOffset>
            </wp:positionV>
            <wp:extent cx="101981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01981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21590</wp:posOffset>
            </wp:positionV>
            <wp:extent cx="101981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0198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27"/>
        <w:spacing w:after="0"/>
        <w:rPr>
          <w:sz w:val="20"/>
          <w:szCs w:val="20"/>
          <w:color w:val="auto"/>
        </w:rPr>
      </w:pPr>
      <w:r>
        <w:rPr>
          <w:rFonts w:ascii="Arial" w:cs="Arial" w:eastAsia="Arial" w:hAnsi="Arial"/>
          <w:sz w:val="16"/>
          <w:szCs w:val="16"/>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101981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019810" cy="8890"/>
                    </a:xfrm>
                    <a:prstGeom prst="rect">
                      <a:avLst/>
                    </a:prstGeom>
                    <a:noFill/>
                  </pic:spPr>
                </pic:pic>
              </a:graphicData>
            </a:graphic>
          </wp:anchor>
        </w:drawing>
      </w:r>
    </w:p>
    <w:p>
      <w:pPr>
        <w:spacing w:after="0" w:line="11" w:lineRule="exact"/>
        <w:rPr>
          <w:sz w:val="20"/>
          <w:szCs w:val="20"/>
          <w:color w:val="auto"/>
        </w:rPr>
      </w:pPr>
    </w:p>
    <w:p>
      <w:pPr>
        <w:ind w:left="1247" w:hanging="1247"/>
        <w:spacing w:after="0"/>
        <w:tabs>
          <w:tab w:leader="none" w:pos="1247" w:val="left"/>
        </w:tabs>
        <w:numPr>
          <w:ilvl w:val="0"/>
          <w:numId w:val="35"/>
        </w:numPr>
        <w:rPr>
          <w:rFonts w:ascii="Arial" w:cs="Arial" w:eastAsia="Arial" w:hAnsi="Arial"/>
          <w:sz w:val="16"/>
          <w:szCs w:val="16"/>
          <w:color w:val="auto"/>
        </w:rPr>
      </w:pPr>
      <w:r>
        <w:rPr>
          <w:rFonts w:ascii="Arial" w:cs="Arial" w:eastAsia="Arial" w:hAnsi="Arial"/>
          <w:sz w:val="16"/>
          <w:szCs w:val="16"/>
          <w:color w:val="auto"/>
        </w:rPr>
        <w:t>6.8</w:t>
      </w:r>
    </w:p>
    <w:p>
      <w:pPr>
        <w:spacing w:after="0" w:line="8" w:lineRule="exact"/>
        <w:rPr>
          <w:rFonts w:ascii="Arial" w:cs="Arial" w:eastAsia="Arial" w:hAnsi="Arial"/>
          <w:sz w:val="16"/>
          <w:szCs w:val="16"/>
          <w:color w:val="auto"/>
        </w:rPr>
      </w:pPr>
    </w:p>
    <w:p>
      <w:pPr>
        <w:ind w:left="1247"/>
        <w:spacing w:after="0"/>
        <w:rPr>
          <w:rFonts w:ascii="Arial" w:cs="Arial" w:eastAsia="Arial" w:hAnsi="Arial"/>
          <w:sz w:val="16"/>
          <w:szCs w:val="16"/>
          <w:color w:val="auto"/>
        </w:rPr>
      </w:pPr>
      <w:r>
        <w:rPr>
          <w:rFonts w:ascii="Arial" w:cs="Arial" w:eastAsia="Arial" w:hAnsi="Arial"/>
          <w:sz w:val="16"/>
          <w:szCs w:val="16"/>
          <w:color w:val="auto"/>
        </w:rPr>
        <w:t>3.0</w:t>
      </w:r>
    </w:p>
    <w:p>
      <w:pPr>
        <w:spacing w:after="0" w:line="5" w:lineRule="exact"/>
        <w:rPr>
          <w:rFonts w:ascii="Arial" w:cs="Arial" w:eastAsia="Arial" w:hAnsi="Arial"/>
          <w:sz w:val="16"/>
          <w:szCs w:val="16"/>
          <w:color w:val="auto"/>
        </w:rPr>
      </w:pPr>
    </w:p>
    <w:p>
      <w:pPr>
        <w:ind w:left="1247"/>
        <w:spacing w:after="0"/>
        <w:rPr>
          <w:rFonts w:ascii="Arial" w:cs="Arial" w:eastAsia="Arial" w:hAnsi="Arial"/>
          <w:sz w:val="16"/>
          <w:szCs w:val="16"/>
          <w:color w:val="auto"/>
        </w:rPr>
      </w:pPr>
      <w:r>
        <w:rPr>
          <w:rFonts w:ascii="Arial" w:cs="Arial" w:eastAsia="Arial" w:hAnsi="Arial"/>
          <w:sz w:val="16"/>
          <w:szCs w:val="16"/>
          <w:color w:val="auto"/>
        </w:rPr>
        <w:t>0.4</w:t>
      </w:r>
    </w:p>
    <w:p>
      <w:pPr>
        <w:spacing w:after="0" w:line="5"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(0.8)</w:t>
      </w:r>
    </w:p>
    <w:p>
      <w:pPr>
        <w:spacing w:after="0" w:line="5"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(1.8)</w:t>
      </w:r>
    </w:p>
    <w:p>
      <w:pPr>
        <w:spacing w:after="0" w:line="15" w:lineRule="exact"/>
        <w:rPr>
          <w:sz w:val="20"/>
          <w:szCs w:val="20"/>
          <w:color w:val="auto"/>
        </w:rPr>
      </w:pPr>
    </w:p>
    <w:p>
      <w:pPr>
        <w:ind w:left="1247" w:hanging="1247"/>
        <w:spacing w:after="0"/>
        <w:tabs>
          <w:tab w:leader="none" w:pos="1247" w:val="left"/>
        </w:tabs>
        <w:numPr>
          <w:ilvl w:val="0"/>
          <w:numId w:val="36"/>
        </w:numPr>
        <w:rPr>
          <w:rFonts w:ascii="Arial" w:cs="Arial" w:eastAsia="Arial" w:hAnsi="Arial"/>
          <w:sz w:val="16"/>
          <w:szCs w:val="16"/>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4445</wp:posOffset>
            </wp:positionV>
            <wp:extent cx="101981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01981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21590</wp:posOffset>
            </wp:positionV>
            <wp:extent cx="101981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01981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913" w:space="720"/>
            <w:col w:w="1607"/>
          </w:cols>
          <w:pgMar w:left="320" w:top="125" w:right="339" w:bottom="1440" w:gutter="0" w:footer="0" w:header="0"/>
          <w:type w:val="continuous"/>
        </w:sectPr>
      </w:pPr>
    </w:p>
    <w:p>
      <w:pPr>
        <w:spacing w:after="0" w:line="22"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u w:val="single" w:color="auto"/>
          <w:color w:val="auto"/>
        </w:rPr>
        <w:t>Operations and maintenance expense</w:t>
      </w:r>
      <w:r>
        <w:rPr>
          <w:rFonts w:ascii="Arial" w:cs="Arial" w:eastAsia="Arial" w:hAnsi="Arial"/>
          <w:sz w:val="16"/>
          <w:szCs w:val="16"/>
          <w:color w:val="auto"/>
        </w:rPr>
        <w:t xml:space="preserve"> increased primarily due to $5.3 million of expenses related to unplanned generation outages, $4.1 million of higher outside services expenses and $2.3 million of higher insurance expense.</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Depreciation and amortization</w:t>
      </w:r>
      <w:r>
        <w:rPr>
          <w:rFonts w:ascii="Arial" w:cs="Arial" w:eastAsia="Arial" w:hAnsi="Arial"/>
          <w:sz w:val="16"/>
          <w:szCs w:val="16"/>
          <w:color w:val="auto"/>
        </w:rPr>
        <w:t xml:space="preserve"> increased primarily due to higher asset base driven by capital expenditures.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Taxes other than income taxes</w:t>
      </w:r>
      <w:r>
        <w:rPr>
          <w:rFonts w:ascii="Arial" w:cs="Arial" w:eastAsia="Arial" w:hAnsi="Arial"/>
          <w:sz w:val="16"/>
          <w:szCs w:val="16"/>
          <w:color w:val="auto"/>
        </w:rPr>
        <w:t xml:space="preserve"> was comparable to the same period in the prior year.</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920" w:type="dxa"/>
            <w:vAlign w:val="bottom"/>
          </w:tcPr>
          <w:p>
            <w:pPr>
              <w:spacing w:after="0"/>
              <w:rPr>
                <w:sz w:val="20"/>
                <w:szCs w:val="20"/>
                <w:color w:val="auto"/>
              </w:rPr>
            </w:pPr>
            <w:r>
              <w:rPr>
                <w:rFonts w:ascii="Arial" w:cs="Arial" w:eastAsia="Arial" w:hAnsi="Arial"/>
                <w:sz w:val="16"/>
                <w:szCs w:val="16"/>
                <w:i w:val="1"/>
                <w:iCs w:val="1"/>
                <w:color w:val="auto"/>
              </w:rPr>
              <w:t>Operating Statistics</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367"/>
        </w:trPr>
        <w:tc>
          <w:tcPr>
            <w:tcW w:w="39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jc w:val="right"/>
              <w:ind w:right="419"/>
              <w:spacing w:after="0"/>
              <w:rPr>
                <w:sz w:val="20"/>
                <w:szCs w:val="20"/>
                <w:color w:val="auto"/>
              </w:rPr>
            </w:pPr>
            <w:r>
              <w:rPr>
                <w:rFonts w:ascii="Arial" w:cs="Arial" w:eastAsia="Arial" w:hAnsi="Arial"/>
                <w:sz w:val="16"/>
                <w:szCs w:val="16"/>
                <w:b w:val="1"/>
                <w:bCs w:val="1"/>
                <w:color w:val="auto"/>
              </w:rPr>
              <w:t>Revenue</w:t>
            </w:r>
          </w:p>
        </w:tc>
        <w:tc>
          <w:tcPr>
            <w:tcW w:w="8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2"/>
          </w:tcPr>
          <w:p>
            <w:pPr>
              <w:jc w:val="right"/>
              <w:ind w:right="499"/>
              <w:spacing w:after="0"/>
              <w:rPr>
                <w:sz w:val="20"/>
                <w:szCs w:val="20"/>
                <w:color w:val="auto"/>
              </w:rPr>
            </w:pPr>
            <w:r>
              <w:rPr>
                <w:rFonts w:ascii="Arial" w:cs="Arial" w:eastAsia="Arial" w:hAnsi="Arial"/>
                <w:sz w:val="16"/>
                <w:szCs w:val="16"/>
                <w:b w:val="1"/>
                <w:bCs w:val="1"/>
                <w:color w:val="auto"/>
              </w:rPr>
              <w:t>Quantities Sold</w:t>
            </w:r>
          </w:p>
        </w:tc>
        <w:tc>
          <w:tcPr>
            <w:tcW w:w="880" w:type="dxa"/>
            <w:vAlign w:val="bottom"/>
            <w:tcBorders>
              <w:bottom w:val="single" w:sz="8" w:color="auto"/>
            </w:tcBorders>
          </w:tcPr>
          <w:p>
            <w:pPr>
              <w:spacing w:after="0"/>
              <w:rPr>
                <w:sz w:val="24"/>
                <w:szCs w:val="24"/>
                <w:color w:val="auto"/>
              </w:rPr>
            </w:pPr>
          </w:p>
        </w:tc>
      </w:tr>
      <w:tr>
        <w:trPr>
          <w:trHeight w:val="168"/>
        </w:trPr>
        <w:tc>
          <w:tcPr>
            <w:tcW w:w="3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3"/>
          </w:tcPr>
          <w:p>
            <w:pPr>
              <w:jc w:val="right"/>
              <w:ind w:right="259"/>
              <w:spacing w:after="0" w:line="168" w:lineRule="exact"/>
              <w:rPr>
                <w:sz w:val="20"/>
                <w:szCs w:val="20"/>
                <w:color w:val="auto"/>
              </w:rPr>
            </w:pPr>
            <w:r>
              <w:rPr>
                <w:rFonts w:ascii="Arial" w:cs="Arial" w:eastAsia="Arial" w:hAnsi="Arial"/>
                <w:sz w:val="16"/>
                <w:szCs w:val="16"/>
                <w:b w:val="1"/>
                <w:bCs w:val="1"/>
                <w:color w:val="auto"/>
              </w:rPr>
              <w:t>Three Months</w:t>
            </w:r>
          </w:p>
        </w:tc>
        <w:tc>
          <w:tcPr>
            <w:tcW w:w="1700" w:type="dxa"/>
            <w:vAlign w:val="bottom"/>
            <w:gridSpan w:val="2"/>
          </w:tcPr>
          <w:p>
            <w:pPr>
              <w:jc w:val="right"/>
              <w:ind w:right="99"/>
              <w:spacing w:after="0" w:line="168" w:lineRule="exact"/>
              <w:rPr>
                <w:sz w:val="20"/>
                <w:szCs w:val="20"/>
                <w:color w:val="auto"/>
              </w:rPr>
            </w:pPr>
            <w:r>
              <w:rPr>
                <w:rFonts w:ascii="Arial" w:cs="Arial" w:eastAsia="Arial" w:hAnsi="Arial"/>
                <w:sz w:val="16"/>
                <w:szCs w:val="16"/>
                <w:b w:val="1"/>
                <w:bCs w:val="1"/>
                <w:color w:val="auto"/>
              </w:rPr>
              <w:t>Six Months Ended</w:t>
            </w:r>
          </w:p>
        </w:tc>
        <w:tc>
          <w:tcPr>
            <w:tcW w:w="1900" w:type="dxa"/>
            <w:vAlign w:val="bottom"/>
            <w:gridSpan w:val="2"/>
          </w:tcPr>
          <w:p>
            <w:pPr>
              <w:jc w:val="right"/>
              <w:ind w:right="119"/>
              <w:spacing w:after="0" w:line="168" w:lineRule="exact"/>
              <w:rPr>
                <w:sz w:val="20"/>
                <w:szCs w:val="20"/>
                <w:color w:val="auto"/>
              </w:rPr>
            </w:pPr>
            <w:r>
              <w:rPr>
                <w:rFonts w:ascii="Arial" w:cs="Arial" w:eastAsia="Arial" w:hAnsi="Arial"/>
                <w:sz w:val="16"/>
                <w:szCs w:val="16"/>
                <w:b w:val="1"/>
                <w:bCs w:val="1"/>
                <w:color w:val="auto"/>
              </w:rPr>
              <w:t>Three Months Ended</w:t>
            </w:r>
          </w:p>
        </w:tc>
        <w:tc>
          <w:tcPr>
            <w:tcW w:w="2100" w:type="dxa"/>
            <w:vAlign w:val="bottom"/>
            <w:gridSpan w:val="2"/>
          </w:tcPr>
          <w:p>
            <w:pPr>
              <w:jc w:val="right"/>
              <w:ind w:right="119"/>
              <w:spacing w:after="0" w:line="168" w:lineRule="exact"/>
              <w:rPr>
                <w:sz w:val="20"/>
                <w:szCs w:val="20"/>
                <w:color w:val="auto"/>
              </w:rPr>
            </w:pPr>
            <w:r>
              <w:rPr>
                <w:rFonts w:ascii="Arial" w:cs="Arial" w:eastAsia="Arial" w:hAnsi="Arial"/>
                <w:sz w:val="16"/>
                <w:szCs w:val="16"/>
                <w:b w:val="1"/>
                <w:bCs w:val="1"/>
                <w:color w:val="auto"/>
              </w:rPr>
              <w:t>Six Months Ended June</w:t>
            </w:r>
          </w:p>
        </w:tc>
      </w:tr>
      <w:tr>
        <w:trPr>
          <w:trHeight w:val="189"/>
        </w:trPr>
        <w:tc>
          <w:tcPr>
            <w:tcW w:w="3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3"/>
          </w:tcPr>
          <w:p>
            <w:pPr>
              <w:jc w:val="right"/>
              <w:ind w:right="159"/>
              <w:spacing w:after="0"/>
              <w:rPr>
                <w:sz w:val="20"/>
                <w:szCs w:val="20"/>
                <w:color w:val="auto"/>
              </w:rPr>
            </w:pPr>
            <w:r>
              <w:rPr>
                <w:rFonts w:ascii="Arial" w:cs="Arial" w:eastAsia="Arial" w:hAnsi="Arial"/>
                <w:sz w:val="16"/>
                <w:szCs w:val="16"/>
                <w:b w:val="1"/>
                <w:bCs w:val="1"/>
                <w:color w:val="auto"/>
              </w:rPr>
              <w:t>Ended June 30,</w:t>
            </w:r>
          </w:p>
        </w:tc>
        <w:tc>
          <w:tcPr>
            <w:tcW w:w="1700" w:type="dxa"/>
            <w:vAlign w:val="bottom"/>
            <w:gridSpan w:val="2"/>
          </w:tcPr>
          <w:p>
            <w:pPr>
              <w:jc w:val="right"/>
              <w:ind w:right="459"/>
              <w:spacing w:after="0"/>
              <w:rPr>
                <w:sz w:val="20"/>
                <w:szCs w:val="20"/>
                <w:color w:val="auto"/>
              </w:rPr>
            </w:pPr>
            <w:r>
              <w:rPr>
                <w:rFonts w:ascii="Arial" w:cs="Arial" w:eastAsia="Arial" w:hAnsi="Arial"/>
                <w:sz w:val="16"/>
                <w:szCs w:val="16"/>
                <w:b w:val="1"/>
                <w:bCs w:val="1"/>
                <w:color w:val="auto"/>
              </w:rPr>
              <w:t>June 30,</w:t>
            </w:r>
          </w:p>
        </w:tc>
        <w:tc>
          <w:tcPr>
            <w:tcW w:w="1900" w:type="dxa"/>
            <w:vAlign w:val="bottom"/>
            <w:gridSpan w:val="2"/>
          </w:tcPr>
          <w:p>
            <w:pPr>
              <w:jc w:val="right"/>
              <w:ind w:right="559"/>
              <w:spacing w:after="0"/>
              <w:rPr>
                <w:sz w:val="20"/>
                <w:szCs w:val="20"/>
                <w:color w:val="auto"/>
              </w:rPr>
            </w:pPr>
            <w:r>
              <w:rPr>
                <w:rFonts w:ascii="Arial" w:cs="Arial" w:eastAsia="Arial" w:hAnsi="Arial"/>
                <w:sz w:val="16"/>
                <w:szCs w:val="16"/>
                <w:b w:val="1"/>
                <w:bCs w:val="1"/>
                <w:color w:val="auto"/>
              </w:rPr>
              <w:t>June 30,</w:t>
            </w:r>
          </w:p>
        </w:tc>
        <w:tc>
          <w:tcPr>
            <w:tcW w:w="1220" w:type="dxa"/>
            <w:vAlign w:val="bottom"/>
          </w:tcPr>
          <w:p>
            <w:pPr>
              <w:jc w:val="right"/>
              <w:ind w:right="19"/>
              <w:spacing w:after="0"/>
              <w:rPr>
                <w:sz w:val="20"/>
                <w:szCs w:val="20"/>
                <w:color w:val="auto"/>
              </w:rPr>
            </w:pPr>
            <w:r>
              <w:rPr>
                <w:rFonts w:ascii="Arial" w:cs="Arial" w:eastAsia="Arial" w:hAnsi="Arial"/>
                <w:sz w:val="16"/>
                <w:szCs w:val="16"/>
                <w:b w:val="1"/>
                <w:bCs w:val="1"/>
                <w:color w:val="auto"/>
              </w:rPr>
              <w:t>30,</w:t>
            </w:r>
          </w:p>
        </w:tc>
        <w:tc>
          <w:tcPr>
            <w:tcW w:w="880" w:type="dxa"/>
            <w:vAlign w:val="bottom"/>
          </w:tcPr>
          <w:p>
            <w:pPr>
              <w:spacing w:after="0"/>
              <w:rPr>
                <w:sz w:val="16"/>
                <w:szCs w:val="16"/>
                <w:color w:val="auto"/>
              </w:rPr>
            </w:pPr>
          </w:p>
        </w:tc>
      </w:tr>
      <w:tr>
        <w:trPr>
          <w:trHeight w:val="203"/>
        </w:trPr>
        <w:tc>
          <w:tcPr>
            <w:tcW w:w="39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By Customer Class</w:t>
            </w: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2025</w:t>
            </w: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2024</w:t>
            </w:r>
          </w:p>
        </w:tc>
        <w:tc>
          <w:tcPr>
            <w:tcW w:w="8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2025</w:t>
            </w:r>
          </w:p>
        </w:tc>
        <w:tc>
          <w:tcPr>
            <w:tcW w:w="8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2024</w:t>
            </w:r>
          </w:p>
        </w:tc>
        <w:tc>
          <w:tcPr>
            <w:tcW w:w="10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2025</w:t>
            </w:r>
          </w:p>
        </w:tc>
        <w:tc>
          <w:tcPr>
            <w:tcW w:w="8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2024</w:t>
            </w:r>
          </w:p>
        </w:tc>
        <w:tc>
          <w:tcPr>
            <w:tcW w:w="12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2025</w:t>
            </w:r>
          </w:p>
        </w:tc>
        <w:tc>
          <w:tcPr>
            <w:tcW w:w="8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2024</w:t>
            </w:r>
          </w:p>
        </w:tc>
      </w:tr>
      <w:tr>
        <w:trPr>
          <w:trHeight w:val="183"/>
        </w:trPr>
        <w:tc>
          <w:tcPr>
            <w:tcW w:w="39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1480" w:type="dxa"/>
            <w:vAlign w:val="bottom"/>
            <w:tcBorders>
              <w:bottom w:val="single" w:sz="8" w:color="auto"/>
            </w:tcBorders>
            <w:gridSpan w:val="2"/>
            <w:shd w:val="clear" w:color="auto" w:fill="CFF0FC"/>
          </w:tcPr>
          <w:p>
            <w:pPr>
              <w:jc w:val="right"/>
              <w:ind w:right="359"/>
              <w:spacing w:after="0" w:line="183" w:lineRule="exact"/>
              <w:rPr>
                <w:sz w:val="20"/>
                <w:szCs w:val="20"/>
                <w:color w:val="auto"/>
              </w:rPr>
            </w:pPr>
            <w:r>
              <w:rPr>
                <w:rFonts w:ascii="Arial" w:cs="Arial" w:eastAsia="Arial" w:hAnsi="Arial"/>
                <w:sz w:val="16"/>
                <w:szCs w:val="16"/>
                <w:color w:val="auto"/>
              </w:rPr>
              <w:t>(in millions)</w:t>
            </w:r>
          </w:p>
        </w:tc>
        <w:tc>
          <w:tcPr>
            <w:tcW w:w="86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spacing w:after="0"/>
              <w:rPr>
                <w:sz w:val="15"/>
                <w:szCs w:val="15"/>
                <w:color w:val="auto"/>
              </w:rPr>
            </w:pPr>
          </w:p>
        </w:tc>
        <w:tc>
          <w:tcPr>
            <w:tcW w:w="2060" w:type="dxa"/>
            <w:vAlign w:val="bottom"/>
            <w:tcBorders>
              <w:bottom w:val="single" w:sz="8" w:color="auto"/>
            </w:tcBorders>
            <w:gridSpan w:val="2"/>
            <w:shd w:val="clear" w:color="auto" w:fill="CFF0FC"/>
          </w:tcPr>
          <w:p>
            <w:pPr>
              <w:jc w:val="right"/>
              <w:ind w:right="759"/>
              <w:spacing w:after="0" w:line="183" w:lineRule="exact"/>
              <w:rPr>
                <w:sz w:val="20"/>
                <w:szCs w:val="20"/>
                <w:color w:val="auto"/>
              </w:rPr>
            </w:pPr>
            <w:r>
              <w:rPr>
                <w:rFonts w:ascii="Arial" w:cs="Arial" w:eastAsia="Arial" w:hAnsi="Arial"/>
                <w:sz w:val="16"/>
                <w:szCs w:val="16"/>
                <w:color w:val="auto"/>
              </w:rPr>
              <w:t>(in GWh)</w:t>
            </w:r>
          </w:p>
        </w:tc>
        <w:tc>
          <w:tcPr>
            <w:tcW w:w="880" w:type="dxa"/>
            <w:vAlign w:val="bottom"/>
            <w:tcBorders>
              <w:bottom w:val="single" w:sz="8" w:color="auto"/>
            </w:tcBorders>
            <w:shd w:val="clear" w:color="auto" w:fill="CFF0FC"/>
          </w:tcPr>
          <w:p>
            <w:pPr>
              <w:spacing w:after="0"/>
              <w:rPr>
                <w:sz w:val="15"/>
                <w:szCs w:val="15"/>
                <w:color w:val="auto"/>
              </w:rPr>
            </w:pPr>
          </w:p>
        </w:tc>
      </w:tr>
      <w:tr>
        <w:trPr>
          <w:trHeight w:val="183"/>
        </w:trPr>
        <w:tc>
          <w:tcPr>
            <w:tcW w:w="3920" w:type="dxa"/>
            <w:vAlign w:val="bottom"/>
          </w:tcPr>
          <w:p>
            <w:pPr>
              <w:spacing w:after="0" w:line="183" w:lineRule="exact"/>
              <w:rPr>
                <w:sz w:val="20"/>
                <w:szCs w:val="20"/>
                <w:color w:val="auto"/>
              </w:rPr>
            </w:pPr>
            <w:r>
              <w:rPr>
                <w:rFonts w:ascii="Arial" w:cs="Arial" w:eastAsia="Arial" w:hAnsi="Arial"/>
                <w:sz w:val="16"/>
                <w:szCs w:val="16"/>
                <w:color w:val="auto"/>
              </w:rPr>
              <w:t>Retail Revenue -</w:t>
            </w: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9"/>
        </w:trPr>
        <w:tc>
          <w:tcPr>
            <w:tcW w:w="3920" w:type="dxa"/>
            <w:vAlign w:val="bottom"/>
            <w:shd w:val="clear" w:color="auto" w:fill="CFF0FC"/>
          </w:tcPr>
          <w:p>
            <w:pPr>
              <w:ind w:left="40"/>
              <w:spacing w:after="0"/>
              <w:rPr>
                <w:sz w:val="20"/>
                <w:szCs w:val="20"/>
                <w:color w:val="auto"/>
              </w:rPr>
            </w:pPr>
            <w:r>
              <w:rPr>
                <w:rFonts w:ascii="Arial" w:cs="Arial" w:eastAsia="Arial" w:hAnsi="Arial"/>
                <w:sz w:val="16"/>
                <w:szCs w:val="16"/>
                <w:color w:val="auto"/>
              </w:rPr>
              <w:t>Residential</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54.1</w:t>
            </w: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50.8</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   120.5</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   113.3</w:t>
            </w:r>
          </w:p>
        </w:tc>
        <w:tc>
          <w:tcPr>
            <w:tcW w:w="10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321.0</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323.5</w:t>
            </w:r>
          </w:p>
        </w:tc>
        <w:tc>
          <w:tcPr>
            <w:tcW w:w="1220" w:type="dxa"/>
            <w:vAlign w:val="bottom"/>
            <w:shd w:val="clear" w:color="auto" w:fill="CFF0FC"/>
          </w:tcPr>
          <w:p>
            <w:pPr>
              <w:jc w:val="right"/>
              <w:ind w:right="219"/>
              <w:spacing w:after="0"/>
              <w:rPr>
                <w:sz w:val="20"/>
                <w:szCs w:val="20"/>
                <w:color w:val="auto"/>
              </w:rPr>
            </w:pPr>
            <w:r>
              <w:rPr>
                <w:rFonts w:ascii="Arial" w:cs="Arial" w:eastAsia="Arial" w:hAnsi="Arial"/>
                <w:sz w:val="16"/>
                <w:szCs w:val="16"/>
                <w:color w:val="auto"/>
              </w:rPr>
              <w:t>727.4</w:t>
            </w:r>
          </w:p>
        </w:tc>
        <w:tc>
          <w:tcPr>
            <w:tcW w:w="8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712.3</w:t>
            </w:r>
          </w:p>
        </w:tc>
      </w:tr>
      <w:tr>
        <w:trPr>
          <w:trHeight w:val="189"/>
        </w:trPr>
        <w:tc>
          <w:tcPr>
            <w:tcW w:w="3920" w:type="dxa"/>
            <w:vAlign w:val="bottom"/>
          </w:tcPr>
          <w:p>
            <w:pPr>
              <w:ind w:left="40"/>
              <w:spacing w:after="0"/>
              <w:rPr>
                <w:sz w:val="20"/>
                <w:szCs w:val="20"/>
                <w:color w:val="auto"/>
              </w:rPr>
            </w:pPr>
            <w:r>
              <w:rPr>
                <w:rFonts w:ascii="Arial" w:cs="Arial" w:eastAsia="Arial" w:hAnsi="Arial"/>
                <w:sz w:val="16"/>
                <w:szCs w:val="16"/>
                <w:color w:val="auto"/>
              </w:rPr>
              <w:t>Commercial</w:t>
            </w: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66.9</w:t>
            </w: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63.3</w:t>
            </w:r>
          </w:p>
        </w:tc>
        <w:tc>
          <w:tcPr>
            <w:tcW w:w="840" w:type="dxa"/>
            <w:vAlign w:val="bottom"/>
          </w:tcPr>
          <w:p>
            <w:pPr>
              <w:jc w:val="right"/>
              <w:spacing w:after="0"/>
              <w:rPr>
                <w:sz w:val="20"/>
                <w:szCs w:val="20"/>
                <w:color w:val="auto"/>
              </w:rPr>
            </w:pPr>
            <w:r>
              <w:rPr>
                <w:rFonts w:ascii="Arial" w:cs="Arial" w:eastAsia="Arial" w:hAnsi="Arial"/>
                <w:sz w:val="16"/>
                <w:szCs w:val="16"/>
                <w:color w:val="auto"/>
              </w:rPr>
              <w:t>135.7</w:t>
            </w:r>
          </w:p>
        </w:tc>
        <w:tc>
          <w:tcPr>
            <w:tcW w:w="860" w:type="dxa"/>
            <w:vAlign w:val="bottom"/>
          </w:tcPr>
          <w:p>
            <w:pPr>
              <w:jc w:val="right"/>
              <w:spacing w:after="0"/>
              <w:rPr>
                <w:sz w:val="20"/>
                <w:szCs w:val="20"/>
                <w:color w:val="auto"/>
              </w:rPr>
            </w:pPr>
            <w:r>
              <w:rPr>
                <w:rFonts w:ascii="Arial" w:cs="Arial" w:eastAsia="Arial" w:hAnsi="Arial"/>
                <w:sz w:val="16"/>
                <w:szCs w:val="16"/>
                <w:color w:val="auto"/>
              </w:rPr>
              <w:t>129.2</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499.7</w:t>
            </w:r>
          </w:p>
        </w:tc>
        <w:tc>
          <w:tcPr>
            <w:tcW w:w="840" w:type="dxa"/>
            <w:vAlign w:val="bottom"/>
          </w:tcPr>
          <w:p>
            <w:pPr>
              <w:jc w:val="right"/>
              <w:spacing w:after="0"/>
              <w:rPr>
                <w:sz w:val="20"/>
                <w:szCs w:val="20"/>
                <w:color w:val="auto"/>
              </w:rPr>
            </w:pPr>
            <w:r>
              <w:rPr>
                <w:rFonts w:ascii="Arial" w:cs="Arial" w:eastAsia="Arial" w:hAnsi="Arial"/>
                <w:sz w:val="16"/>
                <w:szCs w:val="16"/>
                <w:color w:val="auto"/>
              </w:rPr>
              <w:t>506.9</w:t>
            </w:r>
          </w:p>
        </w:tc>
        <w:tc>
          <w:tcPr>
            <w:tcW w:w="1220" w:type="dxa"/>
            <w:vAlign w:val="bottom"/>
          </w:tcPr>
          <w:p>
            <w:pPr>
              <w:jc w:val="right"/>
              <w:ind w:right="219"/>
              <w:spacing w:after="0"/>
              <w:rPr>
                <w:sz w:val="20"/>
                <w:szCs w:val="20"/>
                <w:color w:val="auto"/>
              </w:rPr>
            </w:pPr>
            <w:r>
              <w:rPr>
                <w:rFonts w:ascii="Arial" w:cs="Arial" w:eastAsia="Arial" w:hAnsi="Arial"/>
                <w:sz w:val="16"/>
                <w:szCs w:val="16"/>
                <w:color w:val="auto"/>
              </w:rPr>
              <w:t>1,016.9</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1,018.7</w:t>
            </w:r>
          </w:p>
        </w:tc>
      </w:tr>
      <w:tr>
        <w:trPr>
          <w:trHeight w:val="189"/>
        </w:trPr>
        <w:tc>
          <w:tcPr>
            <w:tcW w:w="3920" w:type="dxa"/>
            <w:vAlign w:val="bottom"/>
            <w:shd w:val="clear" w:color="auto" w:fill="CFF0FC"/>
          </w:tcPr>
          <w:p>
            <w:pPr>
              <w:ind w:left="40"/>
              <w:spacing w:after="0" w:line="189" w:lineRule="exact"/>
              <w:rPr>
                <w:sz w:val="20"/>
                <w:szCs w:val="20"/>
                <w:color w:val="auto"/>
              </w:rPr>
            </w:pPr>
            <w:r>
              <w:rPr>
                <w:rFonts w:ascii="Arial" w:cs="Arial" w:eastAsia="Arial" w:hAnsi="Arial"/>
                <w:sz w:val="16"/>
                <w:szCs w:val="16"/>
                <w:color w:val="auto"/>
              </w:rPr>
              <w:t xml:space="preserve">Industrial </w:t>
            </w:r>
            <w:r>
              <w:rPr>
                <w:rFonts w:ascii="Arial" w:cs="Arial" w:eastAsia="Arial" w:hAnsi="Arial"/>
                <w:sz w:val="21"/>
                <w:szCs w:val="21"/>
                <w:color w:val="auto"/>
                <w:vertAlign w:val="superscript"/>
              </w:rPr>
              <w:t>(a)</w:t>
            </w:r>
          </w:p>
        </w:tc>
        <w:tc>
          <w:tcPr>
            <w:tcW w:w="14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49.3</w:t>
            </w:r>
          </w:p>
        </w:tc>
        <w:tc>
          <w:tcPr>
            <w:tcW w:w="20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41.7</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97.5</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85.2</w:t>
            </w:r>
          </w:p>
        </w:tc>
        <w:tc>
          <w:tcPr>
            <w:tcW w:w="10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663.9</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558.3</w:t>
            </w:r>
          </w:p>
        </w:tc>
        <w:tc>
          <w:tcPr>
            <w:tcW w:w="1220" w:type="dxa"/>
            <w:vAlign w:val="bottom"/>
            <w:shd w:val="clear" w:color="auto" w:fill="CFF0FC"/>
          </w:tcPr>
          <w:p>
            <w:pPr>
              <w:jc w:val="right"/>
              <w:ind w:right="219"/>
              <w:spacing w:after="0"/>
              <w:rPr>
                <w:sz w:val="20"/>
                <w:szCs w:val="20"/>
                <w:color w:val="auto"/>
              </w:rPr>
            </w:pPr>
            <w:r>
              <w:rPr>
                <w:rFonts w:ascii="Arial" w:cs="Arial" w:eastAsia="Arial" w:hAnsi="Arial"/>
                <w:sz w:val="16"/>
                <w:szCs w:val="16"/>
                <w:color w:val="auto"/>
              </w:rPr>
              <w:t>1,273.7</w:t>
            </w:r>
          </w:p>
        </w:tc>
        <w:tc>
          <w:tcPr>
            <w:tcW w:w="8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1,111.9</w:t>
            </w:r>
          </w:p>
        </w:tc>
      </w:tr>
      <w:tr>
        <w:trPr>
          <w:trHeight w:val="189"/>
        </w:trPr>
        <w:tc>
          <w:tcPr>
            <w:tcW w:w="3920" w:type="dxa"/>
            <w:vAlign w:val="bottom"/>
          </w:tcPr>
          <w:p>
            <w:pPr>
              <w:ind w:left="40"/>
              <w:spacing w:after="0"/>
              <w:rPr>
                <w:sz w:val="20"/>
                <w:szCs w:val="20"/>
                <w:color w:val="auto"/>
              </w:rPr>
            </w:pPr>
            <w:r>
              <w:rPr>
                <w:rFonts w:ascii="Arial" w:cs="Arial" w:eastAsia="Arial" w:hAnsi="Arial"/>
                <w:sz w:val="16"/>
                <w:szCs w:val="16"/>
                <w:color w:val="auto"/>
              </w:rPr>
              <w:t>Municipal</w:t>
            </w: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4.3</w:t>
            </w: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4.1</w:t>
            </w:r>
          </w:p>
        </w:tc>
        <w:tc>
          <w:tcPr>
            <w:tcW w:w="840" w:type="dxa"/>
            <w:vAlign w:val="bottom"/>
          </w:tcPr>
          <w:p>
            <w:pPr>
              <w:jc w:val="right"/>
              <w:spacing w:after="0"/>
              <w:rPr>
                <w:sz w:val="20"/>
                <w:szCs w:val="20"/>
                <w:color w:val="auto"/>
              </w:rPr>
            </w:pPr>
            <w:r>
              <w:rPr>
                <w:rFonts w:ascii="Arial" w:cs="Arial" w:eastAsia="Arial" w:hAnsi="Arial"/>
                <w:sz w:val="16"/>
                <w:szCs w:val="16"/>
                <w:color w:val="auto"/>
              </w:rPr>
              <w:t>8.8</w:t>
            </w:r>
          </w:p>
        </w:tc>
        <w:tc>
          <w:tcPr>
            <w:tcW w:w="860" w:type="dxa"/>
            <w:vAlign w:val="bottom"/>
          </w:tcPr>
          <w:p>
            <w:pPr>
              <w:jc w:val="right"/>
              <w:spacing w:after="0"/>
              <w:rPr>
                <w:sz w:val="20"/>
                <w:szCs w:val="20"/>
                <w:color w:val="auto"/>
              </w:rPr>
            </w:pPr>
            <w:r>
              <w:rPr>
                <w:rFonts w:ascii="Arial" w:cs="Arial" w:eastAsia="Arial" w:hAnsi="Arial"/>
                <w:sz w:val="16"/>
                <w:szCs w:val="16"/>
                <w:color w:val="auto"/>
              </w:rPr>
              <w:t>8.4</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34.1</w:t>
            </w:r>
          </w:p>
        </w:tc>
        <w:tc>
          <w:tcPr>
            <w:tcW w:w="840" w:type="dxa"/>
            <w:vAlign w:val="bottom"/>
          </w:tcPr>
          <w:p>
            <w:pPr>
              <w:jc w:val="right"/>
              <w:spacing w:after="0"/>
              <w:rPr>
                <w:sz w:val="20"/>
                <w:szCs w:val="20"/>
                <w:color w:val="auto"/>
              </w:rPr>
            </w:pPr>
            <w:r>
              <w:rPr>
                <w:rFonts w:ascii="Arial" w:cs="Arial" w:eastAsia="Arial" w:hAnsi="Arial"/>
                <w:sz w:val="16"/>
                <w:szCs w:val="16"/>
                <w:color w:val="auto"/>
              </w:rPr>
              <w:t>36.1</w:t>
            </w:r>
          </w:p>
        </w:tc>
        <w:tc>
          <w:tcPr>
            <w:tcW w:w="1220" w:type="dxa"/>
            <w:vAlign w:val="bottom"/>
          </w:tcPr>
          <w:p>
            <w:pPr>
              <w:jc w:val="right"/>
              <w:ind w:right="219"/>
              <w:spacing w:after="0"/>
              <w:rPr>
                <w:sz w:val="20"/>
                <w:szCs w:val="20"/>
                <w:color w:val="auto"/>
              </w:rPr>
            </w:pPr>
            <w:r>
              <w:rPr>
                <w:rFonts w:ascii="Arial" w:cs="Arial" w:eastAsia="Arial" w:hAnsi="Arial"/>
                <w:sz w:val="16"/>
                <w:szCs w:val="16"/>
                <w:color w:val="auto"/>
              </w:rPr>
              <w:t>68.7</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70.3</w:t>
            </w:r>
          </w:p>
        </w:tc>
      </w:tr>
      <w:tr>
        <w:trPr>
          <w:trHeight w:val="189"/>
        </w:trPr>
        <w:tc>
          <w:tcPr>
            <w:tcW w:w="39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Other Retail</w:t>
            </w:r>
          </w:p>
        </w:tc>
        <w:tc>
          <w:tcPr>
            <w:tcW w:w="140" w:type="dxa"/>
            <w:vAlign w:val="bottom"/>
            <w:tcBorders>
              <w:bottom w:val="single" w:sz="8" w:color="auto"/>
            </w:tcBorders>
            <w:shd w:val="clear" w:color="auto" w:fill="CFF0FC"/>
          </w:tcPr>
          <w:p>
            <w:pPr>
              <w:spacing w:after="0"/>
              <w:rPr>
                <w:sz w:val="16"/>
                <w:szCs w:val="16"/>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w:t>
            </w:r>
          </w:p>
        </w:tc>
        <w:tc>
          <w:tcPr>
            <w:tcW w:w="200" w:type="dxa"/>
            <w:vAlign w:val="bottom"/>
            <w:tcBorders>
              <w:bottom w:val="single" w:sz="8" w:color="auto"/>
            </w:tcBorders>
            <w:shd w:val="clear" w:color="auto" w:fill="CFF0FC"/>
          </w:tcPr>
          <w:p>
            <w:pPr>
              <w:spacing w:after="0"/>
              <w:rPr>
                <w:sz w:val="16"/>
                <w:szCs w:val="16"/>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6.9</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7.0</w:t>
            </w:r>
          </w:p>
        </w:tc>
        <w:tc>
          <w:tcPr>
            <w:tcW w:w="10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FF0FC"/>
          </w:tcPr>
          <w:p>
            <w:pPr>
              <w:jc w:val="right"/>
              <w:ind w:right="2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r>
      <w:tr>
        <w:trPr>
          <w:trHeight w:val="198"/>
        </w:trPr>
        <w:tc>
          <w:tcPr>
            <w:tcW w:w="3920" w:type="dxa"/>
            <w:vAlign w:val="bottom"/>
          </w:tcPr>
          <w:p>
            <w:pPr>
              <w:ind w:left="80"/>
              <w:spacing w:after="0"/>
              <w:rPr>
                <w:sz w:val="20"/>
                <w:szCs w:val="20"/>
                <w:color w:val="auto"/>
              </w:rPr>
            </w:pPr>
            <w:r>
              <w:rPr>
                <w:rFonts w:ascii="Arial" w:cs="Arial" w:eastAsia="Arial" w:hAnsi="Arial"/>
                <w:sz w:val="16"/>
                <w:szCs w:val="16"/>
                <w:color w:val="auto"/>
              </w:rPr>
              <w:t>Subtotal Retail Revenue - Electric</w:t>
            </w: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178.1</w:t>
            </w:r>
          </w:p>
        </w:tc>
        <w:tc>
          <w:tcPr>
            <w:tcW w:w="2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163.4</w:t>
            </w:r>
          </w:p>
        </w:tc>
        <w:tc>
          <w:tcPr>
            <w:tcW w:w="840" w:type="dxa"/>
            <w:vAlign w:val="bottom"/>
          </w:tcPr>
          <w:p>
            <w:pPr>
              <w:jc w:val="right"/>
              <w:spacing w:after="0"/>
              <w:rPr>
                <w:sz w:val="20"/>
                <w:szCs w:val="20"/>
                <w:color w:val="auto"/>
              </w:rPr>
            </w:pPr>
            <w:r>
              <w:rPr>
                <w:rFonts w:ascii="Arial" w:cs="Arial" w:eastAsia="Arial" w:hAnsi="Arial"/>
                <w:sz w:val="16"/>
                <w:szCs w:val="16"/>
                <w:color w:val="auto"/>
              </w:rPr>
              <w:t>369.4</w:t>
            </w:r>
          </w:p>
        </w:tc>
        <w:tc>
          <w:tcPr>
            <w:tcW w:w="860" w:type="dxa"/>
            <w:vAlign w:val="bottom"/>
          </w:tcPr>
          <w:p>
            <w:pPr>
              <w:jc w:val="right"/>
              <w:spacing w:after="0"/>
              <w:rPr>
                <w:sz w:val="20"/>
                <w:szCs w:val="20"/>
                <w:color w:val="auto"/>
              </w:rPr>
            </w:pPr>
            <w:r>
              <w:rPr>
                <w:rFonts w:ascii="Arial" w:cs="Arial" w:eastAsia="Arial" w:hAnsi="Arial"/>
                <w:sz w:val="16"/>
                <w:szCs w:val="16"/>
                <w:color w:val="auto"/>
              </w:rPr>
              <w:t>343.1</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1,518.7</w:t>
            </w:r>
          </w:p>
        </w:tc>
        <w:tc>
          <w:tcPr>
            <w:tcW w:w="840" w:type="dxa"/>
            <w:vAlign w:val="bottom"/>
          </w:tcPr>
          <w:p>
            <w:pPr>
              <w:jc w:val="right"/>
              <w:spacing w:after="0"/>
              <w:rPr>
                <w:sz w:val="20"/>
                <w:szCs w:val="20"/>
                <w:color w:val="auto"/>
              </w:rPr>
            </w:pPr>
            <w:r>
              <w:rPr>
                <w:rFonts w:ascii="Arial" w:cs="Arial" w:eastAsia="Arial" w:hAnsi="Arial"/>
                <w:sz w:val="16"/>
                <w:szCs w:val="16"/>
                <w:color w:val="auto"/>
              </w:rPr>
              <w:t>1,424.8</w:t>
            </w:r>
          </w:p>
        </w:tc>
        <w:tc>
          <w:tcPr>
            <w:tcW w:w="1220" w:type="dxa"/>
            <w:vAlign w:val="bottom"/>
          </w:tcPr>
          <w:p>
            <w:pPr>
              <w:jc w:val="right"/>
              <w:ind w:right="219"/>
              <w:spacing w:after="0"/>
              <w:rPr>
                <w:sz w:val="20"/>
                <w:szCs w:val="20"/>
                <w:color w:val="auto"/>
              </w:rPr>
            </w:pPr>
            <w:r>
              <w:rPr>
                <w:rFonts w:ascii="Arial" w:cs="Arial" w:eastAsia="Arial" w:hAnsi="Arial"/>
                <w:sz w:val="16"/>
                <w:szCs w:val="16"/>
                <w:color w:val="auto"/>
              </w:rPr>
              <w:t>3,086.7</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2,913.2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289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rPr>
          <w:sz w:val="20"/>
          <w:szCs w:val="20"/>
          <w:color w:val="auto"/>
        </w:rPr>
      </w:pPr>
      <w:r>
        <w:rPr>
          <w:rFonts w:ascii="Arial" w:cs="Arial" w:eastAsia="Arial" w:hAnsi="Arial"/>
          <w:sz w:val="16"/>
          <w:szCs w:val="16"/>
          <w:color w:val="auto"/>
        </w:rPr>
        <w:t>Wholesale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Market - off-system sales</w:t>
      </w:r>
    </w:p>
    <w:p>
      <w:pPr>
        <w:spacing w:after="0" w:line="228" w:lineRule="auto"/>
        <w:rPr>
          <w:sz w:val="20"/>
          <w:szCs w:val="20"/>
          <w:color w:val="auto"/>
        </w:rPr>
      </w:pPr>
      <w:r>
        <w:rPr>
          <w:rFonts w:ascii="Arial" w:cs="Arial" w:eastAsia="Arial" w:hAnsi="Arial"/>
          <w:sz w:val="16"/>
          <w:szCs w:val="16"/>
          <w:color w:val="auto"/>
        </w:rPr>
        <w:t>Transmission</w:t>
      </w:r>
    </w:p>
    <w:p>
      <w:pPr>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(b)</w:t>
      </w:r>
    </w:p>
    <w:p>
      <w:pPr>
        <w:spacing w:after="0" w:line="21" w:lineRule="exact"/>
        <w:rPr>
          <w:sz w:val="20"/>
          <w:szCs w:val="20"/>
          <w:color w:val="auto"/>
        </w:rPr>
      </w:pPr>
    </w:p>
    <w:p>
      <w:pPr>
        <w:ind w:right="200" w:firstLine="36"/>
        <w:spacing w:after="0" w:line="243" w:lineRule="auto"/>
        <w:rPr>
          <w:sz w:val="20"/>
          <w:szCs w:val="20"/>
          <w:color w:val="auto"/>
        </w:rPr>
      </w:pPr>
      <w:r>
        <w:rPr>
          <w:rFonts w:ascii="Arial" w:cs="Arial" w:eastAsia="Arial" w:hAnsi="Arial"/>
          <w:sz w:val="16"/>
          <w:szCs w:val="16"/>
          <w:color w:val="auto"/>
        </w:rPr>
        <w:t xml:space="preserve">Total Revenue and Quantities Sold Other Uses, Losses, or Generation, net </w:t>
      </w:r>
      <w:r>
        <w:rPr>
          <w:rFonts w:ascii="Arial" w:cs="Arial" w:eastAsia="Arial" w:hAnsi="Arial"/>
          <w:sz w:val="21"/>
          <w:szCs w:val="21"/>
          <w:color w:val="auto"/>
          <w:vertAlign w:val="superscript"/>
        </w:rPr>
        <w:t>(c)</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6"/>
          <w:szCs w:val="16"/>
          <w:color w:val="auto"/>
        </w:rPr>
        <w:t>Total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104584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780" w:type="dxa"/>
            <w:vAlign w:val="bottom"/>
          </w:tcPr>
          <w:p>
            <w:pPr>
              <w:jc w:val="right"/>
              <w:spacing w:after="0" w:line="173" w:lineRule="exact"/>
              <w:rPr>
                <w:sz w:val="20"/>
                <w:szCs w:val="20"/>
                <w:color w:val="auto"/>
              </w:rPr>
            </w:pPr>
            <w:r>
              <w:rPr>
                <w:rFonts w:ascii="Arial" w:cs="Arial" w:eastAsia="Arial" w:hAnsi="Arial"/>
                <w:sz w:val="16"/>
                <w:szCs w:val="16"/>
                <w:color w:val="auto"/>
              </w:rPr>
              <w:t>4.2</w:t>
            </w:r>
          </w:p>
        </w:tc>
        <w:tc>
          <w:tcPr>
            <w:tcW w:w="260" w:type="dxa"/>
            <w:vAlign w:val="bottom"/>
          </w:tcPr>
          <w:p>
            <w:pPr>
              <w:spacing w:after="0"/>
              <w:rPr>
                <w:sz w:val="15"/>
                <w:szCs w:val="15"/>
                <w:color w:val="auto"/>
              </w:rPr>
            </w:pPr>
          </w:p>
        </w:tc>
        <w:tc>
          <w:tcPr>
            <w:tcW w:w="580" w:type="dxa"/>
            <w:vAlign w:val="bottom"/>
          </w:tcPr>
          <w:p>
            <w:pPr>
              <w:jc w:val="right"/>
              <w:spacing w:after="0" w:line="173" w:lineRule="exact"/>
              <w:rPr>
                <w:sz w:val="20"/>
                <w:szCs w:val="20"/>
                <w:color w:val="auto"/>
              </w:rPr>
            </w:pPr>
            <w:r>
              <w:rPr>
                <w:rFonts w:ascii="Arial" w:cs="Arial" w:eastAsia="Arial" w:hAnsi="Arial"/>
                <w:sz w:val="16"/>
                <w:szCs w:val="16"/>
                <w:color w:val="auto"/>
              </w:rPr>
              <w:t>6.5</w:t>
            </w:r>
          </w:p>
        </w:tc>
        <w:tc>
          <w:tcPr>
            <w:tcW w:w="260" w:type="dxa"/>
            <w:vAlign w:val="bottom"/>
          </w:tcPr>
          <w:p>
            <w:pPr>
              <w:spacing w:after="0"/>
              <w:rPr>
                <w:sz w:val="15"/>
                <w:szCs w:val="15"/>
                <w:color w:val="auto"/>
              </w:rPr>
            </w:pPr>
          </w:p>
        </w:tc>
        <w:tc>
          <w:tcPr>
            <w:tcW w:w="580" w:type="dxa"/>
            <w:vAlign w:val="bottom"/>
          </w:tcPr>
          <w:p>
            <w:pPr>
              <w:jc w:val="right"/>
              <w:spacing w:after="0" w:line="173" w:lineRule="exact"/>
              <w:rPr>
                <w:sz w:val="20"/>
                <w:szCs w:val="20"/>
                <w:color w:val="auto"/>
              </w:rPr>
            </w:pPr>
            <w:r>
              <w:rPr>
                <w:rFonts w:ascii="Arial" w:cs="Arial" w:eastAsia="Arial" w:hAnsi="Arial"/>
                <w:sz w:val="16"/>
                <w:szCs w:val="16"/>
                <w:color w:val="auto"/>
              </w:rPr>
              <w:t>11.3</w:t>
            </w:r>
          </w:p>
        </w:tc>
        <w:tc>
          <w:tcPr>
            <w:tcW w:w="260" w:type="dxa"/>
            <w:vAlign w:val="bottom"/>
          </w:tcPr>
          <w:p>
            <w:pPr>
              <w:spacing w:after="0"/>
              <w:rPr>
                <w:sz w:val="15"/>
                <w:szCs w:val="15"/>
                <w:color w:val="auto"/>
              </w:rPr>
            </w:pPr>
          </w:p>
        </w:tc>
        <w:tc>
          <w:tcPr>
            <w:tcW w:w="640" w:type="dxa"/>
            <w:vAlign w:val="bottom"/>
          </w:tcPr>
          <w:p>
            <w:pPr>
              <w:jc w:val="right"/>
              <w:ind w:right="39"/>
              <w:spacing w:after="0" w:line="173" w:lineRule="exact"/>
              <w:rPr>
                <w:sz w:val="20"/>
                <w:szCs w:val="20"/>
                <w:color w:val="auto"/>
              </w:rPr>
            </w:pPr>
            <w:r>
              <w:rPr>
                <w:rFonts w:ascii="Arial" w:cs="Arial" w:eastAsia="Arial" w:hAnsi="Arial"/>
                <w:sz w:val="16"/>
                <w:szCs w:val="16"/>
                <w:color w:val="auto"/>
              </w:rPr>
              <w:t>15.0</w:t>
            </w:r>
          </w:p>
        </w:tc>
        <w:tc>
          <w:tcPr>
            <w:tcW w:w="200" w:type="dxa"/>
            <w:vAlign w:val="bottom"/>
          </w:tcPr>
          <w:p>
            <w:pPr>
              <w:spacing w:after="0"/>
              <w:rPr>
                <w:sz w:val="15"/>
                <w:szCs w:val="15"/>
                <w:color w:val="auto"/>
              </w:rPr>
            </w:pPr>
          </w:p>
        </w:tc>
        <w:tc>
          <w:tcPr>
            <w:tcW w:w="720" w:type="dxa"/>
            <w:vAlign w:val="bottom"/>
          </w:tcPr>
          <w:p>
            <w:pPr>
              <w:jc w:val="right"/>
              <w:spacing w:after="0" w:line="173" w:lineRule="exact"/>
              <w:rPr>
                <w:sz w:val="20"/>
                <w:szCs w:val="20"/>
                <w:color w:val="auto"/>
              </w:rPr>
            </w:pPr>
            <w:r>
              <w:rPr>
                <w:rFonts w:ascii="Arial" w:cs="Arial" w:eastAsia="Arial" w:hAnsi="Arial"/>
                <w:sz w:val="16"/>
                <w:szCs w:val="16"/>
                <w:color w:val="auto"/>
              </w:rPr>
              <w:t>108.4</w:t>
            </w:r>
          </w:p>
        </w:tc>
        <w:tc>
          <w:tcPr>
            <w:tcW w:w="240" w:type="dxa"/>
            <w:vAlign w:val="bottom"/>
          </w:tcPr>
          <w:p>
            <w:pPr>
              <w:spacing w:after="0"/>
              <w:rPr>
                <w:sz w:val="15"/>
                <w:szCs w:val="15"/>
                <w:color w:val="auto"/>
              </w:rPr>
            </w:pPr>
          </w:p>
        </w:tc>
        <w:tc>
          <w:tcPr>
            <w:tcW w:w="840" w:type="dxa"/>
            <w:vAlign w:val="bottom"/>
          </w:tcPr>
          <w:p>
            <w:pPr>
              <w:jc w:val="right"/>
              <w:ind w:right="139"/>
              <w:spacing w:after="0" w:line="173" w:lineRule="exact"/>
              <w:rPr>
                <w:sz w:val="20"/>
                <w:szCs w:val="20"/>
                <w:color w:val="auto"/>
              </w:rPr>
            </w:pPr>
            <w:r>
              <w:rPr>
                <w:rFonts w:ascii="Arial" w:cs="Arial" w:eastAsia="Arial" w:hAnsi="Arial"/>
                <w:sz w:val="16"/>
                <w:szCs w:val="16"/>
                <w:color w:val="auto"/>
              </w:rPr>
              <w:t>158.7</w:t>
            </w:r>
          </w:p>
        </w:tc>
        <w:tc>
          <w:tcPr>
            <w:tcW w:w="1020" w:type="dxa"/>
            <w:vAlign w:val="bottom"/>
          </w:tcPr>
          <w:p>
            <w:pPr>
              <w:jc w:val="right"/>
              <w:ind w:right="159"/>
              <w:spacing w:after="0" w:line="173" w:lineRule="exact"/>
              <w:rPr>
                <w:sz w:val="20"/>
                <w:szCs w:val="20"/>
                <w:color w:val="auto"/>
              </w:rPr>
            </w:pPr>
            <w:r>
              <w:rPr>
                <w:rFonts w:ascii="Arial" w:cs="Arial" w:eastAsia="Arial" w:hAnsi="Arial"/>
                <w:sz w:val="16"/>
                <w:szCs w:val="16"/>
                <w:color w:val="auto"/>
              </w:rPr>
              <w:t>256.2</w:t>
            </w:r>
          </w:p>
        </w:tc>
        <w:tc>
          <w:tcPr>
            <w:tcW w:w="940" w:type="dxa"/>
            <w:vAlign w:val="bottom"/>
          </w:tcPr>
          <w:p>
            <w:pPr>
              <w:jc w:val="right"/>
              <w:ind w:right="59"/>
              <w:spacing w:after="0" w:line="173" w:lineRule="exact"/>
              <w:rPr>
                <w:sz w:val="20"/>
                <w:szCs w:val="20"/>
                <w:color w:val="auto"/>
              </w:rPr>
            </w:pPr>
            <w:r>
              <w:rPr>
                <w:rFonts w:ascii="Arial" w:cs="Arial" w:eastAsia="Arial" w:hAnsi="Arial"/>
                <w:sz w:val="16"/>
                <w:szCs w:val="16"/>
                <w:color w:val="auto"/>
              </w:rPr>
              <w:t>334.7</w:t>
            </w:r>
          </w:p>
        </w:tc>
      </w:tr>
      <w:tr>
        <w:trPr>
          <w:trHeight w:val="189"/>
        </w:trPr>
        <w:tc>
          <w:tcPr>
            <w:tcW w:w="780" w:type="dxa"/>
            <w:vAlign w:val="bottom"/>
          </w:tcPr>
          <w:p>
            <w:pPr>
              <w:jc w:val="right"/>
              <w:spacing w:after="0"/>
              <w:rPr>
                <w:sz w:val="20"/>
                <w:szCs w:val="20"/>
                <w:color w:val="auto"/>
              </w:rPr>
            </w:pPr>
            <w:r>
              <w:rPr>
                <w:rFonts w:ascii="Arial" w:cs="Arial" w:eastAsia="Arial" w:hAnsi="Arial"/>
                <w:sz w:val="16"/>
                <w:szCs w:val="16"/>
                <w:color w:val="auto"/>
              </w:rPr>
              <w:t>10.7</w:t>
            </w:r>
          </w:p>
        </w:tc>
        <w:tc>
          <w:tcPr>
            <w:tcW w:w="2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5.5</w:t>
            </w:r>
          </w:p>
        </w:tc>
        <w:tc>
          <w:tcPr>
            <w:tcW w:w="2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22.0</w:t>
            </w:r>
          </w:p>
        </w:tc>
        <w:tc>
          <w:tcPr>
            <w:tcW w:w="260" w:type="dxa"/>
            <w:vAlign w:val="bottom"/>
          </w:tcPr>
          <w:p>
            <w:pPr>
              <w:spacing w:after="0"/>
              <w:rPr>
                <w:sz w:val="16"/>
                <w:szCs w:val="16"/>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12.1</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220.0</w:t>
            </w:r>
          </w:p>
        </w:tc>
        <w:tc>
          <w:tcPr>
            <w:tcW w:w="240" w:type="dxa"/>
            <w:vAlign w:val="bottom"/>
          </w:tcPr>
          <w:p>
            <w:pPr>
              <w:spacing w:after="0"/>
              <w:rPr>
                <w:sz w:val="16"/>
                <w:szCs w:val="16"/>
                <w:color w:val="auto"/>
              </w:rPr>
            </w:pPr>
          </w:p>
        </w:tc>
        <w:tc>
          <w:tcPr>
            <w:tcW w:w="840" w:type="dxa"/>
            <w:vAlign w:val="bottom"/>
          </w:tcPr>
          <w:p>
            <w:pPr>
              <w:jc w:val="right"/>
              <w:ind w:right="139"/>
              <w:spacing w:after="0"/>
              <w:rPr>
                <w:sz w:val="20"/>
                <w:szCs w:val="20"/>
                <w:color w:val="auto"/>
              </w:rPr>
            </w:pPr>
            <w:r>
              <w:rPr>
                <w:rFonts w:ascii="Arial" w:cs="Arial" w:eastAsia="Arial" w:hAnsi="Arial"/>
                <w:sz w:val="16"/>
                <w:szCs w:val="16"/>
                <w:color w:val="auto"/>
              </w:rPr>
              <w:t>164.2</w:t>
            </w:r>
          </w:p>
        </w:tc>
        <w:tc>
          <w:tcPr>
            <w:tcW w:w="1020" w:type="dxa"/>
            <w:vAlign w:val="bottom"/>
          </w:tcPr>
          <w:p>
            <w:pPr>
              <w:jc w:val="right"/>
              <w:ind w:right="159"/>
              <w:spacing w:after="0"/>
              <w:rPr>
                <w:sz w:val="20"/>
                <w:szCs w:val="20"/>
                <w:color w:val="auto"/>
              </w:rPr>
            </w:pPr>
            <w:r>
              <w:rPr>
                <w:rFonts w:ascii="Arial" w:cs="Arial" w:eastAsia="Arial" w:hAnsi="Arial"/>
                <w:sz w:val="16"/>
                <w:szCs w:val="16"/>
                <w:color w:val="auto"/>
              </w:rPr>
              <w:t>393.6</w:t>
            </w: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279.8</w:t>
            </w:r>
          </w:p>
        </w:tc>
      </w:tr>
      <w:tr>
        <w:trPr>
          <w:trHeight w:val="189"/>
        </w:trPr>
        <w:tc>
          <w:tcPr>
            <w:tcW w:w="780" w:type="dxa"/>
            <w:vAlign w:val="bottom"/>
          </w:tcPr>
          <w:p>
            <w:pPr>
              <w:jc w:val="right"/>
              <w:spacing w:after="0"/>
              <w:rPr>
                <w:sz w:val="20"/>
                <w:szCs w:val="20"/>
                <w:color w:val="auto"/>
              </w:rPr>
            </w:pPr>
            <w:r>
              <w:rPr>
                <w:rFonts w:ascii="Arial" w:cs="Arial" w:eastAsia="Arial" w:hAnsi="Arial"/>
                <w:sz w:val="16"/>
                <w:szCs w:val="16"/>
                <w:color w:val="auto"/>
              </w:rPr>
              <w:t>10.1</w:t>
            </w:r>
          </w:p>
        </w:tc>
        <w:tc>
          <w:tcPr>
            <w:tcW w:w="2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12.9</w:t>
            </w:r>
          </w:p>
        </w:tc>
        <w:tc>
          <w:tcPr>
            <w:tcW w:w="2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22.2</w:t>
            </w:r>
          </w:p>
        </w:tc>
        <w:tc>
          <w:tcPr>
            <w:tcW w:w="260" w:type="dxa"/>
            <w:vAlign w:val="bottom"/>
          </w:tcPr>
          <w:p>
            <w:pPr>
              <w:spacing w:after="0"/>
              <w:rPr>
                <w:sz w:val="16"/>
                <w:szCs w:val="16"/>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25.5</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8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203"/>
        </w:trPr>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w:t>
            </w:r>
          </w:p>
        </w:tc>
        <w:tc>
          <w:tcPr>
            <w:tcW w:w="2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w:t>
            </w:r>
          </w:p>
        </w:tc>
        <w:tc>
          <w:tcPr>
            <w:tcW w:w="2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w:t>
            </w:r>
          </w:p>
        </w:tc>
        <w:tc>
          <w:tcPr>
            <w:tcW w:w="2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31.6</w:t>
            </w: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r>
      <w:tr>
        <w:trPr>
          <w:trHeight w:val="183"/>
        </w:trPr>
        <w:tc>
          <w:tcPr>
            <w:tcW w:w="7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   219.9</w:t>
            </w:r>
          </w:p>
        </w:tc>
        <w:tc>
          <w:tcPr>
            <w:tcW w:w="26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205.1</w:t>
            </w:r>
          </w:p>
        </w:tc>
        <w:tc>
          <w:tcPr>
            <w:tcW w:w="26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456.6</w:t>
            </w:r>
          </w:p>
        </w:tc>
        <w:tc>
          <w:tcPr>
            <w:tcW w:w="26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427.3</w:t>
            </w: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1,847.1</w:t>
            </w:r>
          </w:p>
        </w:tc>
        <w:tc>
          <w:tcPr>
            <w:tcW w:w="24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39"/>
              <w:spacing w:after="0" w:line="183" w:lineRule="exact"/>
              <w:rPr>
                <w:sz w:val="20"/>
                <w:szCs w:val="20"/>
                <w:color w:val="auto"/>
              </w:rPr>
            </w:pPr>
            <w:r>
              <w:rPr>
                <w:rFonts w:ascii="Arial" w:cs="Arial" w:eastAsia="Arial" w:hAnsi="Arial"/>
                <w:sz w:val="16"/>
                <w:szCs w:val="16"/>
                <w:color w:val="auto"/>
              </w:rPr>
              <w:t>1,747.7</w:t>
            </w:r>
          </w:p>
        </w:tc>
        <w:tc>
          <w:tcPr>
            <w:tcW w:w="1020" w:type="dxa"/>
            <w:vAlign w:val="bottom"/>
            <w:tcBorders>
              <w:bottom w:val="single" w:sz="8" w:color="auto"/>
            </w:tcBorders>
          </w:tcPr>
          <w:p>
            <w:pPr>
              <w:jc w:val="right"/>
              <w:ind w:right="159"/>
              <w:spacing w:after="0" w:line="183" w:lineRule="exact"/>
              <w:rPr>
                <w:sz w:val="20"/>
                <w:szCs w:val="20"/>
                <w:color w:val="auto"/>
              </w:rPr>
            </w:pPr>
            <w:r>
              <w:rPr>
                <w:rFonts w:ascii="Arial" w:cs="Arial" w:eastAsia="Arial" w:hAnsi="Arial"/>
                <w:sz w:val="16"/>
                <w:szCs w:val="16"/>
                <w:color w:val="auto"/>
              </w:rPr>
              <w:t>3,736.5</w:t>
            </w:r>
          </w:p>
        </w:tc>
        <w:tc>
          <w:tcPr>
            <w:tcW w:w="94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3,527.7</w:t>
            </w:r>
          </w:p>
        </w:tc>
      </w:tr>
      <w:tr>
        <w:trPr>
          <w:trHeight w:val="20"/>
        </w:trPr>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69"/>
        </w:trPr>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6"/>
                <w:szCs w:val="16"/>
                <w:color w:val="auto"/>
              </w:rPr>
              <w:t>125.4</w:t>
            </w: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39"/>
              <w:spacing w:after="0" w:line="170" w:lineRule="exact"/>
              <w:rPr>
                <w:sz w:val="20"/>
                <w:szCs w:val="20"/>
                <w:color w:val="auto"/>
              </w:rPr>
            </w:pPr>
            <w:r>
              <w:rPr>
                <w:rFonts w:ascii="Arial" w:cs="Arial" w:eastAsia="Arial" w:hAnsi="Arial"/>
                <w:sz w:val="16"/>
                <w:szCs w:val="16"/>
                <w:color w:val="auto"/>
              </w:rPr>
              <w:t>25.1</w:t>
            </w:r>
          </w:p>
        </w:tc>
        <w:tc>
          <w:tcPr>
            <w:tcW w:w="1020" w:type="dxa"/>
            <w:vAlign w:val="bottom"/>
            <w:tcBorders>
              <w:bottom w:val="single" w:sz="8" w:color="auto"/>
            </w:tcBorders>
          </w:tcPr>
          <w:p>
            <w:pPr>
              <w:jc w:val="right"/>
              <w:ind w:right="159"/>
              <w:spacing w:after="0" w:line="170" w:lineRule="exact"/>
              <w:rPr>
                <w:sz w:val="20"/>
                <w:szCs w:val="20"/>
                <w:color w:val="auto"/>
              </w:rPr>
            </w:pPr>
            <w:r>
              <w:rPr>
                <w:rFonts w:ascii="Arial" w:cs="Arial" w:eastAsia="Arial" w:hAnsi="Arial"/>
                <w:sz w:val="16"/>
                <w:szCs w:val="16"/>
                <w:color w:val="auto"/>
              </w:rPr>
              <w:t>219.5</w:t>
            </w:r>
          </w:p>
        </w:tc>
        <w:tc>
          <w:tcPr>
            <w:tcW w:w="940" w:type="dxa"/>
            <w:vAlign w:val="bottom"/>
            <w:tcBorders>
              <w:bottom w:val="single" w:sz="8" w:color="auto"/>
            </w:tcBorders>
          </w:tcPr>
          <w:p>
            <w:pPr>
              <w:jc w:val="right"/>
              <w:ind w:right="59"/>
              <w:spacing w:after="0" w:line="170" w:lineRule="exact"/>
              <w:rPr>
                <w:sz w:val="20"/>
                <w:szCs w:val="20"/>
                <w:color w:val="auto"/>
              </w:rPr>
            </w:pPr>
            <w:r>
              <w:rPr>
                <w:rFonts w:ascii="Arial" w:cs="Arial" w:eastAsia="Arial" w:hAnsi="Arial"/>
                <w:sz w:val="16"/>
                <w:szCs w:val="16"/>
                <w:color w:val="auto"/>
              </w:rPr>
              <w:t>126.9</w:t>
            </w:r>
          </w:p>
        </w:tc>
      </w:tr>
      <w:tr>
        <w:trPr>
          <w:trHeight w:val="183"/>
        </w:trPr>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1,972.5</w:t>
            </w: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39"/>
              <w:spacing w:after="0" w:line="183" w:lineRule="exact"/>
              <w:rPr>
                <w:sz w:val="20"/>
                <w:szCs w:val="20"/>
                <w:color w:val="auto"/>
              </w:rPr>
            </w:pPr>
            <w:r>
              <w:rPr>
                <w:rFonts w:ascii="Arial" w:cs="Arial" w:eastAsia="Arial" w:hAnsi="Arial"/>
                <w:sz w:val="16"/>
                <w:szCs w:val="16"/>
                <w:color w:val="auto"/>
              </w:rPr>
              <w:t>1,772.8</w:t>
            </w:r>
          </w:p>
        </w:tc>
        <w:tc>
          <w:tcPr>
            <w:tcW w:w="1020" w:type="dxa"/>
            <w:vAlign w:val="bottom"/>
            <w:tcBorders>
              <w:bottom w:val="single" w:sz="8" w:color="auto"/>
            </w:tcBorders>
          </w:tcPr>
          <w:p>
            <w:pPr>
              <w:jc w:val="right"/>
              <w:ind w:right="159"/>
              <w:spacing w:after="0" w:line="183" w:lineRule="exact"/>
              <w:rPr>
                <w:sz w:val="20"/>
                <w:szCs w:val="20"/>
                <w:color w:val="auto"/>
              </w:rPr>
            </w:pPr>
            <w:r>
              <w:rPr>
                <w:rFonts w:ascii="Arial" w:cs="Arial" w:eastAsia="Arial" w:hAnsi="Arial"/>
                <w:sz w:val="16"/>
                <w:szCs w:val="16"/>
                <w:color w:val="auto"/>
              </w:rPr>
              <w:t>3,956.0</w:t>
            </w:r>
          </w:p>
        </w:tc>
        <w:tc>
          <w:tcPr>
            <w:tcW w:w="94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3,654.6</w:t>
            </w:r>
          </w:p>
        </w:tc>
      </w:tr>
      <w:tr>
        <w:trPr>
          <w:trHeight w:val="20"/>
        </w:trPr>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-2483485</wp:posOffset>
            </wp:positionH>
            <wp:positionV relativeFrom="paragraph">
              <wp:posOffset>-668020</wp:posOffset>
            </wp:positionV>
            <wp:extent cx="7132320" cy="1200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-2483485</wp:posOffset>
            </wp:positionH>
            <wp:positionV relativeFrom="paragraph">
              <wp:posOffset>-419735</wp:posOffset>
            </wp:positionV>
            <wp:extent cx="7132320" cy="1460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-2483485</wp:posOffset>
            </wp:positionH>
            <wp:positionV relativeFrom="paragraph">
              <wp:posOffset>-144780</wp:posOffset>
            </wp:positionV>
            <wp:extent cx="7132320" cy="1454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39" w:lineRule="exact"/>
        <w:rPr>
          <w:sz w:val="20"/>
          <w:szCs w:val="20"/>
          <w:color w:val="auto"/>
        </w:rPr>
      </w:pPr>
    </w:p>
    <w:p>
      <w:pPr>
        <w:sectPr>
          <w:pgSz w:w="11900" w:h="16838" w:orient="portrait"/>
          <w:cols w:equalWidth="0" w:num="2">
            <w:col w:w="3200" w:space="720"/>
            <w:col w:w="7320"/>
          </w:cols>
          <w:pgMar w:left="320" w:top="125" w:right="339" w:bottom="1440" w:gutter="0" w:footer="0" w:header="0"/>
          <w:type w:val="continuous"/>
        </w:sectPr>
      </w:pPr>
    </w:p>
    <w:p>
      <w:pPr>
        <w:ind w:left="520" w:right="160" w:hanging="512"/>
        <w:spacing w:after="0" w:line="251" w:lineRule="auto"/>
        <w:tabs>
          <w:tab w:leader="none" w:pos="5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increase in industrial revenues and quantities sold for the three and six months ended June 30, 2025, compared to the same periods in 2024, was primarily driven by Wyoming Electric LPCS Tariff and BCIS Tariff customers.</w:t>
      </w:r>
    </w:p>
    <w:p>
      <w:pPr>
        <w:spacing w:after="0" w:line="1" w:lineRule="exact"/>
        <w:rPr>
          <w:rFonts w:ascii="Arial" w:cs="Arial" w:eastAsia="Arial" w:hAnsi="Arial"/>
          <w:sz w:val="14"/>
          <w:szCs w:val="14"/>
          <w:color w:val="auto"/>
        </w:rPr>
      </w:pPr>
    </w:p>
    <w:p>
      <w:pPr>
        <w:ind w:left="520" w:hanging="512"/>
        <w:spacing w:after="0"/>
        <w:tabs>
          <w:tab w:leader="none" w:pos="5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Includes Integrated Generation, inter-segment rent, and non-regulated services to our retail customers under the Service Guard Comfort Plan and Tech Services.</w:t>
      </w:r>
    </w:p>
    <w:p>
      <w:pPr>
        <w:spacing w:after="0" w:line="1" w:lineRule="exact"/>
        <w:rPr>
          <w:rFonts w:ascii="Arial" w:cs="Arial" w:eastAsia="Arial" w:hAnsi="Arial"/>
          <w:sz w:val="14"/>
          <w:szCs w:val="14"/>
          <w:color w:val="auto"/>
        </w:rPr>
      </w:pPr>
    </w:p>
    <w:p>
      <w:pPr>
        <w:ind w:left="520" w:hanging="512"/>
        <w:spacing w:after="0"/>
        <w:tabs>
          <w:tab w:leader="none" w:pos="5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Includes company uses and line losses.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4"/>
          </w:tcPr>
          <w:p>
            <w:pPr>
              <w:jc w:val="right"/>
              <w:ind w:right="539"/>
              <w:spacing w:after="0"/>
              <w:rPr>
                <w:sz w:val="20"/>
                <w:szCs w:val="20"/>
                <w:color w:val="auto"/>
              </w:rPr>
            </w:pPr>
            <w:r>
              <w:rPr>
                <w:rFonts w:ascii="Arial" w:cs="Arial" w:eastAsia="Arial" w:hAnsi="Arial"/>
                <w:sz w:val="16"/>
                <w:szCs w:val="16"/>
                <w:b w:val="1"/>
                <w:bCs w:val="1"/>
                <w:color w:val="auto"/>
              </w:rPr>
              <w:t>Revenue</w:t>
            </w: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2"/>
          </w:tcPr>
          <w:p>
            <w:pPr>
              <w:jc w:val="right"/>
              <w:ind w:right="359"/>
              <w:spacing w:after="0"/>
              <w:rPr>
                <w:sz w:val="20"/>
                <w:szCs w:val="20"/>
                <w:color w:val="auto"/>
              </w:rPr>
            </w:pPr>
            <w:r>
              <w:rPr>
                <w:rFonts w:ascii="Arial" w:cs="Arial" w:eastAsia="Arial" w:hAnsi="Arial"/>
                <w:sz w:val="16"/>
                <w:szCs w:val="16"/>
                <w:b w:val="1"/>
                <w:bCs w:val="1"/>
                <w:color w:val="auto"/>
              </w:rPr>
              <w:t>Quantities Sold</w:t>
            </w:r>
          </w:p>
        </w:tc>
        <w:tc>
          <w:tcPr>
            <w:tcW w:w="1020" w:type="dxa"/>
            <w:vAlign w:val="bottom"/>
            <w:tcBorders>
              <w:bottom w:val="single" w:sz="8" w:color="auto"/>
            </w:tcBorders>
          </w:tcPr>
          <w:p>
            <w:pPr>
              <w:spacing w:after="0"/>
              <w:rPr>
                <w:sz w:val="17"/>
                <w:szCs w:val="17"/>
                <w:color w:val="auto"/>
              </w:rPr>
            </w:pPr>
          </w:p>
        </w:tc>
      </w:tr>
      <w:tr>
        <w:trPr>
          <w:trHeight w:val="168"/>
        </w:trPr>
        <w:tc>
          <w:tcPr>
            <w:tcW w:w="3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720" w:type="dxa"/>
            <w:vAlign w:val="bottom"/>
            <w:gridSpan w:val="5"/>
          </w:tcPr>
          <w:p>
            <w:pPr>
              <w:spacing w:after="0" w:line="168" w:lineRule="exact"/>
              <w:rPr>
                <w:sz w:val="20"/>
                <w:szCs w:val="20"/>
                <w:color w:val="auto"/>
              </w:rPr>
            </w:pPr>
            <w:r>
              <w:rPr>
                <w:rFonts w:ascii="Arial" w:cs="Arial" w:eastAsia="Arial" w:hAnsi="Arial"/>
                <w:sz w:val="16"/>
                <w:szCs w:val="16"/>
                <w:b w:val="1"/>
                <w:bCs w:val="1"/>
                <w:color w:val="auto"/>
              </w:rPr>
              <w:t>Three Months Ended</w:t>
            </w:r>
          </w:p>
        </w:tc>
        <w:tc>
          <w:tcPr>
            <w:tcW w:w="180" w:type="dxa"/>
            <w:vAlign w:val="bottom"/>
          </w:tcPr>
          <w:p>
            <w:pPr>
              <w:spacing w:after="0"/>
              <w:rPr>
                <w:sz w:val="14"/>
                <w:szCs w:val="14"/>
                <w:color w:val="auto"/>
              </w:rPr>
            </w:pPr>
          </w:p>
        </w:tc>
        <w:tc>
          <w:tcPr>
            <w:tcW w:w="1660" w:type="dxa"/>
            <w:vAlign w:val="bottom"/>
            <w:gridSpan w:val="3"/>
          </w:tcPr>
          <w:p>
            <w:pPr>
              <w:jc w:val="right"/>
              <w:ind w:right="159"/>
              <w:spacing w:after="0" w:line="168" w:lineRule="exact"/>
              <w:rPr>
                <w:sz w:val="20"/>
                <w:szCs w:val="20"/>
                <w:color w:val="auto"/>
              </w:rPr>
            </w:pPr>
            <w:r>
              <w:rPr>
                <w:rFonts w:ascii="Arial" w:cs="Arial" w:eastAsia="Arial" w:hAnsi="Arial"/>
                <w:sz w:val="16"/>
                <w:szCs w:val="16"/>
                <w:b w:val="1"/>
                <w:bCs w:val="1"/>
                <w:color w:val="auto"/>
              </w:rPr>
              <w:t>Six Months Ended</w:t>
            </w:r>
          </w:p>
        </w:tc>
        <w:tc>
          <w:tcPr>
            <w:tcW w:w="2020" w:type="dxa"/>
            <w:vAlign w:val="bottom"/>
            <w:gridSpan w:val="2"/>
          </w:tcPr>
          <w:p>
            <w:pPr>
              <w:jc w:val="right"/>
              <w:ind w:right="139"/>
              <w:spacing w:after="0" w:line="168" w:lineRule="exact"/>
              <w:rPr>
                <w:sz w:val="20"/>
                <w:szCs w:val="20"/>
                <w:color w:val="auto"/>
              </w:rPr>
            </w:pPr>
            <w:r>
              <w:rPr>
                <w:rFonts w:ascii="Arial" w:cs="Arial" w:eastAsia="Arial" w:hAnsi="Arial"/>
                <w:sz w:val="16"/>
                <w:szCs w:val="16"/>
                <w:b w:val="1"/>
                <w:bCs w:val="1"/>
                <w:color w:val="auto"/>
              </w:rPr>
              <w:t>Three Months Ended</w:t>
            </w:r>
          </w:p>
        </w:tc>
        <w:tc>
          <w:tcPr>
            <w:tcW w:w="2040" w:type="dxa"/>
            <w:vAlign w:val="bottom"/>
            <w:gridSpan w:val="2"/>
          </w:tcPr>
          <w:p>
            <w:pPr>
              <w:jc w:val="right"/>
              <w:ind w:right="59"/>
              <w:spacing w:after="0" w:line="168" w:lineRule="exact"/>
              <w:rPr>
                <w:sz w:val="20"/>
                <w:szCs w:val="20"/>
                <w:color w:val="auto"/>
              </w:rPr>
            </w:pPr>
            <w:r>
              <w:rPr>
                <w:rFonts w:ascii="Arial" w:cs="Arial" w:eastAsia="Arial" w:hAnsi="Arial"/>
                <w:sz w:val="16"/>
                <w:szCs w:val="16"/>
                <w:b w:val="1"/>
                <w:bCs w:val="1"/>
                <w:color w:val="auto"/>
              </w:rPr>
              <w:t>Six Months Ended June</w:t>
            </w:r>
          </w:p>
        </w:tc>
      </w:tr>
      <w:tr>
        <w:trPr>
          <w:trHeight w:val="189"/>
        </w:trPr>
        <w:tc>
          <w:tcPr>
            <w:tcW w:w="3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gridSpan w:val="4"/>
          </w:tcPr>
          <w:p>
            <w:pPr>
              <w:jc w:val="right"/>
              <w:ind w:right="580"/>
              <w:spacing w:after="0"/>
              <w:rPr>
                <w:sz w:val="20"/>
                <w:szCs w:val="20"/>
                <w:color w:val="auto"/>
              </w:rPr>
            </w:pPr>
            <w:r>
              <w:rPr>
                <w:rFonts w:ascii="Arial" w:cs="Arial" w:eastAsia="Arial" w:hAnsi="Arial"/>
                <w:sz w:val="16"/>
                <w:szCs w:val="16"/>
                <w:b w:val="1"/>
                <w:bCs w:val="1"/>
                <w:color w:val="auto"/>
              </w:rPr>
              <w:t>June 30,</w:t>
            </w:r>
          </w:p>
        </w:tc>
        <w:tc>
          <w:tcPr>
            <w:tcW w:w="180" w:type="dxa"/>
            <w:vAlign w:val="bottom"/>
          </w:tcPr>
          <w:p>
            <w:pPr>
              <w:spacing w:after="0"/>
              <w:rPr>
                <w:sz w:val="16"/>
                <w:szCs w:val="16"/>
                <w:color w:val="auto"/>
              </w:rPr>
            </w:pPr>
          </w:p>
        </w:tc>
        <w:tc>
          <w:tcPr>
            <w:tcW w:w="1660" w:type="dxa"/>
            <w:vAlign w:val="bottom"/>
            <w:gridSpan w:val="3"/>
          </w:tcPr>
          <w:p>
            <w:pPr>
              <w:jc w:val="right"/>
              <w:ind w:right="519"/>
              <w:spacing w:after="0"/>
              <w:rPr>
                <w:sz w:val="20"/>
                <w:szCs w:val="20"/>
                <w:color w:val="auto"/>
              </w:rPr>
            </w:pPr>
            <w:r>
              <w:rPr>
                <w:rFonts w:ascii="Arial" w:cs="Arial" w:eastAsia="Arial" w:hAnsi="Arial"/>
                <w:sz w:val="16"/>
                <w:szCs w:val="16"/>
                <w:b w:val="1"/>
                <w:bCs w:val="1"/>
                <w:color w:val="auto"/>
              </w:rPr>
              <w:t>June 30,</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June 30,</w:t>
            </w:r>
          </w:p>
        </w:tc>
        <w:tc>
          <w:tcPr>
            <w:tcW w:w="680" w:type="dxa"/>
            <w:vAlign w:val="bottom"/>
          </w:tcPr>
          <w:p>
            <w:pPr>
              <w:spacing w:after="0"/>
              <w:rPr>
                <w:sz w:val="16"/>
                <w:szCs w:val="16"/>
                <w:color w:val="auto"/>
              </w:rPr>
            </w:pPr>
          </w:p>
        </w:tc>
        <w:tc>
          <w:tcPr>
            <w:tcW w:w="2040" w:type="dxa"/>
            <w:vAlign w:val="bottom"/>
            <w:gridSpan w:val="2"/>
          </w:tcPr>
          <w:p>
            <w:pPr>
              <w:jc w:val="right"/>
              <w:ind w:right="859"/>
              <w:spacing w:after="0"/>
              <w:rPr>
                <w:sz w:val="20"/>
                <w:szCs w:val="20"/>
                <w:color w:val="auto"/>
              </w:rPr>
            </w:pPr>
            <w:r>
              <w:rPr>
                <w:rFonts w:ascii="Arial" w:cs="Arial" w:eastAsia="Arial" w:hAnsi="Arial"/>
                <w:sz w:val="16"/>
                <w:szCs w:val="16"/>
                <w:b w:val="1"/>
                <w:bCs w:val="1"/>
                <w:color w:val="auto"/>
              </w:rPr>
              <w:t>30,</w:t>
            </w:r>
          </w:p>
        </w:tc>
      </w:tr>
      <w:tr>
        <w:trPr>
          <w:trHeight w:val="203"/>
        </w:trPr>
        <w:tc>
          <w:tcPr>
            <w:tcW w:w="31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By Business Unit</w:t>
            </w:r>
          </w:p>
        </w:tc>
        <w:tc>
          <w:tcPr>
            <w:tcW w:w="5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5"/>
              </w:rPr>
              <w:t>2025</w:t>
            </w:r>
          </w:p>
        </w:tc>
        <w:tc>
          <w:tcPr>
            <w:tcW w:w="2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2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2025</w:t>
            </w: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2024</w:t>
            </w:r>
          </w:p>
        </w:tc>
        <w:tc>
          <w:tcPr>
            <w:tcW w:w="134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2025</w:t>
            </w:r>
          </w:p>
        </w:tc>
        <w:tc>
          <w:tcPr>
            <w:tcW w:w="6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w w:val="95"/>
              </w:rPr>
              <w:t>2024</w:t>
            </w:r>
          </w:p>
        </w:tc>
        <w:tc>
          <w:tcPr>
            <w:tcW w:w="10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2025</w:t>
            </w:r>
          </w:p>
        </w:tc>
        <w:tc>
          <w:tcPr>
            <w:tcW w:w="10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2024</w:t>
            </w:r>
          </w:p>
        </w:tc>
      </w:tr>
      <w:tr>
        <w:trPr>
          <w:trHeight w:val="183"/>
        </w:trPr>
        <w:tc>
          <w:tcPr>
            <w:tcW w:w="3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4"/>
          </w:tcPr>
          <w:p>
            <w:pPr>
              <w:jc w:val="right"/>
              <w:ind w:right="459"/>
              <w:spacing w:after="0" w:line="183" w:lineRule="exact"/>
              <w:rPr>
                <w:sz w:val="20"/>
                <w:szCs w:val="20"/>
                <w:color w:val="auto"/>
              </w:rPr>
            </w:pPr>
            <w:r>
              <w:rPr>
                <w:rFonts w:ascii="Arial" w:cs="Arial" w:eastAsia="Arial" w:hAnsi="Arial"/>
                <w:sz w:val="16"/>
                <w:szCs w:val="16"/>
                <w:color w:val="auto"/>
              </w:rPr>
              <w:t>(in millions)</w:t>
            </w: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2"/>
          </w:tcPr>
          <w:p>
            <w:pPr>
              <w:jc w:val="right"/>
              <w:ind w:right="639"/>
              <w:spacing w:after="0" w:line="183" w:lineRule="exact"/>
              <w:rPr>
                <w:sz w:val="20"/>
                <w:szCs w:val="20"/>
                <w:color w:val="auto"/>
              </w:rPr>
            </w:pPr>
            <w:r>
              <w:rPr>
                <w:rFonts w:ascii="Arial" w:cs="Arial" w:eastAsia="Arial" w:hAnsi="Arial"/>
                <w:sz w:val="16"/>
                <w:szCs w:val="16"/>
                <w:color w:val="auto"/>
              </w:rPr>
              <w:t>(in GWh)</w:t>
            </w:r>
          </w:p>
        </w:tc>
        <w:tc>
          <w:tcPr>
            <w:tcW w:w="1020" w:type="dxa"/>
            <w:vAlign w:val="bottom"/>
            <w:tcBorders>
              <w:bottom w:val="single" w:sz="8" w:color="auto"/>
            </w:tcBorders>
          </w:tcPr>
          <w:p>
            <w:pPr>
              <w:spacing w:after="0"/>
              <w:rPr>
                <w:sz w:val="15"/>
                <w:szCs w:val="15"/>
                <w:color w:val="auto"/>
              </w:rPr>
            </w:pPr>
          </w:p>
        </w:tc>
      </w:tr>
      <w:tr>
        <w:trPr>
          <w:trHeight w:val="182"/>
        </w:trPr>
        <w:tc>
          <w:tcPr>
            <w:tcW w:w="31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Colorado Electric</w:t>
            </w:r>
          </w:p>
        </w:tc>
        <w:tc>
          <w:tcPr>
            <w:tcW w:w="700" w:type="dxa"/>
            <w:vAlign w:val="bottom"/>
            <w:gridSpan w:val="2"/>
            <w:shd w:val="clear" w:color="auto" w:fill="CFF0FC"/>
          </w:tcPr>
          <w:p>
            <w:pPr>
              <w:ind w:left="520"/>
              <w:spacing w:after="0" w:line="183" w:lineRule="exact"/>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66.3</w:t>
            </w:r>
          </w:p>
        </w:tc>
        <w:tc>
          <w:tcPr>
            <w:tcW w:w="2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70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64.1</w:t>
            </w:r>
          </w:p>
        </w:tc>
        <w:tc>
          <w:tcPr>
            <w:tcW w:w="1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138.7</w:t>
            </w:r>
          </w:p>
        </w:tc>
        <w:tc>
          <w:tcPr>
            <w:tcW w:w="2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133.8</w:t>
            </w:r>
          </w:p>
        </w:tc>
        <w:tc>
          <w:tcPr>
            <w:tcW w:w="1340" w:type="dxa"/>
            <w:vAlign w:val="bottom"/>
            <w:shd w:val="clear" w:color="auto" w:fill="CFF0FC"/>
          </w:tcPr>
          <w:p>
            <w:pPr>
              <w:jc w:val="right"/>
              <w:ind w:right="299"/>
              <w:spacing w:after="0" w:line="183" w:lineRule="exact"/>
              <w:rPr>
                <w:sz w:val="20"/>
                <w:szCs w:val="20"/>
                <w:color w:val="auto"/>
              </w:rPr>
            </w:pPr>
            <w:r>
              <w:rPr>
                <w:rFonts w:ascii="Arial" w:cs="Arial" w:eastAsia="Arial" w:hAnsi="Arial"/>
                <w:sz w:val="16"/>
                <w:szCs w:val="16"/>
                <w:color w:val="auto"/>
              </w:rPr>
              <w:t>524.1</w:t>
            </w:r>
          </w:p>
        </w:tc>
        <w:tc>
          <w:tcPr>
            <w:tcW w:w="6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585.7</w:t>
            </w:r>
          </w:p>
        </w:tc>
        <w:tc>
          <w:tcPr>
            <w:tcW w:w="10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1,056.4</w:t>
            </w:r>
          </w:p>
        </w:tc>
        <w:tc>
          <w:tcPr>
            <w:tcW w:w="102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1,141.4</w:t>
            </w:r>
          </w:p>
        </w:tc>
      </w:tr>
      <w:tr>
        <w:trPr>
          <w:trHeight w:val="189"/>
        </w:trPr>
        <w:tc>
          <w:tcPr>
            <w:tcW w:w="3100" w:type="dxa"/>
            <w:vAlign w:val="bottom"/>
          </w:tcPr>
          <w:p>
            <w:pPr>
              <w:spacing w:after="0"/>
              <w:rPr>
                <w:sz w:val="20"/>
                <w:szCs w:val="20"/>
                <w:color w:val="auto"/>
              </w:rPr>
            </w:pPr>
            <w:r>
              <w:rPr>
                <w:rFonts w:ascii="Arial" w:cs="Arial" w:eastAsia="Arial" w:hAnsi="Arial"/>
                <w:sz w:val="16"/>
                <w:szCs w:val="16"/>
                <w:color w:val="auto"/>
              </w:rPr>
              <w:t>South Dakota Electric</w:t>
            </w: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78.0</w:t>
            </w:r>
          </w:p>
        </w:tc>
        <w:tc>
          <w:tcPr>
            <w:tcW w:w="220" w:type="dxa"/>
            <w:vAlign w:val="bottom"/>
          </w:tcPr>
          <w:p>
            <w:pPr>
              <w:spacing w:after="0"/>
              <w:rPr>
                <w:sz w:val="16"/>
                <w:szCs w:val="16"/>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75.9</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164.9</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156.5</w:t>
            </w:r>
          </w:p>
        </w:tc>
        <w:tc>
          <w:tcPr>
            <w:tcW w:w="1340" w:type="dxa"/>
            <w:vAlign w:val="bottom"/>
          </w:tcPr>
          <w:p>
            <w:pPr>
              <w:jc w:val="right"/>
              <w:ind w:right="299"/>
              <w:spacing w:after="0"/>
              <w:rPr>
                <w:sz w:val="20"/>
                <w:szCs w:val="20"/>
                <w:color w:val="auto"/>
              </w:rPr>
            </w:pPr>
            <w:r>
              <w:rPr>
                <w:rFonts w:ascii="Arial" w:cs="Arial" w:eastAsia="Arial" w:hAnsi="Arial"/>
                <w:sz w:val="16"/>
                <w:szCs w:val="16"/>
                <w:color w:val="auto"/>
              </w:rPr>
              <w:t>638.9</w:t>
            </w:r>
          </w:p>
        </w:tc>
        <w:tc>
          <w:tcPr>
            <w:tcW w:w="680" w:type="dxa"/>
            <w:vAlign w:val="bottom"/>
          </w:tcPr>
          <w:p>
            <w:pPr>
              <w:jc w:val="right"/>
              <w:spacing w:after="0"/>
              <w:rPr>
                <w:sz w:val="20"/>
                <w:szCs w:val="20"/>
                <w:color w:val="auto"/>
              </w:rPr>
            </w:pPr>
            <w:r>
              <w:rPr>
                <w:rFonts w:ascii="Arial" w:cs="Arial" w:eastAsia="Arial" w:hAnsi="Arial"/>
                <w:sz w:val="16"/>
                <w:szCs w:val="16"/>
                <w:color w:val="auto"/>
              </w:rPr>
              <w:t>591.4</w:t>
            </w:r>
          </w:p>
        </w:tc>
        <w:tc>
          <w:tcPr>
            <w:tcW w:w="1020" w:type="dxa"/>
            <w:vAlign w:val="bottom"/>
          </w:tcPr>
          <w:p>
            <w:pPr>
              <w:jc w:val="right"/>
              <w:spacing w:after="0"/>
              <w:rPr>
                <w:sz w:val="20"/>
                <w:szCs w:val="20"/>
                <w:color w:val="auto"/>
              </w:rPr>
            </w:pPr>
            <w:r>
              <w:rPr>
                <w:rFonts w:ascii="Arial" w:cs="Arial" w:eastAsia="Arial" w:hAnsi="Arial"/>
                <w:sz w:val="16"/>
                <w:szCs w:val="16"/>
                <w:color w:val="auto"/>
              </w:rPr>
              <w:t>1,320.9</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1,212.5</w:t>
            </w:r>
          </w:p>
        </w:tc>
      </w:tr>
      <w:tr>
        <w:trPr>
          <w:trHeight w:val="189"/>
        </w:trPr>
        <w:tc>
          <w:tcPr>
            <w:tcW w:w="3100" w:type="dxa"/>
            <w:vAlign w:val="bottom"/>
            <w:shd w:val="clear" w:color="auto" w:fill="CFF0FC"/>
          </w:tcPr>
          <w:p>
            <w:pPr>
              <w:spacing w:after="0"/>
              <w:rPr>
                <w:sz w:val="20"/>
                <w:szCs w:val="20"/>
                <w:color w:val="auto"/>
              </w:rPr>
            </w:pPr>
            <w:r>
              <w:rPr>
                <w:rFonts w:ascii="Arial" w:cs="Arial" w:eastAsia="Arial" w:hAnsi="Arial"/>
                <w:sz w:val="16"/>
                <w:szCs w:val="16"/>
                <w:color w:val="auto"/>
              </w:rPr>
              <w:t>Wyoming Electric</w:t>
            </w:r>
          </w:p>
        </w:tc>
        <w:tc>
          <w:tcPr>
            <w:tcW w:w="5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64.8</w:t>
            </w:r>
          </w:p>
        </w:tc>
        <w:tc>
          <w:tcPr>
            <w:tcW w:w="22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55.6</w:t>
            </w:r>
          </w:p>
        </w:tc>
        <w:tc>
          <w:tcPr>
            <w:tcW w:w="18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131.4</w:t>
            </w:r>
          </w:p>
        </w:tc>
        <w:tc>
          <w:tcPr>
            <w:tcW w:w="20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116.4</w:t>
            </w:r>
          </w:p>
        </w:tc>
        <w:tc>
          <w:tcPr>
            <w:tcW w:w="1340" w:type="dxa"/>
            <w:vAlign w:val="bottom"/>
            <w:shd w:val="clear" w:color="auto" w:fill="CFF0FC"/>
          </w:tcPr>
          <w:p>
            <w:pPr>
              <w:jc w:val="right"/>
              <w:ind w:right="299"/>
              <w:spacing w:after="0"/>
              <w:rPr>
                <w:sz w:val="20"/>
                <w:szCs w:val="20"/>
                <w:color w:val="auto"/>
              </w:rPr>
            </w:pPr>
            <w:r>
              <w:rPr>
                <w:rFonts w:ascii="Arial" w:cs="Arial" w:eastAsia="Arial" w:hAnsi="Arial"/>
                <w:sz w:val="16"/>
                <w:szCs w:val="16"/>
                <w:color w:val="auto"/>
              </w:rPr>
              <w:t>665.2</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549.5</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1,311.0</w:t>
            </w: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1,124.7</w:t>
            </w:r>
          </w:p>
        </w:tc>
      </w:tr>
      <w:tr>
        <w:trPr>
          <w:trHeight w:val="189"/>
        </w:trPr>
        <w:tc>
          <w:tcPr>
            <w:tcW w:w="3100" w:type="dxa"/>
            <w:vAlign w:val="bottom"/>
          </w:tcPr>
          <w:p>
            <w:pPr>
              <w:spacing w:after="0"/>
              <w:rPr>
                <w:sz w:val="20"/>
                <w:szCs w:val="20"/>
                <w:color w:val="auto"/>
              </w:rPr>
            </w:pPr>
            <w:r>
              <w:rPr>
                <w:rFonts w:ascii="Arial" w:cs="Arial" w:eastAsia="Arial" w:hAnsi="Arial"/>
                <w:sz w:val="16"/>
                <w:szCs w:val="16"/>
                <w:color w:val="auto"/>
              </w:rPr>
              <w:t>Integrated Generation</w:t>
            </w:r>
          </w:p>
        </w:tc>
        <w:tc>
          <w:tcPr>
            <w:tcW w:w="5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w:t>
            </w: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9.5</w:t>
            </w: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w:t>
            </w: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w:t>
            </w:r>
          </w:p>
        </w:tc>
        <w:tc>
          <w:tcPr>
            <w:tcW w:w="13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18.9</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48.2</w:t>
            </w: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49.1</w:t>
            </w:r>
          </w:p>
        </w:tc>
      </w:tr>
      <w:tr>
        <w:trPr>
          <w:trHeight w:val="223"/>
        </w:trPr>
        <w:tc>
          <w:tcPr>
            <w:tcW w:w="3100" w:type="dxa"/>
            <w:vAlign w:val="bottom"/>
            <w:shd w:val="clear" w:color="auto" w:fill="CFF0FC"/>
          </w:tcPr>
          <w:p>
            <w:pPr>
              <w:ind w:left="80"/>
              <w:spacing w:after="0" w:line="169" w:lineRule="exact"/>
              <w:rPr>
                <w:sz w:val="20"/>
                <w:szCs w:val="20"/>
                <w:color w:val="auto"/>
              </w:rPr>
            </w:pPr>
            <w:r>
              <w:rPr>
                <w:rFonts w:ascii="Arial" w:cs="Arial" w:eastAsia="Arial" w:hAnsi="Arial"/>
                <w:sz w:val="16"/>
                <w:szCs w:val="16"/>
                <w:color w:val="auto"/>
              </w:rPr>
              <w:t>Total Revenue and Quantities Sold</w:t>
            </w:r>
          </w:p>
        </w:tc>
        <w:tc>
          <w:tcPr>
            <w:tcW w:w="700" w:type="dxa"/>
            <w:vAlign w:val="bottom"/>
            <w:gridSpan w:val="2"/>
            <w:shd w:val="clear" w:color="auto" w:fill="CFF0FC"/>
          </w:tcPr>
          <w:p>
            <w:pPr>
              <w:ind w:left="520"/>
              <w:spacing w:after="0" w:line="169" w:lineRule="exact"/>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219.9</w:t>
            </w:r>
          </w:p>
        </w:tc>
        <w:tc>
          <w:tcPr>
            <w:tcW w:w="22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w:t>
            </w:r>
          </w:p>
        </w:tc>
        <w:tc>
          <w:tcPr>
            <w:tcW w:w="700" w:type="dxa"/>
            <w:vAlign w:val="bottom"/>
            <w:gridSpan w:val="2"/>
            <w:shd w:val="clear" w:color="auto" w:fill="CFF0FC"/>
          </w:tcPr>
          <w:p>
            <w:pPr>
              <w:jc w:val="right"/>
              <w:ind w:right="60"/>
              <w:spacing w:after="0" w:line="169" w:lineRule="exact"/>
              <w:rPr>
                <w:sz w:val="20"/>
                <w:szCs w:val="20"/>
                <w:color w:val="auto"/>
              </w:rPr>
            </w:pPr>
            <w:r>
              <w:rPr>
                <w:rFonts w:ascii="Arial" w:cs="Arial" w:eastAsia="Arial" w:hAnsi="Arial"/>
                <w:sz w:val="16"/>
                <w:szCs w:val="16"/>
                <w:color w:val="auto"/>
              </w:rPr>
              <w:t>205.1</w:t>
            </w:r>
          </w:p>
        </w:tc>
        <w:tc>
          <w:tcPr>
            <w:tcW w:w="18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456.6</w:t>
            </w:r>
          </w:p>
        </w:tc>
        <w:tc>
          <w:tcPr>
            <w:tcW w:w="20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427.3</w:t>
            </w:r>
          </w:p>
        </w:tc>
        <w:tc>
          <w:tcPr>
            <w:tcW w:w="1340" w:type="dxa"/>
            <w:vAlign w:val="bottom"/>
            <w:shd w:val="clear" w:color="auto" w:fill="CFF0FC"/>
          </w:tcPr>
          <w:p>
            <w:pPr>
              <w:jc w:val="right"/>
              <w:ind w:right="299"/>
              <w:spacing w:after="0" w:line="169" w:lineRule="exact"/>
              <w:rPr>
                <w:sz w:val="20"/>
                <w:szCs w:val="20"/>
                <w:color w:val="auto"/>
              </w:rPr>
            </w:pPr>
            <w:r>
              <w:rPr>
                <w:rFonts w:ascii="Arial" w:cs="Arial" w:eastAsia="Arial" w:hAnsi="Arial"/>
                <w:sz w:val="16"/>
                <w:szCs w:val="16"/>
                <w:color w:val="auto"/>
              </w:rPr>
              <w:t>1,847.1</w:t>
            </w:r>
          </w:p>
        </w:tc>
        <w:tc>
          <w:tcPr>
            <w:tcW w:w="68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1,747.7</w:t>
            </w:r>
          </w:p>
        </w:tc>
        <w:tc>
          <w:tcPr>
            <w:tcW w:w="102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3,736.5</w:t>
            </w:r>
          </w:p>
        </w:tc>
        <w:tc>
          <w:tcPr>
            <w:tcW w:w="1020" w:type="dxa"/>
            <w:vAlign w:val="bottom"/>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rPr>
              <w:t>3,527.7</w:t>
            </w:r>
          </w:p>
        </w:tc>
      </w:tr>
      <w:tr>
        <w:trPr>
          <w:trHeight w:val="344"/>
        </w:trPr>
        <w:tc>
          <w:tcPr>
            <w:tcW w:w="3100" w:type="dxa"/>
            <w:vAlign w:val="bottom"/>
            <w:tcBorders>
              <w:top w:val="single" w:sz="8" w:color="CFF0FC"/>
            </w:tcBorders>
          </w:tcPr>
          <w:p>
            <w:pPr>
              <w:spacing w:after="0"/>
              <w:rPr>
                <w:sz w:val="24"/>
                <w:szCs w:val="24"/>
                <w:color w:val="auto"/>
              </w:rPr>
            </w:pPr>
          </w:p>
        </w:tc>
        <w:tc>
          <w:tcPr>
            <w:tcW w:w="52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3180" w:type="dxa"/>
            <w:vAlign w:val="bottom"/>
            <w:tcBorders>
              <w:top w:val="single" w:sz="8" w:color="auto"/>
            </w:tcBorders>
            <w:gridSpan w:val="5"/>
          </w:tcPr>
          <w:p>
            <w:pPr>
              <w:jc w:val="right"/>
              <w:ind w:right="699"/>
              <w:spacing w:after="0"/>
              <w:rPr>
                <w:sz w:val="20"/>
                <w:szCs w:val="20"/>
                <w:color w:val="auto"/>
              </w:rPr>
            </w:pPr>
            <w:r>
              <w:rPr>
                <w:rFonts w:ascii="Arial" w:cs="Arial" w:eastAsia="Arial" w:hAnsi="Arial"/>
                <w:sz w:val="16"/>
                <w:szCs w:val="16"/>
                <w:b w:val="1"/>
                <w:bCs w:val="1"/>
                <w:color w:val="auto"/>
              </w:rPr>
              <w:t>Three Months Ended June 30,</w:t>
            </w:r>
          </w:p>
        </w:tc>
        <w:tc>
          <w:tcPr>
            <w:tcW w:w="2720" w:type="dxa"/>
            <w:vAlign w:val="bottom"/>
            <w:tcBorders>
              <w:top w:val="single" w:sz="8" w:color="auto"/>
            </w:tcBorders>
            <w:gridSpan w:val="3"/>
          </w:tcPr>
          <w:p>
            <w:pPr>
              <w:jc w:val="right"/>
              <w:ind w:right="439"/>
              <w:spacing w:after="0"/>
              <w:rPr>
                <w:sz w:val="20"/>
                <w:szCs w:val="20"/>
                <w:color w:val="auto"/>
              </w:rPr>
            </w:pPr>
            <w:r>
              <w:rPr>
                <w:rFonts w:ascii="Arial" w:cs="Arial" w:eastAsia="Arial" w:hAnsi="Arial"/>
                <w:sz w:val="16"/>
                <w:szCs w:val="16"/>
                <w:b w:val="1"/>
                <w:bCs w:val="1"/>
                <w:color w:val="auto"/>
              </w:rPr>
              <w:t>Six Months Ended June 30,</w:t>
            </w:r>
          </w:p>
        </w:tc>
      </w:tr>
      <w:tr>
        <w:trPr>
          <w:trHeight w:val="203"/>
        </w:trPr>
        <w:tc>
          <w:tcPr>
            <w:tcW w:w="4420" w:type="dxa"/>
            <w:vAlign w:val="bottom"/>
            <w:tcBorders>
              <w:bottom w:val="single" w:sz="8" w:color="auto"/>
            </w:tcBorders>
            <w:gridSpan w:val="4"/>
          </w:tcPr>
          <w:p>
            <w:pPr>
              <w:spacing w:after="0"/>
              <w:rPr>
                <w:sz w:val="20"/>
                <w:szCs w:val="20"/>
                <w:color w:val="auto"/>
              </w:rPr>
            </w:pPr>
            <w:r>
              <w:rPr>
                <w:rFonts w:ascii="Arial" w:cs="Arial" w:eastAsia="Arial" w:hAnsi="Arial"/>
                <w:sz w:val="16"/>
                <w:szCs w:val="16"/>
                <w:b w:val="1"/>
                <w:bCs w:val="1"/>
                <w:color w:val="auto"/>
              </w:rPr>
              <w:t>Quantities Generated and Purchased by Fuel Type</w:t>
            </w:r>
          </w:p>
        </w:tc>
        <w:tc>
          <w:tcPr>
            <w:tcW w:w="2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2025</w:t>
            </w: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b w:val="1"/>
                <w:bCs w:val="1"/>
                <w:color w:val="auto"/>
              </w:rPr>
              <w:t>2024</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10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2024</w:t>
            </w:r>
          </w:p>
        </w:tc>
      </w:tr>
      <w:tr>
        <w:trPr>
          <w:trHeight w:val="183"/>
        </w:trPr>
        <w:tc>
          <w:tcPr>
            <w:tcW w:w="3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(in GWh)</w:t>
            </w:r>
          </w:p>
        </w:tc>
        <w:tc>
          <w:tcPr>
            <w:tcW w:w="6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r>
      <w:tr>
        <w:trPr>
          <w:trHeight w:val="183"/>
        </w:trPr>
        <w:tc>
          <w:tcPr>
            <w:tcW w:w="31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Generated:</w:t>
            </w:r>
          </w:p>
        </w:tc>
        <w:tc>
          <w:tcPr>
            <w:tcW w:w="5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r>
      <w:tr>
        <w:trPr>
          <w:trHeight w:val="189"/>
        </w:trPr>
        <w:tc>
          <w:tcPr>
            <w:tcW w:w="3100" w:type="dxa"/>
            <w:vAlign w:val="bottom"/>
          </w:tcPr>
          <w:p>
            <w:pPr>
              <w:ind w:left="60"/>
              <w:spacing w:after="0" w:line="189" w:lineRule="exact"/>
              <w:rPr>
                <w:sz w:val="20"/>
                <w:szCs w:val="20"/>
                <w:color w:val="auto"/>
              </w:rPr>
            </w:pPr>
            <w:r>
              <w:rPr>
                <w:rFonts w:ascii="Arial" w:cs="Arial" w:eastAsia="Arial" w:hAnsi="Arial"/>
                <w:sz w:val="16"/>
                <w:szCs w:val="16"/>
                <w:color w:val="auto"/>
              </w:rPr>
              <w:t xml:space="preserve">Coal </w:t>
            </w:r>
            <w:r>
              <w:rPr>
                <w:rFonts w:ascii="Arial" w:cs="Arial" w:eastAsia="Arial" w:hAnsi="Arial"/>
                <w:sz w:val="21"/>
                <w:szCs w:val="21"/>
                <w:color w:val="auto"/>
                <w:vertAlign w:val="superscript"/>
              </w:rPr>
              <w:t>(a)</w:t>
            </w: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3"/>
          </w:tcPr>
          <w:p>
            <w:pPr>
              <w:jc w:val="right"/>
              <w:ind w:right="519"/>
              <w:spacing w:after="0"/>
              <w:rPr>
                <w:sz w:val="20"/>
                <w:szCs w:val="20"/>
                <w:color w:val="auto"/>
              </w:rPr>
            </w:pPr>
            <w:r>
              <w:rPr>
                <w:rFonts w:ascii="Arial" w:cs="Arial" w:eastAsia="Arial" w:hAnsi="Arial"/>
                <w:sz w:val="16"/>
                <w:szCs w:val="16"/>
                <w:color w:val="auto"/>
              </w:rPr>
              <w:t>457.4</w:t>
            </w:r>
          </w:p>
        </w:tc>
        <w:tc>
          <w:tcPr>
            <w:tcW w:w="1340" w:type="dxa"/>
            <w:vAlign w:val="bottom"/>
          </w:tcPr>
          <w:p>
            <w:pPr>
              <w:jc w:val="right"/>
              <w:ind w:right="339"/>
              <w:spacing w:after="0"/>
              <w:rPr>
                <w:sz w:val="20"/>
                <w:szCs w:val="20"/>
                <w:color w:val="auto"/>
              </w:rPr>
            </w:pPr>
            <w:r>
              <w:rPr>
                <w:rFonts w:ascii="Arial" w:cs="Arial" w:eastAsia="Arial" w:hAnsi="Arial"/>
                <w:sz w:val="16"/>
                <w:szCs w:val="16"/>
                <w:color w:val="auto"/>
              </w:rPr>
              <w:t>478.1</w:t>
            </w:r>
          </w:p>
        </w:tc>
        <w:tc>
          <w:tcPr>
            <w:tcW w:w="1700" w:type="dxa"/>
            <w:vAlign w:val="bottom"/>
            <w:gridSpan w:val="2"/>
          </w:tcPr>
          <w:p>
            <w:pPr>
              <w:jc w:val="right"/>
              <w:ind w:right="499"/>
              <w:spacing w:after="0"/>
              <w:rPr>
                <w:sz w:val="20"/>
                <w:szCs w:val="20"/>
                <w:color w:val="auto"/>
              </w:rPr>
            </w:pPr>
            <w:r>
              <w:rPr>
                <w:rFonts w:ascii="Arial" w:cs="Arial" w:eastAsia="Arial" w:hAnsi="Arial"/>
                <w:sz w:val="16"/>
                <w:szCs w:val="16"/>
                <w:color w:val="auto"/>
              </w:rPr>
              <w:t>1,057.3</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1,158.8</w:t>
            </w:r>
          </w:p>
        </w:tc>
      </w:tr>
      <w:tr>
        <w:trPr>
          <w:trHeight w:val="189"/>
        </w:trPr>
        <w:tc>
          <w:tcPr>
            <w:tcW w:w="3100" w:type="dxa"/>
            <w:vAlign w:val="bottom"/>
            <w:shd w:val="clear" w:color="auto" w:fill="CFF0FC"/>
          </w:tcPr>
          <w:p>
            <w:pPr>
              <w:ind w:left="60"/>
              <w:spacing w:after="0" w:line="189" w:lineRule="exact"/>
              <w:rPr>
                <w:sz w:val="20"/>
                <w:szCs w:val="20"/>
                <w:color w:val="auto"/>
              </w:rPr>
            </w:pPr>
            <w:r>
              <w:rPr>
                <w:rFonts w:ascii="Arial" w:cs="Arial" w:eastAsia="Arial" w:hAnsi="Arial"/>
                <w:sz w:val="16"/>
                <w:szCs w:val="16"/>
                <w:color w:val="auto"/>
              </w:rPr>
              <w:t xml:space="preserve">Natural Gas and Oil </w:t>
            </w:r>
            <w:r>
              <w:rPr>
                <w:rFonts w:ascii="Arial" w:cs="Arial" w:eastAsia="Arial" w:hAnsi="Arial"/>
                <w:sz w:val="21"/>
                <w:szCs w:val="21"/>
                <w:color w:val="auto"/>
                <w:vertAlign w:val="superscript"/>
              </w:rPr>
              <w:t>(b)</w:t>
            </w:r>
          </w:p>
        </w:tc>
        <w:tc>
          <w:tcPr>
            <w:tcW w:w="5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660" w:type="dxa"/>
            <w:vAlign w:val="bottom"/>
            <w:gridSpan w:val="3"/>
            <w:shd w:val="clear" w:color="auto" w:fill="CFF0FC"/>
          </w:tcPr>
          <w:p>
            <w:pPr>
              <w:jc w:val="right"/>
              <w:ind w:right="519"/>
              <w:spacing w:after="0"/>
              <w:rPr>
                <w:sz w:val="20"/>
                <w:szCs w:val="20"/>
                <w:color w:val="auto"/>
              </w:rPr>
            </w:pPr>
            <w:r>
              <w:rPr>
                <w:rFonts w:ascii="Arial" w:cs="Arial" w:eastAsia="Arial" w:hAnsi="Arial"/>
                <w:sz w:val="16"/>
                <w:szCs w:val="16"/>
                <w:color w:val="auto"/>
              </w:rPr>
              <w:t>585.3</w:t>
            </w:r>
          </w:p>
        </w:tc>
        <w:tc>
          <w:tcPr>
            <w:tcW w:w="1340" w:type="dxa"/>
            <w:vAlign w:val="bottom"/>
            <w:shd w:val="clear" w:color="auto" w:fill="CFF0FC"/>
          </w:tcPr>
          <w:p>
            <w:pPr>
              <w:jc w:val="right"/>
              <w:ind w:right="339"/>
              <w:spacing w:after="0"/>
              <w:rPr>
                <w:sz w:val="20"/>
                <w:szCs w:val="20"/>
                <w:color w:val="auto"/>
              </w:rPr>
            </w:pPr>
            <w:r>
              <w:rPr>
                <w:rFonts w:ascii="Arial" w:cs="Arial" w:eastAsia="Arial" w:hAnsi="Arial"/>
                <w:sz w:val="16"/>
                <w:szCs w:val="16"/>
                <w:color w:val="auto"/>
              </w:rPr>
              <w:t>451.5</w:t>
            </w:r>
          </w:p>
        </w:tc>
        <w:tc>
          <w:tcPr>
            <w:tcW w:w="1700" w:type="dxa"/>
            <w:vAlign w:val="bottom"/>
            <w:gridSpan w:val="2"/>
            <w:shd w:val="clear" w:color="auto" w:fill="CFF0FC"/>
          </w:tcPr>
          <w:p>
            <w:pPr>
              <w:jc w:val="right"/>
              <w:ind w:right="499"/>
              <w:spacing w:after="0"/>
              <w:rPr>
                <w:sz w:val="20"/>
                <w:szCs w:val="20"/>
                <w:color w:val="auto"/>
              </w:rPr>
            </w:pPr>
            <w:r>
              <w:rPr>
                <w:rFonts w:ascii="Arial" w:cs="Arial" w:eastAsia="Arial" w:hAnsi="Arial"/>
                <w:sz w:val="16"/>
                <w:szCs w:val="16"/>
                <w:color w:val="auto"/>
              </w:rPr>
              <w:t>1,097.4</w:t>
            </w: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974.9</w:t>
            </w:r>
          </w:p>
        </w:tc>
      </w:tr>
      <w:tr>
        <w:trPr>
          <w:trHeight w:val="189"/>
        </w:trPr>
        <w:tc>
          <w:tcPr>
            <w:tcW w:w="3100" w:type="dxa"/>
            <w:vAlign w:val="bottom"/>
          </w:tcPr>
          <w:p>
            <w:pPr>
              <w:ind w:left="60"/>
              <w:spacing w:after="0"/>
              <w:rPr>
                <w:sz w:val="20"/>
                <w:szCs w:val="20"/>
                <w:color w:val="auto"/>
              </w:rPr>
            </w:pPr>
            <w:r>
              <w:rPr>
                <w:rFonts w:ascii="Arial" w:cs="Arial" w:eastAsia="Arial" w:hAnsi="Arial"/>
                <w:sz w:val="16"/>
                <w:szCs w:val="16"/>
                <w:color w:val="auto"/>
              </w:rPr>
              <w:t>Wind</w:t>
            </w: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519"/>
              <w:spacing w:after="0"/>
              <w:rPr>
                <w:sz w:val="20"/>
                <w:szCs w:val="20"/>
                <w:color w:val="auto"/>
              </w:rPr>
            </w:pPr>
            <w:r>
              <w:rPr>
                <w:rFonts w:ascii="Arial" w:cs="Arial" w:eastAsia="Arial" w:hAnsi="Arial"/>
                <w:sz w:val="16"/>
                <w:szCs w:val="16"/>
                <w:color w:val="auto"/>
              </w:rPr>
              <w:t>135.4</w:t>
            </w:r>
          </w:p>
        </w:tc>
        <w:tc>
          <w:tcPr>
            <w:tcW w:w="13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161.7</w:t>
            </w:r>
          </w:p>
        </w:tc>
        <w:tc>
          <w:tcPr>
            <w:tcW w:w="6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310.8</w:t>
            </w: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335.7</w:t>
            </w:r>
          </w:p>
        </w:tc>
      </w:tr>
      <w:tr>
        <w:trPr>
          <w:trHeight w:val="183"/>
        </w:trPr>
        <w:tc>
          <w:tcPr>
            <w:tcW w:w="3100" w:type="dxa"/>
            <w:vAlign w:val="bottom"/>
            <w:tcBorders>
              <w:bottom w:val="single" w:sz="8" w:color="CFF0FC"/>
            </w:tcBorders>
            <w:shd w:val="clear" w:color="auto" w:fill="CFF0FC"/>
          </w:tcPr>
          <w:p>
            <w:pPr>
              <w:ind w:left="100"/>
              <w:spacing w:after="0" w:line="183" w:lineRule="exact"/>
              <w:rPr>
                <w:sz w:val="20"/>
                <w:szCs w:val="20"/>
                <w:color w:val="auto"/>
              </w:rPr>
            </w:pPr>
            <w:r>
              <w:rPr>
                <w:rFonts w:ascii="Arial" w:cs="Arial" w:eastAsia="Arial" w:hAnsi="Arial"/>
                <w:sz w:val="16"/>
                <w:szCs w:val="16"/>
                <w:color w:val="auto"/>
              </w:rPr>
              <w:t>Total Generated</w:t>
            </w:r>
          </w:p>
        </w:tc>
        <w:tc>
          <w:tcPr>
            <w:tcW w:w="52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44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1660" w:type="dxa"/>
            <w:vAlign w:val="bottom"/>
            <w:tcBorders>
              <w:bottom w:val="single" w:sz="8" w:color="auto"/>
            </w:tcBorders>
            <w:gridSpan w:val="3"/>
            <w:shd w:val="clear" w:color="auto" w:fill="CFF0FC"/>
          </w:tcPr>
          <w:p>
            <w:pPr>
              <w:jc w:val="right"/>
              <w:ind w:right="519"/>
              <w:spacing w:after="0" w:line="183" w:lineRule="exact"/>
              <w:rPr>
                <w:sz w:val="20"/>
                <w:szCs w:val="20"/>
                <w:color w:val="auto"/>
              </w:rPr>
            </w:pPr>
            <w:r>
              <w:rPr>
                <w:rFonts w:ascii="Arial" w:cs="Arial" w:eastAsia="Arial" w:hAnsi="Arial"/>
                <w:sz w:val="16"/>
                <w:szCs w:val="16"/>
                <w:color w:val="auto"/>
              </w:rPr>
              <w:t>1,178.1</w:t>
            </w:r>
          </w:p>
        </w:tc>
        <w:tc>
          <w:tcPr>
            <w:tcW w:w="1340" w:type="dxa"/>
            <w:vAlign w:val="bottom"/>
            <w:tcBorders>
              <w:bottom w:val="single" w:sz="8" w:color="auto"/>
            </w:tcBorders>
            <w:shd w:val="clear" w:color="auto" w:fill="CFF0FC"/>
          </w:tcPr>
          <w:p>
            <w:pPr>
              <w:jc w:val="right"/>
              <w:ind w:right="339"/>
              <w:spacing w:after="0" w:line="183" w:lineRule="exact"/>
              <w:rPr>
                <w:sz w:val="20"/>
                <w:szCs w:val="20"/>
                <w:color w:val="auto"/>
              </w:rPr>
            </w:pPr>
            <w:r>
              <w:rPr>
                <w:rFonts w:ascii="Arial" w:cs="Arial" w:eastAsia="Arial" w:hAnsi="Arial"/>
                <w:sz w:val="16"/>
                <w:szCs w:val="16"/>
                <w:color w:val="auto"/>
              </w:rPr>
              <w:t>1,091.3</w:t>
            </w:r>
          </w:p>
        </w:tc>
        <w:tc>
          <w:tcPr>
            <w:tcW w:w="1700" w:type="dxa"/>
            <w:vAlign w:val="bottom"/>
            <w:tcBorders>
              <w:bottom w:val="single" w:sz="8" w:color="auto"/>
            </w:tcBorders>
            <w:gridSpan w:val="2"/>
            <w:shd w:val="clear" w:color="auto" w:fill="CFF0FC"/>
          </w:tcPr>
          <w:p>
            <w:pPr>
              <w:jc w:val="right"/>
              <w:ind w:right="499"/>
              <w:spacing w:after="0" w:line="183" w:lineRule="exact"/>
              <w:rPr>
                <w:sz w:val="20"/>
                <w:szCs w:val="20"/>
                <w:color w:val="auto"/>
              </w:rPr>
            </w:pPr>
            <w:r>
              <w:rPr>
                <w:rFonts w:ascii="Arial" w:cs="Arial" w:eastAsia="Arial" w:hAnsi="Arial"/>
                <w:sz w:val="16"/>
                <w:szCs w:val="16"/>
                <w:color w:val="auto"/>
              </w:rPr>
              <w:t>2,465.5</w:t>
            </w:r>
          </w:p>
        </w:tc>
        <w:tc>
          <w:tcPr>
            <w:tcW w:w="102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2,469.4</w:t>
            </w:r>
          </w:p>
        </w:tc>
      </w:tr>
      <w:tr>
        <w:trPr>
          <w:trHeight w:val="183"/>
        </w:trPr>
        <w:tc>
          <w:tcPr>
            <w:tcW w:w="3100" w:type="dxa"/>
            <w:vAlign w:val="bottom"/>
          </w:tcPr>
          <w:p>
            <w:pPr>
              <w:spacing w:after="0" w:line="183" w:lineRule="exact"/>
              <w:rPr>
                <w:sz w:val="20"/>
                <w:szCs w:val="20"/>
                <w:color w:val="auto"/>
              </w:rPr>
            </w:pPr>
            <w:r>
              <w:rPr>
                <w:rFonts w:ascii="Arial" w:cs="Arial" w:eastAsia="Arial" w:hAnsi="Arial"/>
                <w:sz w:val="16"/>
                <w:szCs w:val="16"/>
                <w:color w:val="auto"/>
              </w:rPr>
              <w:t>Purchased:</w:t>
            </w: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9"/>
        </w:trPr>
        <w:tc>
          <w:tcPr>
            <w:tcW w:w="3800" w:type="dxa"/>
            <w:vAlign w:val="bottom"/>
            <w:gridSpan w:val="3"/>
            <w:shd w:val="clear" w:color="auto" w:fill="CFF0FC"/>
          </w:tcPr>
          <w:p>
            <w:pPr>
              <w:ind w:left="60"/>
              <w:spacing w:after="0"/>
              <w:rPr>
                <w:sz w:val="20"/>
                <w:szCs w:val="20"/>
                <w:color w:val="auto"/>
              </w:rPr>
            </w:pPr>
            <w:r>
              <w:rPr>
                <w:rFonts w:ascii="Arial" w:cs="Arial" w:eastAsia="Arial" w:hAnsi="Arial"/>
                <w:sz w:val="16"/>
                <w:szCs w:val="16"/>
                <w:color w:val="auto"/>
              </w:rPr>
              <w:t>Coal, Natural Gas, Oil, and Other Market Purchases</w:t>
            </w:r>
          </w:p>
        </w:tc>
        <w:tc>
          <w:tcPr>
            <w:tcW w:w="6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660" w:type="dxa"/>
            <w:vAlign w:val="bottom"/>
            <w:gridSpan w:val="3"/>
            <w:shd w:val="clear" w:color="auto" w:fill="CFF0FC"/>
          </w:tcPr>
          <w:p>
            <w:pPr>
              <w:jc w:val="right"/>
              <w:ind w:right="519"/>
              <w:spacing w:after="0"/>
              <w:rPr>
                <w:sz w:val="20"/>
                <w:szCs w:val="20"/>
                <w:color w:val="auto"/>
              </w:rPr>
            </w:pPr>
            <w:r>
              <w:rPr>
                <w:rFonts w:ascii="Arial" w:cs="Arial" w:eastAsia="Arial" w:hAnsi="Arial"/>
                <w:sz w:val="16"/>
                <w:szCs w:val="16"/>
                <w:color w:val="auto"/>
              </w:rPr>
              <w:t>470.8</w:t>
            </w:r>
          </w:p>
        </w:tc>
        <w:tc>
          <w:tcPr>
            <w:tcW w:w="1340" w:type="dxa"/>
            <w:vAlign w:val="bottom"/>
            <w:shd w:val="clear" w:color="auto" w:fill="CFF0FC"/>
          </w:tcPr>
          <w:p>
            <w:pPr>
              <w:jc w:val="right"/>
              <w:ind w:right="339"/>
              <w:spacing w:after="0"/>
              <w:rPr>
                <w:sz w:val="20"/>
                <w:szCs w:val="20"/>
                <w:color w:val="auto"/>
              </w:rPr>
            </w:pPr>
            <w:r>
              <w:rPr>
                <w:rFonts w:ascii="Arial" w:cs="Arial" w:eastAsia="Arial" w:hAnsi="Arial"/>
                <w:sz w:val="16"/>
                <w:szCs w:val="16"/>
                <w:color w:val="auto"/>
              </w:rPr>
              <w:t>350.6</w:t>
            </w:r>
          </w:p>
        </w:tc>
        <w:tc>
          <w:tcPr>
            <w:tcW w:w="68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499"/>
              <w:spacing w:after="0"/>
              <w:rPr>
                <w:sz w:val="20"/>
                <w:szCs w:val="20"/>
                <w:color w:val="auto"/>
              </w:rPr>
            </w:pPr>
            <w:r>
              <w:rPr>
                <w:rFonts w:ascii="Arial" w:cs="Arial" w:eastAsia="Arial" w:hAnsi="Arial"/>
                <w:sz w:val="16"/>
                <w:szCs w:val="16"/>
                <w:color w:val="auto"/>
              </w:rPr>
              <w:t>846.5</w:t>
            </w: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639.5</w:t>
            </w:r>
          </w:p>
        </w:tc>
      </w:tr>
      <w:tr>
        <w:trPr>
          <w:trHeight w:val="189"/>
        </w:trPr>
        <w:tc>
          <w:tcPr>
            <w:tcW w:w="3100" w:type="dxa"/>
            <w:vAlign w:val="bottom"/>
          </w:tcPr>
          <w:p>
            <w:pPr>
              <w:ind w:left="60"/>
              <w:spacing w:after="0"/>
              <w:rPr>
                <w:sz w:val="20"/>
                <w:szCs w:val="20"/>
                <w:color w:val="auto"/>
              </w:rPr>
            </w:pPr>
            <w:r>
              <w:rPr>
                <w:rFonts w:ascii="Arial" w:cs="Arial" w:eastAsia="Arial" w:hAnsi="Arial"/>
                <w:sz w:val="16"/>
                <w:szCs w:val="16"/>
                <w:color w:val="auto"/>
              </w:rPr>
              <w:t>Wind and Solar</w:t>
            </w: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519"/>
              <w:spacing w:after="0"/>
              <w:rPr>
                <w:sz w:val="20"/>
                <w:szCs w:val="20"/>
                <w:color w:val="auto"/>
              </w:rPr>
            </w:pPr>
            <w:r>
              <w:rPr>
                <w:rFonts w:ascii="Arial" w:cs="Arial" w:eastAsia="Arial" w:hAnsi="Arial"/>
                <w:sz w:val="16"/>
                <w:szCs w:val="16"/>
                <w:color w:val="auto"/>
              </w:rPr>
              <w:t>323.6</w:t>
            </w:r>
          </w:p>
        </w:tc>
        <w:tc>
          <w:tcPr>
            <w:tcW w:w="13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330.9</w:t>
            </w:r>
          </w:p>
        </w:tc>
        <w:tc>
          <w:tcPr>
            <w:tcW w:w="6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644.0</w:t>
            </w: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545.7</w:t>
            </w:r>
          </w:p>
        </w:tc>
      </w:tr>
      <w:tr>
        <w:trPr>
          <w:trHeight w:val="183"/>
        </w:trPr>
        <w:tc>
          <w:tcPr>
            <w:tcW w:w="3100" w:type="dxa"/>
            <w:vAlign w:val="bottom"/>
            <w:tcBorders>
              <w:bottom w:val="single" w:sz="8" w:color="CFF0FC"/>
            </w:tcBorders>
            <w:shd w:val="clear" w:color="auto" w:fill="CFF0FC"/>
          </w:tcPr>
          <w:p>
            <w:pPr>
              <w:ind w:left="100"/>
              <w:spacing w:after="0" w:line="183" w:lineRule="exact"/>
              <w:rPr>
                <w:sz w:val="20"/>
                <w:szCs w:val="20"/>
                <w:color w:val="auto"/>
              </w:rPr>
            </w:pPr>
            <w:r>
              <w:rPr>
                <w:rFonts w:ascii="Arial" w:cs="Arial" w:eastAsia="Arial" w:hAnsi="Arial"/>
                <w:sz w:val="16"/>
                <w:szCs w:val="16"/>
                <w:color w:val="auto"/>
              </w:rPr>
              <w:t xml:space="preserve">Total Purchased </w:t>
            </w:r>
            <w:r>
              <w:rPr>
                <w:rFonts w:ascii="Arial" w:cs="Arial" w:eastAsia="Arial" w:hAnsi="Arial"/>
                <w:sz w:val="21"/>
                <w:szCs w:val="21"/>
                <w:color w:val="auto"/>
                <w:vertAlign w:val="superscript"/>
              </w:rPr>
              <w:t>(c)</w:t>
            </w:r>
          </w:p>
        </w:tc>
        <w:tc>
          <w:tcPr>
            <w:tcW w:w="52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44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1660" w:type="dxa"/>
            <w:vAlign w:val="bottom"/>
            <w:tcBorders>
              <w:bottom w:val="single" w:sz="8" w:color="auto"/>
            </w:tcBorders>
            <w:gridSpan w:val="3"/>
            <w:shd w:val="clear" w:color="auto" w:fill="CFF0FC"/>
          </w:tcPr>
          <w:p>
            <w:pPr>
              <w:jc w:val="right"/>
              <w:ind w:right="519"/>
              <w:spacing w:after="0" w:line="183" w:lineRule="exact"/>
              <w:rPr>
                <w:sz w:val="20"/>
                <w:szCs w:val="20"/>
                <w:color w:val="auto"/>
              </w:rPr>
            </w:pPr>
            <w:r>
              <w:rPr>
                <w:rFonts w:ascii="Arial" w:cs="Arial" w:eastAsia="Arial" w:hAnsi="Arial"/>
                <w:sz w:val="16"/>
                <w:szCs w:val="16"/>
                <w:color w:val="auto"/>
              </w:rPr>
              <w:t>794.4</w:t>
            </w:r>
          </w:p>
        </w:tc>
        <w:tc>
          <w:tcPr>
            <w:tcW w:w="1340" w:type="dxa"/>
            <w:vAlign w:val="bottom"/>
            <w:tcBorders>
              <w:bottom w:val="single" w:sz="8" w:color="auto"/>
            </w:tcBorders>
            <w:shd w:val="clear" w:color="auto" w:fill="CFF0FC"/>
          </w:tcPr>
          <w:p>
            <w:pPr>
              <w:jc w:val="right"/>
              <w:ind w:right="339"/>
              <w:spacing w:after="0" w:line="183" w:lineRule="exact"/>
              <w:rPr>
                <w:sz w:val="20"/>
                <w:szCs w:val="20"/>
                <w:color w:val="auto"/>
              </w:rPr>
            </w:pPr>
            <w:r>
              <w:rPr>
                <w:rFonts w:ascii="Arial" w:cs="Arial" w:eastAsia="Arial" w:hAnsi="Arial"/>
                <w:sz w:val="16"/>
                <w:szCs w:val="16"/>
                <w:color w:val="auto"/>
              </w:rPr>
              <w:t>681.5</w:t>
            </w:r>
          </w:p>
        </w:tc>
        <w:tc>
          <w:tcPr>
            <w:tcW w:w="1700" w:type="dxa"/>
            <w:vAlign w:val="bottom"/>
            <w:tcBorders>
              <w:bottom w:val="single" w:sz="8" w:color="auto"/>
            </w:tcBorders>
            <w:gridSpan w:val="2"/>
            <w:shd w:val="clear" w:color="auto" w:fill="CFF0FC"/>
          </w:tcPr>
          <w:p>
            <w:pPr>
              <w:jc w:val="right"/>
              <w:ind w:right="499"/>
              <w:spacing w:after="0" w:line="183" w:lineRule="exact"/>
              <w:rPr>
                <w:sz w:val="20"/>
                <w:szCs w:val="20"/>
                <w:color w:val="auto"/>
              </w:rPr>
            </w:pPr>
            <w:r>
              <w:rPr>
                <w:rFonts w:ascii="Arial" w:cs="Arial" w:eastAsia="Arial" w:hAnsi="Arial"/>
                <w:sz w:val="16"/>
                <w:szCs w:val="16"/>
                <w:color w:val="auto"/>
              </w:rPr>
              <w:t>1,490.5</w:t>
            </w:r>
          </w:p>
        </w:tc>
        <w:tc>
          <w:tcPr>
            <w:tcW w:w="102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1,185.2</w:t>
            </w:r>
          </w:p>
        </w:tc>
      </w:tr>
      <w:tr>
        <w:trPr>
          <w:trHeight w:val="183"/>
        </w:trPr>
        <w:tc>
          <w:tcPr>
            <w:tcW w:w="3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gridSpan w:val="3"/>
          </w:tcPr>
          <w:p>
            <w:pPr>
              <w:spacing w:after="0"/>
              <w:rPr>
                <w:sz w:val="15"/>
                <w:szCs w:val="15"/>
                <w:color w:val="auto"/>
              </w:rPr>
            </w:pPr>
          </w:p>
        </w:tc>
        <w:tc>
          <w:tcPr>
            <w:tcW w:w="1340" w:type="dxa"/>
            <w:vAlign w:val="bottom"/>
          </w:tcPr>
          <w:p>
            <w:pPr>
              <w:spacing w:after="0"/>
              <w:rPr>
                <w:sz w:val="15"/>
                <w:szCs w:val="15"/>
                <w:color w:val="auto"/>
              </w:rPr>
            </w:pPr>
          </w:p>
        </w:tc>
        <w:tc>
          <w:tcPr>
            <w:tcW w:w="1700" w:type="dxa"/>
            <w:vAlign w:val="bottom"/>
            <w:gridSpan w:val="2"/>
          </w:tcPr>
          <w:p>
            <w:pPr>
              <w:spacing w:after="0"/>
              <w:rPr>
                <w:sz w:val="15"/>
                <w:szCs w:val="15"/>
                <w:color w:val="auto"/>
              </w:rPr>
            </w:pPr>
          </w:p>
        </w:tc>
        <w:tc>
          <w:tcPr>
            <w:tcW w:w="1020" w:type="dxa"/>
            <w:vAlign w:val="bottom"/>
          </w:tcPr>
          <w:p>
            <w:pPr>
              <w:spacing w:after="0"/>
              <w:rPr>
                <w:sz w:val="15"/>
                <w:szCs w:val="15"/>
                <w:color w:val="auto"/>
              </w:rPr>
            </w:pPr>
          </w:p>
        </w:tc>
      </w:tr>
      <w:tr>
        <w:trPr>
          <w:trHeight w:val="229"/>
        </w:trPr>
        <w:tc>
          <w:tcPr>
            <w:tcW w:w="3100" w:type="dxa"/>
            <w:vAlign w:val="bottom"/>
            <w:tcBorders>
              <w:bottom w:val="single" w:sz="8" w:color="CFF0FC"/>
            </w:tcBorders>
            <w:shd w:val="clear" w:color="auto" w:fill="CFF0FC"/>
          </w:tcPr>
          <w:p>
            <w:pPr>
              <w:spacing w:after="0" w:line="169" w:lineRule="exact"/>
              <w:rPr>
                <w:sz w:val="20"/>
                <w:szCs w:val="20"/>
                <w:color w:val="auto"/>
              </w:rPr>
            </w:pPr>
            <w:r>
              <w:rPr>
                <w:rFonts w:ascii="Arial" w:cs="Arial" w:eastAsia="Arial" w:hAnsi="Arial"/>
                <w:sz w:val="16"/>
                <w:szCs w:val="16"/>
                <w:color w:val="auto"/>
              </w:rPr>
              <w:t>Total Generated and Purchased</w:t>
            </w:r>
          </w:p>
        </w:tc>
        <w:tc>
          <w:tcPr>
            <w:tcW w:w="5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660" w:type="dxa"/>
            <w:vAlign w:val="bottom"/>
            <w:tcBorders>
              <w:bottom w:val="single" w:sz="8" w:color="auto"/>
            </w:tcBorders>
            <w:gridSpan w:val="3"/>
            <w:shd w:val="clear" w:color="auto" w:fill="CFF0FC"/>
          </w:tcPr>
          <w:p>
            <w:pPr>
              <w:jc w:val="right"/>
              <w:ind w:right="519"/>
              <w:spacing w:after="0" w:line="169" w:lineRule="exact"/>
              <w:rPr>
                <w:sz w:val="20"/>
                <w:szCs w:val="20"/>
                <w:color w:val="auto"/>
              </w:rPr>
            </w:pPr>
            <w:r>
              <w:rPr>
                <w:rFonts w:ascii="Arial" w:cs="Arial" w:eastAsia="Arial" w:hAnsi="Arial"/>
                <w:sz w:val="16"/>
                <w:szCs w:val="16"/>
                <w:color w:val="auto"/>
              </w:rPr>
              <w:t>1,972.5</w:t>
            </w:r>
          </w:p>
        </w:tc>
        <w:tc>
          <w:tcPr>
            <w:tcW w:w="1340" w:type="dxa"/>
            <w:vAlign w:val="bottom"/>
            <w:tcBorders>
              <w:bottom w:val="single" w:sz="8" w:color="auto"/>
            </w:tcBorders>
            <w:shd w:val="clear" w:color="auto" w:fill="CFF0FC"/>
          </w:tcPr>
          <w:p>
            <w:pPr>
              <w:jc w:val="right"/>
              <w:ind w:right="339"/>
              <w:spacing w:after="0" w:line="169" w:lineRule="exact"/>
              <w:rPr>
                <w:sz w:val="20"/>
                <w:szCs w:val="20"/>
                <w:color w:val="auto"/>
              </w:rPr>
            </w:pPr>
            <w:r>
              <w:rPr>
                <w:rFonts w:ascii="Arial" w:cs="Arial" w:eastAsia="Arial" w:hAnsi="Arial"/>
                <w:sz w:val="16"/>
                <w:szCs w:val="16"/>
                <w:color w:val="auto"/>
              </w:rPr>
              <w:t>1,772.8</w:t>
            </w:r>
          </w:p>
        </w:tc>
        <w:tc>
          <w:tcPr>
            <w:tcW w:w="1700" w:type="dxa"/>
            <w:vAlign w:val="bottom"/>
            <w:tcBorders>
              <w:bottom w:val="single" w:sz="8" w:color="auto"/>
            </w:tcBorders>
            <w:gridSpan w:val="2"/>
            <w:shd w:val="clear" w:color="auto" w:fill="CFF0FC"/>
          </w:tcPr>
          <w:p>
            <w:pPr>
              <w:jc w:val="right"/>
              <w:ind w:right="499"/>
              <w:spacing w:after="0" w:line="169" w:lineRule="exact"/>
              <w:rPr>
                <w:sz w:val="20"/>
                <w:szCs w:val="20"/>
                <w:color w:val="auto"/>
              </w:rPr>
            </w:pPr>
            <w:r>
              <w:rPr>
                <w:rFonts w:ascii="Arial" w:cs="Arial" w:eastAsia="Arial" w:hAnsi="Arial"/>
                <w:sz w:val="16"/>
                <w:szCs w:val="16"/>
                <w:color w:val="auto"/>
              </w:rPr>
              <w:t>3,956.0</w:t>
            </w:r>
          </w:p>
        </w:tc>
        <w:tc>
          <w:tcPr>
            <w:tcW w:w="1020" w:type="dxa"/>
            <w:vAlign w:val="bottom"/>
            <w:tcBorders>
              <w:bottom w:val="single" w:sz="8" w:color="auto"/>
            </w:tcBorders>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rPr>
              <w:t>3,654.6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04584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133" w:lineRule="exact"/>
        <w:rPr>
          <w:sz w:val="20"/>
          <w:szCs w:val="20"/>
          <w:color w:val="auto"/>
        </w:rPr>
      </w:pPr>
    </w:p>
    <w:p>
      <w:pPr>
        <w:ind w:left="520" w:right="400" w:hanging="512"/>
        <w:spacing w:after="0" w:line="251" w:lineRule="auto"/>
        <w:tabs>
          <w:tab w:leader="none" w:pos="5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decrease in coal generation for the three and six months ended June 30, 2025, compared to the same period in 2024 is primarily due to unplanned outages at Wygen III.</w:t>
      </w:r>
    </w:p>
    <w:p>
      <w:pPr>
        <w:spacing w:after="0" w:line="1" w:lineRule="exact"/>
        <w:rPr>
          <w:rFonts w:ascii="Arial" w:cs="Arial" w:eastAsia="Arial" w:hAnsi="Arial"/>
          <w:sz w:val="14"/>
          <w:szCs w:val="14"/>
          <w:color w:val="auto"/>
        </w:rPr>
      </w:pPr>
    </w:p>
    <w:p>
      <w:pPr>
        <w:ind w:left="520" w:right="40" w:hanging="512"/>
        <w:spacing w:after="0" w:line="241" w:lineRule="auto"/>
        <w:tabs>
          <w:tab w:leader="none" w:pos="5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increase in natural gas and oil generation for the three and six months ended June 30, 2025, compared to the same periods in 2024, was primarily due to the timing and extent of unplanned outages at Pueblo Airport Generation #4-5.</w:t>
      </w:r>
    </w:p>
    <w:p>
      <w:pPr>
        <w:ind w:left="520" w:right="200" w:hanging="512"/>
        <w:spacing w:after="0" w:line="264" w:lineRule="auto"/>
        <w:tabs>
          <w:tab w:leader="none" w:pos="5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increase in total purchases for the three and six months ended June 30, 2025, compared to the same periods in 2024, was primarily driven by increased demand from Wyoming Electric LPCS Tariff and BCIS Tariff customers and unplanned outages at Wygen III as discussed in (a) above.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80" w:type="dxa"/>
            <w:vAlign w:val="bottom"/>
          </w:tcPr>
          <w:p>
            <w:pPr>
              <w:spacing w:after="0"/>
              <w:rPr>
                <w:sz w:val="16"/>
                <w:szCs w:val="16"/>
                <w:color w:val="auto"/>
              </w:rPr>
            </w:pPr>
          </w:p>
        </w:tc>
        <w:tc>
          <w:tcPr>
            <w:tcW w:w="3740" w:type="dxa"/>
            <w:vAlign w:val="bottom"/>
            <w:gridSpan w:val="2"/>
          </w:tcPr>
          <w:p>
            <w:pPr>
              <w:jc w:val="right"/>
              <w:ind w:right="899"/>
              <w:spacing w:after="0"/>
              <w:rPr>
                <w:sz w:val="20"/>
                <w:szCs w:val="20"/>
                <w:color w:val="auto"/>
              </w:rPr>
            </w:pPr>
            <w:r>
              <w:rPr>
                <w:rFonts w:ascii="Arial" w:cs="Arial" w:eastAsia="Arial" w:hAnsi="Arial"/>
                <w:sz w:val="16"/>
                <w:szCs w:val="16"/>
                <w:b w:val="1"/>
                <w:bCs w:val="1"/>
                <w:color w:val="auto"/>
              </w:rPr>
              <w:t>Three Months Ended June 30,</w:t>
            </w:r>
          </w:p>
        </w:tc>
        <w:tc>
          <w:tcPr>
            <w:tcW w:w="2920" w:type="dxa"/>
            <w:vAlign w:val="bottom"/>
            <w:gridSpan w:val="2"/>
          </w:tcPr>
          <w:p>
            <w:pPr>
              <w:jc w:val="right"/>
              <w:ind w:right="599"/>
              <w:spacing w:after="0"/>
              <w:rPr>
                <w:sz w:val="20"/>
                <w:szCs w:val="20"/>
                <w:color w:val="auto"/>
              </w:rPr>
            </w:pPr>
            <w:r>
              <w:rPr>
                <w:rFonts w:ascii="Arial" w:cs="Arial" w:eastAsia="Arial" w:hAnsi="Arial"/>
                <w:sz w:val="16"/>
                <w:szCs w:val="16"/>
                <w:b w:val="1"/>
                <w:bCs w:val="1"/>
                <w:color w:val="auto"/>
              </w:rPr>
              <w:t>Six Months Ended June 30,</w:t>
            </w:r>
          </w:p>
        </w:tc>
      </w:tr>
      <w:tr>
        <w:trPr>
          <w:trHeight w:val="203"/>
        </w:trPr>
        <w:tc>
          <w:tcPr>
            <w:tcW w:w="45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Quantities Generated and Purchased</w:t>
            </w:r>
          </w:p>
        </w:tc>
        <w:tc>
          <w:tcPr>
            <w:tcW w:w="190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b w:val="1"/>
                <w:bCs w:val="1"/>
                <w:color w:val="auto"/>
              </w:rPr>
              <w:t>2025</w:t>
            </w:r>
          </w:p>
        </w:tc>
        <w:tc>
          <w:tcPr>
            <w:tcW w:w="1840" w:type="dxa"/>
            <w:vAlign w:val="bottom"/>
            <w:tcBorders>
              <w:bottom w:val="single" w:sz="8" w:color="auto"/>
            </w:tcBorders>
          </w:tcPr>
          <w:p>
            <w:pPr>
              <w:jc w:val="right"/>
              <w:ind w:right="1039"/>
              <w:spacing w:after="0"/>
              <w:rPr>
                <w:sz w:val="20"/>
                <w:szCs w:val="20"/>
                <w:color w:val="auto"/>
              </w:rPr>
            </w:pPr>
            <w:r>
              <w:rPr>
                <w:rFonts w:ascii="Arial" w:cs="Arial" w:eastAsia="Arial" w:hAnsi="Arial"/>
                <w:sz w:val="16"/>
                <w:szCs w:val="16"/>
                <w:b w:val="1"/>
                <w:bCs w:val="1"/>
                <w:color w:val="auto"/>
              </w:rPr>
              <w:t>2024</w:t>
            </w:r>
          </w:p>
        </w:tc>
        <w:tc>
          <w:tcPr>
            <w:tcW w:w="148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b w:val="1"/>
                <w:bCs w:val="1"/>
                <w:color w:val="auto"/>
              </w:rPr>
              <w:t>2025</w:t>
            </w:r>
          </w:p>
        </w:tc>
        <w:tc>
          <w:tcPr>
            <w:tcW w:w="144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2024</w:t>
            </w:r>
          </w:p>
        </w:tc>
      </w:tr>
      <w:tr>
        <w:trPr>
          <w:trHeight w:val="183"/>
        </w:trPr>
        <w:tc>
          <w:tcPr>
            <w:tcW w:w="4580" w:type="dxa"/>
            <w:vAlign w:val="bottom"/>
          </w:tcPr>
          <w:p>
            <w:pPr>
              <w:spacing w:after="0"/>
              <w:rPr>
                <w:sz w:val="15"/>
                <w:szCs w:val="15"/>
                <w:color w:val="auto"/>
              </w:rPr>
            </w:pPr>
          </w:p>
        </w:tc>
        <w:tc>
          <w:tcPr>
            <w:tcW w:w="190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(in GWh)</w:t>
            </w:r>
          </w:p>
        </w:tc>
        <w:tc>
          <w:tcPr>
            <w:tcW w:w="14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r>
      <w:tr>
        <w:trPr>
          <w:trHeight w:val="183"/>
        </w:trPr>
        <w:tc>
          <w:tcPr>
            <w:tcW w:w="45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Generated:</w:t>
            </w:r>
          </w:p>
        </w:tc>
        <w:tc>
          <w:tcPr>
            <w:tcW w:w="1900" w:type="dxa"/>
            <w:vAlign w:val="bottom"/>
            <w:shd w:val="clear" w:color="auto" w:fill="CFF0FC"/>
          </w:tcPr>
          <w:p>
            <w:pPr>
              <w:spacing w:after="0"/>
              <w:rPr>
                <w:sz w:val="15"/>
                <w:szCs w:val="15"/>
                <w:color w:val="auto"/>
              </w:rPr>
            </w:pPr>
          </w:p>
        </w:tc>
        <w:tc>
          <w:tcPr>
            <w:tcW w:w="184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r>
      <w:tr>
        <w:trPr>
          <w:trHeight w:val="189"/>
        </w:trPr>
        <w:tc>
          <w:tcPr>
            <w:tcW w:w="4580" w:type="dxa"/>
            <w:vAlign w:val="bottom"/>
          </w:tcPr>
          <w:p>
            <w:pPr>
              <w:ind w:left="60"/>
              <w:spacing w:after="0"/>
              <w:rPr>
                <w:sz w:val="20"/>
                <w:szCs w:val="20"/>
                <w:color w:val="auto"/>
              </w:rPr>
            </w:pPr>
            <w:r>
              <w:rPr>
                <w:rFonts w:ascii="Arial" w:cs="Arial" w:eastAsia="Arial" w:hAnsi="Arial"/>
                <w:sz w:val="16"/>
                <w:szCs w:val="16"/>
                <w:color w:val="auto"/>
              </w:rPr>
              <w:t>Colorado Electric</w:t>
            </w:r>
          </w:p>
        </w:tc>
        <w:tc>
          <w:tcPr>
            <w:tcW w:w="1900" w:type="dxa"/>
            <w:vAlign w:val="bottom"/>
          </w:tcPr>
          <w:p>
            <w:pPr>
              <w:jc w:val="right"/>
              <w:ind w:right="279"/>
              <w:spacing w:after="0"/>
              <w:rPr>
                <w:sz w:val="20"/>
                <w:szCs w:val="20"/>
                <w:color w:val="auto"/>
              </w:rPr>
            </w:pPr>
            <w:r>
              <w:rPr>
                <w:rFonts w:ascii="Arial" w:cs="Arial" w:eastAsia="Arial" w:hAnsi="Arial"/>
                <w:sz w:val="16"/>
                <w:szCs w:val="16"/>
                <w:color w:val="auto"/>
              </w:rPr>
              <w:t>183.1</w:t>
            </w:r>
          </w:p>
        </w:tc>
        <w:tc>
          <w:tcPr>
            <w:tcW w:w="1840" w:type="dxa"/>
            <w:vAlign w:val="bottom"/>
          </w:tcPr>
          <w:p>
            <w:pPr>
              <w:jc w:val="right"/>
              <w:ind w:right="439"/>
              <w:spacing w:after="0"/>
              <w:rPr>
                <w:sz w:val="20"/>
                <w:szCs w:val="20"/>
                <w:color w:val="auto"/>
              </w:rPr>
            </w:pPr>
            <w:r>
              <w:rPr>
                <w:rFonts w:ascii="Arial" w:cs="Arial" w:eastAsia="Arial" w:hAnsi="Arial"/>
                <w:sz w:val="16"/>
                <w:szCs w:val="16"/>
                <w:color w:val="auto"/>
              </w:rPr>
              <w:t>223.0</w:t>
            </w:r>
          </w:p>
        </w:tc>
        <w:tc>
          <w:tcPr>
            <w:tcW w:w="1480" w:type="dxa"/>
            <w:vAlign w:val="bottom"/>
          </w:tcPr>
          <w:p>
            <w:pPr>
              <w:jc w:val="right"/>
              <w:ind w:right="279"/>
              <w:spacing w:after="0"/>
              <w:rPr>
                <w:sz w:val="20"/>
                <w:szCs w:val="20"/>
                <w:color w:val="auto"/>
              </w:rPr>
            </w:pPr>
            <w:r>
              <w:rPr>
                <w:rFonts w:ascii="Arial" w:cs="Arial" w:eastAsia="Arial" w:hAnsi="Arial"/>
                <w:sz w:val="16"/>
                <w:szCs w:val="16"/>
                <w:color w:val="auto"/>
              </w:rPr>
              <w:t>367.4</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384.6</w:t>
            </w:r>
          </w:p>
        </w:tc>
      </w:tr>
      <w:tr>
        <w:trPr>
          <w:trHeight w:val="189"/>
        </w:trPr>
        <w:tc>
          <w:tcPr>
            <w:tcW w:w="4580" w:type="dxa"/>
            <w:vAlign w:val="bottom"/>
            <w:shd w:val="clear" w:color="auto" w:fill="CFF0FC"/>
          </w:tcPr>
          <w:p>
            <w:pPr>
              <w:ind w:left="60"/>
              <w:spacing w:after="0" w:line="189" w:lineRule="exact"/>
              <w:rPr>
                <w:sz w:val="20"/>
                <w:szCs w:val="20"/>
                <w:color w:val="auto"/>
              </w:rPr>
            </w:pPr>
            <w:r>
              <w:rPr>
                <w:rFonts w:ascii="Arial" w:cs="Arial" w:eastAsia="Arial" w:hAnsi="Arial"/>
                <w:sz w:val="16"/>
                <w:szCs w:val="16"/>
                <w:color w:val="auto"/>
              </w:rPr>
              <w:t xml:space="preserve">South Dakota Electric </w:t>
            </w:r>
            <w:r>
              <w:rPr>
                <w:rFonts w:ascii="Arial" w:cs="Arial" w:eastAsia="Arial" w:hAnsi="Arial"/>
                <w:sz w:val="21"/>
                <w:szCs w:val="21"/>
                <w:color w:val="auto"/>
                <w:vertAlign w:val="superscript"/>
              </w:rPr>
              <w:t>(a)</w:t>
            </w:r>
          </w:p>
        </w:tc>
        <w:tc>
          <w:tcPr>
            <w:tcW w:w="1900" w:type="dxa"/>
            <w:vAlign w:val="bottom"/>
            <w:shd w:val="clear" w:color="auto" w:fill="CFF0FC"/>
          </w:tcPr>
          <w:p>
            <w:pPr>
              <w:jc w:val="right"/>
              <w:ind w:right="279"/>
              <w:spacing w:after="0"/>
              <w:rPr>
                <w:sz w:val="20"/>
                <w:szCs w:val="20"/>
                <w:color w:val="auto"/>
              </w:rPr>
            </w:pPr>
            <w:r>
              <w:rPr>
                <w:rFonts w:ascii="Arial" w:cs="Arial" w:eastAsia="Arial" w:hAnsi="Arial"/>
                <w:sz w:val="16"/>
                <w:szCs w:val="16"/>
                <w:color w:val="auto"/>
              </w:rPr>
              <w:t>444.9</w:t>
            </w:r>
          </w:p>
        </w:tc>
        <w:tc>
          <w:tcPr>
            <w:tcW w:w="1840" w:type="dxa"/>
            <w:vAlign w:val="bottom"/>
            <w:shd w:val="clear" w:color="auto" w:fill="CFF0FC"/>
          </w:tcPr>
          <w:p>
            <w:pPr>
              <w:jc w:val="right"/>
              <w:ind w:right="439"/>
              <w:spacing w:after="0"/>
              <w:rPr>
                <w:sz w:val="20"/>
                <w:szCs w:val="20"/>
                <w:color w:val="auto"/>
              </w:rPr>
            </w:pPr>
            <w:r>
              <w:rPr>
                <w:rFonts w:ascii="Arial" w:cs="Arial" w:eastAsia="Arial" w:hAnsi="Arial"/>
                <w:sz w:val="16"/>
                <w:szCs w:val="16"/>
                <w:color w:val="auto"/>
              </w:rPr>
              <w:t>419.8</w:t>
            </w:r>
          </w:p>
        </w:tc>
        <w:tc>
          <w:tcPr>
            <w:tcW w:w="1480" w:type="dxa"/>
            <w:vAlign w:val="bottom"/>
            <w:shd w:val="clear" w:color="auto" w:fill="CFF0FC"/>
          </w:tcPr>
          <w:p>
            <w:pPr>
              <w:jc w:val="right"/>
              <w:ind w:right="279"/>
              <w:spacing w:after="0"/>
              <w:rPr>
                <w:sz w:val="20"/>
                <w:szCs w:val="20"/>
                <w:color w:val="auto"/>
              </w:rPr>
            </w:pPr>
            <w:r>
              <w:rPr>
                <w:rFonts w:ascii="Arial" w:cs="Arial" w:eastAsia="Arial" w:hAnsi="Arial"/>
                <w:sz w:val="16"/>
                <w:szCs w:val="16"/>
                <w:color w:val="auto"/>
              </w:rPr>
              <w:t>923.8</w:t>
            </w:r>
          </w:p>
        </w:tc>
        <w:tc>
          <w:tcPr>
            <w:tcW w:w="14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954.4</w:t>
            </w:r>
          </w:p>
        </w:tc>
      </w:tr>
      <w:tr>
        <w:trPr>
          <w:trHeight w:val="189"/>
        </w:trPr>
        <w:tc>
          <w:tcPr>
            <w:tcW w:w="4580" w:type="dxa"/>
            <w:vAlign w:val="bottom"/>
          </w:tcPr>
          <w:p>
            <w:pPr>
              <w:ind w:left="60"/>
              <w:spacing w:after="0"/>
              <w:rPr>
                <w:sz w:val="20"/>
                <w:szCs w:val="20"/>
                <w:color w:val="auto"/>
              </w:rPr>
            </w:pPr>
            <w:r>
              <w:rPr>
                <w:rFonts w:ascii="Arial" w:cs="Arial" w:eastAsia="Arial" w:hAnsi="Arial"/>
                <w:sz w:val="16"/>
                <w:szCs w:val="16"/>
                <w:color w:val="auto"/>
              </w:rPr>
              <w:t>Wyoming Electric</w:t>
            </w:r>
          </w:p>
        </w:tc>
        <w:tc>
          <w:tcPr>
            <w:tcW w:w="1900" w:type="dxa"/>
            <w:vAlign w:val="bottom"/>
          </w:tcPr>
          <w:p>
            <w:pPr>
              <w:jc w:val="right"/>
              <w:ind w:right="279"/>
              <w:spacing w:after="0"/>
              <w:rPr>
                <w:sz w:val="20"/>
                <w:szCs w:val="20"/>
                <w:color w:val="auto"/>
              </w:rPr>
            </w:pPr>
            <w:r>
              <w:rPr>
                <w:rFonts w:ascii="Arial" w:cs="Arial" w:eastAsia="Arial" w:hAnsi="Arial"/>
                <w:sz w:val="16"/>
                <w:szCs w:val="16"/>
                <w:color w:val="auto"/>
              </w:rPr>
              <w:t>220.1</w:t>
            </w:r>
          </w:p>
        </w:tc>
        <w:tc>
          <w:tcPr>
            <w:tcW w:w="1840" w:type="dxa"/>
            <w:vAlign w:val="bottom"/>
          </w:tcPr>
          <w:p>
            <w:pPr>
              <w:jc w:val="right"/>
              <w:ind w:right="439"/>
              <w:spacing w:after="0"/>
              <w:rPr>
                <w:sz w:val="20"/>
                <w:szCs w:val="20"/>
                <w:color w:val="auto"/>
              </w:rPr>
            </w:pPr>
            <w:r>
              <w:rPr>
                <w:rFonts w:ascii="Arial" w:cs="Arial" w:eastAsia="Arial" w:hAnsi="Arial"/>
                <w:sz w:val="16"/>
                <w:szCs w:val="16"/>
                <w:color w:val="auto"/>
              </w:rPr>
              <w:t>187.8</w:t>
            </w:r>
          </w:p>
        </w:tc>
        <w:tc>
          <w:tcPr>
            <w:tcW w:w="1480" w:type="dxa"/>
            <w:vAlign w:val="bottom"/>
          </w:tcPr>
          <w:p>
            <w:pPr>
              <w:jc w:val="right"/>
              <w:ind w:right="279"/>
              <w:spacing w:after="0"/>
              <w:rPr>
                <w:sz w:val="20"/>
                <w:szCs w:val="20"/>
                <w:color w:val="auto"/>
              </w:rPr>
            </w:pPr>
            <w:r>
              <w:rPr>
                <w:rFonts w:ascii="Arial" w:cs="Arial" w:eastAsia="Arial" w:hAnsi="Arial"/>
                <w:sz w:val="16"/>
                <w:szCs w:val="16"/>
                <w:color w:val="auto"/>
              </w:rPr>
              <w:t>439.4</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403.0</w:t>
            </w:r>
          </w:p>
        </w:tc>
      </w:tr>
      <w:tr>
        <w:trPr>
          <w:trHeight w:val="189"/>
        </w:trPr>
        <w:tc>
          <w:tcPr>
            <w:tcW w:w="458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6"/>
                <w:szCs w:val="16"/>
                <w:color w:val="auto"/>
              </w:rPr>
              <w:t>Integrated Generation</w:t>
            </w:r>
          </w:p>
        </w:tc>
        <w:tc>
          <w:tcPr>
            <w:tcW w:w="1900" w:type="dxa"/>
            <w:vAlign w:val="bottom"/>
            <w:tcBorders>
              <w:bottom w:val="single" w:sz="8" w:color="auto"/>
            </w:tcBorders>
            <w:shd w:val="clear" w:color="auto" w:fill="CFF0FC"/>
          </w:tcPr>
          <w:p>
            <w:pPr>
              <w:jc w:val="right"/>
              <w:ind w:right="279"/>
              <w:spacing w:after="0"/>
              <w:rPr>
                <w:sz w:val="20"/>
                <w:szCs w:val="20"/>
                <w:color w:val="auto"/>
              </w:rPr>
            </w:pPr>
            <w:r>
              <w:rPr>
                <w:rFonts w:ascii="Arial" w:cs="Arial" w:eastAsia="Arial" w:hAnsi="Arial"/>
                <w:sz w:val="16"/>
                <w:szCs w:val="16"/>
                <w:color w:val="auto"/>
              </w:rPr>
              <w:t>330.0</w:t>
            </w:r>
          </w:p>
        </w:tc>
        <w:tc>
          <w:tcPr>
            <w:tcW w:w="1840" w:type="dxa"/>
            <w:vAlign w:val="bottom"/>
            <w:tcBorders>
              <w:bottom w:val="single" w:sz="8" w:color="auto"/>
            </w:tcBorders>
            <w:shd w:val="clear" w:color="auto" w:fill="CFF0FC"/>
          </w:tcPr>
          <w:p>
            <w:pPr>
              <w:jc w:val="right"/>
              <w:ind w:right="439"/>
              <w:spacing w:after="0"/>
              <w:rPr>
                <w:sz w:val="20"/>
                <w:szCs w:val="20"/>
                <w:color w:val="auto"/>
              </w:rPr>
            </w:pPr>
            <w:r>
              <w:rPr>
                <w:rFonts w:ascii="Arial" w:cs="Arial" w:eastAsia="Arial" w:hAnsi="Arial"/>
                <w:sz w:val="16"/>
                <w:szCs w:val="16"/>
                <w:color w:val="auto"/>
              </w:rPr>
              <w:t>260.7</w:t>
            </w:r>
          </w:p>
        </w:tc>
        <w:tc>
          <w:tcPr>
            <w:tcW w:w="1480" w:type="dxa"/>
            <w:vAlign w:val="bottom"/>
            <w:tcBorders>
              <w:bottom w:val="single" w:sz="8" w:color="auto"/>
            </w:tcBorders>
            <w:shd w:val="clear" w:color="auto" w:fill="CFF0FC"/>
          </w:tcPr>
          <w:p>
            <w:pPr>
              <w:jc w:val="right"/>
              <w:ind w:right="279"/>
              <w:spacing w:after="0"/>
              <w:rPr>
                <w:sz w:val="20"/>
                <w:szCs w:val="20"/>
                <w:color w:val="auto"/>
              </w:rPr>
            </w:pPr>
            <w:r>
              <w:rPr>
                <w:rFonts w:ascii="Arial" w:cs="Arial" w:eastAsia="Arial" w:hAnsi="Arial"/>
                <w:sz w:val="16"/>
                <w:szCs w:val="16"/>
                <w:color w:val="auto"/>
              </w:rPr>
              <w:t>734.9</w:t>
            </w:r>
          </w:p>
        </w:tc>
        <w:tc>
          <w:tcPr>
            <w:tcW w:w="14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727.4</w:t>
            </w:r>
          </w:p>
        </w:tc>
      </w:tr>
      <w:tr>
        <w:trPr>
          <w:trHeight w:val="183"/>
        </w:trPr>
        <w:tc>
          <w:tcPr>
            <w:tcW w:w="4580" w:type="dxa"/>
            <w:vAlign w:val="bottom"/>
          </w:tcPr>
          <w:p>
            <w:pPr>
              <w:ind w:left="100"/>
              <w:spacing w:after="0" w:line="183" w:lineRule="exact"/>
              <w:rPr>
                <w:sz w:val="20"/>
                <w:szCs w:val="20"/>
                <w:color w:val="auto"/>
              </w:rPr>
            </w:pPr>
            <w:r>
              <w:rPr>
                <w:rFonts w:ascii="Arial" w:cs="Arial" w:eastAsia="Arial" w:hAnsi="Arial"/>
                <w:sz w:val="16"/>
                <w:szCs w:val="16"/>
                <w:color w:val="auto"/>
              </w:rPr>
              <w:t>Total Generated</w:t>
            </w:r>
          </w:p>
        </w:tc>
        <w:tc>
          <w:tcPr>
            <w:tcW w:w="1900" w:type="dxa"/>
            <w:vAlign w:val="bottom"/>
            <w:tcBorders>
              <w:bottom w:val="single" w:sz="8" w:color="auto"/>
            </w:tcBorders>
          </w:tcPr>
          <w:p>
            <w:pPr>
              <w:jc w:val="right"/>
              <w:ind w:right="279"/>
              <w:spacing w:after="0" w:line="183" w:lineRule="exact"/>
              <w:rPr>
                <w:sz w:val="20"/>
                <w:szCs w:val="20"/>
                <w:color w:val="auto"/>
              </w:rPr>
            </w:pPr>
            <w:r>
              <w:rPr>
                <w:rFonts w:ascii="Arial" w:cs="Arial" w:eastAsia="Arial" w:hAnsi="Arial"/>
                <w:sz w:val="16"/>
                <w:szCs w:val="16"/>
                <w:color w:val="auto"/>
              </w:rPr>
              <w:t>1,178.1</w:t>
            </w:r>
          </w:p>
        </w:tc>
        <w:tc>
          <w:tcPr>
            <w:tcW w:w="1840" w:type="dxa"/>
            <w:vAlign w:val="bottom"/>
            <w:tcBorders>
              <w:bottom w:val="single" w:sz="8" w:color="auto"/>
            </w:tcBorders>
          </w:tcPr>
          <w:p>
            <w:pPr>
              <w:jc w:val="right"/>
              <w:ind w:right="439"/>
              <w:spacing w:after="0" w:line="183" w:lineRule="exact"/>
              <w:rPr>
                <w:sz w:val="20"/>
                <w:szCs w:val="20"/>
                <w:color w:val="auto"/>
              </w:rPr>
            </w:pPr>
            <w:r>
              <w:rPr>
                <w:rFonts w:ascii="Arial" w:cs="Arial" w:eastAsia="Arial" w:hAnsi="Arial"/>
                <w:sz w:val="16"/>
                <w:szCs w:val="16"/>
                <w:color w:val="auto"/>
              </w:rPr>
              <w:t>1,091.3</w:t>
            </w:r>
          </w:p>
        </w:tc>
        <w:tc>
          <w:tcPr>
            <w:tcW w:w="1480" w:type="dxa"/>
            <w:vAlign w:val="bottom"/>
            <w:tcBorders>
              <w:bottom w:val="single" w:sz="8" w:color="auto"/>
            </w:tcBorders>
          </w:tcPr>
          <w:p>
            <w:pPr>
              <w:jc w:val="right"/>
              <w:ind w:right="279"/>
              <w:spacing w:after="0" w:line="183" w:lineRule="exact"/>
              <w:rPr>
                <w:sz w:val="20"/>
                <w:szCs w:val="20"/>
                <w:color w:val="auto"/>
              </w:rPr>
            </w:pPr>
            <w:r>
              <w:rPr>
                <w:rFonts w:ascii="Arial" w:cs="Arial" w:eastAsia="Arial" w:hAnsi="Arial"/>
                <w:sz w:val="16"/>
                <w:szCs w:val="16"/>
                <w:color w:val="auto"/>
              </w:rPr>
              <w:t>2,465.5</w:t>
            </w:r>
          </w:p>
        </w:tc>
        <w:tc>
          <w:tcPr>
            <w:tcW w:w="144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2,469.4</w:t>
            </w:r>
          </w:p>
        </w:tc>
      </w:tr>
      <w:tr>
        <w:trPr>
          <w:trHeight w:val="183"/>
        </w:trPr>
        <w:tc>
          <w:tcPr>
            <w:tcW w:w="45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Purchased:</w:t>
            </w:r>
          </w:p>
        </w:tc>
        <w:tc>
          <w:tcPr>
            <w:tcW w:w="1900" w:type="dxa"/>
            <w:vAlign w:val="bottom"/>
            <w:shd w:val="clear" w:color="auto" w:fill="CFF0FC"/>
          </w:tcPr>
          <w:p>
            <w:pPr>
              <w:spacing w:after="0"/>
              <w:rPr>
                <w:sz w:val="15"/>
                <w:szCs w:val="15"/>
                <w:color w:val="auto"/>
              </w:rPr>
            </w:pPr>
          </w:p>
        </w:tc>
        <w:tc>
          <w:tcPr>
            <w:tcW w:w="184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r>
      <w:tr>
        <w:trPr>
          <w:trHeight w:val="189"/>
        </w:trPr>
        <w:tc>
          <w:tcPr>
            <w:tcW w:w="4580" w:type="dxa"/>
            <w:vAlign w:val="bottom"/>
          </w:tcPr>
          <w:p>
            <w:pPr>
              <w:ind w:left="60"/>
              <w:spacing w:after="0"/>
              <w:rPr>
                <w:sz w:val="20"/>
                <w:szCs w:val="20"/>
                <w:color w:val="auto"/>
              </w:rPr>
            </w:pPr>
            <w:r>
              <w:rPr>
                <w:rFonts w:ascii="Arial" w:cs="Arial" w:eastAsia="Arial" w:hAnsi="Arial"/>
                <w:sz w:val="16"/>
                <w:szCs w:val="16"/>
                <w:color w:val="auto"/>
              </w:rPr>
              <w:t>Colorado Electric</w:t>
            </w:r>
          </w:p>
        </w:tc>
        <w:tc>
          <w:tcPr>
            <w:tcW w:w="1900" w:type="dxa"/>
            <w:vAlign w:val="bottom"/>
          </w:tcPr>
          <w:p>
            <w:pPr>
              <w:jc w:val="right"/>
              <w:ind w:right="279"/>
              <w:spacing w:after="0"/>
              <w:rPr>
                <w:sz w:val="20"/>
                <w:szCs w:val="20"/>
                <w:color w:val="auto"/>
              </w:rPr>
            </w:pPr>
            <w:r>
              <w:rPr>
                <w:rFonts w:ascii="Arial" w:cs="Arial" w:eastAsia="Arial" w:hAnsi="Arial"/>
                <w:sz w:val="16"/>
                <w:szCs w:val="16"/>
                <w:color w:val="auto"/>
              </w:rPr>
              <w:t>106.5</w:t>
            </w:r>
          </w:p>
        </w:tc>
        <w:tc>
          <w:tcPr>
            <w:tcW w:w="1840" w:type="dxa"/>
            <w:vAlign w:val="bottom"/>
          </w:tcPr>
          <w:p>
            <w:pPr>
              <w:jc w:val="right"/>
              <w:ind w:right="439"/>
              <w:spacing w:after="0"/>
              <w:rPr>
                <w:sz w:val="20"/>
                <w:szCs w:val="20"/>
                <w:color w:val="auto"/>
              </w:rPr>
            </w:pPr>
            <w:r>
              <w:rPr>
                <w:rFonts w:ascii="Arial" w:cs="Arial" w:eastAsia="Arial" w:hAnsi="Arial"/>
                <w:sz w:val="16"/>
                <w:szCs w:val="16"/>
                <w:color w:val="auto"/>
              </w:rPr>
              <w:t>172.7</w:t>
            </w:r>
          </w:p>
        </w:tc>
        <w:tc>
          <w:tcPr>
            <w:tcW w:w="1480" w:type="dxa"/>
            <w:vAlign w:val="bottom"/>
          </w:tcPr>
          <w:p>
            <w:pPr>
              <w:jc w:val="right"/>
              <w:ind w:right="279"/>
              <w:spacing w:after="0"/>
              <w:rPr>
                <w:sz w:val="20"/>
                <w:szCs w:val="20"/>
                <w:color w:val="auto"/>
              </w:rPr>
            </w:pPr>
            <w:r>
              <w:rPr>
                <w:rFonts w:ascii="Arial" w:cs="Arial" w:eastAsia="Arial" w:hAnsi="Arial"/>
                <w:sz w:val="16"/>
                <w:szCs w:val="16"/>
                <w:color w:val="auto"/>
              </w:rPr>
              <w:t>196.7</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262.9</w:t>
            </w:r>
          </w:p>
        </w:tc>
      </w:tr>
      <w:tr>
        <w:trPr>
          <w:trHeight w:val="189"/>
        </w:trPr>
        <w:tc>
          <w:tcPr>
            <w:tcW w:w="4580" w:type="dxa"/>
            <w:vAlign w:val="bottom"/>
            <w:shd w:val="clear" w:color="auto" w:fill="CFF0FC"/>
          </w:tcPr>
          <w:p>
            <w:pPr>
              <w:ind w:left="60"/>
              <w:spacing w:after="0" w:line="189" w:lineRule="exact"/>
              <w:rPr>
                <w:sz w:val="20"/>
                <w:szCs w:val="20"/>
                <w:color w:val="auto"/>
              </w:rPr>
            </w:pPr>
            <w:r>
              <w:rPr>
                <w:rFonts w:ascii="Arial" w:cs="Arial" w:eastAsia="Arial" w:hAnsi="Arial"/>
                <w:sz w:val="16"/>
                <w:szCs w:val="16"/>
                <w:color w:val="auto"/>
              </w:rPr>
              <w:t xml:space="preserve">South Dakota Electric </w:t>
            </w:r>
            <w:r>
              <w:rPr>
                <w:rFonts w:ascii="Arial" w:cs="Arial" w:eastAsia="Arial" w:hAnsi="Arial"/>
                <w:sz w:val="21"/>
                <w:szCs w:val="21"/>
                <w:color w:val="auto"/>
                <w:vertAlign w:val="superscript"/>
              </w:rPr>
              <w:t>(a)</w:t>
            </w:r>
          </w:p>
        </w:tc>
        <w:tc>
          <w:tcPr>
            <w:tcW w:w="1900" w:type="dxa"/>
            <w:vAlign w:val="bottom"/>
            <w:shd w:val="clear" w:color="auto" w:fill="CFF0FC"/>
          </w:tcPr>
          <w:p>
            <w:pPr>
              <w:jc w:val="right"/>
              <w:ind w:right="279"/>
              <w:spacing w:after="0"/>
              <w:rPr>
                <w:sz w:val="20"/>
                <w:szCs w:val="20"/>
                <w:color w:val="auto"/>
              </w:rPr>
            </w:pPr>
            <w:r>
              <w:rPr>
                <w:rFonts w:ascii="Arial" w:cs="Arial" w:eastAsia="Arial" w:hAnsi="Arial"/>
                <w:sz w:val="16"/>
                <w:szCs w:val="16"/>
                <w:color w:val="auto"/>
              </w:rPr>
              <w:t>232.6</w:t>
            </w:r>
          </w:p>
        </w:tc>
        <w:tc>
          <w:tcPr>
            <w:tcW w:w="1840" w:type="dxa"/>
            <w:vAlign w:val="bottom"/>
            <w:shd w:val="clear" w:color="auto" w:fill="CFF0FC"/>
          </w:tcPr>
          <w:p>
            <w:pPr>
              <w:jc w:val="right"/>
              <w:ind w:right="439"/>
              <w:spacing w:after="0"/>
              <w:rPr>
                <w:sz w:val="20"/>
                <w:szCs w:val="20"/>
                <w:color w:val="auto"/>
              </w:rPr>
            </w:pPr>
            <w:r>
              <w:rPr>
                <w:rFonts w:ascii="Arial" w:cs="Arial" w:eastAsia="Arial" w:hAnsi="Arial"/>
                <w:sz w:val="16"/>
                <w:szCs w:val="16"/>
                <w:color w:val="auto"/>
              </w:rPr>
              <w:t>163.0</w:t>
            </w:r>
          </w:p>
        </w:tc>
        <w:tc>
          <w:tcPr>
            <w:tcW w:w="1480" w:type="dxa"/>
            <w:vAlign w:val="bottom"/>
            <w:shd w:val="clear" w:color="auto" w:fill="CFF0FC"/>
          </w:tcPr>
          <w:p>
            <w:pPr>
              <w:jc w:val="right"/>
              <w:ind w:right="279"/>
              <w:spacing w:after="0"/>
              <w:rPr>
                <w:sz w:val="20"/>
                <w:szCs w:val="20"/>
                <w:color w:val="auto"/>
              </w:rPr>
            </w:pPr>
            <w:r>
              <w:rPr>
                <w:rFonts w:ascii="Arial" w:cs="Arial" w:eastAsia="Arial" w:hAnsi="Arial"/>
                <w:sz w:val="16"/>
                <w:szCs w:val="16"/>
                <w:color w:val="auto"/>
              </w:rPr>
              <w:t>443.9</w:t>
            </w:r>
          </w:p>
        </w:tc>
        <w:tc>
          <w:tcPr>
            <w:tcW w:w="14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263.6</w:t>
            </w:r>
          </w:p>
        </w:tc>
      </w:tr>
      <w:tr>
        <w:trPr>
          <w:trHeight w:val="189"/>
        </w:trPr>
        <w:tc>
          <w:tcPr>
            <w:tcW w:w="4580" w:type="dxa"/>
            <w:vAlign w:val="bottom"/>
          </w:tcPr>
          <w:p>
            <w:pPr>
              <w:ind w:left="60"/>
              <w:spacing w:after="0" w:line="189" w:lineRule="exact"/>
              <w:rPr>
                <w:sz w:val="20"/>
                <w:szCs w:val="20"/>
                <w:color w:val="auto"/>
              </w:rPr>
            </w:pPr>
            <w:r>
              <w:rPr>
                <w:rFonts w:ascii="Arial" w:cs="Arial" w:eastAsia="Arial" w:hAnsi="Arial"/>
                <w:sz w:val="16"/>
                <w:szCs w:val="16"/>
                <w:color w:val="auto"/>
              </w:rPr>
              <w:t xml:space="preserve">Wyoming Electric </w:t>
            </w:r>
            <w:r>
              <w:rPr>
                <w:rFonts w:ascii="Arial" w:cs="Arial" w:eastAsia="Arial" w:hAnsi="Arial"/>
                <w:sz w:val="21"/>
                <w:szCs w:val="21"/>
                <w:color w:val="auto"/>
                <w:vertAlign w:val="superscript"/>
              </w:rPr>
              <w:t>(b)</w:t>
            </w:r>
          </w:p>
        </w:tc>
        <w:tc>
          <w:tcPr>
            <w:tcW w:w="1900" w:type="dxa"/>
            <w:vAlign w:val="bottom"/>
          </w:tcPr>
          <w:p>
            <w:pPr>
              <w:jc w:val="right"/>
              <w:ind w:right="279"/>
              <w:spacing w:after="0"/>
              <w:rPr>
                <w:sz w:val="20"/>
                <w:szCs w:val="20"/>
                <w:color w:val="auto"/>
              </w:rPr>
            </w:pPr>
            <w:r>
              <w:rPr>
                <w:rFonts w:ascii="Arial" w:cs="Arial" w:eastAsia="Arial" w:hAnsi="Arial"/>
                <w:sz w:val="16"/>
                <w:szCs w:val="16"/>
                <w:color w:val="auto"/>
              </w:rPr>
              <w:t>439.7</w:t>
            </w:r>
          </w:p>
        </w:tc>
        <w:tc>
          <w:tcPr>
            <w:tcW w:w="1840" w:type="dxa"/>
            <w:vAlign w:val="bottom"/>
          </w:tcPr>
          <w:p>
            <w:pPr>
              <w:jc w:val="right"/>
              <w:ind w:right="439"/>
              <w:spacing w:after="0"/>
              <w:rPr>
                <w:sz w:val="20"/>
                <w:szCs w:val="20"/>
                <w:color w:val="auto"/>
              </w:rPr>
            </w:pPr>
            <w:r>
              <w:rPr>
                <w:rFonts w:ascii="Arial" w:cs="Arial" w:eastAsia="Arial" w:hAnsi="Arial"/>
                <w:sz w:val="16"/>
                <w:szCs w:val="16"/>
                <w:color w:val="auto"/>
              </w:rPr>
              <w:t>329.8</w:t>
            </w:r>
          </w:p>
        </w:tc>
        <w:tc>
          <w:tcPr>
            <w:tcW w:w="1480" w:type="dxa"/>
            <w:vAlign w:val="bottom"/>
          </w:tcPr>
          <w:p>
            <w:pPr>
              <w:jc w:val="right"/>
              <w:ind w:right="279"/>
              <w:spacing w:after="0"/>
              <w:rPr>
                <w:sz w:val="20"/>
                <w:szCs w:val="20"/>
                <w:color w:val="auto"/>
              </w:rPr>
            </w:pPr>
            <w:r>
              <w:rPr>
                <w:rFonts w:ascii="Arial" w:cs="Arial" w:eastAsia="Arial" w:hAnsi="Arial"/>
                <w:sz w:val="16"/>
                <w:szCs w:val="16"/>
                <w:color w:val="auto"/>
              </w:rPr>
              <w:t>815.8</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625.5</w:t>
            </w:r>
          </w:p>
        </w:tc>
      </w:tr>
      <w:tr>
        <w:trPr>
          <w:trHeight w:val="189"/>
        </w:trPr>
        <w:tc>
          <w:tcPr>
            <w:tcW w:w="458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6"/>
                <w:szCs w:val="16"/>
                <w:color w:val="auto"/>
              </w:rPr>
              <w:t>Integrated Generation</w:t>
            </w:r>
          </w:p>
        </w:tc>
        <w:tc>
          <w:tcPr>
            <w:tcW w:w="1900" w:type="dxa"/>
            <w:vAlign w:val="bottom"/>
            <w:tcBorders>
              <w:bottom w:val="single" w:sz="8" w:color="auto"/>
            </w:tcBorders>
            <w:shd w:val="clear" w:color="auto" w:fill="CFF0FC"/>
          </w:tcPr>
          <w:p>
            <w:pPr>
              <w:jc w:val="right"/>
              <w:ind w:right="279"/>
              <w:spacing w:after="0"/>
              <w:rPr>
                <w:sz w:val="20"/>
                <w:szCs w:val="20"/>
                <w:color w:val="auto"/>
              </w:rPr>
            </w:pPr>
            <w:r>
              <w:rPr>
                <w:rFonts w:ascii="Arial" w:cs="Arial" w:eastAsia="Arial" w:hAnsi="Arial"/>
                <w:sz w:val="16"/>
                <w:szCs w:val="16"/>
                <w:color w:val="auto"/>
              </w:rPr>
              <w:t>15.6</w:t>
            </w:r>
          </w:p>
        </w:tc>
        <w:tc>
          <w:tcPr>
            <w:tcW w:w="1840" w:type="dxa"/>
            <w:vAlign w:val="bottom"/>
            <w:tcBorders>
              <w:bottom w:val="single" w:sz="8" w:color="auto"/>
            </w:tcBorders>
            <w:shd w:val="clear" w:color="auto" w:fill="CFF0FC"/>
          </w:tcPr>
          <w:p>
            <w:pPr>
              <w:jc w:val="right"/>
              <w:ind w:right="439"/>
              <w:spacing w:after="0"/>
              <w:rPr>
                <w:sz w:val="20"/>
                <w:szCs w:val="20"/>
                <w:color w:val="auto"/>
              </w:rPr>
            </w:pPr>
            <w:r>
              <w:rPr>
                <w:rFonts w:ascii="Arial" w:cs="Arial" w:eastAsia="Arial" w:hAnsi="Arial"/>
                <w:sz w:val="16"/>
                <w:szCs w:val="16"/>
                <w:color w:val="auto"/>
              </w:rPr>
              <w:t>16.0</w:t>
            </w:r>
          </w:p>
        </w:tc>
        <w:tc>
          <w:tcPr>
            <w:tcW w:w="1480" w:type="dxa"/>
            <w:vAlign w:val="bottom"/>
            <w:tcBorders>
              <w:bottom w:val="single" w:sz="8" w:color="auto"/>
            </w:tcBorders>
            <w:shd w:val="clear" w:color="auto" w:fill="CFF0FC"/>
          </w:tcPr>
          <w:p>
            <w:pPr>
              <w:jc w:val="right"/>
              <w:ind w:right="279"/>
              <w:spacing w:after="0"/>
              <w:rPr>
                <w:sz w:val="20"/>
                <w:szCs w:val="20"/>
                <w:color w:val="auto"/>
              </w:rPr>
            </w:pPr>
            <w:r>
              <w:rPr>
                <w:rFonts w:ascii="Arial" w:cs="Arial" w:eastAsia="Arial" w:hAnsi="Arial"/>
                <w:sz w:val="16"/>
                <w:szCs w:val="16"/>
                <w:color w:val="auto"/>
              </w:rPr>
              <w:t>34.1</w:t>
            </w:r>
          </w:p>
        </w:tc>
        <w:tc>
          <w:tcPr>
            <w:tcW w:w="14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33.2</w:t>
            </w:r>
          </w:p>
        </w:tc>
      </w:tr>
      <w:tr>
        <w:trPr>
          <w:trHeight w:val="183"/>
        </w:trPr>
        <w:tc>
          <w:tcPr>
            <w:tcW w:w="4580" w:type="dxa"/>
            <w:vAlign w:val="bottom"/>
          </w:tcPr>
          <w:p>
            <w:pPr>
              <w:ind w:left="100"/>
              <w:spacing w:after="0" w:line="183" w:lineRule="exact"/>
              <w:rPr>
                <w:sz w:val="20"/>
                <w:szCs w:val="20"/>
                <w:color w:val="auto"/>
              </w:rPr>
            </w:pPr>
            <w:r>
              <w:rPr>
                <w:rFonts w:ascii="Arial" w:cs="Arial" w:eastAsia="Arial" w:hAnsi="Arial"/>
                <w:sz w:val="16"/>
                <w:szCs w:val="16"/>
                <w:color w:val="auto"/>
              </w:rPr>
              <w:t>Total Purchased</w:t>
            </w:r>
          </w:p>
        </w:tc>
        <w:tc>
          <w:tcPr>
            <w:tcW w:w="1900" w:type="dxa"/>
            <w:vAlign w:val="bottom"/>
            <w:tcBorders>
              <w:bottom w:val="single" w:sz="8" w:color="auto"/>
            </w:tcBorders>
          </w:tcPr>
          <w:p>
            <w:pPr>
              <w:jc w:val="right"/>
              <w:ind w:right="279"/>
              <w:spacing w:after="0" w:line="183" w:lineRule="exact"/>
              <w:rPr>
                <w:sz w:val="20"/>
                <w:szCs w:val="20"/>
                <w:color w:val="auto"/>
              </w:rPr>
            </w:pPr>
            <w:r>
              <w:rPr>
                <w:rFonts w:ascii="Arial" w:cs="Arial" w:eastAsia="Arial" w:hAnsi="Arial"/>
                <w:sz w:val="16"/>
                <w:szCs w:val="16"/>
                <w:color w:val="auto"/>
              </w:rPr>
              <w:t>794.4</w:t>
            </w:r>
          </w:p>
        </w:tc>
        <w:tc>
          <w:tcPr>
            <w:tcW w:w="1840" w:type="dxa"/>
            <w:vAlign w:val="bottom"/>
            <w:tcBorders>
              <w:bottom w:val="single" w:sz="8" w:color="auto"/>
            </w:tcBorders>
          </w:tcPr>
          <w:p>
            <w:pPr>
              <w:jc w:val="right"/>
              <w:ind w:right="439"/>
              <w:spacing w:after="0" w:line="183" w:lineRule="exact"/>
              <w:rPr>
                <w:sz w:val="20"/>
                <w:szCs w:val="20"/>
                <w:color w:val="auto"/>
              </w:rPr>
            </w:pPr>
            <w:r>
              <w:rPr>
                <w:rFonts w:ascii="Arial" w:cs="Arial" w:eastAsia="Arial" w:hAnsi="Arial"/>
                <w:sz w:val="16"/>
                <w:szCs w:val="16"/>
                <w:color w:val="auto"/>
              </w:rPr>
              <w:t>681.5</w:t>
            </w:r>
          </w:p>
        </w:tc>
        <w:tc>
          <w:tcPr>
            <w:tcW w:w="1480" w:type="dxa"/>
            <w:vAlign w:val="bottom"/>
            <w:tcBorders>
              <w:bottom w:val="single" w:sz="8" w:color="auto"/>
            </w:tcBorders>
          </w:tcPr>
          <w:p>
            <w:pPr>
              <w:jc w:val="right"/>
              <w:ind w:right="279"/>
              <w:spacing w:after="0" w:line="183" w:lineRule="exact"/>
              <w:rPr>
                <w:sz w:val="20"/>
                <w:szCs w:val="20"/>
                <w:color w:val="auto"/>
              </w:rPr>
            </w:pPr>
            <w:r>
              <w:rPr>
                <w:rFonts w:ascii="Arial" w:cs="Arial" w:eastAsia="Arial" w:hAnsi="Arial"/>
                <w:sz w:val="16"/>
                <w:szCs w:val="16"/>
                <w:color w:val="auto"/>
              </w:rPr>
              <w:t>1,490.5</w:t>
            </w:r>
          </w:p>
        </w:tc>
        <w:tc>
          <w:tcPr>
            <w:tcW w:w="144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1,185.2</w:t>
            </w:r>
          </w:p>
        </w:tc>
      </w:tr>
      <w:tr>
        <w:trPr>
          <w:trHeight w:val="183"/>
        </w:trPr>
        <w:tc>
          <w:tcPr>
            <w:tcW w:w="4580" w:type="dxa"/>
            <w:vAlign w:val="bottom"/>
            <w:shd w:val="clear" w:color="auto" w:fill="CFF0FC"/>
          </w:tcPr>
          <w:p>
            <w:pPr>
              <w:spacing w:after="0"/>
              <w:rPr>
                <w:sz w:val="15"/>
                <w:szCs w:val="15"/>
                <w:color w:val="auto"/>
              </w:rPr>
            </w:pPr>
          </w:p>
        </w:tc>
        <w:tc>
          <w:tcPr>
            <w:tcW w:w="1900" w:type="dxa"/>
            <w:vAlign w:val="bottom"/>
            <w:shd w:val="clear" w:color="auto" w:fill="CFF0FC"/>
          </w:tcPr>
          <w:p>
            <w:pPr>
              <w:spacing w:after="0"/>
              <w:rPr>
                <w:sz w:val="15"/>
                <w:szCs w:val="15"/>
                <w:color w:val="auto"/>
              </w:rPr>
            </w:pPr>
          </w:p>
        </w:tc>
        <w:tc>
          <w:tcPr>
            <w:tcW w:w="184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r>
      <w:tr>
        <w:trPr>
          <w:trHeight w:val="189"/>
        </w:trPr>
        <w:tc>
          <w:tcPr>
            <w:tcW w:w="4580" w:type="dxa"/>
            <w:vAlign w:val="bottom"/>
          </w:tcPr>
          <w:p>
            <w:pPr>
              <w:spacing w:after="0" w:line="169" w:lineRule="exact"/>
              <w:rPr>
                <w:sz w:val="20"/>
                <w:szCs w:val="20"/>
                <w:color w:val="auto"/>
              </w:rPr>
            </w:pPr>
            <w:r>
              <w:rPr>
                <w:rFonts w:ascii="Arial" w:cs="Arial" w:eastAsia="Arial" w:hAnsi="Arial"/>
                <w:sz w:val="16"/>
                <w:szCs w:val="16"/>
                <w:color w:val="auto"/>
              </w:rPr>
              <w:t>Total Generated and Purchased</w:t>
            </w:r>
          </w:p>
        </w:tc>
        <w:tc>
          <w:tcPr>
            <w:tcW w:w="1900" w:type="dxa"/>
            <w:vAlign w:val="bottom"/>
            <w:tcBorders>
              <w:bottom w:val="single" w:sz="8" w:color="auto"/>
            </w:tcBorders>
          </w:tcPr>
          <w:p>
            <w:pPr>
              <w:jc w:val="right"/>
              <w:ind w:right="279"/>
              <w:spacing w:after="0" w:line="169" w:lineRule="exact"/>
              <w:rPr>
                <w:sz w:val="20"/>
                <w:szCs w:val="20"/>
                <w:color w:val="auto"/>
              </w:rPr>
            </w:pPr>
            <w:r>
              <w:rPr>
                <w:rFonts w:ascii="Arial" w:cs="Arial" w:eastAsia="Arial" w:hAnsi="Arial"/>
                <w:sz w:val="16"/>
                <w:szCs w:val="16"/>
                <w:color w:val="auto"/>
              </w:rPr>
              <w:t>1,972.5</w:t>
            </w:r>
          </w:p>
        </w:tc>
        <w:tc>
          <w:tcPr>
            <w:tcW w:w="1840" w:type="dxa"/>
            <w:vAlign w:val="bottom"/>
            <w:tcBorders>
              <w:bottom w:val="single" w:sz="8" w:color="auto"/>
            </w:tcBorders>
          </w:tcPr>
          <w:p>
            <w:pPr>
              <w:jc w:val="right"/>
              <w:ind w:right="439"/>
              <w:spacing w:after="0" w:line="169" w:lineRule="exact"/>
              <w:rPr>
                <w:sz w:val="20"/>
                <w:szCs w:val="20"/>
                <w:color w:val="auto"/>
              </w:rPr>
            </w:pPr>
            <w:r>
              <w:rPr>
                <w:rFonts w:ascii="Arial" w:cs="Arial" w:eastAsia="Arial" w:hAnsi="Arial"/>
                <w:sz w:val="16"/>
                <w:szCs w:val="16"/>
                <w:color w:val="auto"/>
              </w:rPr>
              <w:t>1,772.8</w:t>
            </w:r>
          </w:p>
        </w:tc>
        <w:tc>
          <w:tcPr>
            <w:tcW w:w="1480" w:type="dxa"/>
            <w:vAlign w:val="bottom"/>
            <w:tcBorders>
              <w:bottom w:val="single" w:sz="8" w:color="auto"/>
            </w:tcBorders>
          </w:tcPr>
          <w:p>
            <w:pPr>
              <w:jc w:val="right"/>
              <w:ind w:right="279"/>
              <w:spacing w:after="0" w:line="169" w:lineRule="exact"/>
              <w:rPr>
                <w:sz w:val="20"/>
                <w:szCs w:val="20"/>
                <w:color w:val="auto"/>
              </w:rPr>
            </w:pPr>
            <w:r>
              <w:rPr>
                <w:rFonts w:ascii="Arial" w:cs="Arial" w:eastAsia="Arial" w:hAnsi="Arial"/>
                <w:sz w:val="16"/>
                <w:szCs w:val="16"/>
                <w:color w:val="auto"/>
              </w:rPr>
              <w:t>3,956.0</w:t>
            </w:r>
          </w:p>
        </w:tc>
        <w:tc>
          <w:tcPr>
            <w:tcW w:w="1440" w:type="dxa"/>
            <w:vAlign w:val="bottom"/>
            <w:tcBorders>
              <w:bottom w:val="single" w:sz="8" w:color="auto"/>
            </w:tcBorders>
          </w:tcPr>
          <w:p>
            <w:pPr>
              <w:jc w:val="right"/>
              <w:ind w:right="39"/>
              <w:spacing w:after="0" w:line="169" w:lineRule="exact"/>
              <w:rPr>
                <w:sz w:val="20"/>
                <w:szCs w:val="20"/>
                <w:color w:val="auto"/>
              </w:rPr>
            </w:pPr>
            <w:r>
              <w:rPr>
                <w:rFonts w:ascii="Arial" w:cs="Arial" w:eastAsia="Arial" w:hAnsi="Arial"/>
                <w:sz w:val="16"/>
                <w:szCs w:val="16"/>
                <w:color w:val="auto"/>
              </w:rPr>
              <w:t>3,654.6</w:t>
            </w:r>
          </w:p>
        </w:tc>
      </w:tr>
      <w:tr>
        <w:trPr>
          <w:trHeight w:val="20"/>
        </w:trPr>
        <w:tc>
          <w:tcPr>
            <w:tcW w:w="458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04584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119" w:lineRule="exact"/>
        <w:rPr>
          <w:sz w:val="20"/>
          <w:szCs w:val="20"/>
          <w:color w:val="auto"/>
        </w:rPr>
      </w:pPr>
    </w:p>
    <w:p>
      <w:pPr>
        <w:ind w:left="520" w:right="60" w:hanging="512"/>
        <w:spacing w:after="0" w:line="251" w:lineRule="auto"/>
        <w:tabs>
          <w:tab w:leader="none" w:pos="5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shift in South Dakota Electric's generated and purchased GWh for the six months ended June 30, 2025, compared to the same period in 2024 is primarily driven by unplanned outages at Wygen III.</w:t>
      </w:r>
    </w:p>
    <w:p>
      <w:pPr>
        <w:spacing w:after="0" w:line="1" w:lineRule="exact"/>
        <w:rPr>
          <w:rFonts w:ascii="Arial" w:cs="Arial" w:eastAsia="Arial" w:hAnsi="Arial"/>
          <w:sz w:val="14"/>
          <w:szCs w:val="14"/>
          <w:color w:val="auto"/>
        </w:rPr>
      </w:pPr>
    </w:p>
    <w:p>
      <w:pPr>
        <w:ind w:left="520" w:right="180" w:hanging="512"/>
        <w:spacing w:after="0" w:line="264" w:lineRule="auto"/>
        <w:tabs>
          <w:tab w:leader="none" w:pos="5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As discussed in footnote (c) in the Quantities Generated and Purchased by Fuel Type table above, the increase in Wyoming Electric's purchases is primarily driven by increased demand from LPCS Tariff and BCIS Tariff customers.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7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560" w:type="dxa"/>
            <w:vAlign w:val="bottom"/>
            <w:gridSpan w:val="3"/>
          </w:tcPr>
          <w:p>
            <w:pPr>
              <w:jc w:val="right"/>
              <w:ind w:right="1039"/>
              <w:spacing w:after="0"/>
              <w:rPr>
                <w:sz w:val="20"/>
                <w:szCs w:val="20"/>
                <w:color w:val="auto"/>
              </w:rPr>
            </w:pPr>
            <w:r>
              <w:rPr>
                <w:rFonts w:ascii="Arial" w:cs="Arial" w:eastAsia="Arial" w:hAnsi="Arial"/>
                <w:sz w:val="16"/>
                <w:szCs w:val="16"/>
                <w:b w:val="1"/>
                <w:bCs w:val="1"/>
                <w:color w:val="auto"/>
              </w:rPr>
              <w:t>Three Months Ended June 30,</w:t>
            </w:r>
          </w:p>
        </w:tc>
        <w:tc>
          <w:tcPr>
            <w:tcW w:w="700" w:type="dxa"/>
            <w:vAlign w:val="bottom"/>
          </w:tcPr>
          <w:p>
            <w:pPr>
              <w:spacing w:after="0"/>
              <w:rPr>
                <w:sz w:val="16"/>
                <w:szCs w:val="16"/>
                <w:color w:val="auto"/>
              </w:rPr>
            </w:pPr>
          </w:p>
        </w:tc>
        <w:tc>
          <w:tcPr>
            <w:tcW w:w="3420" w:type="dxa"/>
            <w:vAlign w:val="bottom"/>
            <w:gridSpan w:val="3"/>
          </w:tcPr>
          <w:p>
            <w:pPr>
              <w:jc w:val="right"/>
              <w:ind w:right="999"/>
              <w:spacing w:after="0"/>
              <w:rPr>
                <w:sz w:val="20"/>
                <w:szCs w:val="20"/>
                <w:color w:val="auto"/>
              </w:rPr>
            </w:pPr>
            <w:r>
              <w:rPr>
                <w:rFonts w:ascii="Arial" w:cs="Arial" w:eastAsia="Arial" w:hAnsi="Arial"/>
                <w:sz w:val="16"/>
                <w:szCs w:val="16"/>
                <w:b w:val="1"/>
                <w:bCs w:val="1"/>
                <w:color w:val="auto"/>
              </w:rPr>
              <w:t>Six Months Ended June 30,</w:t>
            </w:r>
          </w:p>
        </w:tc>
      </w:tr>
      <w:tr>
        <w:trPr>
          <w:trHeight w:val="203"/>
        </w:trPr>
        <w:tc>
          <w:tcPr>
            <w:tcW w:w="274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919"/>
              <w:spacing w:after="0"/>
              <w:rPr>
                <w:sz w:val="20"/>
                <w:szCs w:val="20"/>
                <w:color w:val="auto"/>
              </w:rPr>
            </w:pPr>
            <w:r>
              <w:rPr>
                <w:rFonts w:ascii="Arial" w:cs="Arial" w:eastAsia="Arial" w:hAnsi="Arial"/>
                <w:sz w:val="16"/>
                <w:szCs w:val="16"/>
                <w:b w:val="1"/>
                <w:bCs w:val="1"/>
                <w:color w:val="auto"/>
              </w:rPr>
              <w:t>2025</w:t>
            </w:r>
          </w:p>
        </w:tc>
        <w:tc>
          <w:tcPr>
            <w:tcW w:w="7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939"/>
              <w:spacing w:after="0"/>
              <w:rPr>
                <w:sz w:val="20"/>
                <w:szCs w:val="20"/>
                <w:color w:val="auto"/>
              </w:rPr>
            </w:pPr>
            <w:r>
              <w:rPr>
                <w:rFonts w:ascii="Arial" w:cs="Arial" w:eastAsia="Arial" w:hAnsi="Arial"/>
                <w:sz w:val="16"/>
                <w:szCs w:val="16"/>
                <w:b w:val="1"/>
                <w:bCs w:val="1"/>
                <w:color w:val="auto"/>
              </w:rPr>
              <w:t>2024</w:t>
            </w:r>
          </w:p>
        </w:tc>
        <w:tc>
          <w:tcPr>
            <w:tcW w:w="7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919"/>
              <w:spacing w:after="0"/>
              <w:rPr>
                <w:sz w:val="20"/>
                <w:szCs w:val="20"/>
                <w:color w:val="auto"/>
              </w:rPr>
            </w:pPr>
            <w:r>
              <w:rPr>
                <w:rFonts w:ascii="Arial" w:cs="Arial" w:eastAsia="Arial" w:hAnsi="Arial"/>
                <w:sz w:val="16"/>
                <w:szCs w:val="16"/>
                <w:b w:val="1"/>
                <w:bCs w:val="1"/>
                <w:color w:val="auto"/>
              </w:rPr>
              <w:t>2025</w:t>
            </w:r>
          </w:p>
        </w:tc>
        <w:tc>
          <w:tcPr>
            <w:tcW w:w="7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b w:val="1"/>
                <w:bCs w:val="1"/>
                <w:color w:val="auto"/>
              </w:rPr>
              <w:t>2024</w:t>
            </w:r>
          </w:p>
        </w:tc>
      </w:tr>
      <w:tr>
        <w:trPr>
          <w:trHeight w:val="168"/>
        </w:trPr>
        <w:tc>
          <w:tcPr>
            <w:tcW w:w="2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20" w:type="dxa"/>
            <w:vAlign w:val="bottom"/>
          </w:tcPr>
          <w:p>
            <w:pPr>
              <w:jc w:val="center"/>
              <w:spacing w:after="0" w:line="168" w:lineRule="exact"/>
              <w:rPr>
                <w:sz w:val="20"/>
                <w:szCs w:val="20"/>
                <w:color w:val="auto"/>
              </w:rPr>
            </w:pPr>
            <w:r>
              <w:rPr>
                <w:rFonts w:ascii="Arial" w:cs="Arial" w:eastAsia="Arial" w:hAnsi="Arial"/>
                <w:sz w:val="16"/>
                <w:szCs w:val="16"/>
                <w:b w:val="1"/>
                <w:bCs w:val="1"/>
                <w:color w:val="auto"/>
              </w:rPr>
              <w:t>Variance</w:t>
            </w:r>
          </w:p>
        </w:tc>
        <w:tc>
          <w:tcPr>
            <w:tcW w:w="720" w:type="dxa"/>
            <w:vAlign w:val="bottom"/>
          </w:tcPr>
          <w:p>
            <w:pPr>
              <w:spacing w:after="0"/>
              <w:rPr>
                <w:sz w:val="14"/>
                <w:szCs w:val="14"/>
                <w:color w:val="auto"/>
              </w:rPr>
            </w:pPr>
          </w:p>
        </w:tc>
        <w:tc>
          <w:tcPr>
            <w:tcW w:w="1420" w:type="dxa"/>
            <w:vAlign w:val="bottom"/>
          </w:tcPr>
          <w:p>
            <w:pPr>
              <w:jc w:val="center"/>
              <w:spacing w:after="0" w:line="168" w:lineRule="exact"/>
              <w:rPr>
                <w:sz w:val="20"/>
                <w:szCs w:val="20"/>
                <w:color w:val="auto"/>
              </w:rPr>
            </w:pPr>
            <w:r>
              <w:rPr>
                <w:rFonts w:ascii="Arial" w:cs="Arial" w:eastAsia="Arial" w:hAnsi="Arial"/>
                <w:sz w:val="16"/>
                <w:szCs w:val="16"/>
                <w:b w:val="1"/>
                <w:bCs w:val="1"/>
                <w:color w:val="auto"/>
              </w:rPr>
              <w:t>Variance</w:t>
            </w:r>
          </w:p>
        </w:tc>
        <w:tc>
          <w:tcPr>
            <w:tcW w:w="700" w:type="dxa"/>
            <w:vAlign w:val="bottom"/>
          </w:tcPr>
          <w:p>
            <w:pPr>
              <w:spacing w:after="0"/>
              <w:rPr>
                <w:sz w:val="14"/>
                <w:szCs w:val="14"/>
                <w:color w:val="auto"/>
              </w:rPr>
            </w:pPr>
          </w:p>
        </w:tc>
        <w:tc>
          <w:tcPr>
            <w:tcW w:w="1420" w:type="dxa"/>
            <w:vAlign w:val="bottom"/>
          </w:tcPr>
          <w:p>
            <w:pPr>
              <w:jc w:val="center"/>
              <w:spacing w:after="0" w:line="168" w:lineRule="exact"/>
              <w:rPr>
                <w:sz w:val="20"/>
                <w:szCs w:val="20"/>
                <w:color w:val="auto"/>
              </w:rPr>
            </w:pPr>
            <w:r>
              <w:rPr>
                <w:rFonts w:ascii="Arial" w:cs="Arial" w:eastAsia="Arial" w:hAnsi="Arial"/>
                <w:sz w:val="16"/>
                <w:szCs w:val="16"/>
                <w:b w:val="1"/>
                <w:bCs w:val="1"/>
                <w:color w:val="auto"/>
                <w:w w:val="98"/>
              </w:rPr>
              <w:t>Variance</w:t>
            </w:r>
          </w:p>
        </w:tc>
        <w:tc>
          <w:tcPr>
            <w:tcW w:w="720" w:type="dxa"/>
            <w:vAlign w:val="bottom"/>
          </w:tcPr>
          <w:p>
            <w:pPr>
              <w:spacing w:after="0"/>
              <w:rPr>
                <w:sz w:val="14"/>
                <w:szCs w:val="14"/>
                <w:color w:val="auto"/>
              </w:rPr>
            </w:pPr>
          </w:p>
        </w:tc>
        <w:tc>
          <w:tcPr>
            <w:tcW w:w="1280" w:type="dxa"/>
            <w:vAlign w:val="bottom"/>
          </w:tcPr>
          <w:p>
            <w:pPr>
              <w:jc w:val="center"/>
              <w:ind w:left="79"/>
              <w:spacing w:after="0" w:line="168" w:lineRule="exact"/>
              <w:rPr>
                <w:sz w:val="20"/>
                <w:szCs w:val="20"/>
                <w:color w:val="auto"/>
              </w:rPr>
            </w:pPr>
            <w:r>
              <w:rPr>
                <w:rFonts w:ascii="Arial" w:cs="Arial" w:eastAsia="Arial" w:hAnsi="Arial"/>
                <w:sz w:val="16"/>
                <w:szCs w:val="16"/>
                <w:b w:val="1"/>
                <w:bCs w:val="1"/>
                <w:color w:val="auto"/>
              </w:rPr>
              <w:t>Variance</w:t>
            </w:r>
          </w:p>
        </w:tc>
      </w:tr>
      <w:tr>
        <w:trPr>
          <w:trHeight w:val="203"/>
        </w:trPr>
        <w:tc>
          <w:tcPr>
            <w:tcW w:w="27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Degree Days</w:t>
            </w:r>
          </w:p>
        </w:tc>
        <w:tc>
          <w:tcPr>
            <w:tcW w:w="820" w:type="dxa"/>
            <w:vAlign w:val="bottom"/>
            <w:tcBorders>
              <w:bottom w:val="single" w:sz="8" w:color="auto"/>
            </w:tcBorders>
          </w:tcPr>
          <w:p>
            <w:pPr>
              <w:ind w:left="280"/>
              <w:spacing w:after="0"/>
              <w:rPr>
                <w:sz w:val="20"/>
                <w:szCs w:val="20"/>
                <w:color w:val="auto"/>
              </w:rPr>
            </w:pPr>
            <w:r>
              <w:rPr>
                <w:rFonts w:ascii="Arial" w:cs="Arial" w:eastAsia="Arial" w:hAnsi="Arial"/>
                <w:sz w:val="16"/>
                <w:szCs w:val="16"/>
                <w:b w:val="1"/>
                <w:bCs w:val="1"/>
                <w:color w:val="auto"/>
              </w:rPr>
              <w:t>Actual</w:t>
            </w:r>
          </w:p>
        </w:tc>
        <w:tc>
          <w:tcPr>
            <w:tcW w:w="1420" w:type="dxa"/>
            <w:vAlign w:val="bottom"/>
            <w:tcBorders>
              <w:bottom w:val="single" w:sz="8" w:color="auto"/>
            </w:tcBorders>
          </w:tcPr>
          <w:p>
            <w:pPr>
              <w:jc w:val="center"/>
              <w:ind w:left="19"/>
              <w:spacing w:after="0"/>
              <w:rPr>
                <w:sz w:val="20"/>
                <w:szCs w:val="20"/>
                <w:color w:val="auto"/>
              </w:rPr>
            </w:pPr>
            <w:r>
              <w:rPr>
                <w:rFonts w:ascii="Arial" w:cs="Arial" w:eastAsia="Arial" w:hAnsi="Arial"/>
                <w:sz w:val="16"/>
                <w:szCs w:val="16"/>
                <w:b w:val="1"/>
                <w:bCs w:val="1"/>
                <w:color w:val="auto"/>
              </w:rPr>
              <w:t>from Normal</w:t>
            </w:r>
          </w:p>
        </w:tc>
        <w:tc>
          <w:tcPr>
            <w:tcW w:w="72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Actual</w:t>
            </w:r>
          </w:p>
        </w:tc>
        <w:tc>
          <w:tcPr>
            <w:tcW w:w="1420" w:type="dxa"/>
            <w:vAlign w:val="bottom"/>
            <w:tcBorders>
              <w:bottom w:val="single" w:sz="8" w:color="auto"/>
            </w:tcBorders>
          </w:tcPr>
          <w:p>
            <w:pPr>
              <w:jc w:val="center"/>
              <w:ind w:left="19"/>
              <w:spacing w:after="0"/>
              <w:rPr>
                <w:sz w:val="20"/>
                <w:szCs w:val="20"/>
                <w:color w:val="auto"/>
              </w:rPr>
            </w:pPr>
            <w:r>
              <w:rPr>
                <w:rFonts w:ascii="Arial" w:cs="Arial" w:eastAsia="Arial" w:hAnsi="Arial"/>
                <w:sz w:val="16"/>
                <w:szCs w:val="16"/>
                <w:b w:val="1"/>
                <w:bCs w:val="1"/>
                <w:color w:val="auto"/>
              </w:rPr>
              <w:t>from Normal</w:t>
            </w:r>
          </w:p>
        </w:tc>
        <w:tc>
          <w:tcPr>
            <w:tcW w:w="70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Actual</w:t>
            </w:r>
          </w:p>
        </w:tc>
        <w:tc>
          <w:tcPr>
            <w:tcW w:w="1420" w:type="dxa"/>
            <w:vAlign w:val="bottom"/>
            <w:tcBorders>
              <w:bottom w:val="single" w:sz="8" w:color="auto"/>
            </w:tcBorders>
          </w:tcPr>
          <w:p>
            <w:pPr>
              <w:jc w:val="center"/>
              <w:ind w:left="59"/>
              <w:spacing w:after="0"/>
              <w:rPr>
                <w:sz w:val="20"/>
                <w:szCs w:val="20"/>
                <w:color w:val="auto"/>
              </w:rPr>
            </w:pPr>
            <w:r>
              <w:rPr>
                <w:rFonts w:ascii="Arial" w:cs="Arial" w:eastAsia="Arial" w:hAnsi="Arial"/>
                <w:sz w:val="16"/>
                <w:szCs w:val="16"/>
                <w:b w:val="1"/>
                <w:bCs w:val="1"/>
                <w:color w:val="auto"/>
              </w:rPr>
              <w:t>from Normal</w:t>
            </w:r>
          </w:p>
        </w:tc>
        <w:tc>
          <w:tcPr>
            <w:tcW w:w="72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Actual</w:t>
            </w:r>
          </w:p>
        </w:tc>
        <w:tc>
          <w:tcPr>
            <w:tcW w:w="1280" w:type="dxa"/>
            <w:vAlign w:val="bottom"/>
            <w:tcBorders>
              <w:bottom w:val="single" w:sz="8" w:color="auto"/>
            </w:tcBorders>
          </w:tcPr>
          <w:p>
            <w:pPr>
              <w:jc w:val="center"/>
              <w:ind w:left="119"/>
              <w:spacing w:after="0"/>
              <w:rPr>
                <w:sz w:val="20"/>
                <w:szCs w:val="20"/>
                <w:color w:val="auto"/>
              </w:rPr>
            </w:pPr>
            <w:r>
              <w:rPr>
                <w:rFonts w:ascii="Arial" w:cs="Arial" w:eastAsia="Arial" w:hAnsi="Arial"/>
                <w:sz w:val="16"/>
                <w:szCs w:val="16"/>
                <w:b w:val="1"/>
                <w:bCs w:val="1"/>
                <w:color w:val="auto"/>
              </w:rPr>
              <w:t>from Normal</w:t>
            </w:r>
          </w:p>
        </w:tc>
      </w:tr>
      <w:tr>
        <w:trPr>
          <w:trHeight w:val="182"/>
        </w:trPr>
        <w:tc>
          <w:tcPr>
            <w:tcW w:w="27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Heating Degree Days:</w:t>
            </w:r>
          </w:p>
        </w:tc>
        <w:tc>
          <w:tcPr>
            <w:tcW w:w="82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r>
      <w:tr>
        <w:trPr>
          <w:trHeight w:val="189"/>
        </w:trPr>
        <w:tc>
          <w:tcPr>
            <w:tcW w:w="2740" w:type="dxa"/>
            <w:vAlign w:val="bottom"/>
          </w:tcPr>
          <w:p>
            <w:pPr>
              <w:ind w:left="40"/>
              <w:spacing w:after="0"/>
              <w:rPr>
                <w:sz w:val="20"/>
                <w:szCs w:val="20"/>
                <w:color w:val="auto"/>
              </w:rPr>
            </w:pPr>
            <w:r>
              <w:rPr>
                <w:rFonts w:ascii="Arial" w:cs="Arial" w:eastAsia="Arial" w:hAnsi="Arial"/>
                <w:sz w:val="16"/>
                <w:szCs w:val="16"/>
                <w:color w:val="auto"/>
              </w:rPr>
              <w:t>Colorado Electric</w:t>
            </w:r>
          </w:p>
        </w:tc>
        <w:tc>
          <w:tcPr>
            <w:tcW w:w="820" w:type="dxa"/>
            <w:vAlign w:val="bottom"/>
          </w:tcPr>
          <w:p>
            <w:pPr>
              <w:jc w:val="center"/>
              <w:ind w:left="139"/>
              <w:spacing w:after="0"/>
              <w:rPr>
                <w:sz w:val="20"/>
                <w:szCs w:val="20"/>
                <w:color w:val="auto"/>
              </w:rPr>
            </w:pPr>
            <w:r>
              <w:rPr>
                <w:rFonts w:ascii="Arial" w:cs="Arial" w:eastAsia="Arial" w:hAnsi="Arial"/>
                <w:sz w:val="16"/>
                <w:szCs w:val="16"/>
                <w:color w:val="auto"/>
              </w:rPr>
              <w:t>623</w:t>
            </w:r>
          </w:p>
        </w:tc>
        <w:tc>
          <w:tcPr>
            <w:tcW w:w="1420" w:type="dxa"/>
            <w:vAlign w:val="bottom"/>
          </w:tcPr>
          <w:p>
            <w:pPr>
              <w:jc w:val="center"/>
              <w:ind w:left="39"/>
              <w:spacing w:after="0"/>
              <w:rPr>
                <w:sz w:val="20"/>
                <w:szCs w:val="20"/>
                <w:color w:val="auto"/>
              </w:rPr>
            </w:pPr>
            <w:r>
              <w:rPr>
                <w:rFonts w:ascii="Arial" w:cs="Arial" w:eastAsia="Arial" w:hAnsi="Arial"/>
                <w:sz w:val="16"/>
                <w:szCs w:val="16"/>
                <w:color w:val="auto"/>
                <w:w w:val="94"/>
              </w:rPr>
              <w:t>5%</w:t>
            </w:r>
          </w:p>
        </w:tc>
        <w:tc>
          <w:tcPr>
            <w:tcW w:w="720" w:type="dxa"/>
            <w:vAlign w:val="bottom"/>
          </w:tcPr>
          <w:p>
            <w:pPr>
              <w:jc w:val="center"/>
              <w:ind w:left="39"/>
              <w:spacing w:after="0"/>
              <w:rPr>
                <w:sz w:val="20"/>
                <w:szCs w:val="20"/>
                <w:color w:val="auto"/>
              </w:rPr>
            </w:pPr>
            <w:r>
              <w:rPr>
                <w:rFonts w:ascii="Arial" w:cs="Arial" w:eastAsia="Arial" w:hAnsi="Arial"/>
                <w:sz w:val="16"/>
                <w:szCs w:val="16"/>
                <w:color w:val="auto"/>
              </w:rPr>
              <w:t>524</w:t>
            </w:r>
          </w:p>
        </w:tc>
        <w:tc>
          <w:tcPr>
            <w:tcW w:w="1420" w:type="dxa"/>
            <w:vAlign w:val="bottom"/>
          </w:tcPr>
          <w:p>
            <w:pPr>
              <w:jc w:val="center"/>
              <w:ind w:left="19"/>
              <w:spacing w:after="0"/>
              <w:rPr>
                <w:sz w:val="20"/>
                <w:szCs w:val="20"/>
                <w:color w:val="auto"/>
              </w:rPr>
            </w:pPr>
            <w:r>
              <w:rPr>
                <w:rFonts w:ascii="Arial" w:cs="Arial" w:eastAsia="Arial" w:hAnsi="Arial"/>
                <w:sz w:val="16"/>
                <w:szCs w:val="16"/>
                <w:color w:val="auto"/>
              </w:rPr>
              <w:t>(12)%</w:t>
            </w:r>
          </w:p>
        </w:tc>
        <w:tc>
          <w:tcPr>
            <w:tcW w:w="700" w:type="dxa"/>
            <w:vAlign w:val="bottom"/>
          </w:tcPr>
          <w:p>
            <w:pPr>
              <w:jc w:val="center"/>
              <w:ind w:left="39"/>
              <w:spacing w:after="0"/>
              <w:rPr>
                <w:sz w:val="20"/>
                <w:szCs w:val="20"/>
                <w:color w:val="auto"/>
              </w:rPr>
            </w:pPr>
            <w:r>
              <w:rPr>
                <w:rFonts w:ascii="Arial" w:cs="Arial" w:eastAsia="Arial" w:hAnsi="Arial"/>
                <w:sz w:val="16"/>
                <w:szCs w:val="16"/>
                <w:color w:val="auto"/>
              </w:rPr>
              <w:t>3,356</w:t>
            </w:r>
          </w:p>
        </w:tc>
        <w:tc>
          <w:tcPr>
            <w:tcW w:w="1420" w:type="dxa"/>
            <w:vAlign w:val="bottom"/>
          </w:tcPr>
          <w:p>
            <w:pPr>
              <w:jc w:val="center"/>
              <w:ind w:left="59"/>
              <w:spacing w:after="0"/>
              <w:rPr>
                <w:sz w:val="20"/>
                <w:szCs w:val="20"/>
                <w:color w:val="auto"/>
              </w:rPr>
            </w:pPr>
            <w:r>
              <w:rPr>
                <w:rFonts w:ascii="Arial" w:cs="Arial" w:eastAsia="Arial" w:hAnsi="Arial"/>
                <w:sz w:val="16"/>
                <w:szCs w:val="16"/>
                <w:color w:val="auto"/>
              </w:rPr>
              <w:t>8%</w:t>
            </w:r>
          </w:p>
        </w:tc>
        <w:tc>
          <w:tcPr>
            <w:tcW w:w="720" w:type="dxa"/>
            <w:vAlign w:val="bottom"/>
          </w:tcPr>
          <w:p>
            <w:pPr>
              <w:jc w:val="center"/>
              <w:ind w:left="39"/>
              <w:spacing w:after="0"/>
              <w:rPr>
                <w:sz w:val="20"/>
                <w:szCs w:val="20"/>
                <w:color w:val="auto"/>
              </w:rPr>
            </w:pPr>
            <w:r>
              <w:rPr>
                <w:rFonts w:ascii="Arial" w:cs="Arial" w:eastAsia="Arial" w:hAnsi="Arial"/>
                <w:sz w:val="16"/>
                <w:szCs w:val="16"/>
                <w:color w:val="auto"/>
                <w:w w:val="99"/>
              </w:rPr>
              <w:t>3,031</w:t>
            </w:r>
          </w:p>
        </w:tc>
        <w:tc>
          <w:tcPr>
            <w:tcW w:w="1280" w:type="dxa"/>
            <w:vAlign w:val="bottom"/>
          </w:tcPr>
          <w:p>
            <w:pPr>
              <w:jc w:val="center"/>
              <w:ind w:left="139"/>
              <w:spacing w:after="0"/>
              <w:rPr>
                <w:sz w:val="20"/>
                <w:szCs w:val="20"/>
                <w:color w:val="auto"/>
              </w:rPr>
            </w:pPr>
            <w:r>
              <w:rPr>
                <w:rFonts w:ascii="Arial" w:cs="Arial" w:eastAsia="Arial" w:hAnsi="Arial"/>
                <w:sz w:val="16"/>
                <w:szCs w:val="16"/>
                <w:color w:val="auto"/>
              </w:rPr>
              <w:t>(7)%</w:t>
            </w:r>
          </w:p>
        </w:tc>
      </w:tr>
      <w:tr>
        <w:trPr>
          <w:trHeight w:val="189"/>
        </w:trPr>
        <w:tc>
          <w:tcPr>
            <w:tcW w:w="2740" w:type="dxa"/>
            <w:vAlign w:val="bottom"/>
            <w:shd w:val="clear" w:color="auto" w:fill="CFF0FC"/>
          </w:tcPr>
          <w:p>
            <w:pPr>
              <w:ind w:left="40"/>
              <w:spacing w:after="0"/>
              <w:rPr>
                <w:sz w:val="20"/>
                <w:szCs w:val="20"/>
                <w:color w:val="auto"/>
              </w:rPr>
            </w:pPr>
            <w:r>
              <w:rPr>
                <w:rFonts w:ascii="Arial" w:cs="Arial" w:eastAsia="Arial" w:hAnsi="Arial"/>
                <w:sz w:val="16"/>
                <w:szCs w:val="16"/>
                <w:color w:val="auto"/>
              </w:rPr>
              <w:t>South Dakota Electric</w:t>
            </w:r>
          </w:p>
        </w:tc>
        <w:tc>
          <w:tcPr>
            <w:tcW w:w="820" w:type="dxa"/>
            <w:vAlign w:val="bottom"/>
            <w:shd w:val="clear" w:color="auto" w:fill="CFF0FC"/>
          </w:tcPr>
          <w:p>
            <w:pPr>
              <w:jc w:val="center"/>
              <w:ind w:left="139"/>
              <w:spacing w:after="0"/>
              <w:rPr>
                <w:sz w:val="20"/>
                <w:szCs w:val="20"/>
                <w:color w:val="auto"/>
              </w:rPr>
            </w:pPr>
            <w:r>
              <w:rPr>
                <w:rFonts w:ascii="Arial" w:cs="Arial" w:eastAsia="Arial" w:hAnsi="Arial"/>
                <w:sz w:val="16"/>
                <w:szCs w:val="16"/>
                <w:color w:val="auto"/>
              </w:rPr>
              <w:t>908</w:t>
            </w:r>
          </w:p>
        </w:tc>
        <w:tc>
          <w:tcPr>
            <w:tcW w:w="1420" w:type="dxa"/>
            <w:vAlign w:val="bottom"/>
            <w:shd w:val="clear" w:color="auto" w:fill="CFF0FC"/>
          </w:tcPr>
          <w:p>
            <w:pPr>
              <w:jc w:val="center"/>
              <w:ind w:left="39"/>
              <w:spacing w:after="0"/>
              <w:rPr>
                <w:sz w:val="20"/>
                <w:szCs w:val="20"/>
                <w:color w:val="auto"/>
              </w:rPr>
            </w:pPr>
            <w:r>
              <w:rPr>
                <w:rFonts w:ascii="Arial" w:cs="Arial" w:eastAsia="Arial" w:hAnsi="Arial"/>
                <w:sz w:val="16"/>
                <w:szCs w:val="16"/>
                <w:color w:val="auto"/>
                <w:w w:val="98"/>
              </w:rPr>
              <w:t>(12)%</w:t>
            </w:r>
          </w:p>
        </w:tc>
        <w:tc>
          <w:tcPr>
            <w:tcW w:w="720" w:type="dxa"/>
            <w:vAlign w:val="bottom"/>
            <w:shd w:val="clear" w:color="auto" w:fill="CFF0FC"/>
          </w:tcPr>
          <w:p>
            <w:pPr>
              <w:jc w:val="center"/>
              <w:ind w:left="39"/>
              <w:spacing w:after="0"/>
              <w:rPr>
                <w:sz w:val="20"/>
                <w:szCs w:val="20"/>
                <w:color w:val="auto"/>
              </w:rPr>
            </w:pPr>
            <w:r>
              <w:rPr>
                <w:rFonts w:ascii="Arial" w:cs="Arial" w:eastAsia="Arial" w:hAnsi="Arial"/>
                <w:sz w:val="16"/>
                <w:szCs w:val="16"/>
                <w:color w:val="auto"/>
              </w:rPr>
              <w:t>898</w:t>
            </w:r>
          </w:p>
        </w:tc>
        <w:tc>
          <w:tcPr>
            <w:tcW w:w="1420" w:type="dxa"/>
            <w:vAlign w:val="bottom"/>
            <w:shd w:val="clear" w:color="auto" w:fill="CFF0FC"/>
          </w:tcPr>
          <w:p>
            <w:pPr>
              <w:jc w:val="center"/>
              <w:ind w:left="19"/>
              <w:spacing w:after="0"/>
              <w:rPr>
                <w:sz w:val="20"/>
                <w:szCs w:val="20"/>
                <w:color w:val="auto"/>
              </w:rPr>
            </w:pPr>
            <w:r>
              <w:rPr>
                <w:rFonts w:ascii="Arial" w:cs="Arial" w:eastAsia="Arial" w:hAnsi="Arial"/>
                <w:sz w:val="16"/>
                <w:szCs w:val="16"/>
                <w:color w:val="auto"/>
              </w:rPr>
              <w:t>(15)%</w:t>
            </w:r>
          </w:p>
        </w:tc>
        <w:tc>
          <w:tcPr>
            <w:tcW w:w="700" w:type="dxa"/>
            <w:vAlign w:val="bottom"/>
            <w:shd w:val="clear" w:color="auto" w:fill="CFF0FC"/>
          </w:tcPr>
          <w:p>
            <w:pPr>
              <w:jc w:val="center"/>
              <w:ind w:left="39"/>
              <w:spacing w:after="0"/>
              <w:rPr>
                <w:sz w:val="20"/>
                <w:szCs w:val="20"/>
                <w:color w:val="auto"/>
              </w:rPr>
            </w:pPr>
            <w:r>
              <w:rPr>
                <w:rFonts w:ascii="Arial" w:cs="Arial" w:eastAsia="Arial" w:hAnsi="Arial"/>
                <w:sz w:val="16"/>
                <w:szCs w:val="16"/>
                <w:color w:val="auto"/>
              </w:rPr>
              <w:t>4,346</w:t>
            </w:r>
          </w:p>
        </w:tc>
        <w:tc>
          <w:tcPr>
            <w:tcW w:w="1420" w:type="dxa"/>
            <w:vAlign w:val="bottom"/>
            <w:shd w:val="clear" w:color="auto" w:fill="CFF0FC"/>
          </w:tcPr>
          <w:p>
            <w:pPr>
              <w:jc w:val="center"/>
              <w:ind w:left="59"/>
              <w:spacing w:after="0"/>
              <w:rPr>
                <w:sz w:val="20"/>
                <w:szCs w:val="20"/>
                <w:color w:val="auto"/>
              </w:rPr>
            </w:pPr>
            <w:r>
              <w:rPr>
                <w:rFonts w:ascii="Arial" w:cs="Arial" w:eastAsia="Arial" w:hAnsi="Arial"/>
                <w:sz w:val="16"/>
                <w:szCs w:val="16"/>
                <w:color w:val="auto"/>
              </w:rPr>
              <w:t>1%</w:t>
            </w:r>
          </w:p>
        </w:tc>
        <w:tc>
          <w:tcPr>
            <w:tcW w:w="720" w:type="dxa"/>
            <w:vAlign w:val="bottom"/>
            <w:shd w:val="clear" w:color="auto" w:fill="CFF0FC"/>
          </w:tcPr>
          <w:p>
            <w:pPr>
              <w:jc w:val="center"/>
              <w:ind w:left="39"/>
              <w:spacing w:after="0"/>
              <w:rPr>
                <w:sz w:val="20"/>
                <w:szCs w:val="20"/>
                <w:color w:val="auto"/>
              </w:rPr>
            </w:pPr>
            <w:r>
              <w:rPr>
                <w:rFonts w:ascii="Arial" w:cs="Arial" w:eastAsia="Arial" w:hAnsi="Arial"/>
                <w:sz w:val="16"/>
                <w:szCs w:val="16"/>
                <w:color w:val="auto"/>
                <w:w w:val="99"/>
              </w:rPr>
              <w:t>4,032</w:t>
            </w:r>
          </w:p>
        </w:tc>
        <w:tc>
          <w:tcPr>
            <w:tcW w:w="1280" w:type="dxa"/>
            <w:vAlign w:val="bottom"/>
            <w:shd w:val="clear" w:color="auto" w:fill="CFF0FC"/>
          </w:tcPr>
          <w:p>
            <w:pPr>
              <w:jc w:val="center"/>
              <w:ind w:left="139"/>
              <w:spacing w:after="0"/>
              <w:rPr>
                <w:sz w:val="20"/>
                <w:szCs w:val="20"/>
                <w:color w:val="auto"/>
              </w:rPr>
            </w:pPr>
            <w:r>
              <w:rPr>
                <w:rFonts w:ascii="Arial" w:cs="Arial" w:eastAsia="Arial" w:hAnsi="Arial"/>
                <w:sz w:val="16"/>
                <w:szCs w:val="16"/>
                <w:color w:val="auto"/>
                <w:w w:val="98"/>
              </w:rPr>
              <w:t>(10)%</w:t>
            </w:r>
          </w:p>
        </w:tc>
      </w:tr>
      <w:tr>
        <w:trPr>
          <w:trHeight w:val="189"/>
        </w:trPr>
        <w:tc>
          <w:tcPr>
            <w:tcW w:w="2740" w:type="dxa"/>
            <w:vAlign w:val="bottom"/>
          </w:tcPr>
          <w:p>
            <w:pPr>
              <w:ind w:left="40"/>
              <w:spacing w:after="0"/>
              <w:rPr>
                <w:sz w:val="20"/>
                <w:szCs w:val="20"/>
                <w:color w:val="auto"/>
              </w:rPr>
            </w:pPr>
            <w:r>
              <w:rPr>
                <w:rFonts w:ascii="Arial" w:cs="Arial" w:eastAsia="Arial" w:hAnsi="Arial"/>
                <w:sz w:val="16"/>
                <w:szCs w:val="16"/>
                <w:color w:val="auto"/>
              </w:rPr>
              <w:t>Wyoming Electric</w:t>
            </w:r>
          </w:p>
        </w:tc>
        <w:tc>
          <w:tcPr>
            <w:tcW w:w="820" w:type="dxa"/>
            <w:vAlign w:val="bottom"/>
          </w:tcPr>
          <w:p>
            <w:pPr>
              <w:jc w:val="center"/>
              <w:ind w:left="139"/>
              <w:spacing w:after="0"/>
              <w:rPr>
                <w:sz w:val="20"/>
                <w:szCs w:val="20"/>
                <w:color w:val="auto"/>
              </w:rPr>
            </w:pPr>
            <w:r>
              <w:rPr>
                <w:rFonts w:ascii="Arial" w:cs="Arial" w:eastAsia="Arial" w:hAnsi="Arial"/>
                <w:sz w:val="16"/>
                <w:szCs w:val="16"/>
                <w:color w:val="auto"/>
                <w:w w:val="99"/>
              </w:rPr>
              <w:t>1,085</w:t>
            </w:r>
          </w:p>
        </w:tc>
        <w:tc>
          <w:tcPr>
            <w:tcW w:w="1420" w:type="dxa"/>
            <w:vAlign w:val="bottom"/>
          </w:tcPr>
          <w:p>
            <w:pPr>
              <w:jc w:val="center"/>
              <w:ind w:left="39"/>
              <w:spacing w:after="0"/>
              <w:rPr>
                <w:sz w:val="20"/>
                <w:szCs w:val="20"/>
                <w:color w:val="auto"/>
              </w:rPr>
            </w:pPr>
            <w:r>
              <w:rPr>
                <w:rFonts w:ascii="Arial" w:cs="Arial" w:eastAsia="Arial" w:hAnsi="Arial"/>
                <w:sz w:val="16"/>
                <w:szCs w:val="16"/>
                <w:color w:val="auto"/>
              </w:rPr>
              <w:t>(5)%</w:t>
            </w:r>
          </w:p>
        </w:tc>
        <w:tc>
          <w:tcPr>
            <w:tcW w:w="720" w:type="dxa"/>
            <w:vAlign w:val="bottom"/>
          </w:tcPr>
          <w:p>
            <w:pPr>
              <w:jc w:val="center"/>
              <w:ind w:left="39"/>
              <w:spacing w:after="0"/>
              <w:rPr>
                <w:sz w:val="20"/>
                <w:szCs w:val="20"/>
                <w:color w:val="auto"/>
              </w:rPr>
            </w:pPr>
            <w:r>
              <w:rPr>
                <w:rFonts w:ascii="Arial" w:cs="Arial" w:eastAsia="Arial" w:hAnsi="Arial"/>
                <w:sz w:val="16"/>
                <w:szCs w:val="16"/>
                <w:color w:val="auto"/>
                <w:w w:val="99"/>
              </w:rPr>
              <w:t>1,040</w:t>
            </w:r>
          </w:p>
        </w:tc>
        <w:tc>
          <w:tcPr>
            <w:tcW w:w="1420" w:type="dxa"/>
            <w:vAlign w:val="bottom"/>
          </w:tcPr>
          <w:p>
            <w:pPr>
              <w:jc w:val="center"/>
              <w:ind w:left="19"/>
              <w:spacing w:after="0"/>
              <w:rPr>
                <w:sz w:val="20"/>
                <w:szCs w:val="20"/>
                <w:color w:val="auto"/>
              </w:rPr>
            </w:pPr>
            <w:r>
              <w:rPr>
                <w:rFonts w:ascii="Arial" w:cs="Arial" w:eastAsia="Arial" w:hAnsi="Arial"/>
                <w:sz w:val="16"/>
                <w:szCs w:val="16"/>
                <w:color w:val="auto"/>
              </w:rPr>
              <w:t>(10)%</w:t>
            </w:r>
          </w:p>
        </w:tc>
        <w:tc>
          <w:tcPr>
            <w:tcW w:w="700" w:type="dxa"/>
            <w:vAlign w:val="bottom"/>
          </w:tcPr>
          <w:p>
            <w:pPr>
              <w:jc w:val="center"/>
              <w:ind w:left="39"/>
              <w:spacing w:after="0"/>
              <w:rPr>
                <w:sz w:val="20"/>
                <w:szCs w:val="20"/>
                <w:color w:val="auto"/>
              </w:rPr>
            </w:pPr>
            <w:r>
              <w:rPr>
                <w:rFonts w:ascii="Arial" w:cs="Arial" w:eastAsia="Arial" w:hAnsi="Arial"/>
                <w:sz w:val="16"/>
                <w:szCs w:val="16"/>
                <w:color w:val="auto"/>
              </w:rPr>
              <w:t>4,225</w:t>
            </w:r>
          </w:p>
        </w:tc>
        <w:tc>
          <w:tcPr>
            <w:tcW w:w="1420" w:type="dxa"/>
            <w:vAlign w:val="bottom"/>
          </w:tcPr>
          <w:p>
            <w:pPr>
              <w:jc w:val="center"/>
              <w:ind w:left="59"/>
              <w:spacing w:after="0"/>
              <w:rPr>
                <w:sz w:val="20"/>
                <w:szCs w:val="20"/>
                <w:color w:val="auto"/>
              </w:rPr>
            </w:pPr>
            <w:r>
              <w:rPr>
                <w:rFonts w:ascii="Arial" w:cs="Arial" w:eastAsia="Arial" w:hAnsi="Arial"/>
                <w:sz w:val="16"/>
                <w:szCs w:val="16"/>
                <w:color w:val="auto"/>
              </w:rPr>
              <w:t>2%</w:t>
            </w:r>
          </w:p>
        </w:tc>
        <w:tc>
          <w:tcPr>
            <w:tcW w:w="720" w:type="dxa"/>
            <w:vAlign w:val="bottom"/>
          </w:tcPr>
          <w:p>
            <w:pPr>
              <w:jc w:val="center"/>
              <w:ind w:left="39"/>
              <w:spacing w:after="0"/>
              <w:rPr>
                <w:sz w:val="20"/>
                <w:szCs w:val="20"/>
                <w:color w:val="auto"/>
              </w:rPr>
            </w:pPr>
            <w:r>
              <w:rPr>
                <w:rFonts w:ascii="Arial" w:cs="Arial" w:eastAsia="Arial" w:hAnsi="Arial"/>
                <w:sz w:val="16"/>
                <w:szCs w:val="16"/>
                <w:color w:val="auto"/>
                <w:w w:val="99"/>
              </w:rPr>
              <w:t>4,026</w:t>
            </w:r>
          </w:p>
        </w:tc>
        <w:tc>
          <w:tcPr>
            <w:tcW w:w="1280" w:type="dxa"/>
            <w:vAlign w:val="bottom"/>
          </w:tcPr>
          <w:p>
            <w:pPr>
              <w:jc w:val="center"/>
              <w:ind w:left="139"/>
              <w:spacing w:after="0"/>
              <w:rPr>
                <w:sz w:val="20"/>
                <w:szCs w:val="20"/>
                <w:color w:val="auto"/>
              </w:rPr>
            </w:pPr>
            <w:r>
              <w:rPr>
                <w:rFonts w:ascii="Arial" w:cs="Arial" w:eastAsia="Arial" w:hAnsi="Arial"/>
                <w:sz w:val="16"/>
                <w:szCs w:val="16"/>
                <w:color w:val="auto"/>
              </w:rPr>
              <w:t>(7)%</w:t>
            </w:r>
          </w:p>
        </w:tc>
      </w:tr>
      <w:tr>
        <w:trPr>
          <w:trHeight w:val="189"/>
        </w:trPr>
        <w:tc>
          <w:tcPr>
            <w:tcW w:w="2740" w:type="dxa"/>
            <w:vAlign w:val="bottom"/>
            <w:shd w:val="clear" w:color="auto" w:fill="CFF0FC"/>
          </w:tcPr>
          <w:p>
            <w:pPr>
              <w:ind w:left="60"/>
              <w:spacing w:after="0" w:line="189" w:lineRule="exact"/>
              <w:rPr>
                <w:sz w:val="20"/>
                <w:szCs w:val="20"/>
                <w:color w:val="auto"/>
              </w:rPr>
            </w:pPr>
            <w:r>
              <w:rPr>
                <w:rFonts w:ascii="Arial" w:cs="Arial" w:eastAsia="Arial" w:hAnsi="Arial"/>
                <w:sz w:val="16"/>
                <w:szCs w:val="16"/>
                <w:color w:val="auto"/>
              </w:rPr>
              <w:t xml:space="preserve">Combined </w:t>
            </w:r>
            <w:r>
              <w:rPr>
                <w:rFonts w:ascii="Arial" w:cs="Arial" w:eastAsia="Arial" w:hAnsi="Arial"/>
                <w:sz w:val="21"/>
                <w:szCs w:val="21"/>
                <w:color w:val="auto"/>
                <w:vertAlign w:val="superscript"/>
              </w:rPr>
              <w:t>(a)</w:t>
            </w:r>
          </w:p>
        </w:tc>
        <w:tc>
          <w:tcPr>
            <w:tcW w:w="820" w:type="dxa"/>
            <w:vAlign w:val="bottom"/>
            <w:shd w:val="clear" w:color="auto" w:fill="CFF0FC"/>
          </w:tcPr>
          <w:p>
            <w:pPr>
              <w:jc w:val="center"/>
              <w:ind w:left="139"/>
              <w:spacing w:after="0"/>
              <w:rPr>
                <w:sz w:val="20"/>
                <w:szCs w:val="20"/>
                <w:color w:val="auto"/>
              </w:rPr>
            </w:pPr>
            <w:r>
              <w:rPr>
                <w:rFonts w:ascii="Arial" w:cs="Arial" w:eastAsia="Arial" w:hAnsi="Arial"/>
                <w:sz w:val="16"/>
                <w:szCs w:val="16"/>
                <w:color w:val="auto"/>
              </w:rPr>
              <w:t>815</w:t>
            </w:r>
          </w:p>
        </w:tc>
        <w:tc>
          <w:tcPr>
            <w:tcW w:w="1420" w:type="dxa"/>
            <w:vAlign w:val="bottom"/>
            <w:shd w:val="clear" w:color="auto" w:fill="CFF0FC"/>
          </w:tcPr>
          <w:p>
            <w:pPr>
              <w:jc w:val="center"/>
              <w:ind w:left="39"/>
              <w:spacing w:after="0"/>
              <w:rPr>
                <w:sz w:val="20"/>
                <w:szCs w:val="20"/>
                <w:color w:val="auto"/>
              </w:rPr>
            </w:pPr>
            <w:r>
              <w:rPr>
                <w:rFonts w:ascii="Arial" w:cs="Arial" w:eastAsia="Arial" w:hAnsi="Arial"/>
                <w:sz w:val="16"/>
                <w:szCs w:val="16"/>
                <w:color w:val="auto"/>
              </w:rPr>
              <w:t>(5)%</w:t>
            </w:r>
          </w:p>
        </w:tc>
        <w:tc>
          <w:tcPr>
            <w:tcW w:w="720" w:type="dxa"/>
            <w:vAlign w:val="bottom"/>
            <w:shd w:val="clear" w:color="auto" w:fill="CFF0FC"/>
          </w:tcPr>
          <w:p>
            <w:pPr>
              <w:jc w:val="center"/>
              <w:ind w:left="39"/>
              <w:spacing w:after="0"/>
              <w:rPr>
                <w:sz w:val="20"/>
                <w:szCs w:val="20"/>
                <w:color w:val="auto"/>
              </w:rPr>
            </w:pPr>
            <w:r>
              <w:rPr>
                <w:rFonts w:ascii="Arial" w:cs="Arial" w:eastAsia="Arial" w:hAnsi="Arial"/>
                <w:sz w:val="16"/>
                <w:szCs w:val="16"/>
                <w:color w:val="auto"/>
              </w:rPr>
              <w:t>757</w:t>
            </w:r>
          </w:p>
        </w:tc>
        <w:tc>
          <w:tcPr>
            <w:tcW w:w="1420" w:type="dxa"/>
            <w:vAlign w:val="bottom"/>
            <w:shd w:val="clear" w:color="auto" w:fill="CFF0FC"/>
          </w:tcPr>
          <w:p>
            <w:pPr>
              <w:jc w:val="center"/>
              <w:ind w:left="19"/>
              <w:spacing w:after="0"/>
              <w:rPr>
                <w:sz w:val="20"/>
                <w:szCs w:val="20"/>
                <w:color w:val="auto"/>
              </w:rPr>
            </w:pPr>
            <w:r>
              <w:rPr>
                <w:rFonts w:ascii="Arial" w:cs="Arial" w:eastAsia="Arial" w:hAnsi="Arial"/>
                <w:sz w:val="16"/>
                <w:szCs w:val="16"/>
                <w:color w:val="auto"/>
              </w:rPr>
              <w:t>(13)%</w:t>
            </w:r>
          </w:p>
        </w:tc>
        <w:tc>
          <w:tcPr>
            <w:tcW w:w="700" w:type="dxa"/>
            <w:vAlign w:val="bottom"/>
            <w:shd w:val="clear" w:color="auto" w:fill="CFF0FC"/>
          </w:tcPr>
          <w:p>
            <w:pPr>
              <w:jc w:val="center"/>
              <w:ind w:left="39"/>
              <w:spacing w:after="0"/>
              <w:rPr>
                <w:sz w:val="20"/>
                <w:szCs w:val="20"/>
                <w:color w:val="auto"/>
              </w:rPr>
            </w:pPr>
            <w:r>
              <w:rPr>
                <w:rFonts w:ascii="Arial" w:cs="Arial" w:eastAsia="Arial" w:hAnsi="Arial"/>
                <w:sz w:val="16"/>
                <w:szCs w:val="16"/>
                <w:color w:val="auto"/>
              </w:rPr>
              <w:t>3,875</w:t>
            </w:r>
          </w:p>
        </w:tc>
        <w:tc>
          <w:tcPr>
            <w:tcW w:w="1420" w:type="dxa"/>
            <w:vAlign w:val="bottom"/>
            <w:shd w:val="clear" w:color="auto" w:fill="CFF0FC"/>
          </w:tcPr>
          <w:p>
            <w:pPr>
              <w:jc w:val="center"/>
              <w:ind w:left="59"/>
              <w:spacing w:after="0"/>
              <w:rPr>
                <w:sz w:val="20"/>
                <w:szCs w:val="20"/>
                <w:color w:val="auto"/>
              </w:rPr>
            </w:pPr>
            <w:r>
              <w:rPr>
                <w:rFonts w:ascii="Arial" w:cs="Arial" w:eastAsia="Arial" w:hAnsi="Arial"/>
                <w:sz w:val="16"/>
                <w:szCs w:val="16"/>
                <w:color w:val="auto"/>
              </w:rPr>
              <w:t>4%</w:t>
            </w:r>
          </w:p>
        </w:tc>
        <w:tc>
          <w:tcPr>
            <w:tcW w:w="720" w:type="dxa"/>
            <w:vAlign w:val="bottom"/>
            <w:shd w:val="clear" w:color="auto" w:fill="CFF0FC"/>
          </w:tcPr>
          <w:p>
            <w:pPr>
              <w:jc w:val="center"/>
              <w:ind w:left="39"/>
              <w:spacing w:after="0"/>
              <w:rPr>
                <w:sz w:val="20"/>
                <w:szCs w:val="20"/>
                <w:color w:val="auto"/>
              </w:rPr>
            </w:pPr>
            <w:r>
              <w:rPr>
                <w:rFonts w:ascii="Arial" w:cs="Arial" w:eastAsia="Arial" w:hAnsi="Arial"/>
                <w:sz w:val="16"/>
                <w:szCs w:val="16"/>
                <w:color w:val="auto"/>
                <w:w w:val="99"/>
              </w:rPr>
              <w:t>3,577</w:t>
            </w:r>
          </w:p>
        </w:tc>
        <w:tc>
          <w:tcPr>
            <w:tcW w:w="1280" w:type="dxa"/>
            <w:vAlign w:val="bottom"/>
            <w:shd w:val="clear" w:color="auto" w:fill="CFF0FC"/>
          </w:tcPr>
          <w:p>
            <w:pPr>
              <w:jc w:val="center"/>
              <w:ind w:left="139"/>
              <w:spacing w:after="0"/>
              <w:rPr>
                <w:sz w:val="20"/>
                <w:szCs w:val="20"/>
                <w:color w:val="auto"/>
              </w:rPr>
            </w:pPr>
            <w:r>
              <w:rPr>
                <w:rFonts w:ascii="Arial" w:cs="Arial" w:eastAsia="Arial" w:hAnsi="Arial"/>
                <w:sz w:val="16"/>
                <w:szCs w:val="16"/>
                <w:color w:val="auto"/>
              </w:rPr>
              <w:t>(8)%</w:t>
            </w:r>
          </w:p>
        </w:tc>
      </w:tr>
      <w:tr>
        <w:trPr>
          <w:trHeight w:val="189"/>
        </w:trPr>
        <w:tc>
          <w:tcPr>
            <w:tcW w:w="27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89"/>
        </w:trPr>
        <w:tc>
          <w:tcPr>
            <w:tcW w:w="2740" w:type="dxa"/>
            <w:vAlign w:val="bottom"/>
            <w:shd w:val="clear" w:color="auto" w:fill="CFF0FC"/>
          </w:tcPr>
          <w:p>
            <w:pPr>
              <w:spacing w:after="0"/>
              <w:rPr>
                <w:sz w:val="20"/>
                <w:szCs w:val="20"/>
                <w:color w:val="auto"/>
              </w:rPr>
            </w:pPr>
            <w:r>
              <w:rPr>
                <w:rFonts w:ascii="Arial" w:cs="Arial" w:eastAsia="Arial" w:hAnsi="Arial"/>
                <w:sz w:val="16"/>
                <w:szCs w:val="16"/>
                <w:color w:val="auto"/>
              </w:rPr>
              <w:t>Cooling Degree Days:</w:t>
            </w:r>
          </w:p>
        </w:tc>
        <w:tc>
          <w:tcPr>
            <w:tcW w:w="82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r>
      <w:tr>
        <w:trPr>
          <w:trHeight w:val="189"/>
        </w:trPr>
        <w:tc>
          <w:tcPr>
            <w:tcW w:w="2740" w:type="dxa"/>
            <w:vAlign w:val="bottom"/>
          </w:tcPr>
          <w:p>
            <w:pPr>
              <w:ind w:left="40"/>
              <w:spacing w:after="0"/>
              <w:rPr>
                <w:sz w:val="20"/>
                <w:szCs w:val="20"/>
                <w:color w:val="auto"/>
              </w:rPr>
            </w:pPr>
            <w:r>
              <w:rPr>
                <w:rFonts w:ascii="Arial" w:cs="Arial" w:eastAsia="Arial" w:hAnsi="Arial"/>
                <w:sz w:val="16"/>
                <w:szCs w:val="16"/>
                <w:color w:val="auto"/>
              </w:rPr>
              <w:t>Colorado Electric</w:t>
            </w:r>
          </w:p>
        </w:tc>
        <w:tc>
          <w:tcPr>
            <w:tcW w:w="820" w:type="dxa"/>
            <w:vAlign w:val="bottom"/>
          </w:tcPr>
          <w:p>
            <w:pPr>
              <w:jc w:val="center"/>
              <w:ind w:left="139"/>
              <w:spacing w:after="0"/>
              <w:rPr>
                <w:sz w:val="20"/>
                <w:szCs w:val="20"/>
                <w:color w:val="auto"/>
              </w:rPr>
            </w:pPr>
            <w:r>
              <w:rPr>
                <w:rFonts w:ascii="Arial" w:cs="Arial" w:eastAsia="Arial" w:hAnsi="Arial"/>
                <w:sz w:val="16"/>
                <w:szCs w:val="16"/>
                <w:color w:val="auto"/>
              </w:rPr>
              <w:t>235</w:t>
            </w:r>
          </w:p>
        </w:tc>
        <w:tc>
          <w:tcPr>
            <w:tcW w:w="1420" w:type="dxa"/>
            <w:vAlign w:val="bottom"/>
          </w:tcPr>
          <w:p>
            <w:pPr>
              <w:jc w:val="center"/>
              <w:ind w:left="39"/>
              <w:spacing w:after="0"/>
              <w:rPr>
                <w:sz w:val="20"/>
                <w:szCs w:val="20"/>
                <w:color w:val="auto"/>
              </w:rPr>
            </w:pPr>
            <w:r>
              <w:rPr>
                <w:rFonts w:ascii="Arial" w:cs="Arial" w:eastAsia="Arial" w:hAnsi="Arial"/>
                <w:sz w:val="16"/>
                <w:szCs w:val="16"/>
                <w:color w:val="auto"/>
                <w:w w:val="98"/>
              </w:rPr>
              <w:t>(16)%</w:t>
            </w:r>
          </w:p>
        </w:tc>
        <w:tc>
          <w:tcPr>
            <w:tcW w:w="720" w:type="dxa"/>
            <w:vAlign w:val="bottom"/>
          </w:tcPr>
          <w:p>
            <w:pPr>
              <w:jc w:val="center"/>
              <w:ind w:left="39"/>
              <w:spacing w:after="0"/>
              <w:rPr>
                <w:sz w:val="20"/>
                <w:szCs w:val="20"/>
                <w:color w:val="auto"/>
              </w:rPr>
            </w:pPr>
            <w:r>
              <w:rPr>
                <w:rFonts w:ascii="Arial" w:cs="Arial" w:eastAsia="Arial" w:hAnsi="Arial"/>
                <w:sz w:val="16"/>
                <w:szCs w:val="16"/>
                <w:color w:val="auto"/>
              </w:rPr>
              <w:t>343</w:t>
            </w:r>
          </w:p>
        </w:tc>
        <w:tc>
          <w:tcPr>
            <w:tcW w:w="1420" w:type="dxa"/>
            <w:vAlign w:val="bottom"/>
          </w:tcPr>
          <w:p>
            <w:pPr>
              <w:jc w:val="center"/>
              <w:ind w:left="19"/>
              <w:spacing w:after="0"/>
              <w:rPr>
                <w:sz w:val="20"/>
                <w:szCs w:val="20"/>
                <w:color w:val="auto"/>
              </w:rPr>
            </w:pPr>
            <w:r>
              <w:rPr>
                <w:rFonts w:ascii="Arial" w:cs="Arial" w:eastAsia="Arial" w:hAnsi="Arial"/>
                <w:sz w:val="16"/>
                <w:szCs w:val="16"/>
                <w:color w:val="auto"/>
                <w:w w:val="99"/>
              </w:rPr>
              <w:t>25%</w:t>
            </w:r>
          </w:p>
        </w:tc>
        <w:tc>
          <w:tcPr>
            <w:tcW w:w="700" w:type="dxa"/>
            <w:vAlign w:val="bottom"/>
          </w:tcPr>
          <w:p>
            <w:pPr>
              <w:jc w:val="center"/>
              <w:ind w:left="39"/>
              <w:spacing w:after="0"/>
              <w:rPr>
                <w:sz w:val="20"/>
                <w:szCs w:val="20"/>
                <w:color w:val="auto"/>
              </w:rPr>
            </w:pPr>
            <w:r>
              <w:rPr>
                <w:rFonts w:ascii="Arial" w:cs="Arial" w:eastAsia="Arial" w:hAnsi="Arial"/>
                <w:sz w:val="16"/>
                <w:szCs w:val="16"/>
                <w:color w:val="auto"/>
                <w:w w:val="97"/>
              </w:rPr>
              <w:t>235</w:t>
            </w:r>
          </w:p>
        </w:tc>
        <w:tc>
          <w:tcPr>
            <w:tcW w:w="1420" w:type="dxa"/>
            <w:vAlign w:val="bottom"/>
          </w:tcPr>
          <w:p>
            <w:pPr>
              <w:jc w:val="center"/>
              <w:ind w:left="59"/>
              <w:spacing w:after="0"/>
              <w:rPr>
                <w:sz w:val="20"/>
                <w:szCs w:val="20"/>
                <w:color w:val="auto"/>
              </w:rPr>
            </w:pPr>
            <w:r>
              <w:rPr>
                <w:rFonts w:ascii="Arial" w:cs="Arial" w:eastAsia="Arial" w:hAnsi="Arial"/>
                <w:sz w:val="16"/>
                <w:szCs w:val="16"/>
                <w:color w:val="auto"/>
              </w:rPr>
              <w:t>(16)%</w:t>
            </w:r>
          </w:p>
        </w:tc>
        <w:tc>
          <w:tcPr>
            <w:tcW w:w="720" w:type="dxa"/>
            <w:vAlign w:val="bottom"/>
          </w:tcPr>
          <w:p>
            <w:pPr>
              <w:jc w:val="center"/>
              <w:ind w:left="19"/>
              <w:spacing w:after="0"/>
              <w:rPr>
                <w:sz w:val="20"/>
                <w:szCs w:val="20"/>
                <w:color w:val="auto"/>
              </w:rPr>
            </w:pPr>
            <w:r>
              <w:rPr>
                <w:rFonts w:ascii="Arial" w:cs="Arial" w:eastAsia="Arial" w:hAnsi="Arial"/>
                <w:sz w:val="16"/>
                <w:szCs w:val="16"/>
                <w:color w:val="auto"/>
                <w:w w:val="97"/>
              </w:rPr>
              <w:t>343</w:t>
            </w:r>
          </w:p>
        </w:tc>
        <w:tc>
          <w:tcPr>
            <w:tcW w:w="1280" w:type="dxa"/>
            <w:vAlign w:val="bottom"/>
          </w:tcPr>
          <w:p>
            <w:pPr>
              <w:jc w:val="center"/>
              <w:ind w:left="119"/>
              <w:spacing w:after="0"/>
              <w:rPr>
                <w:sz w:val="20"/>
                <w:szCs w:val="20"/>
                <w:color w:val="auto"/>
              </w:rPr>
            </w:pPr>
            <w:r>
              <w:rPr>
                <w:rFonts w:ascii="Arial" w:cs="Arial" w:eastAsia="Arial" w:hAnsi="Arial"/>
                <w:sz w:val="16"/>
                <w:szCs w:val="16"/>
                <w:color w:val="auto"/>
                <w:w w:val="99"/>
              </w:rPr>
              <w:t>25%</w:t>
            </w:r>
          </w:p>
        </w:tc>
      </w:tr>
      <w:tr>
        <w:trPr>
          <w:trHeight w:val="189"/>
        </w:trPr>
        <w:tc>
          <w:tcPr>
            <w:tcW w:w="2740" w:type="dxa"/>
            <w:vAlign w:val="bottom"/>
            <w:shd w:val="clear" w:color="auto" w:fill="CFF0FC"/>
          </w:tcPr>
          <w:p>
            <w:pPr>
              <w:ind w:left="40"/>
              <w:spacing w:after="0"/>
              <w:rPr>
                <w:sz w:val="20"/>
                <w:szCs w:val="20"/>
                <w:color w:val="auto"/>
              </w:rPr>
            </w:pPr>
            <w:r>
              <w:rPr>
                <w:rFonts w:ascii="Arial" w:cs="Arial" w:eastAsia="Arial" w:hAnsi="Arial"/>
                <w:sz w:val="16"/>
                <w:szCs w:val="16"/>
                <w:color w:val="auto"/>
              </w:rPr>
              <w:t>South Dakota Electric</w:t>
            </w:r>
          </w:p>
        </w:tc>
        <w:tc>
          <w:tcPr>
            <w:tcW w:w="820" w:type="dxa"/>
            <w:vAlign w:val="bottom"/>
            <w:shd w:val="clear" w:color="auto" w:fill="CFF0FC"/>
          </w:tcPr>
          <w:p>
            <w:pPr>
              <w:jc w:val="center"/>
              <w:ind w:left="139"/>
              <w:spacing w:after="0"/>
              <w:rPr>
                <w:sz w:val="20"/>
                <w:szCs w:val="20"/>
                <w:color w:val="auto"/>
              </w:rPr>
            </w:pPr>
            <w:r>
              <w:rPr>
                <w:rFonts w:ascii="Arial" w:cs="Arial" w:eastAsia="Arial" w:hAnsi="Arial"/>
                <w:sz w:val="16"/>
                <w:szCs w:val="16"/>
                <w:color w:val="auto"/>
              </w:rPr>
              <w:t>162</w:t>
            </w:r>
          </w:p>
        </w:tc>
        <w:tc>
          <w:tcPr>
            <w:tcW w:w="1420" w:type="dxa"/>
            <w:vAlign w:val="bottom"/>
            <w:shd w:val="clear" w:color="auto" w:fill="CFF0FC"/>
          </w:tcPr>
          <w:p>
            <w:pPr>
              <w:jc w:val="center"/>
              <w:ind w:left="39"/>
              <w:spacing w:after="0"/>
              <w:rPr>
                <w:sz w:val="20"/>
                <w:szCs w:val="20"/>
                <w:color w:val="auto"/>
              </w:rPr>
            </w:pPr>
            <w:r>
              <w:rPr>
                <w:rFonts w:ascii="Arial" w:cs="Arial" w:eastAsia="Arial" w:hAnsi="Arial"/>
                <w:sz w:val="16"/>
                <w:szCs w:val="16"/>
                <w:color w:val="auto"/>
              </w:rPr>
              <w:t>41%</w:t>
            </w:r>
          </w:p>
        </w:tc>
        <w:tc>
          <w:tcPr>
            <w:tcW w:w="720" w:type="dxa"/>
            <w:vAlign w:val="bottom"/>
            <w:shd w:val="clear" w:color="auto" w:fill="CFF0FC"/>
          </w:tcPr>
          <w:p>
            <w:pPr>
              <w:jc w:val="center"/>
              <w:ind w:left="39"/>
              <w:spacing w:after="0"/>
              <w:rPr>
                <w:sz w:val="20"/>
                <w:szCs w:val="20"/>
                <w:color w:val="auto"/>
              </w:rPr>
            </w:pPr>
            <w:r>
              <w:rPr>
                <w:rFonts w:ascii="Arial" w:cs="Arial" w:eastAsia="Arial" w:hAnsi="Arial"/>
                <w:sz w:val="16"/>
                <w:szCs w:val="16"/>
                <w:color w:val="auto"/>
              </w:rPr>
              <w:t>114</w:t>
            </w:r>
          </w:p>
        </w:tc>
        <w:tc>
          <w:tcPr>
            <w:tcW w:w="1420" w:type="dxa"/>
            <w:vAlign w:val="bottom"/>
            <w:shd w:val="clear" w:color="auto" w:fill="CFF0FC"/>
          </w:tcPr>
          <w:p>
            <w:pPr>
              <w:jc w:val="center"/>
              <w:ind w:left="19"/>
              <w:spacing w:after="0"/>
              <w:rPr>
                <w:sz w:val="20"/>
                <w:szCs w:val="20"/>
                <w:color w:val="auto"/>
              </w:rPr>
            </w:pPr>
            <w:r>
              <w:rPr>
                <w:rFonts w:ascii="Arial" w:cs="Arial" w:eastAsia="Arial" w:hAnsi="Arial"/>
                <w:sz w:val="16"/>
                <w:szCs w:val="16"/>
                <w:color w:val="auto"/>
              </w:rPr>
              <w:t>8%</w:t>
            </w:r>
          </w:p>
        </w:tc>
        <w:tc>
          <w:tcPr>
            <w:tcW w:w="700" w:type="dxa"/>
            <w:vAlign w:val="bottom"/>
            <w:shd w:val="clear" w:color="auto" w:fill="CFF0FC"/>
          </w:tcPr>
          <w:p>
            <w:pPr>
              <w:jc w:val="center"/>
              <w:ind w:left="39"/>
              <w:spacing w:after="0"/>
              <w:rPr>
                <w:sz w:val="20"/>
                <w:szCs w:val="20"/>
                <w:color w:val="auto"/>
              </w:rPr>
            </w:pPr>
            <w:r>
              <w:rPr>
                <w:rFonts w:ascii="Arial" w:cs="Arial" w:eastAsia="Arial" w:hAnsi="Arial"/>
                <w:sz w:val="16"/>
                <w:szCs w:val="16"/>
                <w:color w:val="auto"/>
                <w:w w:val="97"/>
              </w:rPr>
              <w:t>162</w:t>
            </w:r>
          </w:p>
        </w:tc>
        <w:tc>
          <w:tcPr>
            <w:tcW w:w="1420" w:type="dxa"/>
            <w:vAlign w:val="bottom"/>
            <w:shd w:val="clear" w:color="auto" w:fill="CFF0FC"/>
          </w:tcPr>
          <w:p>
            <w:pPr>
              <w:jc w:val="center"/>
              <w:ind w:left="59"/>
              <w:spacing w:after="0"/>
              <w:rPr>
                <w:sz w:val="20"/>
                <w:szCs w:val="20"/>
                <w:color w:val="auto"/>
              </w:rPr>
            </w:pPr>
            <w:r>
              <w:rPr>
                <w:rFonts w:ascii="Arial" w:cs="Arial" w:eastAsia="Arial" w:hAnsi="Arial"/>
                <w:sz w:val="16"/>
                <w:szCs w:val="16"/>
                <w:color w:val="auto"/>
                <w:w w:val="99"/>
              </w:rPr>
              <w:t>41%</w:t>
            </w:r>
          </w:p>
        </w:tc>
        <w:tc>
          <w:tcPr>
            <w:tcW w:w="720" w:type="dxa"/>
            <w:vAlign w:val="bottom"/>
            <w:shd w:val="clear" w:color="auto" w:fill="CFF0FC"/>
          </w:tcPr>
          <w:p>
            <w:pPr>
              <w:jc w:val="center"/>
              <w:ind w:left="19"/>
              <w:spacing w:after="0"/>
              <w:rPr>
                <w:sz w:val="20"/>
                <w:szCs w:val="20"/>
                <w:color w:val="auto"/>
              </w:rPr>
            </w:pPr>
            <w:r>
              <w:rPr>
                <w:rFonts w:ascii="Arial" w:cs="Arial" w:eastAsia="Arial" w:hAnsi="Arial"/>
                <w:sz w:val="16"/>
                <w:szCs w:val="16"/>
                <w:color w:val="auto"/>
                <w:w w:val="97"/>
              </w:rPr>
              <w:t>114</w:t>
            </w:r>
          </w:p>
        </w:tc>
        <w:tc>
          <w:tcPr>
            <w:tcW w:w="1280" w:type="dxa"/>
            <w:vAlign w:val="bottom"/>
            <w:shd w:val="clear" w:color="auto" w:fill="CFF0FC"/>
          </w:tcPr>
          <w:p>
            <w:pPr>
              <w:jc w:val="center"/>
              <w:ind w:left="119"/>
              <w:spacing w:after="0"/>
              <w:rPr>
                <w:sz w:val="20"/>
                <w:szCs w:val="20"/>
                <w:color w:val="auto"/>
              </w:rPr>
            </w:pPr>
            <w:r>
              <w:rPr>
                <w:rFonts w:ascii="Arial" w:cs="Arial" w:eastAsia="Arial" w:hAnsi="Arial"/>
                <w:sz w:val="16"/>
                <w:szCs w:val="16"/>
                <w:color w:val="auto"/>
              </w:rPr>
              <w:t>8%</w:t>
            </w:r>
          </w:p>
        </w:tc>
      </w:tr>
      <w:tr>
        <w:trPr>
          <w:trHeight w:val="189"/>
        </w:trPr>
        <w:tc>
          <w:tcPr>
            <w:tcW w:w="2740" w:type="dxa"/>
            <w:vAlign w:val="bottom"/>
          </w:tcPr>
          <w:p>
            <w:pPr>
              <w:ind w:left="40"/>
              <w:spacing w:after="0"/>
              <w:rPr>
                <w:sz w:val="20"/>
                <w:szCs w:val="20"/>
                <w:color w:val="auto"/>
              </w:rPr>
            </w:pPr>
            <w:r>
              <w:rPr>
                <w:rFonts w:ascii="Arial" w:cs="Arial" w:eastAsia="Arial" w:hAnsi="Arial"/>
                <w:sz w:val="16"/>
                <w:szCs w:val="16"/>
                <w:color w:val="auto"/>
              </w:rPr>
              <w:t>Wyoming Electric</w:t>
            </w:r>
          </w:p>
        </w:tc>
        <w:tc>
          <w:tcPr>
            <w:tcW w:w="820" w:type="dxa"/>
            <w:vAlign w:val="bottom"/>
          </w:tcPr>
          <w:p>
            <w:pPr>
              <w:jc w:val="center"/>
              <w:ind w:left="159"/>
              <w:spacing w:after="0"/>
              <w:rPr>
                <w:sz w:val="20"/>
                <w:szCs w:val="20"/>
                <w:color w:val="auto"/>
              </w:rPr>
            </w:pPr>
            <w:r>
              <w:rPr>
                <w:rFonts w:ascii="Arial" w:cs="Arial" w:eastAsia="Arial" w:hAnsi="Arial"/>
                <w:sz w:val="16"/>
                <w:szCs w:val="16"/>
                <w:color w:val="auto"/>
              </w:rPr>
              <w:t>60</w:t>
            </w:r>
          </w:p>
        </w:tc>
        <w:tc>
          <w:tcPr>
            <w:tcW w:w="1420" w:type="dxa"/>
            <w:vAlign w:val="bottom"/>
          </w:tcPr>
          <w:p>
            <w:pPr>
              <w:jc w:val="center"/>
              <w:ind w:left="39"/>
              <w:spacing w:after="0"/>
              <w:rPr>
                <w:sz w:val="20"/>
                <w:szCs w:val="20"/>
                <w:color w:val="auto"/>
              </w:rPr>
            </w:pPr>
            <w:r>
              <w:rPr>
                <w:rFonts w:ascii="Arial" w:cs="Arial" w:eastAsia="Arial" w:hAnsi="Arial"/>
                <w:sz w:val="16"/>
                <w:szCs w:val="16"/>
                <w:color w:val="auto"/>
                <w:w w:val="98"/>
              </w:rPr>
              <w:t>(24)%</w:t>
            </w:r>
          </w:p>
        </w:tc>
        <w:tc>
          <w:tcPr>
            <w:tcW w:w="720" w:type="dxa"/>
            <w:vAlign w:val="bottom"/>
          </w:tcPr>
          <w:p>
            <w:pPr>
              <w:jc w:val="center"/>
              <w:ind w:left="39"/>
              <w:spacing w:after="0"/>
              <w:rPr>
                <w:sz w:val="20"/>
                <w:szCs w:val="20"/>
                <w:color w:val="auto"/>
              </w:rPr>
            </w:pPr>
            <w:r>
              <w:rPr>
                <w:rFonts w:ascii="Arial" w:cs="Arial" w:eastAsia="Arial" w:hAnsi="Arial"/>
                <w:sz w:val="16"/>
                <w:szCs w:val="16"/>
                <w:color w:val="auto"/>
              </w:rPr>
              <w:t>118</w:t>
            </w:r>
          </w:p>
        </w:tc>
        <w:tc>
          <w:tcPr>
            <w:tcW w:w="1420" w:type="dxa"/>
            <w:vAlign w:val="bottom"/>
          </w:tcPr>
          <w:p>
            <w:pPr>
              <w:jc w:val="center"/>
              <w:ind w:left="19"/>
              <w:spacing w:after="0"/>
              <w:rPr>
                <w:sz w:val="20"/>
                <w:szCs w:val="20"/>
                <w:color w:val="auto"/>
              </w:rPr>
            </w:pPr>
            <w:r>
              <w:rPr>
                <w:rFonts w:ascii="Arial" w:cs="Arial" w:eastAsia="Arial" w:hAnsi="Arial"/>
                <w:sz w:val="16"/>
                <w:szCs w:val="16"/>
                <w:color w:val="auto"/>
                <w:w w:val="99"/>
              </w:rPr>
              <w:t>75%</w:t>
            </w:r>
          </w:p>
        </w:tc>
        <w:tc>
          <w:tcPr>
            <w:tcW w:w="700" w:type="dxa"/>
            <w:vAlign w:val="bottom"/>
          </w:tcPr>
          <w:p>
            <w:pPr>
              <w:jc w:val="center"/>
              <w:ind w:left="39"/>
              <w:spacing w:after="0"/>
              <w:rPr>
                <w:sz w:val="20"/>
                <w:szCs w:val="20"/>
                <w:color w:val="auto"/>
              </w:rPr>
            </w:pPr>
            <w:r>
              <w:rPr>
                <w:rFonts w:ascii="Arial" w:cs="Arial" w:eastAsia="Arial" w:hAnsi="Arial"/>
                <w:sz w:val="16"/>
                <w:szCs w:val="16"/>
                <w:color w:val="auto"/>
              </w:rPr>
              <w:t>60</w:t>
            </w:r>
          </w:p>
        </w:tc>
        <w:tc>
          <w:tcPr>
            <w:tcW w:w="1420" w:type="dxa"/>
            <w:vAlign w:val="bottom"/>
          </w:tcPr>
          <w:p>
            <w:pPr>
              <w:jc w:val="center"/>
              <w:ind w:left="59"/>
              <w:spacing w:after="0"/>
              <w:rPr>
                <w:sz w:val="20"/>
                <w:szCs w:val="20"/>
                <w:color w:val="auto"/>
              </w:rPr>
            </w:pPr>
            <w:r>
              <w:rPr>
                <w:rFonts w:ascii="Arial" w:cs="Arial" w:eastAsia="Arial" w:hAnsi="Arial"/>
                <w:sz w:val="16"/>
                <w:szCs w:val="16"/>
                <w:color w:val="auto"/>
              </w:rPr>
              <w:t>(24)%</w:t>
            </w:r>
          </w:p>
        </w:tc>
        <w:tc>
          <w:tcPr>
            <w:tcW w:w="720" w:type="dxa"/>
            <w:vAlign w:val="bottom"/>
          </w:tcPr>
          <w:p>
            <w:pPr>
              <w:jc w:val="center"/>
              <w:ind w:left="19"/>
              <w:spacing w:after="0"/>
              <w:rPr>
                <w:sz w:val="20"/>
                <w:szCs w:val="20"/>
                <w:color w:val="auto"/>
              </w:rPr>
            </w:pPr>
            <w:r>
              <w:rPr>
                <w:rFonts w:ascii="Arial" w:cs="Arial" w:eastAsia="Arial" w:hAnsi="Arial"/>
                <w:sz w:val="16"/>
                <w:szCs w:val="16"/>
                <w:color w:val="auto"/>
                <w:w w:val="97"/>
              </w:rPr>
              <w:t>118</w:t>
            </w:r>
          </w:p>
        </w:tc>
        <w:tc>
          <w:tcPr>
            <w:tcW w:w="1280" w:type="dxa"/>
            <w:vAlign w:val="bottom"/>
          </w:tcPr>
          <w:p>
            <w:pPr>
              <w:jc w:val="center"/>
              <w:ind w:left="119"/>
              <w:spacing w:after="0"/>
              <w:rPr>
                <w:sz w:val="20"/>
                <w:szCs w:val="20"/>
                <w:color w:val="auto"/>
              </w:rPr>
            </w:pPr>
            <w:r>
              <w:rPr>
                <w:rFonts w:ascii="Arial" w:cs="Arial" w:eastAsia="Arial" w:hAnsi="Arial"/>
                <w:sz w:val="16"/>
                <w:szCs w:val="16"/>
                <w:color w:val="auto"/>
                <w:w w:val="99"/>
              </w:rPr>
              <w:t>75%</w:t>
            </w:r>
          </w:p>
        </w:tc>
      </w:tr>
      <w:tr>
        <w:trPr>
          <w:trHeight w:val="189"/>
        </w:trPr>
        <w:tc>
          <w:tcPr>
            <w:tcW w:w="2740" w:type="dxa"/>
            <w:vAlign w:val="bottom"/>
            <w:shd w:val="clear" w:color="auto" w:fill="CFF0FC"/>
          </w:tcPr>
          <w:p>
            <w:pPr>
              <w:ind w:left="60"/>
              <w:spacing w:after="0" w:line="189" w:lineRule="exact"/>
              <w:rPr>
                <w:sz w:val="20"/>
                <w:szCs w:val="20"/>
                <w:color w:val="auto"/>
              </w:rPr>
            </w:pPr>
            <w:r>
              <w:rPr>
                <w:rFonts w:ascii="Arial" w:cs="Arial" w:eastAsia="Arial" w:hAnsi="Arial"/>
                <w:sz w:val="16"/>
                <w:szCs w:val="16"/>
                <w:color w:val="auto"/>
              </w:rPr>
              <w:t xml:space="preserve">Combined </w:t>
            </w:r>
            <w:r>
              <w:rPr>
                <w:rFonts w:ascii="Arial" w:cs="Arial" w:eastAsia="Arial" w:hAnsi="Arial"/>
                <w:sz w:val="21"/>
                <w:szCs w:val="21"/>
                <w:color w:val="auto"/>
                <w:vertAlign w:val="superscript"/>
              </w:rPr>
              <w:t>(a)</w:t>
            </w:r>
          </w:p>
        </w:tc>
        <w:tc>
          <w:tcPr>
            <w:tcW w:w="820" w:type="dxa"/>
            <w:vAlign w:val="bottom"/>
            <w:shd w:val="clear" w:color="auto" w:fill="CFF0FC"/>
          </w:tcPr>
          <w:p>
            <w:pPr>
              <w:jc w:val="center"/>
              <w:ind w:left="139"/>
              <w:spacing w:after="0"/>
              <w:rPr>
                <w:sz w:val="20"/>
                <w:szCs w:val="20"/>
                <w:color w:val="auto"/>
              </w:rPr>
            </w:pPr>
            <w:r>
              <w:rPr>
                <w:rFonts w:ascii="Arial" w:cs="Arial" w:eastAsia="Arial" w:hAnsi="Arial"/>
                <w:sz w:val="16"/>
                <w:szCs w:val="16"/>
                <w:color w:val="auto"/>
              </w:rPr>
              <w:t>174</w:t>
            </w:r>
          </w:p>
        </w:tc>
        <w:tc>
          <w:tcPr>
            <w:tcW w:w="1420" w:type="dxa"/>
            <w:vAlign w:val="bottom"/>
            <w:shd w:val="clear" w:color="auto" w:fill="CFF0FC"/>
          </w:tcPr>
          <w:p>
            <w:pPr>
              <w:jc w:val="center"/>
              <w:ind w:left="39"/>
              <w:spacing w:after="0"/>
              <w:rPr>
                <w:sz w:val="20"/>
                <w:szCs w:val="20"/>
                <w:color w:val="auto"/>
              </w:rPr>
            </w:pPr>
            <w:r>
              <w:rPr>
                <w:rFonts w:ascii="Arial" w:cs="Arial" w:eastAsia="Arial" w:hAnsi="Arial"/>
                <w:sz w:val="16"/>
                <w:szCs w:val="16"/>
                <w:color w:val="auto"/>
              </w:rPr>
              <w:t>(4)%</w:t>
            </w:r>
          </w:p>
        </w:tc>
        <w:tc>
          <w:tcPr>
            <w:tcW w:w="720" w:type="dxa"/>
            <w:vAlign w:val="bottom"/>
            <w:shd w:val="clear" w:color="auto" w:fill="CFF0FC"/>
          </w:tcPr>
          <w:p>
            <w:pPr>
              <w:jc w:val="center"/>
              <w:ind w:left="39"/>
              <w:spacing w:after="0"/>
              <w:rPr>
                <w:sz w:val="20"/>
                <w:szCs w:val="20"/>
                <w:color w:val="auto"/>
              </w:rPr>
            </w:pPr>
            <w:r>
              <w:rPr>
                <w:rFonts w:ascii="Arial" w:cs="Arial" w:eastAsia="Arial" w:hAnsi="Arial"/>
                <w:sz w:val="16"/>
                <w:szCs w:val="16"/>
                <w:color w:val="auto"/>
              </w:rPr>
              <w:t>219</w:t>
            </w:r>
          </w:p>
        </w:tc>
        <w:tc>
          <w:tcPr>
            <w:tcW w:w="1420" w:type="dxa"/>
            <w:vAlign w:val="bottom"/>
            <w:shd w:val="clear" w:color="auto" w:fill="CFF0FC"/>
          </w:tcPr>
          <w:p>
            <w:pPr>
              <w:jc w:val="center"/>
              <w:ind w:left="19"/>
              <w:spacing w:after="0"/>
              <w:rPr>
                <w:sz w:val="20"/>
                <w:szCs w:val="20"/>
                <w:color w:val="auto"/>
              </w:rPr>
            </w:pPr>
            <w:r>
              <w:rPr>
                <w:rFonts w:ascii="Arial" w:cs="Arial" w:eastAsia="Arial" w:hAnsi="Arial"/>
                <w:sz w:val="16"/>
                <w:szCs w:val="16"/>
                <w:color w:val="auto"/>
                <w:w w:val="99"/>
              </w:rPr>
              <w:t>25%</w:t>
            </w:r>
          </w:p>
        </w:tc>
        <w:tc>
          <w:tcPr>
            <w:tcW w:w="700" w:type="dxa"/>
            <w:vAlign w:val="bottom"/>
            <w:shd w:val="clear" w:color="auto" w:fill="CFF0FC"/>
          </w:tcPr>
          <w:p>
            <w:pPr>
              <w:jc w:val="center"/>
              <w:ind w:left="39"/>
              <w:spacing w:after="0"/>
              <w:rPr>
                <w:sz w:val="20"/>
                <w:szCs w:val="20"/>
                <w:color w:val="auto"/>
              </w:rPr>
            </w:pPr>
            <w:r>
              <w:rPr>
                <w:rFonts w:ascii="Arial" w:cs="Arial" w:eastAsia="Arial" w:hAnsi="Arial"/>
                <w:sz w:val="16"/>
                <w:szCs w:val="16"/>
                <w:color w:val="auto"/>
                <w:w w:val="97"/>
              </w:rPr>
              <w:t>174</w:t>
            </w:r>
          </w:p>
        </w:tc>
        <w:tc>
          <w:tcPr>
            <w:tcW w:w="1420" w:type="dxa"/>
            <w:vAlign w:val="bottom"/>
            <w:shd w:val="clear" w:color="auto" w:fill="CFF0FC"/>
          </w:tcPr>
          <w:p>
            <w:pPr>
              <w:jc w:val="center"/>
              <w:ind w:left="39"/>
              <w:spacing w:after="0"/>
              <w:rPr>
                <w:sz w:val="20"/>
                <w:szCs w:val="20"/>
                <w:color w:val="auto"/>
              </w:rPr>
            </w:pPr>
            <w:r>
              <w:rPr>
                <w:rFonts w:ascii="Arial" w:cs="Arial" w:eastAsia="Arial" w:hAnsi="Arial"/>
                <w:sz w:val="16"/>
                <w:szCs w:val="16"/>
                <w:color w:val="auto"/>
              </w:rPr>
              <w:t>(4)%</w:t>
            </w:r>
          </w:p>
        </w:tc>
        <w:tc>
          <w:tcPr>
            <w:tcW w:w="720" w:type="dxa"/>
            <w:vAlign w:val="bottom"/>
            <w:shd w:val="clear" w:color="auto" w:fill="CFF0FC"/>
          </w:tcPr>
          <w:p>
            <w:pPr>
              <w:jc w:val="center"/>
              <w:ind w:left="19"/>
              <w:spacing w:after="0"/>
              <w:rPr>
                <w:sz w:val="20"/>
                <w:szCs w:val="20"/>
                <w:color w:val="auto"/>
              </w:rPr>
            </w:pPr>
            <w:r>
              <w:rPr>
                <w:rFonts w:ascii="Arial" w:cs="Arial" w:eastAsia="Arial" w:hAnsi="Arial"/>
                <w:sz w:val="16"/>
                <w:szCs w:val="16"/>
                <w:color w:val="auto"/>
                <w:w w:val="97"/>
              </w:rPr>
              <w:t>219</w:t>
            </w:r>
          </w:p>
        </w:tc>
        <w:tc>
          <w:tcPr>
            <w:tcW w:w="1280" w:type="dxa"/>
            <w:vAlign w:val="bottom"/>
            <w:shd w:val="clear" w:color="auto" w:fill="CFF0FC"/>
          </w:tcPr>
          <w:p>
            <w:pPr>
              <w:jc w:val="center"/>
              <w:ind w:left="119"/>
              <w:spacing w:after="0"/>
              <w:rPr>
                <w:sz w:val="20"/>
                <w:szCs w:val="20"/>
                <w:color w:val="auto"/>
              </w:rPr>
            </w:pPr>
            <w:r>
              <w:rPr>
                <w:rFonts w:ascii="Arial" w:cs="Arial" w:eastAsia="Arial" w:hAnsi="Arial"/>
                <w:sz w:val="16"/>
                <w:szCs w:val="16"/>
                <w:color w:val="auto"/>
                <w:w w:val="99"/>
              </w:rPr>
              <w:t>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04584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119" w:lineRule="exact"/>
        <w:rPr>
          <w:sz w:val="20"/>
          <w:szCs w:val="20"/>
          <w:color w:val="auto"/>
        </w:rPr>
      </w:pPr>
    </w:p>
    <w:p>
      <w:pPr>
        <w:ind w:left="520" w:hanging="512"/>
        <w:spacing w:after="0"/>
        <w:tabs>
          <w:tab w:leader="none" w:pos="5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Degree days are calculated based on a weighted average of total customers by state.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80" w:type="dxa"/>
            <w:vAlign w:val="bottom"/>
            <w:vMerge w:val="restart"/>
          </w:tcPr>
          <w:p>
            <w:pPr>
              <w:spacing w:after="0"/>
              <w:rPr>
                <w:sz w:val="20"/>
                <w:szCs w:val="20"/>
                <w:color w:val="auto"/>
              </w:rPr>
            </w:pPr>
            <w:r>
              <w:rPr>
                <w:rFonts w:ascii="Arial" w:cs="Arial" w:eastAsia="Arial" w:hAnsi="Arial"/>
                <w:sz w:val="16"/>
                <w:szCs w:val="16"/>
                <w:b w:val="1"/>
                <w:bCs w:val="1"/>
                <w:color w:val="auto"/>
              </w:rPr>
              <w:t>Contracted generating facilities Availability</w:t>
            </w:r>
            <w:r>
              <w:rPr>
                <w:rFonts w:ascii="Arial" w:cs="Arial" w:eastAsia="Arial" w:hAnsi="Arial"/>
                <w:sz w:val="21"/>
                <w:szCs w:val="21"/>
                <w:b w:val="1"/>
                <w:bCs w:val="1"/>
                <w:color w:val="auto"/>
                <w:vertAlign w:val="superscript"/>
              </w:rPr>
              <w:t>(a)</w:t>
            </w:r>
            <w:r>
              <w:rPr>
                <w:rFonts w:ascii="Arial" w:cs="Arial" w:eastAsia="Arial" w:hAnsi="Arial"/>
                <w:sz w:val="16"/>
                <w:szCs w:val="16"/>
                <w:b w:val="1"/>
                <w:bCs w:val="1"/>
                <w:color w:val="auto"/>
              </w:rPr>
              <w:t xml:space="preserve"> by fuel type</w:t>
            </w:r>
          </w:p>
        </w:tc>
        <w:tc>
          <w:tcPr>
            <w:tcW w:w="3360" w:type="dxa"/>
            <w:vAlign w:val="bottom"/>
            <w:gridSpan w:val="2"/>
          </w:tcPr>
          <w:p>
            <w:pPr>
              <w:ind w:left="760"/>
              <w:spacing w:after="0"/>
              <w:rPr>
                <w:sz w:val="20"/>
                <w:szCs w:val="20"/>
                <w:color w:val="auto"/>
              </w:rPr>
            </w:pPr>
            <w:r>
              <w:rPr>
                <w:rFonts w:ascii="Arial" w:cs="Arial" w:eastAsia="Arial" w:hAnsi="Arial"/>
                <w:sz w:val="16"/>
                <w:szCs w:val="16"/>
                <w:b w:val="1"/>
                <w:bCs w:val="1"/>
                <w:color w:val="auto"/>
              </w:rPr>
              <w:t>Three Months Ended June 30,</w:t>
            </w:r>
          </w:p>
        </w:tc>
        <w:tc>
          <w:tcPr>
            <w:tcW w:w="2700" w:type="dxa"/>
            <w:vAlign w:val="bottom"/>
            <w:gridSpan w:val="2"/>
          </w:tcPr>
          <w:p>
            <w:pPr>
              <w:ind w:left="300"/>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203"/>
        </w:trPr>
        <w:tc>
          <w:tcPr>
            <w:tcW w:w="5180" w:type="dxa"/>
            <w:vAlign w:val="bottom"/>
            <w:tcBorders>
              <w:bottom w:val="single" w:sz="8" w:color="auto"/>
            </w:tcBorders>
            <w:vMerge w:val="continue"/>
          </w:tcPr>
          <w:p>
            <w:pPr>
              <w:spacing w:after="0"/>
              <w:rPr>
                <w:sz w:val="17"/>
                <w:szCs w:val="17"/>
                <w:color w:val="auto"/>
              </w:rPr>
            </w:pPr>
          </w:p>
        </w:tc>
        <w:tc>
          <w:tcPr>
            <w:tcW w:w="1900" w:type="dxa"/>
            <w:vAlign w:val="bottom"/>
            <w:tcBorders>
              <w:bottom w:val="single" w:sz="8" w:color="auto"/>
            </w:tcBorders>
          </w:tcPr>
          <w:p>
            <w:pPr>
              <w:jc w:val="center"/>
              <w:ind w:left="379"/>
              <w:spacing w:after="0"/>
              <w:rPr>
                <w:sz w:val="20"/>
                <w:szCs w:val="20"/>
                <w:color w:val="auto"/>
              </w:rPr>
            </w:pPr>
            <w:r>
              <w:rPr>
                <w:rFonts w:ascii="Arial" w:cs="Arial" w:eastAsia="Arial" w:hAnsi="Arial"/>
                <w:sz w:val="16"/>
                <w:szCs w:val="16"/>
                <w:b w:val="1"/>
                <w:bCs w:val="1"/>
                <w:color w:val="auto"/>
              </w:rPr>
              <w:t>2025</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2024</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2025</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183"/>
        </w:trPr>
        <w:tc>
          <w:tcPr>
            <w:tcW w:w="51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Coal</w:t>
            </w:r>
          </w:p>
        </w:tc>
        <w:tc>
          <w:tcPr>
            <w:tcW w:w="1900" w:type="dxa"/>
            <w:vAlign w:val="bottom"/>
            <w:shd w:val="clear" w:color="auto" w:fill="CFF0FC"/>
          </w:tcPr>
          <w:p>
            <w:pPr>
              <w:jc w:val="center"/>
              <w:ind w:left="379"/>
              <w:spacing w:after="0" w:line="183" w:lineRule="exact"/>
              <w:rPr>
                <w:sz w:val="20"/>
                <w:szCs w:val="20"/>
                <w:color w:val="auto"/>
              </w:rPr>
            </w:pPr>
            <w:r>
              <w:rPr>
                <w:rFonts w:ascii="Arial" w:cs="Arial" w:eastAsia="Arial" w:hAnsi="Arial"/>
                <w:sz w:val="16"/>
                <w:szCs w:val="16"/>
                <w:color w:val="auto"/>
                <w:w w:val="96"/>
              </w:rPr>
              <w:t>79.4%</w:t>
            </w:r>
          </w:p>
        </w:tc>
        <w:tc>
          <w:tcPr>
            <w:tcW w:w="1460" w:type="dxa"/>
            <w:vAlign w:val="bottom"/>
            <w:shd w:val="clear" w:color="auto" w:fill="CFF0FC"/>
          </w:tcPr>
          <w:p>
            <w:pPr>
              <w:jc w:val="center"/>
              <w:spacing w:after="0" w:line="183" w:lineRule="exact"/>
              <w:rPr>
                <w:sz w:val="20"/>
                <w:szCs w:val="20"/>
                <w:color w:val="auto"/>
              </w:rPr>
            </w:pPr>
            <w:r>
              <w:rPr>
                <w:rFonts w:ascii="Arial" w:cs="Arial" w:eastAsia="Arial" w:hAnsi="Arial"/>
                <w:sz w:val="16"/>
                <w:szCs w:val="16"/>
                <w:color w:val="auto"/>
              </w:rPr>
              <w:t>75.5%</w:t>
            </w:r>
          </w:p>
        </w:tc>
        <w:tc>
          <w:tcPr>
            <w:tcW w:w="1380" w:type="dxa"/>
            <w:vAlign w:val="bottom"/>
            <w:shd w:val="clear" w:color="auto" w:fill="CFF0FC"/>
          </w:tcPr>
          <w:p>
            <w:pPr>
              <w:jc w:val="center"/>
              <w:spacing w:after="0" w:line="183" w:lineRule="exact"/>
              <w:rPr>
                <w:sz w:val="20"/>
                <w:szCs w:val="20"/>
                <w:color w:val="auto"/>
              </w:rPr>
            </w:pPr>
            <w:r>
              <w:rPr>
                <w:rFonts w:ascii="Arial" w:cs="Arial" w:eastAsia="Arial" w:hAnsi="Arial"/>
                <w:sz w:val="16"/>
                <w:szCs w:val="16"/>
                <w:color w:val="auto"/>
              </w:rPr>
              <w:t>82.7%</w:t>
            </w:r>
          </w:p>
        </w:tc>
        <w:tc>
          <w:tcPr>
            <w:tcW w:w="1320" w:type="dxa"/>
            <w:vAlign w:val="bottom"/>
            <w:shd w:val="clear" w:color="auto" w:fill="CFF0FC"/>
          </w:tcPr>
          <w:p>
            <w:pPr>
              <w:jc w:val="center"/>
              <w:spacing w:after="0" w:line="183" w:lineRule="exact"/>
              <w:rPr>
                <w:sz w:val="20"/>
                <w:szCs w:val="20"/>
                <w:color w:val="auto"/>
              </w:rPr>
            </w:pPr>
            <w:r>
              <w:rPr>
                <w:rFonts w:ascii="Arial" w:cs="Arial" w:eastAsia="Arial" w:hAnsi="Arial"/>
                <w:sz w:val="16"/>
                <w:szCs w:val="16"/>
                <w:color w:val="auto"/>
              </w:rPr>
              <w:t>85.6%</w:t>
            </w:r>
          </w:p>
        </w:tc>
        <w:tc>
          <w:tcPr>
            <w:tcW w:w="0" w:type="dxa"/>
            <w:vAlign w:val="bottom"/>
          </w:tcPr>
          <w:p>
            <w:pPr>
              <w:spacing w:after="0"/>
              <w:rPr>
                <w:sz w:val="1"/>
                <w:szCs w:val="1"/>
                <w:color w:val="auto"/>
              </w:rPr>
            </w:pPr>
          </w:p>
        </w:tc>
      </w:tr>
      <w:tr>
        <w:trPr>
          <w:trHeight w:val="189"/>
        </w:trPr>
        <w:tc>
          <w:tcPr>
            <w:tcW w:w="5180" w:type="dxa"/>
            <w:vAlign w:val="bottom"/>
          </w:tcPr>
          <w:p>
            <w:pPr>
              <w:spacing w:after="0"/>
              <w:rPr>
                <w:sz w:val="20"/>
                <w:szCs w:val="20"/>
                <w:color w:val="auto"/>
              </w:rPr>
            </w:pPr>
            <w:r>
              <w:rPr>
                <w:rFonts w:ascii="Arial" w:cs="Arial" w:eastAsia="Arial" w:hAnsi="Arial"/>
                <w:sz w:val="16"/>
                <w:szCs w:val="16"/>
                <w:color w:val="auto"/>
              </w:rPr>
              <w:t>Natural gas and diesel oil</w:t>
            </w:r>
          </w:p>
        </w:tc>
        <w:tc>
          <w:tcPr>
            <w:tcW w:w="1900" w:type="dxa"/>
            <w:vAlign w:val="bottom"/>
          </w:tcPr>
          <w:p>
            <w:pPr>
              <w:jc w:val="center"/>
              <w:ind w:left="379"/>
              <w:spacing w:after="0"/>
              <w:rPr>
                <w:sz w:val="20"/>
                <w:szCs w:val="20"/>
                <w:color w:val="auto"/>
              </w:rPr>
            </w:pPr>
            <w:r>
              <w:rPr>
                <w:rFonts w:ascii="Arial" w:cs="Arial" w:eastAsia="Arial" w:hAnsi="Arial"/>
                <w:sz w:val="16"/>
                <w:szCs w:val="16"/>
                <w:color w:val="auto"/>
                <w:w w:val="96"/>
              </w:rPr>
              <w:t>93.2%</w:t>
            </w:r>
          </w:p>
        </w:tc>
        <w:tc>
          <w:tcPr>
            <w:tcW w:w="1460" w:type="dxa"/>
            <w:vAlign w:val="bottom"/>
          </w:tcPr>
          <w:p>
            <w:pPr>
              <w:jc w:val="center"/>
              <w:spacing w:after="0"/>
              <w:rPr>
                <w:sz w:val="20"/>
                <w:szCs w:val="20"/>
                <w:color w:val="auto"/>
              </w:rPr>
            </w:pPr>
            <w:r>
              <w:rPr>
                <w:rFonts w:ascii="Arial" w:cs="Arial" w:eastAsia="Arial" w:hAnsi="Arial"/>
                <w:sz w:val="16"/>
                <w:szCs w:val="16"/>
                <w:color w:val="auto"/>
              </w:rPr>
              <w:t>91.6%</w:t>
            </w:r>
          </w:p>
        </w:tc>
        <w:tc>
          <w:tcPr>
            <w:tcW w:w="1380" w:type="dxa"/>
            <w:vAlign w:val="bottom"/>
          </w:tcPr>
          <w:p>
            <w:pPr>
              <w:jc w:val="center"/>
              <w:spacing w:after="0"/>
              <w:rPr>
                <w:sz w:val="20"/>
                <w:szCs w:val="20"/>
                <w:color w:val="auto"/>
              </w:rPr>
            </w:pPr>
            <w:r>
              <w:rPr>
                <w:rFonts w:ascii="Arial" w:cs="Arial" w:eastAsia="Arial" w:hAnsi="Arial"/>
                <w:sz w:val="16"/>
                <w:szCs w:val="16"/>
                <w:color w:val="auto"/>
              </w:rPr>
              <w:t>92.4%</w:t>
            </w:r>
          </w:p>
        </w:tc>
        <w:tc>
          <w:tcPr>
            <w:tcW w:w="1320" w:type="dxa"/>
            <w:vAlign w:val="bottom"/>
          </w:tcPr>
          <w:p>
            <w:pPr>
              <w:jc w:val="center"/>
              <w:spacing w:after="0"/>
              <w:rPr>
                <w:sz w:val="20"/>
                <w:szCs w:val="20"/>
                <w:color w:val="auto"/>
              </w:rPr>
            </w:pPr>
            <w:r>
              <w:rPr>
                <w:rFonts w:ascii="Arial" w:cs="Arial" w:eastAsia="Arial" w:hAnsi="Arial"/>
                <w:sz w:val="16"/>
                <w:szCs w:val="16"/>
                <w:color w:val="auto"/>
              </w:rPr>
              <w:t>94.1%</w:t>
            </w:r>
          </w:p>
        </w:tc>
        <w:tc>
          <w:tcPr>
            <w:tcW w:w="0" w:type="dxa"/>
            <w:vAlign w:val="bottom"/>
          </w:tcPr>
          <w:p>
            <w:pPr>
              <w:spacing w:after="0"/>
              <w:rPr>
                <w:sz w:val="1"/>
                <w:szCs w:val="1"/>
                <w:color w:val="auto"/>
              </w:rPr>
            </w:pPr>
          </w:p>
        </w:tc>
      </w:tr>
      <w:tr>
        <w:trPr>
          <w:trHeight w:val="189"/>
        </w:trPr>
        <w:tc>
          <w:tcPr>
            <w:tcW w:w="5180" w:type="dxa"/>
            <w:vAlign w:val="bottom"/>
            <w:shd w:val="clear" w:color="auto" w:fill="CFF0FC"/>
          </w:tcPr>
          <w:p>
            <w:pPr>
              <w:spacing w:after="0"/>
              <w:rPr>
                <w:sz w:val="20"/>
                <w:szCs w:val="20"/>
                <w:color w:val="auto"/>
              </w:rPr>
            </w:pPr>
            <w:r>
              <w:rPr>
                <w:rFonts w:ascii="Arial" w:cs="Arial" w:eastAsia="Arial" w:hAnsi="Arial"/>
                <w:sz w:val="16"/>
                <w:szCs w:val="16"/>
                <w:color w:val="auto"/>
              </w:rPr>
              <w:t>Wind</w:t>
            </w:r>
          </w:p>
        </w:tc>
        <w:tc>
          <w:tcPr>
            <w:tcW w:w="1900" w:type="dxa"/>
            <w:vAlign w:val="bottom"/>
            <w:shd w:val="clear" w:color="auto" w:fill="CFF0FC"/>
          </w:tcPr>
          <w:p>
            <w:pPr>
              <w:jc w:val="center"/>
              <w:ind w:left="379"/>
              <w:spacing w:after="0"/>
              <w:rPr>
                <w:sz w:val="20"/>
                <w:szCs w:val="20"/>
                <w:color w:val="auto"/>
              </w:rPr>
            </w:pPr>
            <w:r>
              <w:rPr>
                <w:rFonts w:ascii="Arial" w:cs="Arial" w:eastAsia="Arial" w:hAnsi="Arial"/>
                <w:sz w:val="16"/>
                <w:szCs w:val="16"/>
                <w:color w:val="auto"/>
                <w:w w:val="96"/>
              </w:rPr>
              <w:t>78.6%</w:t>
            </w:r>
          </w:p>
        </w:tc>
        <w:tc>
          <w:tcPr>
            <w:tcW w:w="146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92.1%</w:t>
            </w:r>
          </w:p>
        </w:tc>
        <w:tc>
          <w:tcPr>
            <w:tcW w:w="138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82.4%</w:t>
            </w:r>
          </w:p>
        </w:tc>
        <w:tc>
          <w:tcPr>
            <w:tcW w:w="13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91.2%</w:t>
            </w:r>
          </w:p>
        </w:tc>
        <w:tc>
          <w:tcPr>
            <w:tcW w:w="0" w:type="dxa"/>
            <w:vAlign w:val="bottom"/>
          </w:tcPr>
          <w:p>
            <w:pPr>
              <w:spacing w:after="0"/>
              <w:rPr>
                <w:sz w:val="1"/>
                <w:szCs w:val="1"/>
                <w:color w:val="auto"/>
              </w:rPr>
            </w:pPr>
          </w:p>
        </w:tc>
      </w:tr>
      <w:tr>
        <w:trPr>
          <w:trHeight w:val="189"/>
        </w:trPr>
        <w:tc>
          <w:tcPr>
            <w:tcW w:w="5180" w:type="dxa"/>
            <w:vAlign w:val="bottom"/>
          </w:tcPr>
          <w:p>
            <w:pPr>
              <w:spacing w:after="0" w:line="189" w:lineRule="exact"/>
              <w:rPr>
                <w:sz w:val="20"/>
                <w:szCs w:val="20"/>
                <w:color w:val="auto"/>
              </w:rPr>
            </w:pPr>
            <w:r>
              <w:rPr>
                <w:rFonts w:ascii="Arial" w:cs="Arial" w:eastAsia="Arial" w:hAnsi="Arial"/>
                <w:sz w:val="16"/>
                <w:szCs w:val="16"/>
                <w:color w:val="auto"/>
              </w:rPr>
              <w:t xml:space="preserve">Total Availability </w:t>
            </w:r>
            <w:r>
              <w:rPr>
                <w:rFonts w:ascii="Arial" w:cs="Arial" w:eastAsia="Arial" w:hAnsi="Arial"/>
                <w:sz w:val="21"/>
                <w:szCs w:val="21"/>
                <w:color w:val="auto"/>
                <w:vertAlign w:val="superscript"/>
              </w:rPr>
              <w:t>(b)</w:t>
            </w:r>
          </w:p>
        </w:tc>
        <w:tc>
          <w:tcPr>
            <w:tcW w:w="1900" w:type="dxa"/>
            <w:vAlign w:val="bottom"/>
          </w:tcPr>
          <w:p>
            <w:pPr>
              <w:jc w:val="center"/>
              <w:ind w:left="379"/>
              <w:spacing w:after="0"/>
              <w:rPr>
                <w:sz w:val="20"/>
                <w:szCs w:val="20"/>
                <w:color w:val="auto"/>
              </w:rPr>
            </w:pPr>
            <w:r>
              <w:rPr>
                <w:rFonts w:ascii="Arial" w:cs="Arial" w:eastAsia="Arial" w:hAnsi="Arial"/>
                <w:sz w:val="16"/>
                <w:szCs w:val="16"/>
                <w:color w:val="auto"/>
                <w:w w:val="96"/>
              </w:rPr>
              <w:t>87.2%</w:t>
            </w:r>
          </w:p>
        </w:tc>
        <w:tc>
          <w:tcPr>
            <w:tcW w:w="1460" w:type="dxa"/>
            <w:vAlign w:val="bottom"/>
          </w:tcPr>
          <w:p>
            <w:pPr>
              <w:jc w:val="center"/>
              <w:spacing w:after="0"/>
              <w:rPr>
                <w:sz w:val="20"/>
                <w:szCs w:val="20"/>
                <w:color w:val="auto"/>
              </w:rPr>
            </w:pPr>
            <w:r>
              <w:rPr>
                <w:rFonts w:ascii="Arial" w:cs="Arial" w:eastAsia="Arial" w:hAnsi="Arial"/>
                <w:sz w:val="16"/>
                <w:szCs w:val="16"/>
                <w:color w:val="auto"/>
              </w:rPr>
              <w:t>87.1%</w:t>
            </w:r>
          </w:p>
        </w:tc>
        <w:tc>
          <w:tcPr>
            <w:tcW w:w="1380" w:type="dxa"/>
            <w:vAlign w:val="bottom"/>
          </w:tcPr>
          <w:p>
            <w:pPr>
              <w:jc w:val="center"/>
              <w:spacing w:after="0"/>
              <w:rPr>
                <w:sz w:val="20"/>
                <w:szCs w:val="20"/>
                <w:color w:val="auto"/>
              </w:rPr>
            </w:pPr>
            <w:r>
              <w:rPr>
                <w:rFonts w:ascii="Arial" w:cs="Arial" w:eastAsia="Arial" w:hAnsi="Arial"/>
                <w:sz w:val="16"/>
                <w:szCs w:val="16"/>
                <w:color w:val="auto"/>
              </w:rPr>
              <w:t>88.1%</w:t>
            </w:r>
          </w:p>
        </w:tc>
        <w:tc>
          <w:tcPr>
            <w:tcW w:w="1320" w:type="dxa"/>
            <w:vAlign w:val="bottom"/>
          </w:tcPr>
          <w:p>
            <w:pPr>
              <w:jc w:val="center"/>
              <w:spacing w:after="0"/>
              <w:rPr>
                <w:sz w:val="20"/>
                <w:szCs w:val="20"/>
                <w:color w:val="auto"/>
              </w:rPr>
            </w:pPr>
            <w:r>
              <w:rPr>
                <w:rFonts w:ascii="Arial" w:cs="Arial" w:eastAsia="Arial" w:hAnsi="Arial"/>
                <w:sz w:val="16"/>
                <w:szCs w:val="16"/>
                <w:color w:val="auto"/>
              </w:rPr>
              <w:t>91.3%</w:t>
            </w:r>
          </w:p>
        </w:tc>
        <w:tc>
          <w:tcPr>
            <w:tcW w:w="0" w:type="dxa"/>
            <w:vAlign w:val="bottom"/>
          </w:tcPr>
          <w:p>
            <w:pPr>
              <w:spacing w:after="0"/>
              <w:rPr>
                <w:sz w:val="1"/>
                <w:szCs w:val="1"/>
                <w:color w:val="auto"/>
              </w:rPr>
            </w:pPr>
          </w:p>
        </w:tc>
      </w:tr>
      <w:tr>
        <w:trPr>
          <w:trHeight w:val="189"/>
        </w:trPr>
        <w:tc>
          <w:tcPr>
            <w:tcW w:w="5180" w:type="dxa"/>
            <w:vAlign w:val="bottom"/>
            <w:shd w:val="clear" w:color="auto" w:fill="CFF0FC"/>
          </w:tcPr>
          <w:p>
            <w:pPr>
              <w:spacing w:after="0"/>
              <w:rPr>
                <w:sz w:val="16"/>
                <w:szCs w:val="16"/>
                <w:color w:val="auto"/>
              </w:rPr>
            </w:pPr>
          </w:p>
        </w:tc>
        <w:tc>
          <w:tcPr>
            <w:tcW w:w="1900" w:type="dxa"/>
            <w:vAlign w:val="bottom"/>
            <w:shd w:val="clear" w:color="auto" w:fill="CFF0FC"/>
          </w:tcPr>
          <w:p>
            <w:pPr>
              <w:spacing w:after="0"/>
              <w:rPr>
                <w:sz w:val="16"/>
                <w:szCs w:val="16"/>
                <w:color w:val="auto"/>
              </w:rPr>
            </w:pPr>
          </w:p>
        </w:tc>
        <w:tc>
          <w:tcPr>
            <w:tcW w:w="146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5180" w:type="dxa"/>
            <w:vAlign w:val="bottom"/>
          </w:tcPr>
          <w:p>
            <w:pPr>
              <w:spacing w:after="0"/>
              <w:rPr>
                <w:sz w:val="20"/>
                <w:szCs w:val="20"/>
                <w:color w:val="auto"/>
              </w:rPr>
            </w:pPr>
            <w:r>
              <w:rPr>
                <w:rFonts w:ascii="Arial" w:cs="Arial" w:eastAsia="Arial" w:hAnsi="Arial"/>
                <w:sz w:val="16"/>
                <w:szCs w:val="16"/>
                <w:color w:val="auto"/>
              </w:rPr>
              <w:t xml:space="preserve">Wind Capacity Factor </w:t>
            </w:r>
            <w:r>
              <w:rPr>
                <w:rFonts w:ascii="Arial" w:cs="Arial" w:eastAsia="Arial" w:hAnsi="Arial"/>
                <w:sz w:val="21"/>
                <w:szCs w:val="21"/>
                <w:color w:val="auto"/>
                <w:vertAlign w:val="superscript"/>
              </w:rPr>
              <w:t>(a)</w:t>
            </w:r>
          </w:p>
        </w:tc>
        <w:tc>
          <w:tcPr>
            <w:tcW w:w="1900" w:type="dxa"/>
            <w:vAlign w:val="bottom"/>
          </w:tcPr>
          <w:p>
            <w:pPr>
              <w:jc w:val="center"/>
              <w:ind w:left="379"/>
              <w:spacing w:after="0"/>
              <w:rPr>
                <w:sz w:val="20"/>
                <w:szCs w:val="20"/>
                <w:color w:val="auto"/>
              </w:rPr>
            </w:pPr>
            <w:r>
              <w:rPr>
                <w:rFonts w:ascii="Arial" w:cs="Arial" w:eastAsia="Arial" w:hAnsi="Arial"/>
                <w:sz w:val="16"/>
                <w:szCs w:val="16"/>
                <w:color w:val="auto"/>
                <w:w w:val="96"/>
              </w:rPr>
              <w:t>31.1%</w:t>
            </w:r>
          </w:p>
        </w:tc>
        <w:tc>
          <w:tcPr>
            <w:tcW w:w="1460" w:type="dxa"/>
            <w:vAlign w:val="bottom"/>
          </w:tcPr>
          <w:p>
            <w:pPr>
              <w:jc w:val="center"/>
              <w:spacing w:after="0"/>
              <w:rPr>
                <w:sz w:val="20"/>
                <w:szCs w:val="20"/>
                <w:color w:val="auto"/>
              </w:rPr>
            </w:pPr>
            <w:r>
              <w:rPr>
                <w:rFonts w:ascii="Arial" w:cs="Arial" w:eastAsia="Arial" w:hAnsi="Arial"/>
                <w:sz w:val="16"/>
                <w:szCs w:val="16"/>
                <w:color w:val="auto"/>
              </w:rPr>
              <w:t>36.9%</w:t>
            </w:r>
          </w:p>
        </w:tc>
        <w:tc>
          <w:tcPr>
            <w:tcW w:w="1380" w:type="dxa"/>
            <w:vAlign w:val="bottom"/>
          </w:tcPr>
          <w:p>
            <w:pPr>
              <w:jc w:val="center"/>
              <w:spacing w:after="0"/>
              <w:rPr>
                <w:sz w:val="20"/>
                <w:szCs w:val="20"/>
                <w:color w:val="auto"/>
              </w:rPr>
            </w:pPr>
            <w:r>
              <w:rPr>
                <w:rFonts w:ascii="Arial" w:cs="Arial" w:eastAsia="Arial" w:hAnsi="Arial"/>
                <w:sz w:val="16"/>
                <w:szCs w:val="16"/>
                <w:color w:val="auto"/>
              </w:rPr>
              <w:t>35.5%</w:t>
            </w:r>
          </w:p>
        </w:tc>
        <w:tc>
          <w:tcPr>
            <w:tcW w:w="1320" w:type="dxa"/>
            <w:vAlign w:val="bottom"/>
          </w:tcPr>
          <w:p>
            <w:pPr>
              <w:jc w:val="center"/>
              <w:spacing w:after="0"/>
              <w:rPr>
                <w:sz w:val="20"/>
                <w:szCs w:val="20"/>
                <w:color w:val="auto"/>
              </w:rPr>
            </w:pPr>
            <w:r>
              <w:rPr>
                <w:rFonts w:ascii="Arial" w:cs="Arial" w:eastAsia="Arial" w:hAnsi="Arial"/>
                <w:sz w:val="16"/>
                <w:szCs w:val="16"/>
                <w:color w:val="auto"/>
              </w:rPr>
              <w:t>38.4%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104584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32" w:lineRule="exact"/>
        <w:rPr>
          <w:sz w:val="20"/>
          <w:szCs w:val="20"/>
          <w:color w:val="auto"/>
        </w:rPr>
      </w:pPr>
    </w:p>
    <w:p>
      <w:pPr>
        <w:ind w:left="520" w:hanging="512"/>
        <w:spacing w:after="0"/>
        <w:tabs>
          <w:tab w:leader="none" w:pos="5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Availability and Wind Capacity Factor are calculated using a weighted average based on capacity of our generating fleet.</w:t>
      </w:r>
    </w:p>
    <w:p>
      <w:pPr>
        <w:spacing w:after="0" w:line="15" w:lineRule="exact"/>
        <w:rPr>
          <w:rFonts w:ascii="Arial" w:cs="Arial" w:eastAsia="Arial" w:hAnsi="Arial"/>
          <w:sz w:val="14"/>
          <w:szCs w:val="14"/>
          <w:color w:val="auto"/>
        </w:rPr>
      </w:pPr>
    </w:p>
    <w:p>
      <w:pPr>
        <w:ind w:left="520" w:right="300" w:hanging="512"/>
        <w:spacing w:after="0" w:line="264" w:lineRule="auto"/>
        <w:tabs>
          <w:tab w:leader="none" w:pos="5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2025 included unplanned outages at Wygen III, Pueblo Airport Generation #4-5 and Busch Ranch I and II. 2024 included unplanned outages at Wygen I and Pueblo Airport Generation #4-5.</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820" w:type="dxa"/>
            <w:vAlign w:val="bottom"/>
          </w:tcPr>
          <w:p>
            <w:pPr>
              <w:spacing w:after="0"/>
              <w:rPr>
                <w:sz w:val="20"/>
                <w:szCs w:val="20"/>
                <w:color w:val="auto"/>
              </w:rPr>
            </w:pPr>
            <w:r>
              <w:rPr>
                <w:rFonts w:ascii="Arial" w:cs="Arial" w:eastAsia="Arial" w:hAnsi="Arial"/>
                <w:sz w:val="16"/>
                <w:szCs w:val="16"/>
                <w:b w:val="1"/>
                <w:bCs w:val="1"/>
                <w:color w:val="auto"/>
              </w:rPr>
              <w:t>Gas Utilities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370"/>
        </w:trPr>
        <w:tc>
          <w:tcPr>
            <w:tcW w:w="4080" w:type="dxa"/>
            <w:vAlign w:val="bottom"/>
            <w:gridSpan w:val="2"/>
          </w:tcPr>
          <w:p>
            <w:pPr>
              <w:spacing w:after="0"/>
              <w:rPr>
                <w:sz w:val="20"/>
                <w:szCs w:val="20"/>
                <w:color w:val="auto"/>
              </w:rPr>
            </w:pPr>
            <w:r>
              <w:rPr>
                <w:rFonts w:ascii="Arial" w:cs="Arial" w:eastAsia="Arial" w:hAnsi="Arial"/>
                <w:sz w:val="16"/>
                <w:szCs w:val="16"/>
                <w:color w:val="auto"/>
              </w:rPr>
              <w:t>Operating results for the Gas Utilities were as follows:</w:t>
            </w: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67"/>
        </w:trPr>
        <w:tc>
          <w:tcPr>
            <w:tcW w:w="38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5"/>
          </w:tcPr>
          <w:p>
            <w:pPr>
              <w:jc w:val="right"/>
              <w:ind w:right="719"/>
              <w:spacing w:after="0"/>
              <w:rPr>
                <w:sz w:val="20"/>
                <w:szCs w:val="20"/>
                <w:color w:val="auto"/>
              </w:rPr>
            </w:pPr>
            <w:r>
              <w:rPr>
                <w:rFonts w:ascii="Arial" w:cs="Arial" w:eastAsia="Arial" w:hAnsi="Arial"/>
                <w:sz w:val="16"/>
                <w:szCs w:val="16"/>
                <w:b w:val="1"/>
                <w:bCs w:val="1"/>
                <w:color w:val="auto"/>
              </w:rPr>
              <w:t>Three Months Ended June 30,</w:t>
            </w:r>
          </w:p>
        </w:tc>
        <w:tc>
          <w:tcPr>
            <w:tcW w:w="32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5"/>
          </w:tcPr>
          <w:p>
            <w:pPr>
              <w:jc w:val="right"/>
              <w:ind w:right="719"/>
              <w:spacing w:after="0"/>
              <w:rPr>
                <w:sz w:val="20"/>
                <w:szCs w:val="20"/>
                <w:color w:val="auto"/>
              </w:rPr>
            </w:pPr>
            <w:r>
              <w:rPr>
                <w:rFonts w:ascii="Arial" w:cs="Arial" w:eastAsia="Arial" w:hAnsi="Arial"/>
                <w:sz w:val="16"/>
                <w:szCs w:val="16"/>
                <w:b w:val="1"/>
                <w:bCs w:val="1"/>
                <w:color w:val="auto"/>
              </w:rPr>
              <w:t>Six Months Ended June 30,</w:t>
            </w:r>
          </w:p>
        </w:tc>
      </w:tr>
      <w:tr>
        <w:trPr>
          <w:trHeight w:val="168"/>
        </w:trPr>
        <w:tc>
          <w:tcPr>
            <w:tcW w:w="3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40" w:type="dxa"/>
            <w:vAlign w:val="bottom"/>
            <w:gridSpan w:val="2"/>
          </w:tcPr>
          <w:p>
            <w:pPr>
              <w:jc w:val="right"/>
              <w:ind w:right="119"/>
              <w:spacing w:after="0" w:line="168" w:lineRule="exact"/>
              <w:rPr>
                <w:sz w:val="20"/>
                <w:szCs w:val="20"/>
                <w:color w:val="auto"/>
              </w:rPr>
            </w:pPr>
            <w:r>
              <w:rPr>
                <w:rFonts w:ascii="Arial" w:cs="Arial" w:eastAsia="Arial" w:hAnsi="Arial"/>
                <w:sz w:val="16"/>
                <w:szCs w:val="16"/>
                <w:b w:val="1"/>
                <w:bCs w:val="1"/>
                <w:color w:val="auto"/>
              </w:rPr>
              <w:t>2025 vs 2024</w:t>
            </w: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gridSpan w:val="2"/>
          </w:tcPr>
          <w:p>
            <w:pPr>
              <w:ind w:left="60"/>
              <w:spacing w:after="0" w:line="168" w:lineRule="exact"/>
              <w:rPr>
                <w:sz w:val="20"/>
                <w:szCs w:val="20"/>
                <w:color w:val="auto"/>
              </w:rPr>
            </w:pPr>
            <w:r>
              <w:rPr>
                <w:rFonts w:ascii="Arial" w:cs="Arial" w:eastAsia="Arial" w:hAnsi="Arial"/>
                <w:sz w:val="16"/>
                <w:szCs w:val="16"/>
                <w:b w:val="1"/>
                <w:bCs w:val="1"/>
                <w:color w:val="auto"/>
              </w:rPr>
              <w:t>2025 vs 2024</w:t>
            </w:r>
          </w:p>
        </w:tc>
      </w:tr>
      <w:tr>
        <w:trPr>
          <w:trHeight w:val="203"/>
        </w:trPr>
        <w:tc>
          <w:tcPr>
            <w:tcW w:w="38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2025</w:t>
            </w: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2024</w:t>
            </w: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Variance</w:t>
            </w: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2025</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2024</w:t>
            </w: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Variance</w:t>
            </w:r>
          </w:p>
        </w:tc>
      </w:tr>
      <w:tr>
        <w:trPr>
          <w:trHeight w:val="183"/>
        </w:trPr>
        <w:tc>
          <w:tcPr>
            <w:tcW w:w="38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2"/>
          </w:tcPr>
          <w:p>
            <w:pPr>
              <w:jc w:val="right"/>
              <w:spacing w:after="0" w:line="183" w:lineRule="exact"/>
              <w:rPr>
                <w:sz w:val="20"/>
                <w:szCs w:val="20"/>
                <w:color w:val="auto"/>
              </w:rPr>
            </w:pPr>
            <w:r>
              <w:rPr>
                <w:rFonts w:ascii="Arial" w:cs="Arial" w:eastAsia="Arial" w:hAnsi="Arial"/>
                <w:sz w:val="16"/>
                <w:szCs w:val="16"/>
                <w:color w:val="auto"/>
              </w:rPr>
              <w:t>(in millions)</w:t>
            </w:r>
          </w:p>
        </w:tc>
        <w:tc>
          <w:tcPr>
            <w:tcW w:w="8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r>
      <w:tr>
        <w:trPr>
          <w:trHeight w:val="183"/>
        </w:trPr>
        <w:tc>
          <w:tcPr>
            <w:tcW w:w="382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Revenue</w:t>
            </w:r>
          </w:p>
        </w:tc>
        <w:tc>
          <w:tcPr>
            <w:tcW w:w="260" w:type="dxa"/>
            <w:vAlign w:val="bottom"/>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w w:val="89"/>
              </w:rPr>
              <w:t>$</w:t>
            </w:r>
          </w:p>
        </w:tc>
        <w:tc>
          <w:tcPr>
            <w:tcW w:w="9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223.0</w:t>
            </w:r>
          </w:p>
        </w:tc>
        <w:tc>
          <w:tcPr>
            <w:tcW w:w="30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202.0</w:t>
            </w:r>
          </w:p>
        </w:tc>
        <w:tc>
          <w:tcPr>
            <w:tcW w:w="2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21.0</w:t>
            </w:r>
          </w:p>
        </w:tc>
        <w:tc>
          <w:tcPr>
            <w:tcW w:w="320" w:type="dxa"/>
            <w:vAlign w:val="bottom"/>
            <w:shd w:val="clear" w:color="auto" w:fill="CFF0FC"/>
          </w:tcPr>
          <w:p>
            <w:pPr>
              <w:jc w:val="right"/>
              <w:ind w:right="119"/>
              <w:spacing w:after="0" w:line="183" w:lineRule="exact"/>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795.4</w:t>
            </w:r>
          </w:p>
        </w:tc>
        <w:tc>
          <w:tcPr>
            <w:tcW w:w="28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710.6</w:t>
            </w:r>
          </w:p>
        </w:tc>
        <w:tc>
          <w:tcPr>
            <w:tcW w:w="200" w:type="dxa"/>
            <w:vAlign w:val="bottom"/>
            <w:shd w:val="clear" w:color="auto" w:fill="CFF0FC"/>
          </w:tcPr>
          <w:p>
            <w:pPr>
              <w:ind w:left="60"/>
              <w:spacing w:after="0" w:line="183" w:lineRule="exact"/>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84.8</w:t>
            </w:r>
          </w:p>
        </w:tc>
      </w:tr>
      <w:tr>
        <w:trPr>
          <w:trHeight w:val="189"/>
        </w:trPr>
        <w:tc>
          <w:tcPr>
            <w:tcW w:w="3820" w:type="dxa"/>
            <w:vAlign w:val="bottom"/>
          </w:tcPr>
          <w:p>
            <w:pPr>
              <w:spacing w:after="0"/>
              <w:rPr>
                <w:sz w:val="20"/>
                <w:szCs w:val="20"/>
                <w:color w:val="auto"/>
              </w:rPr>
            </w:pPr>
            <w:r>
              <w:rPr>
                <w:rFonts w:ascii="Arial" w:cs="Arial" w:eastAsia="Arial" w:hAnsi="Arial"/>
                <w:sz w:val="16"/>
                <w:szCs w:val="16"/>
                <w:color w:val="auto"/>
              </w:rPr>
              <w:t>Cost of natural gas sold</w:t>
            </w: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68.9</w:t>
            </w: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61.3</w:t>
            </w: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7.6</w:t>
            </w: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361.4</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323.2</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38.2</w:t>
            </w:r>
          </w:p>
        </w:tc>
      </w:tr>
      <w:tr>
        <w:trPr>
          <w:trHeight w:val="183"/>
        </w:trPr>
        <w:tc>
          <w:tcPr>
            <w:tcW w:w="382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6"/>
                <w:szCs w:val="16"/>
                <w:color w:val="auto"/>
              </w:rPr>
              <w:t xml:space="preserve">Gas Utility margin (non-GAAP) </w:t>
            </w:r>
            <w:r>
              <w:rPr>
                <w:rFonts w:ascii="Arial" w:cs="Arial" w:eastAsia="Arial" w:hAnsi="Arial"/>
                <w:sz w:val="21"/>
                <w:szCs w:val="21"/>
                <w:color w:val="auto"/>
                <w:vertAlign w:val="superscript"/>
              </w:rPr>
              <w:t>(a)</w:t>
            </w:r>
          </w:p>
        </w:tc>
        <w:tc>
          <w:tcPr>
            <w:tcW w:w="26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154.1</w:t>
            </w:r>
          </w:p>
        </w:tc>
        <w:tc>
          <w:tcPr>
            <w:tcW w:w="300" w:type="dxa"/>
            <w:vAlign w:val="bottom"/>
            <w:tcBorders>
              <w:bottom w:val="single" w:sz="8" w:color="auto"/>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140.7</w:t>
            </w:r>
          </w:p>
        </w:tc>
        <w:tc>
          <w:tcPr>
            <w:tcW w:w="240" w:type="dxa"/>
            <w:vAlign w:val="bottom"/>
            <w:tcBorders>
              <w:bottom w:val="single" w:sz="8" w:color="auto"/>
            </w:tcBorders>
            <w:shd w:val="clear" w:color="auto" w:fill="CFF0FC"/>
          </w:tcPr>
          <w:p>
            <w:pPr>
              <w:spacing w:after="0"/>
              <w:rPr>
                <w:sz w:val="15"/>
                <w:szCs w:val="15"/>
                <w:color w:val="auto"/>
              </w:rPr>
            </w:pPr>
          </w:p>
        </w:tc>
        <w:tc>
          <w:tcPr>
            <w:tcW w:w="1100" w:type="dxa"/>
            <w:vAlign w:val="bottom"/>
            <w:tcBorders>
              <w:bottom w:val="single" w:sz="8" w:color="auto"/>
            </w:tcBorders>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13.4</w:t>
            </w:r>
          </w:p>
        </w:tc>
        <w:tc>
          <w:tcPr>
            <w:tcW w:w="320" w:type="dxa"/>
            <w:vAlign w:val="bottom"/>
            <w:tcBorders>
              <w:bottom w:val="single" w:sz="8" w:color="auto"/>
            </w:tcBorders>
            <w:shd w:val="clear" w:color="auto" w:fill="CFF0FC"/>
          </w:tcPr>
          <w:p>
            <w:pPr>
              <w:spacing w:after="0"/>
              <w:rPr>
                <w:sz w:val="15"/>
                <w:szCs w:val="15"/>
                <w:color w:val="auto"/>
              </w:rPr>
            </w:pPr>
          </w:p>
        </w:tc>
        <w:tc>
          <w:tcPr>
            <w:tcW w:w="8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434.0</w:t>
            </w:r>
          </w:p>
        </w:tc>
        <w:tc>
          <w:tcPr>
            <w:tcW w:w="280" w:type="dxa"/>
            <w:vAlign w:val="bottom"/>
            <w:tcBorders>
              <w:bottom w:val="single" w:sz="8" w:color="auto"/>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387.4</w:t>
            </w:r>
          </w:p>
        </w:tc>
        <w:tc>
          <w:tcPr>
            <w:tcW w:w="20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46.6</w:t>
            </w:r>
          </w:p>
        </w:tc>
      </w:tr>
      <w:tr>
        <w:trPr>
          <w:trHeight w:val="183"/>
        </w:trPr>
        <w:tc>
          <w:tcPr>
            <w:tcW w:w="3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9"/>
        </w:trPr>
        <w:tc>
          <w:tcPr>
            <w:tcW w:w="3820" w:type="dxa"/>
            <w:vAlign w:val="bottom"/>
            <w:shd w:val="clear" w:color="auto" w:fill="CFF0FC"/>
          </w:tcPr>
          <w:p>
            <w:pPr>
              <w:spacing w:after="0"/>
              <w:rPr>
                <w:sz w:val="20"/>
                <w:szCs w:val="20"/>
                <w:color w:val="auto"/>
              </w:rPr>
            </w:pPr>
            <w:r>
              <w:rPr>
                <w:rFonts w:ascii="Arial" w:cs="Arial" w:eastAsia="Arial" w:hAnsi="Arial"/>
                <w:sz w:val="16"/>
                <w:szCs w:val="16"/>
                <w:color w:val="auto"/>
              </w:rPr>
              <w:t>Operations and maintenance</w:t>
            </w:r>
          </w:p>
        </w:tc>
        <w:tc>
          <w:tcPr>
            <w:tcW w:w="26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80.1</w:t>
            </w:r>
          </w:p>
        </w:tc>
        <w:tc>
          <w:tcPr>
            <w:tcW w:w="30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79.3</w:t>
            </w:r>
          </w:p>
        </w:tc>
        <w:tc>
          <w:tcPr>
            <w:tcW w:w="24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0.8</w:t>
            </w:r>
          </w:p>
        </w:tc>
        <w:tc>
          <w:tcPr>
            <w:tcW w:w="32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168.1</w:t>
            </w:r>
          </w:p>
        </w:tc>
        <w:tc>
          <w:tcPr>
            <w:tcW w:w="28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157.9</w:t>
            </w:r>
          </w:p>
        </w:tc>
        <w:tc>
          <w:tcPr>
            <w:tcW w:w="20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10.2</w:t>
            </w:r>
          </w:p>
        </w:tc>
      </w:tr>
      <w:tr>
        <w:trPr>
          <w:trHeight w:val="189"/>
        </w:trPr>
        <w:tc>
          <w:tcPr>
            <w:tcW w:w="382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32.3</w:t>
            </w: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31.1</w:t>
            </w:r>
          </w:p>
        </w:tc>
        <w:tc>
          <w:tcPr>
            <w:tcW w:w="240" w:type="dxa"/>
            <w:vAlign w:val="bottom"/>
          </w:tcPr>
          <w:p>
            <w:pPr>
              <w:spacing w:after="0"/>
              <w:rPr>
                <w:sz w:val="16"/>
                <w:szCs w:val="16"/>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1.2</w:t>
            </w:r>
          </w:p>
        </w:tc>
        <w:tc>
          <w:tcPr>
            <w:tcW w:w="3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64.4</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61.5</w:t>
            </w:r>
          </w:p>
        </w:tc>
        <w:tc>
          <w:tcPr>
            <w:tcW w:w="200" w:type="dxa"/>
            <w:vAlign w:val="bottom"/>
          </w:tcPr>
          <w:p>
            <w:pPr>
              <w:spacing w:after="0"/>
              <w:rPr>
                <w:sz w:val="16"/>
                <w:szCs w:val="16"/>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2.9</w:t>
            </w:r>
          </w:p>
        </w:tc>
      </w:tr>
      <w:tr>
        <w:trPr>
          <w:trHeight w:val="189"/>
        </w:trPr>
        <w:tc>
          <w:tcPr>
            <w:tcW w:w="3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Taxes other than income taxes</w:t>
            </w:r>
          </w:p>
        </w:tc>
        <w:tc>
          <w:tcPr>
            <w:tcW w:w="26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6.2</w:t>
            </w:r>
          </w:p>
        </w:tc>
        <w:tc>
          <w:tcPr>
            <w:tcW w:w="30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7.3</w:t>
            </w:r>
          </w:p>
        </w:tc>
        <w:tc>
          <w:tcPr>
            <w:tcW w:w="240" w:type="dxa"/>
            <w:vAlign w:val="bottom"/>
            <w:tcBorders>
              <w:bottom w:val="single" w:sz="8" w:color="auto"/>
            </w:tcBorders>
            <w:shd w:val="clear" w:color="auto" w:fill="CFF0FC"/>
          </w:tcPr>
          <w:p>
            <w:pPr>
              <w:spacing w:after="0"/>
              <w:rPr>
                <w:sz w:val="16"/>
                <w:szCs w:val="16"/>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320" w:type="dxa"/>
            <w:vAlign w:val="bottom"/>
            <w:tcBorders>
              <w:bottom w:val="single" w:sz="8" w:color="auto"/>
            </w:tcBorders>
            <w:shd w:val="clear" w:color="auto" w:fill="CFF0FC"/>
          </w:tcPr>
          <w:p>
            <w:pPr>
              <w:spacing w:after="0"/>
              <w:rPr>
                <w:sz w:val="16"/>
                <w:szCs w:val="16"/>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14.5</w:t>
            </w:r>
          </w:p>
        </w:tc>
        <w:tc>
          <w:tcPr>
            <w:tcW w:w="28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14.3</w:t>
            </w:r>
          </w:p>
        </w:tc>
        <w:tc>
          <w:tcPr>
            <w:tcW w:w="20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0.2</w:t>
            </w:r>
          </w:p>
        </w:tc>
      </w:tr>
      <w:tr>
        <w:trPr>
          <w:trHeight w:val="183"/>
        </w:trPr>
        <w:tc>
          <w:tcPr>
            <w:tcW w:w="38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118.6</w:t>
            </w: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117.7</w:t>
            </w: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0.9</w:t>
            </w:r>
          </w:p>
        </w:tc>
        <w:tc>
          <w:tcPr>
            <w:tcW w:w="3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247.0</w:t>
            </w: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233.7</w:t>
            </w: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13.3</w:t>
            </w:r>
          </w:p>
        </w:tc>
      </w:tr>
      <w:tr>
        <w:trPr>
          <w:trHeight w:val="183"/>
        </w:trPr>
        <w:tc>
          <w:tcPr>
            <w:tcW w:w="382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1100" w:type="dxa"/>
            <w:vAlign w:val="bottom"/>
            <w:tcBorders>
              <w:bottom w:val="single" w:sz="8" w:color="auto"/>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860" w:type="dxa"/>
            <w:vAlign w:val="bottom"/>
            <w:tcBorders>
              <w:bottom w:val="single" w:sz="8" w:color="auto"/>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spacing w:after="0"/>
              <w:rPr>
                <w:sz w:val="15"/>
                <w:szCs w:val="15"/>
                <w:color w:val="auto"/>
              </w:rPr>
            </w:pPr>
          </w:p>
        </w:tc>
      </w:tr>
      <w:tr>
        <w:trPr>
          <w:trHeight w:val="183"/>
        </w:trPr>
        <w:tc>
          <w:tcPr>
            <w:tcW w:w="3820" w:type="dxa"/>
            <w:vAlign w:val="bottom"/>
          </w:tcPr>
          <w:p>
            <w:pPr>
              <w:spacing w:after="0" w:line="169" w:lineRule="exact"/>
              <w:rPr>
                <w:sz w:val="20"/>
                <w:szCs w:val="20"/>
                <w:color w:val="auto"/>
              </w:rPr>
            </w:pPr>
            <w:r>
              <w:rPr>
                <w:rFonts w:ascii="Arial" w:cs="Arial" w:eastAsia="Arial" w:hAnsi="Arial"/>
                <w:sz w:val="16"/>
                <w:szCs w:val="16"/>
                <w:color w:val="auto"/>
              </w:rPr>
              <w:t>Operating income</w:t>
            </w:r>
          </w:p>
        </w:tc>
        <w:tc>
          <w:tcPr>
            <w:tcW w:w="260" w:type="dxa"/>
            <w:vAlign w:val="bottom"/>
            <w:tcBorders>
              <w:bottom w:val="single" w:sz="8" w:color="auto"/>
            </w:tcBorders>
          </w:tcPr>
          <w:p>
            <w:pPr>
              <w:jc w:val="right"/>
              <w:ind w:right="79"/>
              <w:spacing w:after="0" w:line="169" w:lineRule="exact"/>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35.5</w:t>
            </w:r>
          </w:p>
        </w:tc>
        <w:tc>
          <w:tcPr>
            <w:tcW w:w="300" w:type="dxa"/>
            <w:vAlign w:val="bottom"/>
            <w:tcBorders>
              <w:bottom w:val="single" w:sz="8" w:color="auto"/>
            </w:tcBorders>
          </w:tcPr>
          <w:p>
            <w:pPr>
              <w:jc w:val="right"/>
              <w:ind w:right="59"/>
              <w:spacing w:after="0" w:line="169" w:lineRule="exact"/>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23.0</w:t>
            </w:r>
          </w:p>
        </w:tc>
        <w:tc>
          <w:tcPr>
            <w:tcW w:w="2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9"/>
              <w:spacing w:after="0" w:line="169" w:lineRule="exact"/>
              <w:rPr>
                <w:sz w:val="20"/>
                <w:szCs w:val="20"/>
                <w:color w:val="auto"/>
              </w:rPr>
            </w:pPr>
            <w:r>
              <w:rPr>
                <w:rFonts w:ascii="Arial" w:cs="Arial" w:eastAsia="Arial" w:hAnsi="Arial"/>
                <w:sz w:val="16"/>
                <w:szCs w:val="16"/>
                <w:color w:val="auto"/>
              </w:rPr>
              <w:t>12.5</w:t>
            </w:r>
          </w:p>
        </w:tc>
        <w:tc>
          <w:tcPr>
            <w:tcW w:w="320" w:type="dxa"/>
            <w:vAlign w:val="bottom"/>
            <w:tcBorders>
              <w:bottom w:val="single" w:sz="8" w:color="auto"/>
            </w:tcBorders>
          </w:tcPr>
          <w:p>
            <w:pPr>
              <w:jc w:val="right"/>
              <w:ind w:right="119"/>
              <w:spacing w:after="0" w:line="169" w:lineRule="exact"/>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187.0</w:t>
            </w:r>
          </w:p>
        </w:tc>
        <w:tc>
          <w:tcPr>
            <w:tcW w:w="280" w:type="dxa"/>
            <w:vAlign w:val="bottom"/>
            <w:tcBorders>
              <w:bottom w:val="single" w:sz="8" w:color="auto"/>
            </w:tcBorders>
          </w:tcPr>
          <w:p>
            <w:pPr>
              <w:jc w:val="right"/>
              <w:ind w:right="59"/>
              <w:spacing w:after="0" w:line="169"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153.7</w:t>
            </w:r>
          </w:p>
        </w:tc>
        <w:tc>
          <w:tcPr>
            <w:tcW w:w="200" w:type="dxa"/>
            <w:vAlign w:val="bottom"/>
            <w:tcBorders>
              <w:bottom w:val="single" w:sz="8" w:color="auto"/>
            </w:tcBorders>
          </w:tcPr>
          <w:p>
            <w:pPr>
              <w:ind w:left="60"/>
              <w:spacing w:after="0" w:line="169" w:lineRule="exact"/>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39"/>
              <w:spacing w:after="0" w:line="169" w:lineRule="exact"/>
              <w:rPr>
                <w:sz w:val="20"/>
                <w:szCs w:val="20"/>
                <w:color w:val="auto"/>
              </w:rPr>
            </w:pPr>
            <w:r>
              <w:rPr>
                <w:rFonts w:ascii="Arial" w:cs="Arial" w:eastAsia="Arial" w:hAnsi="Arial"/>
                <w:sz w:val="16"/>
                <w:szCs w:val="16"/>
                <w:color w:val="auto"/>
              </w:rPr>
              <w:t>33.3</w:t>
            </w:r>
          </w:p>
        </w:tc>
      </w:tr>
      <w:tr>
        <w:trPr>
          <w:trHeight w:val="20"/>
        </w:trPr>
        <w:tc>
          <w:tcPr>
            <w:tcW w:w="3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04584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119" w:lineRule="exact"/>
        <w:rPr>
          <w:sz w:val="20"/>
          <w:szCs w:val="20"/>
          <w:color w:val="auto"/>
        </w:rPr>
      </w:pPr>
    </w:p>
    <w:p>
      <w:pPr>
        <w:ind w:left="520" w:hanging="512"/>
        <w:spacing w:after="0"/>
        <w:tabs>
          <w:tab w:leader="none" w:pos="5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See Non-GAAP Financial Measures section above for reconciliation to Gross margin, the most directly comparable GAAP measure.</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Three Months Ended June 30, 2025, Compared to the Three Months Ended June 30, 2024:</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Gas Utility margin</w:t>
      </w:r>
      <w:r>
        <w:rPr>
          <w:rFonts w:ascii="Arial" w:cs="Arial" w:eastAsia="Arial" w:hAnsi="Arial"/>
          <w:sz w:val="16"/>
          <w:szCs w:val="16"/>
          <w:color w:val="auto"/>
        </w:rPr>
        <w:t xml:space="preserve"> increased as a result of the following:</w:t>
      </w:r>
    </w:p>
    <w:p>
      <w:pPr>
        <w:sectPr>
          <w:pgSz w:w="11900" w:h="16838" w:orient="portrait"/>
          <w:cols w:equalWidth="0" w:num="1">
            <w:col w:w="11240"/>
          </w:cols>
          <w:pgMar w:left="320" w:top="125" w:right="339" w:bottom="1440" w:gutter="0" w:footer="0" w:header="0"/>
        </w:sectPr>
      </w:pPr>
    </w:p>
    <w:p>
      <w:pPr>
        <w:spacing w:after="0" w:line="397" w:lineRule="exact"/>
        <w:rPr>
          <w:sz w:val="20"/>
          <w:szCs w:val="20"/>
          <w:color w:val="auto"/>
        </w:rPr>
      </w:pPr>
    </w:p>
    <w:p>
      <w:pPr>
        <w:spacing w:after="0"/>
        <w:rPr>
          <w:sz w:val="20"/>
          <w:szCs w:val="20"/>
          <w:color w:val="auto"/>
        </w:rPr>
      </w:pPr>
      <w:r>
        <w:rPr>
          <w:rFonts w:ascii="Arial" w:cs="Arial" w:eastAsia="Arial" w:hAnsi="Arial"/>
          <w:sz w:val="16"/>
          <w:szCs w:val="16"/>
          <w:color w:val="auto"/>
        </w:rPr>
        <w:t>New rates and rider recovery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1200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Weather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200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Mark-to-market on non-utility natural gas commodity contracts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460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9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Operations and maintenance expense</w:t>
      </w:r>
      <w:r>
        <w:rPr>
          <w:rFonts w:ascii="Arial" w:cs="Arial" w:eastAsia="Arial" w:hAnsi="Arial"/>
          <w:sz w:val="16"/>
          <w:szCs w:val="16"/>
          <w:color w:val="auto"/>
        </w:rPr>
        <w:t xml:space="preserve"> was comparable to the same period in the prior year.</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Depreciation and amortization</w:t>
      </w:r>
      <w:r>
        <w:rPr>
          <w:rFonts w:ascii="Arial" w:cs="Arial" w:eastAsia="Arial" w:hAnsi="Arial"/>
          <w:sz w:val="16"/>
          <w:szCs w:val="16"/>
          <w:color w:val="auto"/>
        </w:rPr>
        <w:t xml:space="preserve"> was comparable to the same period in the prior year.</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Taxes other than income taxes</w:t>
      </w:r>
      <w:r>
        <w:rPr>
          <w:rFonts w:ascii="Arial" w:cs="Arial" w:eastAsia="Arial" w:hAnsi="Arial"/>
          <w:sz w:val="16"/>
          <w:szCs w:val="16"/>
          <w:color w:val="auto"/>
        </w:rPr>
        <w:t xml:space="preserve"> was comparable to the same period in the prior year.</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Six Months Ended June 30, 2025, Compared to the Six Months Ended June 30, 2024:</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Gas Utility margin</w:t>
      </w:r>
      <w:r>
        <w:rPr>
          <w:rFonts w:ascii="Arial" w:cs="Arial" w:eastAsia="Arial" w:hAnsi="Arial"/>
          <w:sz w:val="16"/>
          <w:szCs w:val="16"/>
          <w:color w:val="auto"/>
        </w:rPr>
        <w:t xml:space="preserve"> increased as a result of the following:</w:t>
      </w:r>
    </w:p>
    <w:p>
      <w:pPr>
        <w:spacing w:after="0" w:line="397" w:lineRule="exact"/>
        <w:rPr>
          <w:sz w:val="20"/>
          <w:szCs w:val="20"/>
          <w:color w:val="auto"/>
        </w:rPr>
      </w:pPr>
    </w:p>
    <w:p>
      <w:pPr>
        <w:spacing w:after="0"/>
        <w:rPr>
          <w:sz w:val="20"/>
          <w:szCs w:val="20"/>
          <w:color w:val="auto"/>
        </w:rPr>
      </w:pPr>
      <w:r>
        <w:rPr>
          <w:rFonts w:ascii="Arial" w:cs="Arial" w:eastAsia="Arial" w:hAnsi="Arial"/>
          <w:sz w:val="16"/>
          <w:szCs w:val="16"/>
          <w:color w:val="auto"/>
        </w:rPr>
        <w:t>New rates and rider recovery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1200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Weather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289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Other</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ind w:left="327"/>
        <w:spacing w:after="0"/>
        <w:rPr>
          <w:sz w:val="20"/>
          <w:szCs w:val="20"/>
          <w:color w:val="auto"/>
        </w:rPr>
      </w:pPr>
      <w:r>
        <w:rPr>
          <w:rFonts w:ascii="Arial" w:cs="Arial" w:eastAsia="Arial" w:hAnsi="Arial"/>
          <w:sz w:val="16"/>
          <w:szCs w:val="16"/>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101981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019810" cy="8255"/>
                    </a:xfrm>
                    <a:prstGeom prst="rect">
                      <a:avLst/>
                    </a:prstGeom>
                    <a:noFill/>
                  </pic:spPr>
                </pic:pic>
              </a:graphicData>
            </a:graphic>
          </wp:anchor>
        </w:drawing>
      </w:r>
    </w:p>
    <w:p>
      <w:pPr>
        <w:spacing w:after="0" w:line="11" w:lineRule="exact"/>
        <w:rPr>
          <w:sz w:val="20"/>
          <w:szCs w:val="20"/>
          <w:color w:val="auto"/>
        </w:rPr>
      </w:pPr>
    </w:p>
    <w:p>
      <w:pPr>
        <w:ind w:left="1247" w:hanging="1247"/>
        <w:spacing w:after="0"/>
        <w:tabs>
          <w:tab w:leader="none" w:pos="1247" w:val="left"/>
        </w:tabs>
        <w:numPr>
          <w:ilvl w:val="0"/>
          <w:numId w:val="43"/>
        </w:numPr>
        <w:rPr>
          <w:rFonts w:ascii="Arial" w:cs="Arial" w:eastAsia="Arial" w:hAnsi="Arial"/>
          <w:sz w:val="16"/>
          <w:szCs w:val="16"/>
          <w:color w:val="auto"/>
        </w:rPr>
      </w:pPr>
      <w:r>
        <w:rPr>
          <w:rFonts w:ascii="Arial" w:cs="Arial" w:eastAsia="Arial" w:hAnsi="Arial"/>
          <w:sz w:val="16"/>
          <w:szCs w:val="16"/>
          <w:color w:val="auto"/>
        </w:rPr>
        <w:t>9.9</w:t>
      </w:r>
    </w:p>
    <w:p>
      <w:pPr>
        <w:spacing w:after="0" w:line="8" w:lineRule="exact"/>
        <w:rPr>
          <w:rFonts w:ascii="Arial" w:cs="Arial" w:eastAsia="Arial" w:hAnsi="Arial"/>
          <w:sz w:val="16"/>
          <w:szCs w:val="16"/>
          <w:color w:val="auto"/>
        </w:rPr>
      </w:pPr>
    </w:p>
    <w:p>
      <w:pPr>
        <w:ind w:left="1247"/>
        <w:spacing w:after="0"/>
        <w:rPr>
          <w:rFonts w:ascii="Arial" w:cs="Arial" w:eastAsia="Arial" w:hAnsi="Arial"/>
          <w:sz w:val="16"/>
          <w:szCs w:val="16"/>
          <w:color w:val="auto"/>
        </w:rPr>
      </w:pPr>
      <w:r>
        <w:rPr>
          <w:rFonts w:ascii="Arial" w:cs="Arial" w:eastAsia="Arial" w:hAnsi="Arial"/>
          <w:sz w:val="16"/>
          <w:szCs w:val="16"/>
          <w:color w:val="auto"/>
        </w:rPr>
        <w:t>3.3</w:t>
      </w:r>
    </w:p>
    <w:p>
      <w:pPr>
        <w:spacing w:after="0" w:line="5" w:lineRule="exact"/>
        <w:rPr>
          <w:sz w:val="20"/>
          <w:szCs w:val="20"/>
          <w:color w:val="auto"/>
        </w:rPr>
      </w:pPr>
    </w:p>
    <w:p>
      <w:pPr>
        <w:ind w:left="1187"/>
        <w:spacing w:after="0"/>
        <w:rPr>
          <w:sz w:val="20"/>
          <w:szCs w:val="20"/>
          <w:color w:val="auto"/>
        </w:rPr>
      </w:pPr>
      <w:r>
        <w:rPr>
          <w:rFonts w:ascii="Arial" w:cs="Arial" w:eastAsia="Arial" w:hAnsi="Arial"/>
          <w:sz w:val="16"/>
          <w:szCs w:val="16"/>
          <w:color w:val="auto"/>
        </w:rPr>
        <w:t>(0.6)</w:t>
      </w:r>
    </w:p>
    <w:p>
      <w:pPr>
        <w:spacing w:after="0" w:line="5" w:lineRule="exact"/>
        <w:rPr>
          <w:sz w:val="20"/>
          <w:szCs w:val="20"/>
          <w:color w:val="auto"/>
        </w:rPr>
      </w:pPr>
    </w:p>
    <w:p>
      <w:pPr>
        <w:ind w:left="1247"/>
        <w:spacing w:after="0"/>
        <w:rPr>
          <w:sz w:val="20"/>
          <w:szCs w:val="20"/>
          <w:color w:val="auto"/>
        </w:rPr>
      </w:pPr>
      <w:r>
        <w:rPr>
          <w:rFonts w:ascii="Arial" w:cs="Arial" w:eastAsia="Arial" w:hAnsi="Arial"/>
          <w:sz w:val="16"/>
          <w:szCs w:val="16"/>
          <w:color w:val="auto"/>
        </w:rPr>
        <w:t>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101981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019810" cy="8255"/>
                    </a:xfrm>
                    <a:prstGeom prst="rect">
                      <a:avLst/>
                    </a:prstGeom>
                    <a:noFill/>
                  </pic:spPr>
                </pic:pic>
              </a:graphicData>
            </a:graphic>
          </wp:anchor>
        </w:drawing>
      </w:r>
    </w:p>
    <w:p>
      <w:pPr>
        <w:ind w:left="1167" w:hanging="1167"/>
        <w:spacing w:after="0"/>
        <w:tabs>
          <w:tab w:leader="none" w:pos="1167" w:val="left"/>
        </w:tabs>
        <w:numPr>
          <w:ilvl w:val="0"/>
          <w:numId w:val="44"/>
        </w:numPr>
        <w:rPr>
          <w:rFonts w:ascii="Arial" w:cs="Arial" w:eastAsia="Arial" w:hAnsi="Arial"/>
          <w:sz w:val="16"/>
          <w:szCs w:val="16"/>
          <w:color w:val="auto"/>
        </w:rPr>
      </w:pPr>
      <w:r>
        <w:rPr>
          <w:rFonts w:ascii="Arial" w:cs="Arial" w:eastAsia="Arial" w:hAnsi="Arial"/>
          <w:sz w:val="16"/>
          <w:szCs w:val="16"/>
          <w:color w:val="auto"/>
        </w:rPr>
        <w:t>13.4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327"/>
        <w:spacing w:after="0"/>
        <w:rPr>
          <w:sz w:val="20"/>
          <w:szCs w:val="20"/>
          <w:color w:val="auto"/>
        </w:rPr>
      </w:pPr>
      <w:r>
        <w:rPr>
          <w:rFonts w:ascii="Arial" w:cs="Arial" w:eastAsia="Arial" w:hAnsi="Arial"/>
          <w:sz w:val="16"/>
          <w:szCs w:val="16"/>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101981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019810" cy="8255"/>
                    </a:xfrm>
                    <a:prstGeom prst="rect">
                      <a:avLst/>
                    </a:prstGeom>
                    <a:noFill/>
                  </pic:spPr>
                </pic:pic>
              </a:graphicData>
            </a:graphic>
          </wp:anchor>
        </w:drawing>
      </w:r>
    </w:p>
    <w:p>
      <w:pPr>
        <w:spacing w:after="0" w:line="11" w:lineRule="exact"/>
        <w:rPr>
          <w:sz w:val="20"/>
          <w:szCs w:val="20"/>
          <w:color w:val="auto"/>
        </w:rPr>
      </w:pPr>
    </w:p>
    <w:p>
      <w:pPr>
        <w:ind w:left="1167" w:hanging="1167"/>
        <w:spacing w:after="0"/>
        <w:tabs>
          <w:tab w:leader="none" w:pos="1167" w:val="left"/>
        </w:tabs>
        <w:numPr>
          <w:ilvl w:val="0"/>
          <w:numId w:val="45"/>
        </w:numPr>
        <w:rPr>
          <w:rFonts w:ascii="Arial" w:cs="Arial" w:eastAsia="Arial" w:hAnsi="Arial"/>
          <w:sz w:val="16"/>
          <w:szCs w:val="16"/>
          <w:color w:val="auto"/>
        </w:rPr>
      </w:pPr>
      <w:r>
        <w:rPr>
          <w:rFonts w:ascii="Arial" w:cs="Arial" w:eastAsia="Arial" w:hAnsi="Arial"/>
          <w:sz w:val="16"/>
          <w:szCs w:val="16"/>
          <w:color w:val="auto"/>
        </w:rPr>
        <w:t>36.7</w:t>
      </w:r>
    </w:p>
    <w:p>
      <w:pPr>
        <w:spacing w:after="0" w:line="8" w:lineRule="exact"/>
        <w:rPr>
          <w:rFonts w:ascii="Arial" w:cs="Arial" w:eastAsia="Arial" w:hAnsi="Arial"/>
          <w:sz w:val="16"/>
          <w:szCs w:val="16"/>
          <w:color w:val="auto"/>
        </w:rPr>
      </w:pPr>
    </w:p>
    <w:p>
      <w:pPr>
        <w:ind w:left="1167"/>
        <w:spacing w:after="0"/>
        <w:rPr>
          <w:rFonts w:ascii="Arial" w:cs="Arial" w:eastAsia="Arial" w:hAnsi="Arial"/>
          <w:sz w:val="16"/>
          <w:szCs w:val="16"/>
          <w:color w:val="auto"/>
        </w:rPr>
      </w:pPr>
      <w:r>
        <w:rPr>
          <w:rFonts w:ascii="Arial" w:cs="Arial" w:eastAsia="Arial" w:hAnsi="Arial"/>
          <w:sz w:val="16"/>
          <w:szCs w:val="16"/>
          <w:color w:val="auto"/>
        </w:rPr>
        <w:t>12.0</w:t>
      </w:r>
    </w:p>
    <w:p>
      <w:pPr>
        <w:spacing w:after="0" w:line="5" w:lineRule="exact"/>
        <w:rPr>
          <w:rFonts w:ascii="Arial" w:cs="Arial" w:eastAsia="Arial" w:hAnsi="Arial"/>
          <w:sz w:val="16"/>
          <w:szCs w:val="16"/>
          <w:color w:val="auto"/>
        </w:rPr>
      </w:pPr>
    </w:p>
    <w:p>
      <w:pPr>
        <w:ind w:left="1187"/>
        <w:spacing w:after="0"/>
        <w:rPr>
          <w:rFonts w:ascii="Arial" w:cs="Arial" w:eastAsia="Arial" w:hAnsi="Arial"/>
          <w:sz w:val="16"/>
          <w:szCs w:val="16"/>
          <w:color w:val="auto"/>
        </w:rPr>
      </w:pPr>
      <w:r>
        <w:rPr>
          <w:rFonts w:ascii="Arial" w:cs="Arial" w:eastAsia="Arial" w:hAnsi="Arial"/>
          <w:sz w:val="16"/>
          <w:szCs w:val="16"/>
          <w:color w:val="auto"/>
        </w:rPr>
        <w:t>(2.1)</w:t>
      </w:r>
    </w:p>
    <w:p>
      <w:pPr>
        <w:spacing w:after="0" w:line="15" w:lineRule="exact"/>
        <w:rPr>
          <w:sz w:val="20"/>
          <w:szCs w:val="20"/>
          <w:color w:val="auto"/>
        </w:rPr>
      </w:pPr>
    </w:p>
    <w:p>
      <w:pPr>
        <w:ind w:left="1167" w:hanging="1167"/>
        <w:spacing w:after="0"/>
        <w:tabs>
          <w:tab w:leader="none" w:pos="1167" w:val="left"/>
        </w:tabs>
        <w:numPr>
          <w:ilvl w:val="0"/>
          <w:numId w:val="46"/>
        </w:numPr>
        <w:rPr>
          <w:rFonts w:ascii="Arial" w:cs="Arial" w:eastAsia="Arial" w:hAnsi="Arial"/>
          <w:sz w:val="16"/>
          <w:szCs w:val="16"/>
          <w:color w:val="auto"/>
        </w:rPr>
      </w:pPr>
      <w:r>
        <w:rPr>
          <w:rFonts w:ascii="Arial" w:cs="Arial" w:eastAsia="Arial" w:hAnsi="Arial"/>
          <w:sz w:val="16"/>
          <w:szCs w:val="16"/>
          <w:color w:val="auto"/>
        </w:rPr>
        <w:t>46.6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4445</wp:posOffset>
            </wp:positionV>
            <wp:extent cx="101981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01981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21590</wp:posOffset>
            </wp:positionV>
            <wp:extent cx="101981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01981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913" w:space="720"/>
            <w:col w:w="1607"/>
          </w:cols>
          <w:pgMar w:left="320" w:top="125" w:right="339" w:bottom="1440" w:gutter="0" w:footer="0" w:header="0"/>
          <w:type w:val="continuous"/>
        </w:sectPr>
      </w:pPr>
    </w:p>
    <w:p>
      <w:pPr>
        <w:spacing w:after="0" w:line="22" w:lineRule="exact"/>
        <w:rPr>
          <w:sz w:val="20"/>
          <w:szCs w:val="20"/>
          <w:color w:val="auto"/>
        </w:rPr>
      </w:pPr>
    </w:p>
    <w:p>
      <w:pPr>
        <w:ind w:right="700"/>
        <w:spacing w:after="0" w:line="286" w:lineRule="auto"/>
        <w:rPr>
          <w:sz w:val="20"/>
          <w:szCs w:val="20"/>
          <w:color w:val="auto"/>
        </w:rPr>
      </w:pPr>
      <w:r>
        <w:rPr>
          <w:rFonts w:ascii="Arial" w:cs="Arial" w:eastAsia="Arial" w:hAnsi="Arial"/>
          <w:sz w:val="16"/>
          <w:szCs w:val="16"/>
          <w:u w:val="single" w:color="auto"/>
          <w:color w:val="auto"/>
        </w:rPr>
        <w:t>Operations and maintenance expense</w:t>
      </w:r>
      <w:r>
        <w:rPr>
          <w:rFonts w:ascii="Arial" w:cs="Arial" w:eastAsia="Arial" w:hAnsi="Arial"/>
          <w:sz w:val="16"/>
          <w:szCs w:val="16"/>
          <w:color w:val="auto"/>
        </w:rPr>
        <w:t xml:space="preserve"> increased primarily due to $4.4 million of higher employee related expenses, $3.6 million of higher insurance expense, and $1.5 million of higher bad debt expense driven by increased revenues and lower prior year write-offs.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Depreciation and amortization</w:t>
      </w:r>
      <w:r>
        <w:rPr>
          <w:rFonts w:ascii="Arial" w:cs="Arial" w:eastAsia="Arial" w:hAnsi="Arial"/>
          <w:sz w:val="16"/>
          <w:szCs w:val="16"/>
          <w:color w:val="auto"/>
        </w:rPr>
        <w:t xml:space="preserve"> increased primarily due to higher asset base driven by capital expenditures.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Taxes other than income taxes</w:t>
      </w:r>
      <w:r>
        <w:rPr>
          <w:rFonts w:ascii="Arial" w:cs="Arial" w:eastAsia="Arial" w:hAnsi="Arial"/>
          <w:sz w:val="16"/>
          <w:szCs w:val="16"/>
          <w:color w:val="auto"/>
        </w:rPr>
        <w:t xml:space="preserve"> was comparable to the same period in the prior year.</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80" w:type="dxa"/>
            <w:vAlign w:val="bottom"/>
          </w:tcPr>
          <w:p>
            <w:pPr>
              <w:spacing w:after="0"/>
              <w:rPr>
                <w:sz w:val="20"/>
                <w:szCs w:val="20"/>
                <w:color w:val="auto"/>
              </w:rPr>
            </w:pPr>
            <w:r>
              <w:rPr>
                <w:rFonts w:ascii="Arial" w:cs="Arial" w:eastAsia="Arial" w:hAnsi="Arial"/>
                <w:sz w:val="16"/>
                <w:szCs w:val="16"/>
                <w:i w:val="1"/>
                <w:iCs w:val="1"/>
                <w:color w:val="auto"/>
              </w:rPr>
              <w:t>Operating Statistics</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367"/>
        </w:trPr>
        <w:tc>
          <w:tcPr>
            <w:tcW w:w="40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b w:val="1"/>
                <w:bCs w:val="1"/>
                <w:color w:val="auto"/>
              </w:rPr>
              <w:t>Revenue</w:t>
            </w:r>
          </w:p>
        </w:tc>
        <w:tc>
          <w:tcPr>
            <w:tcW w:w="4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4"/>
          </w:tcPr>
          <w:p>
            <w:pPr>
              <w:jc w:val="right"/>
              <w:ind w:right="559"/>
              <w:spacing w:after="0"/>
              <w:rPr>
                <w:sz w:val="20"/>
                <w:szCs w:val="20"/>
                <w:color w:val="auto"/>
              </w:rPr>
            </w:pPr>
            <w:r>
              <w:rPr>
                <w:rFonts w:ascii="Arial" w:cs="Arial" w:eastAsia="Arial" w:hAnsi="Arial"/>
                <w:sz w:val="16"/>
                <w:szCs w:val="16"/>
                <w:b w:val="1"/>
                <w:bCs w:val="1"/>
                <w:color w:val="auto"/>
              </w:rPr>
              <w:t>Quantities Sold and Transported</w:t>
            </w:r>
          </w:p>
        </w:tc>
      </w:tr>
      <w:tr>
        <w:trPr>
          <w:trHeight w:val="168"/>
        </w:trPr>
        <w:tc>
          <w:tcPr>
            <w:tcW w:w="4080" w:type="dxa"/>
            <w:vAlign w:val="bottom"/>
          </w:tcPr>
          <w:p>
            <w:pPr>
              <w:spacing w:after="0"/>
              <w:rPr>
                <w:sz w:val="14"/>
                <w:szCs w:val="14"/>
                <w:color w:val="auto"/>
              </w:rPr>
            </w:pPr>
          </w:p>
        </w:tc>
        <w:tc>
          <w:tcPr>
            <w:tcW w:w="1700" w:type="dxa"/>
            <w:vAlign w:val="bottom"/>
            <w:gridSpan w:val="4"/>
          </w:tcPr>
          <w:p>
            <w:pPr>
              <w:spacing w:after="0" w:line="168" w:lineRule="exact"/>
              <w:rPr>
                <w:sz w:val="20"/>
                <w:szCs w:val="20"/>
                <w:color w:val="auto"/>
              </w:rPr>
            </w:pPr>
            <w:r>
              <w:rPr>
                <w:rFonts w:ascii="Arial" w:cs="Arial" w:eastAsia="Arial" w:hAnsi="Arial"/>
                <w:sz w:val="16"/>
                <w:szCs w:val="16"/>
                <w:b w:val="1"/>
                <w:bCs w:val="1"/>
                <w:color w:val="auto"/>
              </w:rPr>
              <w:t>Three Months Ended</w:t>
            </w:r>
          </w:p>
        </w:tc>
        <w:tc>
          <w:tcPr>
            <w:tcW w:w="1760" w:type="dxa"/>
            <w:vAlign w:val="bottom"/>
            <w:gridSpan w:val="4"/>
          </w:tcPr>
          <w:p>
            <w:pPr>
              <w:jc w:val="right"/>
              <w:ind w:right="139"/>
              <w:spacing w:after="0" w:line="168" w:lineRule="exact"/>
              <w:rPr>
                <w:sz w:val="20"/>
                <w:szCs w:val="20"/>
                <w:color w:val="auto"/>
              </w:rPr>
            </w:pPr>
            <w:r>
              <w:rPr>
                <w:rFonts w:ascii="Arial" w:cs="Arial" w:eastAsia="Arial" w:hAnsi="Arial"/>
                <w:sz w:val="16"/>
                <w:szCs w:val="16"/>
                <w:b w:val="1"/>
                <w:bCs w:val="1"/>
                <w:color w:val="auto"/>
              </w:rPr>
              <w:t>Six Months Ended</w:t>
            </w:r>
          </w:p>
        </w:tc>
        <w:tc>
          <w:tcPr>
            <w:tcW w:w="1920" w:type="dxa"/>
            <w:vAlign w:val="bottom"/>
            <w:gridSpan w:val="2"/>
          </w:tcPr>
          <w:p>
            <w:pPr>
              <w:jc w:val="right"/>
              <w:ind w:right="139"/>
              <w:spacing w:after="0" w:line="168" w:lineRule="exact"/>
              <w:rPr>
                <w:sz w:val="20"/>
                <w:szCs w:val="20"/>
                <w:color w:val="auto"/>
              </w:rPr>
            </w:pPr>
            <w:r>
              <w:rPr>
                <w:rFonts w:ascii="Arial" w:cs="Arial" w:eastAsia="Arial" w:hAnsi="Arial"/>
                <w:sz w:val="16"/>
                <w:szCs w:val="16"/>
                <w:b w:val="1"/>
                <w:bCs w:val="1"/>
                <w:color w:val="auto"/>
              </w:rPr>
              <w:t>Three Months Ended</w:t>
            </w:r>
          </w:p>
        </w:tc>
        <w:tc>
          <w:tcPr>
            <w:tcW w:w="1780" w:type="dxa"/>
            <w:vAlign w:val="bottom"/>
            <w:gridSpan w:val="2"/>
          </w:tcPr>
          <w:p>
            <w:pPr>
              <w:jc w:val="right"/>
              <w:ind w:right="199"/>
              <w:spacing w:after="0" w:line="168" w:lineRule="exact"/>
              <w:rPr>
                <w:sz w:val="20"/>
                <w:szCs w:val="20"/>
                <w:color w:val="auto"/>
              </w:rPr>
            </w:pPr>
            <w:r>
              <w:rPr>
                <w:rFonts w:ascii="Arial" w:cs="Arial" w:eastAsia="Arial" w:hAnsi="Arial"/>
                <w:sz w:val="16"/>
                <w:szCs w:val="16"/>
                <w:b w:val="1"/>
                <w:bCs w:val="1"/>
                <w:color w:val="auto"/>
              </w:rPr>
              <w:t>Six Months Ended</w:t>
            </w:r>
          </w:p>
        </w:tc>
      </w:tr>
      <w:tr>
        <w:trPr>
          <w:trHeight w:val="189"/>
        </w:trPr>
        <w:tc>
          <w:tcPr>
            <w:tcW w:w="4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3"/>
          </w:tcPr>
          <w:p>
            <w:pPr>
              <w:jc w:val="right"/>
              <w:ind w:right="479"/>
              <w:spacing w:after="0"/>
              <w:rPr>
                <w:sz w:val="20"/>
                <w:szCs w:val="20"/>
                <w:color w:val="auto"/>
              </w:rPr>
            </w:pPr>
            <w:r>
              <w:rPr>
                <w:rFonts w:ascii="Arial" w:cs="Arial" w:eastAsia="Arial" w:hAnsi="Arial"/>
                <w:sz w:val="16"/>
                <w:szCs w:val="16"/>
                <w:b w:val="1"/>
                <w:bCs w:val="1"/>
                <w:color w:val="auto"/>
              </w:rPr>
              <w:t>June 30,</w:t>
            </w:r>
          </w:p>
        </w:tc>
        <w:tc>
          <w:tcPr>
            <w:tcW w:w="420" w:type="dxa"/>
            <w:vAlign w:val="bottom"/>
          </w:tcPr>
          <w:p>
            <w:pPr>
              <w:spacing w:after="0"/>
              <w:rPr>
                <w:sz w:val="16"/>
                <w:szCs w:val="16"/>
                <w:color w:val="auto"/>
              </w:rPr>
            </w:pPr>
          </w:p>
        </w:tc>
        <w:tc>
          <w:tcPr>
            <w:tcW w:w="1340" w:type="dxa"/>
            <w:vAlign w:val="bottom"/>
            <w:gridSpan w:val="3"/>
          </w:tcPr>
          <w:p>
            <w:pPr>
              <w:jc w:val="right"/>
              <w:ind w:right="499"/>
              <w:spacing w:after="0"/>
              <w:rPr>
                <w:sz w:val="20"/>
                <w:szCs w:val="20"/>
                <w:color w:val="auto"/>
              </w:rPr>
            </w:pPr>
            <w:r>
              <w:rPr>
                <w:rFonts w:ascii="Arial" w:cs="Arial" w:eastAsia="Arial" w:hAnsi="Arial"/>
                <w:sz w:val="16"/>
                <w:szCs w:val="16"/>
                <w:b w:val="1"/>
                <w:bCs w:val="1"/>
                <w:color w:val="auto"/>
              </w:rPr>
              <w:t>June 30,</w:t>
            </w:r>
          </w:p>
        </w:tc>
        <w:tc>
          <w:tcPr>
            <w:tcW w:w="1920" w:type="dxa"/>
            <w:vAlign w:val="bottom"/>
            <w:gridSpan w:val="2"/>
          </w:tcPr>
          <w:p>
            <w:pPr>
              <w:jc w:val="right"/>
              <w:ind w:right="599"/>
              <w:spacing w:after="0"/>
              <w:rPr>
                <w:sz w:val="20"/>
                <w:szCs w:val="20"/>
                <w:color w:val="auto"/>
              </w:rPr>
            </w:pPr>
            <w:r>
              <w:rPr>
                <w:rFonts w:ascii="Arial" w:cs="Arial" w:eastAsia="Arial" w:hAnsi="Arial"/>
                <w:sz w:val="16"/>
                <w:szCs w:val="16"/>
                <w:b w:val="1"/>
                <w:bCs w:val="1"/>
                <w:color w:val="auto"/>
              </w:rPr>
              <w:t>June 30,</w:t>
            </w:r>
          </w:p>
        </w:tc>
        <w:tc>
          <w:tcPr>
            <w:tcW w:w="1780" w:type="dxa"/>
            <w:vAlign w:val="bottom"/>
            <w:gridSpan w:val="2"/>
          </w:tcPr>
          <w:p>
            <w:pPr>
              <w:jc w:val="right"/>
              <w:ind w:right="539"/>
              <w:spacing w:after="0"/>
              <w:rPr>
                <w:sz w:val="20"/>
                <w:szCs w:val="20"/>
                <w:color w:val="auto"/>
              </w:rPr>
            </w:pPr>
            <w:r>
              <w:rPr>
                <w:rFonts w:ascii="Arial" w:cs="Arial" w:eastAsia="Arial" w:hAnsi="Arial"/>
                <w:sz w:val="16"/>
                <w:szCs w:val="16"/>
                <w:b w:val="1"/>
                <w:bCs w:val="1"/>
                <w:color w:val="auto"/>
              </w:rPr>
              <w:t>June 30,</w:t>
            </w:r>
          </w:p>
        </w:tc>
      </w:tr>
      <w:tr>
        <w:trPr>
          <w:trHeight w:val="203"/>
        </w:trPr>
        <w:tc>
          <w:tcPr>
            <w:tcW w:w="40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By Customer Class</w:t>
            </w: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2025</w:t>
            </w: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2024</w:t>
            </w:r>
          </w:p>
        </w:tc>
        <w:tc>
          <w:tcPr>
            <w:tcW w:w="900" w:type="dxa"/>
            <w:vAlign w:val="bottom"/>
            <w:tcBorders>
              <w:bottom w:val="single" w:sz="8" w:color="auto"/>
            </w:tcBorders>
            <w:gridSpan w:val="2"/>
          </w:tcPr>
          <w:p>
            <w:pPr>
              <w:jc w:val="right"/>
              <w:ind w:right="199"/>
              <w:spacing w:after="0"/>
              <w:rPr>
                <w:sz w:val="20"/>
                <w:szCs w:val="20"/>
                <w:color w:val="auto"/>
              </w:rPr>
            </w:pPr>
            <w:r>
              <w:rPr>
                <w:rFonts w:ascii="Arial" w:cs="Arial" w:eastAsia="Arial" w:hAnsi="Arial"/>
                <w:sz w:val="16"/>
                <w:szCs w:val="16"/>
                <w:b w:val="1"/>
                <w:bCs w:val="1"/>
                <w:color w:val="auto"/>
              </w:rPr>
              <w:t>2025</w:t>
            </w: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2024</w:t>
            </w:r>
          </w:p>
        </w:tc>
        <w:tc>
          <w:tcPr>
            <w:tcW w:w="10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2025</w:t>
            </w:r>
          </w:p>
        </w:tc>
        <w:tc>
          <w:tcPr>
            <w:tcW w:w="84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2024</w:t>
            </w:r>
          </w:p>
        </w:tc>
        <w:tc>
          <w:tcPr>
            <w:tcW w:w="9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2025</w:t>
            </w:r>
          </w:p>
        </w:tc>
        <w:tc>
          <w:tcPr>
            <w:tcW w:w="8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2024</w:t>
            </w:r>
          </w:p>
        </w:tc>
      </w:tr>
      <w:tr>
        <w:trPr>
          <w:trHeight w:val="183"/>
        </w:trPr>
        <w:tc>
          <w:tcPr>
            <w:tcW w:w="408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1100" w:type="dxa"/>
            <w:vAlign w:val="bottom"/>
            <w:tcBorders>
              <w:bottom w:val="single" w:sz="8" w:color="auto"/>
            </w:tcBorders>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(in millions)</w:t>
            </w:r>
          </w:p>
        </w:tc>
        <w:tc>
          <w:tcPr>
            <w:tcW w:w="480" w:type="dxa"/>
            <w:vAlign w:val="bottom"/>
            <w:tcBorders>
              <w:bottom w:val="single" w:sz="8" w:color="auto"/>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spacing w:after="0"/>
              <w:rPr>
                <w:sz w:val="15"/>
                <w:szCs w:val="15"/>
                <w:color w:val="auto"/>
              </w:rPr>
            </w:pPr>
          </w:p>
        </w:tc>
        <w:tc>
          <w:tcPr>
            <w:tcW w:w="1740" w:type="dxa"/>
            <w:vAlign w:val="bottom"/>
            <w:tcBorders>
              <w:bottom w:val="single" w:sz="8" w:color="auto"/>
            </w:tcBorders>
            <w:gridSpan w:val="2"/>
            <w:shd w:val="clear" w:color="auto" w:fill="CFF0FC"/>
          </w:tcPr>
          <w:p>
            <w:pPr>
              <w:ind w:left="160"/>
              <w:spacing w:after="0" w:line="183" w:lineRule="exact"/>
              <w:rPr>
                <w:sz w:val="20"/>
                <w:szCs w:val="20"/>
                <w:color w:val="auto"/>
              </w:rPr>
            </w:pPr>
            <w:r>
              <w:rPr>
                <w:rFonts w:ascii="Arial" w:cs="Arial" w:eastAsia="Arial" w:hAnsi="Arial"/>
                <w:sz w:val="16"/>
                <w:szCs w:val="16"/>
                <w:color w:val="auto"/>
              </w:rPr>
              <w:t>(Dth in millions)</w:t>
            </w:r>
          </w:p>
        </w:tc>
        <w:tc>
          <w:tcPr>
            <w:tcW w:w="880" w:type="dxa"/>
            <w:vAlign w:val="bottom"/>
            <w:tcBorders>
              <w:bottom w:val="single" w:sz="8" w:color="auto"/>
            </w:tcBorders>
            <w:shd w:val="clear" w:color="auto" w:fill="CFF0FC"/>
          </w:tcPr>
          <w:p>
            <w:pPr>
              <w:spacing w:after="0"/>
              <w:rPr>
                <w:sz w:val="15"/>
                <w:szCs w:val="15"/>
                <w:color w:val="auto"/>
              </w:rPr>
            </w:pPr>
          </w:p>
        </w:tc>
      </w:tr>
      <w:tr>
        <w:trPr>
          <w:trHeight w:val="183"/>
        </w:trPr>
        <w:tc>
          <w:tcPr>
            <w:tcW w:w="4080" w:type="dxa"/>
            <w:vAlign w:val="bottom"/>
          </w:tcPr>
          <w:p>
            <w:pPr>
              <w:spacing w:after="0" w:line="183" w:lineRule="exact"/>
              <w:rPr>
                <w:sz w:val="20"/>
                <w:szCs w:val="20"/>
                <w:color w:val="auto"/>
              </w:rPr>
            </w:pPr>
            <w:r>
              <w:rPr>
                <w:rFonts w:ascii="Arial" w:cs="Arial" w:eastAsia="Arial" w:hAnsi="Arial"/>
                <w:sz w:val="16"/>
                <w:szCs w:val="16"/>
                <w:color w:val="auto"/>
              </w:rPr>
              <w:t>Retail Revenue -</w:t>
            </w: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9"/>
        </w:trPr>
        <w:tc>
          <w:tcPr>
            <w:tcW w:w="4080" w:type="dxa"/>
            <w:vAlign w:val="bottom"/>
            <w:shd w:val="clear" w:color="auto" w:fill="CFF0FC"/>
          </w:tcPr>
          <w:p>
            <w:pPr>
              <w:ind w:left="40"/>
              <w:spacing w:after="0"/>
              <w:rPr>
                <w:sz w:val="20"/>
                <w:szCs w:val="20"/>
                <w:color w:val="auto"/>
              </w:rPr>
            </w:pPr>
            <w:r>
              <w:rPr>
                <w:rFonts w:ascii="Arial" w:cs="Arial" w:eastAsia="Arial" w:hAnsi="Arial"/>
                <w:sz w:val="16"/>
                <w:szCs w:val="16"/>
                <w:color w:val="auto"/>
              </w:rPr>
              <w:t>Residential</w:t>
            </w:r>
          </w:p>
        </w:tc>
        <w:tc>
          <w:tcPr>
            <w:tcW w:w="14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113.3</w:t>
            </w: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102.6</w:t>
            </w:r>
          </w:p>
        </w:tc>
        <w:tc>
          <w:tcPr>
            <w:tcW w:w="42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457.4</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400.4</w:t>
            </w:r>
          </w:p>
        </w:tc>
        <w:tc>
          <w:tcPr>
            <w:tcW w:w="10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7.2</w:t>
            </w:r>
          </w:p>
        </w:tc>
        <w:tc>
          <w:tcPr>
            <w:tcW w:w="8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6.9</w:t>
            </w:r>
          </w:p>
        </w:tc>
        <w:tc>
          <w:tcPr>
            <w:tcW w:w="9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37.9</w:t>
            </w:r>
          </w:p>
        </w:tc>
        <w:tc>
          <w:tcPr>
            <w:tcW w:w="8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34.7</w:t>
            </w:r>
          </w:p>
        </w:tc>
      </w:tr>
      <w:tr>
        <w:trPr>
          <w:trHeight w:val="189"/>
        </w:trPr>
        <w:tc>
          <w:tcPr>
            <w:tcW w:w="4080" w:type="dxa"/>
            <w:vAlign w:val="bottom"/>
          </w:tcPr>
          <w:p>
            <w:pPr>
              <w:ind w:left="40"/>
              <w:spacing w:after="0"/>
              <w:rPr>
                <w:sz w:val="20"/>
                <w:szCs w:val="20"/>
                <w:color w:val="auto"/>
              </w:rPr>
            </w:pPr>
            <w:r>
              <w:rPr>
                <w:rFonts w:ascii="Arial" w:cs="Arial" w:eastAsia="Arial" w:hAnsi="Arial"/>
                <w:sz w:val="16"/>
                <w:szCs w:val="16"/>
                <w:color w:val="auto"/>
              </w:rPr>
              <w:t>Commercial</w:t>
            </w: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42.0</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38.2</w:t>
            </w:r>
          </w:p>
        </w:tc>
        <w:tc>
          <w:tcPr>
            <w:tcW w:w="4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9"/>
              </w:rPr>
              <w:t>176.3</w:t>
            </w:r>
          </w:p>
        </w:tc>
        <w:tc>
          <w:tcPr>
            <w:tcW w:w="18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156.7</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4.0</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3.9</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18.0</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16.9</w:t>
            </w:r>
          </w:p>
        </w:tc>
      </w:tr>
      <w:tr>
        <w:trPr>
          <w:trHeight w:val="189"/>
        </w:trPr>
        <w:tc>
          <w:tcPr>
            <w:tcW w:w="4080" w:type="dxa"/>
            <w:vAlign w:val="bottom"/>
            <w:shd w:val="clear" w:color="auto" w:fill="CFF0FC"/>
          </w:tcPr>
          <w:p>
            <w:pPr>
              <w:ind w:left="40"/>
              <w:spacing w:after="0"/>
              <w:rPr>
                <w:sz w:val="20"/>
                <w:szCs w:val="20"/>
                <w:color w:val="auto"/>
              </w:rPr>
            </w:pPr>
            <w:r>
              <w:rPr>
                <w:rFonts w:ascii="Arial" w:cs="Arial" w:eastAsia="Arial" w:hAnsi="Arial"/>
                <w:sz w:val="16"/>
                <w:szCs w:val="16"/>
                <w:color w:val="auto"/>
              </w:rPr>
              <w:t>Industrial</w:t>
            </w:r>
          </w:p>
        </w:tc>
        <w:tc>
          <w:tcPr>
            <w:tcW w:w="14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w:t>
            </w:r>
          </w:p>
        </w:tc>
        <w:tc>
          <w:tcPr>
            <w:tcW w:w="20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w:t>
            </w:r>
          </w:p>
        </w:tc>
        <w:tc>
          <w:tcPr>
            <w:tcW w:w="420" w:type="dxa"/>
            <w:vAlign w:val="bottom"/>
            <w:shd w:val="clear" w:color="auto" w:fill="CFF0FC"/>
          </w:tcPr>
          <w:p>
            <w:pPr>
              <w:spacing w:after="0"/>
              <w:rPr>
                <w:sz w:val="16"/>
                <w:szCs w:val="16"/>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13.0</w:t>
            </w:r>
          </w:p>
        </w:tc>
        <w:tc>
          <w:tcPr>
            <w:tcW w:w="18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10.9</w:t>
            </w:r>
          </w:p>
        </w:tc>
        <w:tc>
          <w:tcPr>
            <w:tcW w:w="10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1.4</w:t>
            </w:r>
          </w:p>
        </w:tc>
        <w:tc>
          <w:tcPr>
            <w:tcW w:w="8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1.8</w:t>
            </w:r>
          </w:p>
        </w:tc>
        <w:tc>
          <w:tcPr>
            <w:tcW w:w="9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2.4</w:t>
            </w:r>
          </w:p>
        </w:tc>
        <w:tc>
          <w:tcPr>
            <w:tcW w:w="8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2.7</w:t>
            </w:r>
          </w:p>
        </w:tc>
      </w:tr>
      <w:tr>
        <w:trPr>
          <w:trHeight w:val="189"/>
        </w:trPr>
        <w:tc>
          <w:tcPr>
            <w:tcW w:w="4080" w:type="dxa"/>
            <w:vAlign w:val="bottom"/>
          </w:tcPr>
          <w:p>
            <w:pPr>
              <w:ind w:left="40"/>
              <w:spacing w:after="0" w:line="189" w:lineRule="exact"/>
              <w:rPr>
                <w:sz w:val="20"/>
                <w:szCs w:val="20"/>
                <w:color w:val="auto"/>
              </w:rPr>
            </w:pPr>
            <w:r>
              <w:rPr>
                <w:rFonts w:ascii="Arial" w:cs="Arial" w:eastAsia="Arial" w:hAnsi="Arial"/>
                <w:sz w:val="16"/>
                <w:szCs w:val="16"/>
                <w:color w:val="auto"/>
              </w:rPr>
              <w:t xml:space="preserve">Other Retail </w:t>
            </w:r>
            <w:r>
              <w:rPr>
                <w:rFonts w:ascii="Arial" w:cs="Arial" w:eastAsia="Arial" w:hAnsi="Arial"/>
                <w:sz w:val="21"/>
                <w:szCs w:val="21"/>
                <w:color w:val="auto"/>
                <w:vertAlign w:val="superscript"/>
              </w:rPr>
              <w:t>(a)</w:t>
            </w: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w:t>
            </w: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w:t>
            </w:r>
          </w:p>
        </w:tc>
        <w:tc>
          <w:tcPr>
            <w:tcW w:w="4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w:t>
            </w: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22.4</w:t>
            </w: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r>
      <w:tr>
        <w:trPr>
          <w:trHeight w:val="183"/>
        </w:trPr>
        <w:tc>
          <w:tcPr>
            <w:tcW w:w="4080" w:type="dxa"/>
            <w:vAlign w:val="bottom"/>
            <w:shd w:val="clear" w:color="auto" w:fill="CFF0FC"/>
          </w:tcPr>
          <w:p>
            <w:pPr>
              <w:ind w:left="80"/>
              <w:spacing w:after="0" w:line="183" w:lineRule="exact"/>
              <w:rPr>
                <w:sz w:val="20"/>
                <w:szCs w:val="20"/>
                <w:color w:val="auto"/>
              </w:rPr>
            </w:pPr>
            <w:r>
              <w:rPr>
                <w:rFonts w:ascii="Arial" w:cs="Arial" w:eastAsia="Arial" w:hAnsi="Arial"/>
                <w:sz w:val="16"/>
                <w:szCs w:val="16"/>
                <w:color w:val="auto"/>
              </w:rPr>
              <w:t>Subtotal Retail Revenue - Gas</w:t>
            </w: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168.6</w:t>
            </w:r>
          </w:p>
        </w:tc>
        <w:tc>
          <w:tcPr>
            <w:tcW w:w="2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153.0</w:t>
            </w:r>
          </w:p>
        </w:tc>
        <w:tc>
          <w:tcPr>
            <w:tcW w:w="42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99"/>
              </w:rPr>
              <w:t>668.3</w:t>
            </w:r>
          </w:p>
        </w:tc>
        <w:tc>
          <w:tcPr>
            <w:tcW w:w="18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590.4</w:t>
            </w:r>
          </w:p>
        </w:tc>
        <w:tc>
          <w:tcPr>
            <w:tcW w:w="1080" w:type="dxa"/>
            <w:vAlign w:val="bottom"/>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rPr>
              <w:t>12.6</w:t>
            </w:r>
          </w:p>
        </w:tc>
        <w:tc>
          <w:tcPr>
            <w:tcW w:w="84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12.6</w:t>
            </w:r>
          </w:p>
        </w:tc>
        <w:tc>
          <w:tcPr>
            <w:tcW w:w="900" w:type="dxa"/>
            <w:vAlign w:val="bottom"/>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rPr>
              <w:t>58.3</w:t>
            </w:r>
          </w:p>
        </w:tc>
        <w:tc>
          <w:tcPr>
            <w:tcW w:w="88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54.3</w:t>
            </w:r>
          </w:p>
        </w:tc>
      </w:tr>
      <w:tr>
        <w:trPr>
          <w:trHeight w:val="189"/>
        </w:trPr>
        <w:tc>
          <w:tcPr>
            <w:tcW w:w="4080" w:type="dxa"/>
            <w:vAlign w:val="bottom"/>
          </w:tcPr>
          <w:p>
            <w:pPr>
              <w:spacing w:after="0"/>
              <w:rPr>
                <w:sz w:val="20"/>
                <w:szCs w:val="20"/>
                <w:color w:val="auto"/>
              </w:rPr>
            </w:pPr>
            <w:r>
              <w:rPr>
                <w:rFonts w:ascii="Arial" w:cs="Arial" w:eastAsia="Arial" w:hAnsi="Arial"/>
                <w:sz w:val="16"/>
                <w:szCs w:val="16"/>
                <w:color w:val="auto"/>
              </w:rPr>
              <w:t>Transportation</w:t>
            </w: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42.1</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36.0</w:t>
            </w:r>
          </w:p>
        </w:tc>
        <w:tc>
          <w:tcPr>
            <w:tcW w:w="4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99.8</w:t>
            </w:r>
          </w:p>
        </w:tc>
        <w:tc>
          <w:tcPr>
            <w:tcW w:w="18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87.6</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36.2</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34.5</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86.7</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81.2</w:t>
            </w:r>
          </w:p>
        </w:tc>
      </w:tr>
      <w:tr>
        <w:trPr>
          <w:trHeight w:val="189"/>
        </w:trPr>
        <w:tc>
          <w:tcPr>
            <w:tcW w:w="4080" w:type="dxa"/>
            <w:vAlign w:val="bottom"/>
            <w:tcBorders>
              <w:bottom w:val="single" w:sz="8" w:color="CFF0FC"/>
            </w:tcBorders>
            <w:shd w:val="clear" w:color="auto" w:fill="CFF0FC"/>
          </w:tcPr>
          <w:p>
            <w:pPr>
              <w:spacing w:after="0" w:line="189" w:lineRule="exact"/>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(b)</w:t>
            </w:r>
          </w:p>
        </w:tc>
        <w:tc>
          <w:tcPr>
            <w:tcW w:w="140" w:type="dxa"/>
            <w:vAlign w:val="bottom"/>
            <w:tcBorders>
              <w:bottom w:val="single" w:sz="8" w:color="auto"/>
            </w:tcBorders>
            <w:shd w:val="clear" w:color="auto" w:fill="CFF0FC"/>
          </w:tcPr>
          <w:p>
            <w:pPr>
              <w:spacing w:after="0"/>
              <w:rPr>
                <w:sz w:val="16"/>
                <w:szCs w:val="16"/>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12.3</w:t>
            </w:r>
          </w:p>
        </w:tc>
        <w:tc>
          <w:tcPr>
            <w:tcW w:w="200" w:type="dxa"/>
            <w:vAlign w:val="bottom"/>
            <w:tcBorders>
              <w:bottom w:val="single" w:sz="8" w:color="auto"/>
            </w:tcBorders>
            <w:shd w:val="clear" w:color="auto" w:fill="CFF0FC"/>
          </w:tcPr>
          <w:p>
            <w:pPr>
              <w:spacing w:after="0"/>
              <w:rPr>
                <w:sz w:val="16"/>
                <w:szCs w:val="16"/>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13.0</w:t>
            </w:r>
          </w:p>
        </w:tc>
        <w:tc>
          <w:tcPr>
            <w:tcW w:w="420" w:type="dxa"/>
            <w:vAlign w:val="bottom"/>
            <w:tcBorders>
              <w:bottom w:val="single" w:sz="8" w:color="auto"/>
            </w:tcBorders>
            <w:shd w:val="clear" w:color="auto" w:fill="CFF0FC"/>
          </w:tcPr>
          <w:p>
            <w:pPr>
              <w:spacing w:after="0"/>
              <w:rPr>
                <w:sz w:val="16"/>
                <w:szCs w:val="16"/>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27.3</w:t>
            </w:r>
          </w:p>
        </w:tc>
        <w:tc>
          <w:tcPr>
            <w:tcW w:w="180" w:type="dxa"/>
            <w:vAlign w:val="bottom"/>
            <w:tcBorders>
              <w:bottom w:val="single" w:sz="8" w:color="auto"/>
            </w:tcBorders>
            <w:shd w:val="clear" w:color="auto" w:fill="CFF0FC"/>
          </w:tcPr>
          <w:p>
            <w:pPr>
              <w:spacing w:after="0"/>
              <w:rPr>
                <w:sz w:val="16"/>
                <w:szCs w:val="16"/>
                <w:color w:val="auto"/>
              </w:rPr>
            </w:pPr>
          </w:p>
        </w:tc>
        <w:tc>
          <w:tcPr>
            <w:tcW w:w="6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32.6</w:t>
            </w:r>
          </w:p>
        </w:tc>
        <w:tc>
          <w:tcPr>
            <w:tcW w:w="108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r>
      <w:tr>
        <w:trPr>
          <w:trHeight w:val="183"/>
        </w:trPr>
        <w:tc>
          <w:tcPr>
            <w:tcW w:w="4080" w:type="dxa"/>
            <w:vAlign w:val="bottom"/>
          </w:tcPr>
          <w:p>
            <w:pPr>
              <w:ind w:left="40"/>
              <w:spacing w:after="0" w:line="169" w:lineRule="exact"/>
              <w:rPr>
                <w:sz w:val="20"/>
                <w:szCs w:val="20"/>
                <w:color w:val="auto"/>
              </w:rPr>
            </w:pPr>
            <w:r>
              <w:rPr>
                <w:rFonts w:ascii="Arial" w:cs="Arial" w:eastAsia="Arial" w:hAnsi="Arial"/>
                <w:sz w:val="16"/>
                <w:szCs w:val="16"/>
                <w:color w:val="auto"/>
              </w:rPr>
              <w:t>Total Revenue and Quantities Sold</w:t>
            </w:r>
          </w:p>
        </w:tc>
        <w:tc>
          <w:tcPr>
            <w:tcW w:w="140" w:type="dxa"/>
            <w:vAlign w:val="bottom"/>
            <w:tcBorders>
              <w:bottom w:val="single" w:sz="8" w:color="auto"/>
            </w:tcBorders>
          </w:tcPr>
          <w:p>
            <w:pPr>
              <w:spacing w:after="0" w:line="169" w:lineRule="exact"/>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223.0</w:t>
            </w:r>
          </w:p>
        </w:tc>
        <w:tc>
          <w:tcPr>
            <w:tcW w:w="2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202.0</w:t>
            </w:r>
          </w:p>
        </w:tc>
        <w:tc>
          <w:tcPr>
            <w:tcW w:w="420" w:type="dxa"/>
            <w:vAlign w:val="bottom"/>
            <w:tcBorders>
              <w:bottom w:val="single" w:sz="8" w:color="auto"/>
            </w:tcBorders>
          </w:tcPr>
          <w:p>
            <w:pPr>
              <w:jc w:val="right"/>
              <w:ind w:right="179"/>
              <w:spacing w:after="0" w:line="169" w:lineRule="exact"/>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w w:val="99"/>
              </w:rPr>
              <w:t>795.4</w:t>
            </w:r>
          </w:p>
        </w:tc>
        <w:tc>
          <w:tcPr>
            <w:tcW w:w="1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ind w:right="19"/>
              <w:spacing w:after="0" w:line="169" w:lineRule="exact"/>
              <w:rPr>
                <w:sz w:val="20"/>
                <w:szCs w:val="20"/>
                <w:color w:val="auto"/>
              </w:rPr>
            </w:pPr>
            <w:r>
              <w:rPr>
                <w:rFonts w:ascii="Arial" w:cs="Arial" w:eastAsia="Arial" w:hAnsi="Arial"/>
                <w:sz w:val="16"/>
                <w:szCs w:val="16"/>
                <w:color w:val="auto"/>
              </w:rPr>
              <w:t>710.6</w:t>
            </w:r>
          </w:p>
        </w:tc>
        <w:tc>
          <w:tcPr>
            <w:tcW w:w="1080" w:type="dxa"/>
            <w:vAlign w:val="bottom"/>
            <w:tcBorders>
              <w:bottom w:val="single" w:sz="8" w:color="auto"/>
            </w:tcBorders>
          </w:tcPr>
          <w:p>
            <w:pPr>
              <w:jc w:val="right"/>
              <w:ind w:right="79"/>
              <w:spacing w:after="0" w:line="169" w:lineRule="exact"/>
              <w:rPr>
                <w:sz w:val="20"/>
                <w:szCs w:val="20"/>
                <w:color w:val="auto"/>
              </w:rPr>
            </w:pPr>
            <w:r>
              <w:rPr>
                <w:rFonts w:ascii="Arial" w:cs="Arial" w:eastAsia="Arial" w:hAnsi="Arial"/>
                <w:sz w:val="16"/>
                <w:szCs w:val="16"/>
                <w:color w:val="auto"/>
              </w:rPr>
              <w:t>48.8</w:t>
            </w:r>
          </w:p>
        </w:tc>
        <w:tc>
          <w:tcPr>
            <w:tcW w:w="840" w:type="dxa"/>
            <w:vAlign w:val="bottom"/>
            <w:tcBorders>
              <w:bottom w:val="single" w:sz="8" w:color="auto"/>
            </w:tcBorders>
          </w:tcPr>
          <w:p>
            <w:pPr>
              <w:jc w:val="right"/>
              <w:ind w:right="19"/>
              <w:spacing w:after="0" w:line="169" w:lineRule="exact"/>
              <w:rPr>
                <w:sz w:val="20"/>
                <w:szCs w:val="20"/>
                <w:color w:val="auto"/>
              </w:rPr>
            </w:pPr>
            <w:r>
              <w:rPr>
                <w:rFonts w:ascii="Arial" w:cs="Arial" w:eastAsia="Arial" w:hAnsi="Arial"/>
                <w:sz w:val="16"/>
                <w:szCs w:val="16"/>
                <w:color w:val="auto"/>
              </w:rPr>
              <w:t>47.1</w:t>
            </w:r>
          </w:p>
        </w:tc>
        <w:tc>
          <w:tcPr>
            <w:tcW w:w="900" w:type="dxa"/>
            <w:vAlign w:val="bottom"/>
            <w:tcBorders>
              <w:bottom w:val="single" w:sz="8" w:color="auto"/>
            </w:tcBorders>
          </w:tcPr>
          <w:p>
            <w:pPr>
              <w:jc w:val="right"/>
              <w:ind w:right="79"/>
              <w:spacing w:after="0" w:line="169" w:lineRule="exact"/>
              <w:rPr>
                <w:sz w:val="20"/>
                <w:szCs w:val="20"/>
                <w:color w:val="auto"/>
              </w:rPr>
            </w:pPr>
            <w:r>
              <w:rPr>
                <w:rFonts w:ascii="Arial" w:cs="Arial" w:eastAsia="Arial" w:hAnsi="Arial"/>
                <w:sz w:val="16"/>
                <w:szCs w:val="16"/>
                <w:color w:val="auto"/>
              </w:rPr>
              <w:t>145.0</w:t>
            </w:r>
          </w:p>
        </w:tc>
        <w:tc>
          <w:tcPr>
            <w:tcW w:w="880" w:type="dxa"/>
            <w:vAlign w:val="bottom"/>
            <w:tcBorders>
              <w:bottom w:val="single" w:sz="8" w:color="auto"/>
            </w:tcBorders>
          </w:tcPr>
          <w:p>
            <w:pPr>
              <w:jc w:val="right"/>
              <w:ind w:right="59"/>
              <w:spacing w:after="0" w:line="169" w:lineRule="exact"/>
              <w:rPr>
                <w:sz w:val="20"/>
                <w:szCs w:val="20"/>
                <w:color w:val="auto"/>
              </w:rPr>
            </w:pPr>
            <w:r>
              <w:rPr>
                <w:rFonts w:ascii="Arial" w:cs="Arial" w:eastAsia="Arial" w:hAnsi="Arial"/>
                <w:sz w:val="16"/>
                <w:szCs w:val="16"/>
                <w:color w:val="auto"/>
              </w:rPr>
              <w:t>135.5</w:t>
            </w:r>
          </w:p>
        </w:tc>
      </w:tr>
      <w:tr>
        <w:trPr>
          <w:trHeight w:val="20"/>
        </w:trPr>
        <w:tc>
          <w:tcPr>
            <w:tcW w:w="4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04584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119" w:lineRule="exact"/>
        <w:rPr>
          <w:sz w:val="20"/>
          <w:szCs w:val="20"/>
          <w:color w:val="auto"/>
        </w:rPr>
      </w:pPr>
    </w:p>
    <w:p>
      <w:pPr>
        <w:ind w:left="520" w:hanging="512"/>
        <w:spacing w:after="0"/>
        <w:tabs>
          <w:tab w:leader="none" w:pos="5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Includes Black Hills Energy Services revenue under the Choice Gas Program.</w:t>
      </w:r>
    </w:p>
    <w:p>
      <w:pPr>
        <w:spacing w:after="0" w:line="15" w:lineRule="exact"/>
        <w:rPr>
          <w:rFonts w:ascii="Arial" w:cs="Arial" w:eastAsia="Arial" w:hAnsi="Arial"/>
          <w:sz w:val="14"/>
          <w:szCs w:val="14"/>
          <w:color w:val="auto"/>
        </w:rPr>
      </w:pPr>
    </w:p>
    <w:p>
      <w:pPr>
        <w:ind w:left="520" w:hanging="512"/>
        <w:spacing w:after="0"/>
        <w:tabs>
          <w:tab w:leader="none" w:pos="5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Includes inter-segment rent and non-regulated services under the Service Guard Comfort Plan, Tech Services, and HomeServe.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right"/>
              <w:ind w:right="479"/>
              <w:spacing w:after="0"/>
              <w:rPr>
                <w:sz w:val="20"/>
                <w:szCs w:val="20"/>
                <w:color w:val="auto"/>
              </w:rPr>
            </w:pPr>
            <w:r>
              <w:rPr>
                <w:rFonts w:ascii="Arial" w:cs="Arial" w:eastAsia="Arial" w:hAnsi="Arial"/>
                <w:sz w:val="16"/>
                <w:szCs w:val="16"/>
                <w:b w:val="1"/>
                <w:bCs w:val="1"/>
                <w:color w:val="auto"/>
              </w:rPr>
              <w:t>Revenue</w:t>
            </w: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520" w:type="dxa"/>
            <w:vAlign w:val="bottom"/>
            <w:tcBorders>
              <w:bottom w:val="single" w:sz="8" w:color="auto"/>
            </w:tcBorders>
            <w:gridSpan w:val="5"/>
          </w:tcPr>
          <w:p>
            <w:pPr>
              <w:jc w:val="right"/>
              <w:ind w:right="579"/>
              <w:spacing w:after="0"/>
              <w:rPr>
                <w:sz w:val="20"/>
                <w:szCs w:val="20"/>
                <w:color w:val="auto"/>
              </w:rPr>
            </w:pPr>
            <w:r>
              <w:rPr>
                <w:rFonts w:ascii="Arial" w:cs="Arial" w:eastAsia="Arial" w:hAnsi="Arial"/>
                <w:sz w:val="16"/>
                <w:szCs w:val="16"/>
                <w:b w:val="1"/>
                <w:bCs w:val="1"/>
                <w:color w:val="auto"/>
              </w:rPr>
              <w:t>Quantities Sold and Transported</w:t>
            </w:r>
          </w:p>
        </w:tc>
      </w:tr>
      <w:tr>
        <w:trPr>
          <w:trHeight w:val="168"/>
        </w:trPr>
        <w:tc>
          <w:tcPr>
            <w:tcW w:w="27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4"/>
          </w:tcPr>
          <w:p>
            <w:pPr>
              <w:spacing w:after="0" w:line="168" w:lineRule="exact"/>
              <w:rPr>
                <w:sz w:val="20"/>
                <w:szCs w:val="20"/>
                <w:color w:val="auto"/>
              </w:rPr>
            </w:pPr>
            <w:r>
              <w:rPr>
                <w:rFonts w:ascii="Arial" w:cs="Arial" w:eastAsia="Arial" w:hAnsi="Arial"/>
                <w:sz w:val="16"/>
                <w:szCs w:val="16"/>
                <w:b w:val="1"/>
                <w:bCs w:val="1"/>
                <w:color w:val="auto"/>
              </w:rPr>
              <w:t>Three Months Ended</w:t>
            </w:r>
          </w:p>
        </w:tc>
        <w:tc>
          <w:tcPr>
            <w:tcW w:w="1860" w:type="dxa"/>
            <w:vAlign w:val="bottom"/>
            <w:gridSpan w:val="4"/>
          </w:tcPr>
          <w:p>
            <w:pPr>
              <w:jc w:val="right"/>
              <w:ind w:right="219"/>
              <w:spacing w:after="0" w:line="168" w:lineRule="exact"/>
              <w:rPr>
                <w:sz w:val="20"/>
                <w:szCs w:val="20"/>
                <w:color w:val="auto"/>
              </w:rPr>
            </w:pPr>
            <w:r>
              <w:rPr>
                <w:rFonts w:ascii="Arial" w:cs="Arial" w:eastAsia="Arial" w:hAnsi="Arial"/>
                <w:sz w:val="16"/>
                <w:szCs w:val="16"/>
                <w:b w:val="1"/>
                <w:bCs w:val="1"/>
                <w:color w:val="auto"/>
              </w:rPr>
              <w:t>Six Months Ended</w:t>
            </w:r>
          </w:p>
        </w:tc>
        <w:tc>
          <w:tcPr>
            <w:tcW w:w="1720" w:type="dxa"/>
            <w:vAlign w:val="bottom"/>
            <w:gridSpan w:val="4"/>
          </w:tcPr>
          <w:p>
            <w:pPr>
              <w:jc w:val="right"/>
              <w:ind w:right="39"/>
              <w:spacing w:after="0" w:line="168" w:lineRule="exact"/>
              <w:rPr>
                <w:sz w:val="20"/>
                <w:szCs w:val="20"/>
                <w:color w:val="auto"/>
              </w:rPr>
            </w:pPr>
            <w:r>
              <w:rPr>
                <w:rFonts w:ascii="Arial" w:cs="Arial" w:eastAsia="Arial" w:hAnsi="Arial"/>
                <w:sz w:val="16"/>
                <w:szCs w:val="16"/>
                <w:b w:val="1"/>
                <w:bCs w:val="1"/>
                <w:color w:val="auto"/>
                <w:w w:val="99"/>
              </w:rPr>
              <w:t>Three Months Ended</w:t>
            </w:r>
          </w:p>
        </w:tc>
        <w:tc>
          <w:tcPr>
            <w:tcW w:w="1920" w:type="dxa"/>
            <w:vAlign w:val="bottom"/>
            <w:gridSpan w:val="2"/>
          </w:tcPr>
          <w:p>
            <w:pPr>
              <w:jc w:val="right"/>
              <w:ind w:right="219"/>
              <w:spacing w:after="0" w:line="168" w:lineRule="exact"/>
              <w:rPr>
                <w:sz w:val="20"/>
                <w:szCs w:val="20"/>
                <w:color w:val="auto"/>
              </w:rPr>
            </w:pPr>
            <w:r>
              <w:rPr>
                <w:rFonts w:ascii="Arial" w:cs="Arial" w:eastAsia="Arial" w:hAnsi="Arial"/>
                <w:sz w:val="16"/>
                <w:szCs w:val="16"/>
                <w:b w:val="1"/>
                <w:bCs w:val="1"/>
                <w:color w:val="auto"/>
              </w:rPr>
              <w:t>Six Months Ended</w:t>
            </w:r>
          </w:p>
        </w:tc>
      </w:tr>
      <w:tr>
        <w:trPr>
          <w:trHeight w:val="189"/>
        </w:trPr>
        <w:tc>
          <w:tcPr>
            <w:tcW w:w="27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gridSpan w:val="3"/>
          </w:tcPr>
          <w:p>
            <w:pPr>
              <w:jc w:val="right"/>
              <w:ind w:right="439"/>
              <w:spacing w:after="0"/>
              <w:rPr>
                <w:sz w:val="20"/>
                <w:szCs w:val="20"/>
                <w:color w:val="auto"/>
              </w:rPr>
            </w:pPr>
            <w:r>
              <w:rPr>
                <w:rFonts w:ascii="Arial" w:cs="Arial" w:eastAsia="Arial" w:hAnsi="Arial"/>
                <w:sz w:val="16"/>
                <w:szCs w:val="16"/>
                <w:b w:val="1"/>
                <w:bCs w:val="1"/>
                <w:color w:val="auto"/>
              </w:rPr>
              <w:t>June 30,</w:t>
            </w:r>
          </w:p>
        </w:tc>
        <w:tc>
          <w:tcPr>
            <w:tcW w:w="260" w:type="dxa"/>
            <w:vAlign w:val="bottom"/>
          </w:tcPr>
          <w:p>
            <w:pPr>
              <w:spacing w:after="0"/>
              <w:rPr>
                <w:sz w:val="16"/>
                <w:szCs w:val="16"/>
                <w:color w:val="auto"/>
              </w:rPr>
            </w:pPr>
          </w:p>
        </w:tc>
        <w:tc>
          <w:tcPr>
            <w:tcW w:w="1600" w:type="dxa"/>
            <w:vAlign w:val="bottom"/>
            <w:gridSpan w:val="3"/>
          </w:tcPr>
          <w:p>
            <w:pPr>
              <w:jc w:val="right"/>
              <w:ind w:right="559"/>
              <w:spacing w:after="0"/>
              <w:rPr>
                <w:sz w:val="20"/>
                <w:szCs w:val="20"/>
                <w:color w:val="auto"/>
              </w:rPr>
            </w:pPr>
            <w:r>
              <w:rPr>
                <w:rFonts w:ascii="Arial" w:cs="Arial" w:eastAsia="Arial" w:hAnsi="Arial"/>
                <w:sz w:val="16"/>
                <w:szCs w:val="16"/>
                <w:b w:val="1"/>
                <w:bCs w:val="1"/>
                <w:color w:val="auto"/>
              </w:rPr>
              <w:t>June 30,</w:t>
            </w:r>
          </w:p>
        </w:tc>
        <w:tc>
          <w:tcPr>
            <w:tcW w:w="12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b w:val="1"/>
                <w:bCs w:val="1"/>
                <w:color w:val="auto"/>
              </w:rPr>
              <w:t>June 30,</w:t>
            </w:r>
          </w:p>
        </w:tc>
        <w:tc>
          <w:tcPr>
            <w:tcW w:w="560" w:type="dxa"/>
            <w:vAlign w:val="bottom"/>
          </w:tcPr>
          <w:p>
            <w:pPr>
              <w:spacing w:after="0"/>
              <w:rPr>
                <w:sz w:val="16"/>
                <w:szCs w:val="16"/>
                <w:color w:val="auto"/>
              </w:rPr>
            </w:pPr>
          </w:p>
        </w:tc>
        <w:tc>
          <w:tcPr>
            <w:tcW w:w="1920" w:type="dxa"/>
            <w:vAlign w:val="bottom"/>
            <w:gridSpan w:val="2"/>
          </w:tcPr>
          <w:p>
            <w:pPr>
              <w:jc w:val="right"/>
              <w:ind w:right="579"/>
              <w:spacing w:after="0"/>
              <w:rPr>
                <w:sz w:val="20"/>
                <w:szCs w:val="20"/>
                <w:color w:val="auto"/>
              </w:rPr>
            </w:pPr>
            <w:r>
              <w:rPr>
                <w:rFonts w:ascii="Arial" w:cs="Arial" w:eastAsia="Arial" w:hAnsi="Arial"/>
                <w:sz w:val="16"/>
                <w:szCs w:val="16"/>
                <w:b w:val="1"/>
                <w:bCs w:val="1"/>
                <w:color w:val="auto"/>
              </w:rPr>
              <w:t>June 30,</w:t>
            </w:r>
          </w:p>
        </w:tc>
      </w:tr>
      <w:tr>
        <w:trPr>
          <w:trHeight w:val="203"/>
        </w:trPr>
        <w:tc>
          <w:tcPr>
            <w:tcW w:w="27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By Business Unit</w:t>
            </w:r>
          </w:p>
        </w:tc>
        <w:tc>
          <w:tcPr>
            <w:tcW w:w="1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3"/>
          </w:tcPr>
          <w:p>
            <w:pPr>
              <w:jc w:val="right"/>
              <w:ind w:right="179"/>
              <w:spacing w:after="0"/>
              <w:rPr>
                <w:sz w:val="20"/>
                <w:szCs w:val="20"/>
                <w:color w:val="auto"/>
              </w:rPr>
            </w:pPr>
            <w:r>
              <w:rPr>
                <w:rFonts w:ascii="Arial" w:cs="Arial" w:eastAsia="Arial" w:hAnsi="Arial"/>
                <w:sz w:val="16"/>
                <w:szCs w:val="16"/>
                <w:b w:val="1"/>
                <w:bCs w:val="1"/>
                <w:color w:val="auto"/>
              </w:rPr>
              <w:t>2025</w:t>
            </w: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2024</w:t>
            </w:r>
          </w:p>
        </w:tc>
        <w:tc>
          <w:tcPr>
            <w:tcW w:w="2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2025</w:t>
            </w: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2024</w:t>
            </w: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2025</w:t>
            </w:r>
          </w:p>
        </w:tc>
        <w:tc>
          <w:tcPr>
            <w:tcW w:w="640" w:type="dxa"/>
            <w:vAlign w:val="bottom"/>
            <w:tcBorders>
              <w:bottom w:val="single" w:sz="8" w:color="auto"/>
            </w:tcBorders>
            <w:gridSpan w:val="2"/>
          </w:tcPr>
          <w:p>
            <w:pPr>
              <w:jc w:val="right"/>
              <w:ind w:right="159"/>
              <w:spacing w:after="0"/>
              <w:rPr>
                <w:sz w:val="20"/>
                <w:szCs w:val="20"/>
                <w:color w:val="auto"/>
              </w:rPr>
            </w:pPr>
            <w:r>
              <w:rPr>
                <w:rFonts w:ascii="Arial" w:cs="Arial" w:eastAsia="Arial" w:hAnsi="Arial"/>
                <w:sz w:val="16"/>
                <w:szCs w:val="16"/>
                <w:b w:val="1"/>
                <w:bCs w:val="1"/>
                <w:color w:val="auto"/>
              </w:rPr>
              <w:t>2024</w:t>
            </w:r>
          </w:p>
        </w:tc>
        <w:tc>
          <w:tcPr>
            <w:tcW w:w="10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2025</w:t>
            </w:r>
          </w:p>
        </w:tc>
        <w:tc>
          <w:tcPr>
            <w:tcW w:w="9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2024</w:t>
            </w:r>
          </w:p>
        </w:tc>
      </w:tr>
      <w:tr>
        <w:trPr>
          <w:trHeight w:val="183"/>
        </w:trPr>
        <w:tc>
          <w:tcPr>
            <w:tcW w:w="27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right"/>
              <w:ind w:right="419"/>
              <w:spacing w:after="0" w:line="183" w:lineRule="exact"/>
              <w:rPr>
                <w:sz w:val="20"/>
                <w:szCs w:val="20"/>
                <w:color w:val="auto"/>
              </w:rPr>
            </w:pPr>
            <w:r>
              <w:rPr>
                <w:rFonts w:ascii="Arial" w:cs="Arial" w:eastAsia="Arial" w:hAnsi="Arial"/>
                <w:sz w:val="16"/>
                <w:szCs w:val="16"/>
                <w:color w:val="auto"/>
              </w:rPr>
              <w:t>(in millions)</w:t>
            </w: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2"/>
          </w:tcPr>
          <w:p>
            <w:pPr>
              <w:jc w:val="right"/>
              <w:ind w:right="379"/>
              <w:spacing w:after="0" w:line="183" w:lineRule="exact"/>
              <w:rPr>
                <w:sz w:val="20"/>
                <w:szCs w:val="20"/>
                <w:color w:val="auto"/>
              </w:rPr>
            </w:pPr>
            <w:r>
              <w:rPr>
                <w:rFonts w:ascii="Arial" w:cs="Arial" w:eastAsia="Arial" w:hAnsi="Arial"/>
                <w:sz w:val="16"/>
                <w:szCs w:val="16"/>
                <w:color w:val="auto"/>
                <w:w w:val="99"/>
              </w:rPr>
              <w:t>(Dth in millions)</w:t>
            </w:r>
          </w:p>
        </w:tc>
        <w:tc>
          <w:tcPr>
            <w:tcW w:w="900" w:type="dxa"/>
            <w:vAlign w:val="bottom"/>
            <w:tcBorders>
              <w:bottom w:val="single" w:sz="8" w:color="auto"/>
            </w:tcBorders>
          </w:tcPr>
          <w:p>
            <w:pPr>
              <w:spacing w:after="0"/>
              <w:rPr>
                <w:sz w:val="15"/>
                <w:szCs w:val="15"/>
                <w:color w:val="auto"/>
              </w:rPr>
            </w:pPr>
          </w:p>
        </w:tc>
      </w:tr>
      <w:tr>
        <w:trPr>
          <w:trHeight w:val="183"/>
        </w:trPr>
        <w:tc>
          <w:tcPr>
            <w:tcW w:w="27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Arkansas Gas</w:t>
            </w:r>
          </w:p>
        </w:tc>
        <w:tc>
          <w:tcPr>
            <w:tcW w:w="1240" w:type="dxa"/>
            <w:vAlign w:val="bottom"/>
            <w:shd w:val="clear" w:color="auto" w:fill="CFF0FC"/>
          </w:tcPr>
          <w:p>
            <w:pPr>
              <w:spacing w:after="0"/>
              <w:rPr>
                <w:sz w:val="15"/>
                <w:szCs w:val="15"/>
                <w:color w:val="auto"/>
              </w:rPr>
            </w:pPr>
          </w:p>
        </w:tc>
        <w:tc>
          <w:tcPr>
            <w:tcW w:w="500" w:type="dxa"/>
            <w:vAlign w:val="bottom"/>
            <w:gridSpan w:val="2"/>
            <w:shd w:val="clear" w:color="auto" w:fill="CFF0FC"/>
          </w:tcPr>
          <w:p>
            <w:pPr>
              <w:ind w:left="140"/>
              <w:spacing w:after="0" w:line="183" w:lineRule="exact"/>
              <w:rPr>
                <w:sz w:val="20"/>
                <w:szCs w:val="20"/>
                <w:color w:val="auto"/>
              </w:rPr>
            </w:pPr>
            <w:r>
              <w:rPr>
                <w:rFonts w:ascii="Arial" w:cs="Arial" w:eastAsia="Arial" w:hAnsi="Arial"/>
                <w:sz w:val="16"/>
                <w:szCs w:val="16"/>
                <w:color w:val="auto"/>
              </w:rPr>
              <w:t>$</w:t>
            </w:r>
          </w:p>
        </w:tc>
        <w:tc>
          <w:tcPr>
            <w:tcW w:w="4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40.7</w:t>
            </w:r>
          </w:p>
        </w:tc>
        <w:tc>
          <w:tcPr>
            <w:tcW w:w="1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31.2</w:t>
            </w:r>
          </w:p>
        </w:tc>
        <w:tc>
          <w:tcPr>
            <w:tcW w:w="260" w:type="dxa"/>
            <w:vAlign w:val="bottom"/>
            <w:shd w:val="clear" w:color="auto" w:fill="CFF0FC"/>
          </w:tcPr>
          <w:p>
            <w:pPr>
              <w:jc w:val="center"/>
              <w:spacing w:after="0" w:line="183" w:lineRule="exact"/>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165.5</w:t>
            </w:r>
          </w:p>
        </w:tc>
        <w:tc>
          <w:tcPr>
            <w:tcW w:w="2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rPr>
              <w:t>141.8</w:t>
            </w:r>
          </w:p>
        </w:tc>
        <w:tc>
          <w:tcPr>
            <w:tcW w:w="12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239"/>
              <w:spacing w:after="0" w:line="183" w:lineRule="exact"/>
              <w:rPr>
                <w:sz w:val="20"/>
                <w:szCs w:val="20"/>
                <w:color w:val="auto"/>
              </w:rPr>
            </w:pPr>
            <w:r>
              <w:rPr>
                <w:rFonts w:ascii="Arial" w:cs="Arial" w:eastAsia="Arial" w:hAnsi="Arial"/>
                <w:sz w:val="16"/>
                <w:szCs w:val="16"/>
                <w:color w:val="auto"/>
              </w:rPr>
              <w:t>5.3</w:t>
            </w:r>
          </w:p>
        </w:tc>
        <w:tc>
          <w:tcPr>
            <w:tcW w:w="8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5.0</w:t>
            </w:r>
          </w:p>
        </w:tc>
        <w:tc>
          <w:tcPr>
            <w:tcW w:w="102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18.5</w:t>
            </w:r>
          </w:p>
        </w:tc>
        <w:tc>
          <w:tcPr>
            <w:tcW w:w="90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17.0</w:t>
            </w:r>
          </w:p>
        </w:tc>
      </w:tr>
      <w:tr>
        <w:trPr>
          <w:trHeight w:val="189"/>
        </w:trPr>
        <w:tc>
          <w:tcPr>
            <w:tcW w:w="2700" w:type="dxa"/>
            <w:vAlign w:val="bottom"/>
          </w:tcPr>
          <w:p>
            <w:pPr>
              <w:spacing w:after="0"/>
              <w:rPr>
                <w:sz w:val="20"/>
                <w:szCs w:val="20"/>
                <w:color w:val="auto"/>
              </w:rPr>
            </w:pPr>
            <w:r>
              <w:rPr>
                <w:rFonts w:ascii="Arial" w:cs="Arial" w:eastAsia="Arial" w:hAnsi="Arial"/>
                <w:sz w:val="16"/>
                <w:szCs w:val="16"/>
                <w:color w:val="auto"/>
              </w:rPr>
              <w:t>Colorado Gas</w:t>
            </w: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39.0</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42.3</w:t>
            </w:r>
          </w:p>
        </w:tc>
        <w:tc>
          <w:tcPr>
            <w:tcW w:w="260" w:type="dxa"/>
            <w:vAlign w:val="bottom"/>
          </w:tcPr>
          <w:p>
            <w:pPr>
              <w:spacing w:after="0"/>
              <w:rPr>
                <w:sz w:val="16"/>
                <w:szCs w:val="16"/>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154.8</w:t>
            </w:r>
          </w:p>
        </w:tc>
        <w:tc>
          <w:tcPr>
            <w:tcW w:w="200" w:type="dxa"/>
            <w:vAlign w:val="bottom"/>
          </w:tcPr>
          <w:p>
            <w:pPr>
              <w:spacing w:after="0"/>
              <w:rPr>
                <w:sz w:val="16"/>
                <w:szCs w:val="16"/>
                <w:color w:val="auto"/>
              </w:rPr>
            </w:pP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160.0</w:t>
            </w:r>
          </w:p>
        </w:tc>
        <w:tc>
          <w:tcPr>
            <w:tcW w:w="120" w:type="dxa"/>
            <w:vAlign w:val="bottom"/>
          </w:tcPr>
          <w:p>
            <w:pPr>
              <w:spacing w:after="0"/>
              <w:rPr>
                <w:sz w:val="16"/>
                <w:szCs w:val="16"/>
                <w:color w:val="auto"/>
              </w:rPr>
            </w:pPr>
          </w:p>
        </w:tc>
        <w:tc>
          <w:tcPr>
            <w:tcW w:w="960" w:type="dxa"/>
            <w:vAlign w:val="bottom"/>
          </w:tcPr>
          <w:p>
            <w:pPr>
              <w:jc w:val="right"/>
              <w:ind w:right="239"/>
              <w:spacing w:after="0"/>
              <w:rPr>
                <w:sz w:val="20"/>
                <w:szCs w:val="20"/>
                <w:color w:val="auto"/>
              </w:rPr>
            </w:pPr>
            <w:r>
              <w:rPr>
                <w:rFonts w:ascii="Arial" w:cs="Arial" w:eastAsia="Arial" w:hAnsi="Arial"/>
                <w:sz w:val="16"/>
                <w:szCs w:val="16"/>
                <w:color w:val="auto"/>
              </w:rPr>
              <w:t>5.2</w:t>
            </w: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5.1</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18.4</w:t>
            </w: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18.0</w:t>
            </w:r>
          </w:p>
        </w:tc>
      </w:tr>
      <w:tr>
        <w:trPr>
          <w:trHeight w:val="189"/>
        </w:trPr>
        <w:tc>
          <w:tcPr>
            <w:tcW w:w="2700" w:type="dxa"/>
            <w:vAlign w:val="bottom"/>
            <w:shd w:val="clear" w:color="auto" w:fill="CFF0FC"/>
          </w:tcPr>
          <w:p>
            <w:pPr>
              <w:spacing w:after="0"/>
              <w:rPr>
                <w:sz w:val="20"/>
                <w:szCs w:val="20"/>
                <w:color w:val="auto"/>
              </w:rPr>
            </w:pPr>
            <w:r>
              <w:rPr>
                <w:rFonts w:ascii="Arial" w:cs="Arial" w:eastAsia="Arial" w:hAnsi="Arial"/>
                <w:sz w:val="16"/>
                <w:szCs w:val="16"/>
                <w:color w:val="auto"/>
              </w:rPr>
              <w:t>Iowa Gas</w:t>
            </w:r>
          </w:p>
        </w:tc>
        <w:tc>
          <w:tcPr>
            <w:tcW w:w="1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30.1</w:t>
            </w:r>
          </w:p>
        </w:tc>
        <w:tc>
          <w:tcPr>
            <w:tcW w:w="16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27.6</w:t>
            </w:r>
          </w:p>
        </w:tc>
        <w:tc>
          <w:tcPr>
            <w:tcW w:w="26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116.9</w:t>
            </w:r>
          </w:p>
        </w:tc>
        <w:tc>
          <w:tcPr>
            <w:tcW w:w="20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89.4</w:t>
            </w:r>
          </w:p>
        </w:tc>
        <w:tc>
          <w:tcPr>
            <w:tcW w:w="120" w:type="dxa"/>
            <w:vAlign w:val="bottom"/>
            <w:shd w:val="clear" w:color="auto" w:fill="CFF0FC"/>
          </w:tcPr>
          <w:p>
            <w:pPr>
              <w:spacing w:after="0"/>
              <w:rPr>
                <w:sz w:val="16"/>
                <w:szCs w:val="16"/>
                <w:color w:val="auto"/>
              </w:rPr>
            </w:pPr>
          </w:p>
        </w:tc>
        <w:tc>
          <w:tcPr>
            <w:tcW w:w="960" w:type="dxa"/>
            <w:vAlign w:val="bottom"/>
            <w:shd w:val="clear" w:color="auto" w:fill="CFF0FC"/>
          </w:tcPr>
          <w:p>
            <w:pPr>
              <w:jc w:val="right"/>
              <w:ind w:right="239"/>
              <w:spacing w:after="0"/>
              <w:rPr>
                <w:sz w:val="20"/>
                <w:szCs w:val="20"/>
                <w:color w:val="auto"/>
              </w:rPr>
            </w:pPr>
            <w:r>
              <w:rPr>
                <w:rFonts w:ascii="Arial" w:cs="Arial" w:eastAsia="Arial" w:hAnsi="Arial"/>
                <w:sz w:val="16"/>
                <w:szCs w:val="16"/>
                <w:color w:val="auto"/>
              </w:rPr>
              <w:t>6.9</w:t>
            </w:r>
          </w:p>
        </w:tc>
        <w:tc>
          <w:tcPr>
            <w:tcW w:w="8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w:t>
            </w: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22.1</w:t>
            </w:r>
          </w:p>
        </w:tc>
        <w:tc>
          <w:tcPr>
            <w:tcW w:w="9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20.6</w:t>
            </w:r>
          </w:p>
        </w:tc>
      </w:tr>
      <w:tr>
        <w:trPr>
          <w:trHeight w:val="189"/>
        </w:trPr>
        <w:tc>
          <w:tcPr>
            <w:tcW w:w="2700" w:type="dxa"/>
            <w:vAlign w:val="bottom"/>
          </w:tcPr>
          <w:p>
            <w:pPr>
              <w:spacing w:after="0"/>
              <w:rPr>
                <w:sz w:val="20"/>
                <w:szCs w:val="20"/>
                <w:color w:val="auto"/>
              </w:rPr>
            </w:pPr>
            <w:r>
              <w:rPr>
                <w:rFonts w:ascii="Arial" w:cs="Arial" w:eastAsia="Arial" w:hAnsi="Arial"/>
                <w:sz w:val="16"/>
                <w:szCs w:val="16"/>
                <w:color w:val="auto"/>
              </w:rPr>
              <w:t>Kansas Gas</w:t>
            </w: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25.1</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20.9</w:t>
            </w:r>
          </w:p>
        </w:tc>
        <w:tc>
          <w:tcPr>
            <w:tcW w:w="260" w:type="dxa"/>
            <w:vAlign w:val="bottom"/>
          </w:tcPr>
          <w:p>
            <w:pPr>
              <w:spacing w:after="0"/>
              <w:rPr>
                <w:sz w:val="16"/>
                <w:szCs w:val="16"/>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91.2</w:t>
            </w:r>
          </w:p>
        </w:tc>
        <w:tc>
          <w:tcPr>
            <w:tcW w:w="200" w:type="dxa"/>
            <w:vAlign w:val="bottom"/>
          </w:tcPr>
          <w:p>
            <w:pPr>
              <w:spacing w:after="0"/>
              <w:rPr>
                <w:sz w:val="16"/>
                <w:szCs w:val="16"/>
                <w:color w:val="auto"/>
              </w:rPr>
            </w:pP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71.2</w:t>
            </w:r>
          </w:p>
        </w:tc>
        <w:tc>
          <w:tcPr>
            <w:tcW w:w="120" w:type="dxa"/>
            <w:vAlign w:val="bottom"/>
          </w:tcPr>
          <w:p>
            <w:pPr>
              <w:spacing w:after="0"/>
              <w:rPr>
                <w:sz w:val="16"/>
                <w:szCs w:val="16"/>
                <w:color w:val="auto"/>
              </w:rPr>
            </w:pPr>
          </w:p>
        </w:tc>
        <w:tc>
          <w:tcPr>
            <w:tcW w:w="960" w:type="dxa"/>
            <w:vAlign w:val="bottom"/>
          </w:tcPr>
          <w:p>
            <w:pPr>
              <w:jc w:val="right"/>
              <w:ind w:right="239"/>
              <w:spacing w:after="0"/>
              <w:rPr>
                <w:sz w:val="20"/>
                <w:szCs w:val="20"/>
                <w:color w:val="auto"/>
              </w:rPr>
            </w:pPr>
            <w:r>
              <w:rPr>
                <w:rFonts w:ascii="Arial" w:cs="Arial" w:eastAsia="Arial" w:hAnsi="Arial"/>
                <w:sz w:val="16"/>
                <w:szCs w:val="16"/>
                <w:color w:val="auto"/>
              </w:rPr>
              <w:t>7.6</w:t>
            </w: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7.9</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19.3</w:t>
            </w: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17.6</w:t>
            </w:r>
          </w:p>
        </w:tc>
      </w:tr>
      <w:tr>
        <w:trPr>
          <w:trHeight w:val="189"/>
        </w:trPr>
        <w:tc>
          <w:tcPr>
            <w:tcW w:w="2700" w:type="dxa"/>
            <w:vAlign w:val="bottom"/>
            <w:shd w:val="clear" w:color="auto" w:fill="CFF0FC"/>
          </w:tcPr>
          <w:p>
            <w:pPr>
              <w:spacing w:after="0"/>
              <w:rPr>
                <w:sz w:val="20"/>
                <w:szCs w:val="20"/>
                <w:color w:val="auto"/>
              </w:rPr>
            </w:pPr>
            <w:r>
              <w:rPr>
                <w:rFonts w:ascii="Arial" w:cs="Arial" w:eastAsia="Arial" w:hAnsi="Arial"/>
                <w:sz w:val="16"/>
                <w:szCs w:val="16"/>
                <w:color w:val="auto"/>
              </w:rPr>
              <w:t>Nebraska Gas</w:t>
            </w:r>
          </w:p>
        </w:tc>
        <w:tc>
          <w:tcPr>
            <w:tcW w:w="1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57.9</w:t>
            </w:r>
          </w:p>
        </w:tc>
        <w:tc>
          <w:tcPr>
            <w:tcW w:w="16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50.4</w:t>
            </w:r>
          </w:p>
        </w:tc>
        <w:tc>
          <w:tcPr>
            <w:tcW w:w="26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188.1</w:t>
            </w:r>
          </w:p>
        </w:tc>
        <w:tc>
          <w:tcPr>
            <w:tcW w:w="20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164.7</w:t>
            </w:r>
          </w:p>
        </w:tc>
        <w:tc>
          <w:tcPr>
            <w:tcW w:w="120" w:type="dxa"/>
            <w:vAlign w:val="bottom"/>
            <w:shd w:val="clear" w:color="auto" w:fill="CFF0FC"/>
          </w:tcPr>
          <w:p>
            <w:pPr>
              <w:spacing w:after="0"/>
              <w:rPr>
                <w:sz w:val="16"/>
                <w:szCs w:val="16"/>
                <w:color w:val="auto"/>
              </w:rPr>
            </w:pPr>
          </w:p>
        </w:tc>
        <w:tc>
          <w:tcPr>
            <w:tcW w:w="960" w:type="dxa"/>
            <w:vAlign w:val="bottom"/>
            <w:shd w:val="clear" w:color="auto" w:fill="CFF0FC"/>
          </w:tcPr>
          <w:p>
            <w:pPr>
              <w:jc w:val="right"/>
              <w:ind w:right="239"/>
              <w:spacing w:after="0"/>
              <w:rPr>
                <w:sz w:val="20"/>
                <w:szCs w:val="20"/>
                <w:color w:val="auto"/>
              </w:rPr>
            </w:pPr>
            <w:r>
              <w:rPr>
                <w:rFonts w:ascii="Arial" w:cs="Arial" w:eastAsia="Arial" w:hAnsi="Arial"/>
                <w:sz w:val="16"/>
                <w:szCs w:val="16"/>
                <w:color w:val="auto"/>
              </w:rPr>
              <w:t>16.4</w:t>
            </w:r>
          </w:p>
        </w:tc>
        <w:tc>
          <w:tcPr>
            <w:tcW w:w="8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14.5</w:t>
            </w: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46.1</w:t>
            </w:r>
          </w:p>
        </w:tc>
        <w:tc>
          <w:tcPr>
            <w:tcW w:w="9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41.6</w:t>
            </w:r>
          </w:p>
        </w:tc>
      </w:tr>
      <w:tr>
        <w:trPr>
          <w:trHeight w:val="189"/>
        </w:trPr>
        <w:tc>
          <w:tcPr>
            <w:tcW w:w="2700" w:type="dxa"/>
            <w:vAlign w:val="bottom"/>
          </w:tcPr>
          <w:p>
            <w:pPr>
              <w:spacing w:after="0"/>
              <w:rPr>
                <w:sz w:val="20"/>
                <w:szCs w:val="20"/>
                <w:color w:val="auto"/>
              </w:rPr>
            </w:pPr>
            <w:r>
              <w:rPr>
                <w:rFonts w:ascii="Arial" w:cs="Arial" w:eastAsia="Arial" w:hAnsi="Arial"/>
                <w:sz w:val="16"/>
                <w:szCs w:val="16"/>
                <w:color w:val="auto"/>
              </w:rPr>
              <w:t>Wyoming Gas</w:t>
            </w: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30.2</w:t>
            </w: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w:t>
            </w:r>
          </w:p>
        </w:tc>
        <w:tc>
          <w:tcPr>
            <w:tcW w:w="2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78.9</w:t>
            </w: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83.5</w:t>
            </w: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7.4</w:t>
            </w:r>
          </w:p>
        </w:tc>
        <w:tc>
          <w:tcPr>
            <w:tcW w:w="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w:t>
            </w: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20.6</w:t>
            </w: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20.7</w:t>
            </w:r>
          </w:p>
        </w:tc>
      </w:tr>
      <w:tr>
        <w:trPr>
          <w:trHeight w:val="203"/>
        </w:trPr>
        <w:tc>
          <w:tcPr>
            <w:tcW w:w="2700" w:type="dxa"/>
            <w:vAlign w:val="bottom"/>
            <w:shd w:val="clear" w:color="auto" w:fill="CFF0FC"/>
          </w:tcPr>
          <w:p>
            <w:pPr>
              <w:ind w:left="40"/>
              <w:spacing w:after="0" w:line="169" w:lineRule="exact"/>
              <w:rPr>
                <w:sz w:val="20"/>
                <w:szCs w:val="20"/>
                <w:color w:val="auto"/>
              </w:rPr>
            </w:pPr>
            <w:r>
              <w:rPr>
                <w:rFonts w:ascii="Arial" w:cs="Arial" w:eastAsia="Arial" w:hAnsi="Arial"/>
                <w:sz w:val="16"/>
                <w:szCs w:val="16"/>
                <w:color w:val="auto"/>
              </w:rPr>
              <w:t>Total Revenue and Quantities Sold</w:t>
            </w:r>
          </w:p>
        </w:tc>
        <w:tc>
          <w:tcPr>
            <w:tcW w:w="1240" w:type="dxa"/>
            <w:vAlign w:val="bottom"/>
            <w:shd w:val="clear" w:color="auto" w:fill="CFF0FC"/>
          </w:tcPr>
          <w:p>
            <w:pPr>
              <w:spacing w:after="0"/>
              <w:rPr>
                <w:sz w:val="17"/>
                <w:szCs w:val="17"/>
                <w:color w:val="auto"/>
              </w:rPr>
            </w:pPr>
          </w:p>
        </w:tc>
        <w:tc>
          <w:tcPr>
            <w:tcW w:w="500" w:type="dxa"/>
            <w:vAlign w:val="bottom"/>
            <w:gridSpan w:val="2"/>
            <w:shd w:val="clear" w:color="auto" w:fill="CFF0FC"/>
          </w:tcPr>
          <w:p>
            <w:pPr>
              <w:ind w:left="140"/>
              <w:spacing w:after="0" w:line="169" w:lineRule="exact"/>
              <w:rPr>
                <w:sz w:val="20"/>
                <w:szCs w:val="20"/>
                <w:color w:val="auto"/>
              </w:rPr>
            </w:pPr>
            <w:r>
              <w:rPr>
                <w:rFonts w:ascii="Arial" w:cs="Arial" w:eastAsia="Arial" w:hAnsi="Arial"/>
                <w:sz w:val="16"/>
                <w:szCs w:val="16"/>
                <w:color w:val="auto"/>
              </w:rPr>
              <w:t>$</w:t>
            </w:r>
          </w:p>
        </w:tc>
        <w:tc>
          <w:tcPr>
            <w:tcW w:w="46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w w:val="94"/>
              </w:rPr>
              <w:t>223.0</w:t>
            </w:r>
          </w:p>
        </w:tc>
        <w:tc>
          <w:tcPr>
            <w:tcW w:w="16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202.0</w:t>
            </w:r>
          </w:p>
        </w:tc>
        <w:tc>
          <w:tcPr>
            <w:tcW w:w="260" w:type="dxa"/>
            <w:vAlign w:val="bottom"/>
            <w:shd w:val="clear" w:color="auto" w:fill="CFF0FC"/>
          </w:tcPr>
          <w:p>
            <w:pPr>
              <w:jc w:val="center"/>
              <w:spacing w:after="0" w:line="169" w:lineRule="exact"/>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ind w:right="19"/>
              <w:spacing w:after="0" w:line="169" w:lineRule="exact"/>
              <w:rPr>
                <w:sz w:val="20"/>
                <w:szCs w:val="20"/>
                <w:color w:val="auto"/>
              </w:rPr>
            </w:pPr>
            <w:r>
              <w:rPr>
                <w:rFonts w:ascii="Arial" w:cs="Arial" w:eastAsia="Arial" w:hAnsi="Arial"/>
                <w:sz w:val="16"/>
                <w:szCs w:val="16"/>
                <w:color w:val="auto"/>
              </w:rPr>
              <w:t>795.4</w:t>
            </w:r>
          </w:p>
        </w:tc>
        <w:tc>
          <w:tcPr>
            <w:tcW w:w="20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ind w:right="79"/>
              <w:spacing w:after="0" w:line="169" w:lineRule="exact"/>
              <w:rPr>
                <w:sz w:val="20"/>
                <w:szCs w:val="20"/>
                <w:color w:val="auto"/>
              </w:rPr>
            </w:pPr>
            <w:r>
              <w:rPr>
                <w:rFonts w:ascii="Arial" w:cs="Arial" w:eastAsia="Arial" w:hAnsi="Arial"/>
                <w:sz w:val="16"/>
                <w:szCs w:val="16"/>
                <w:color w:val="auto"/>
              </w:rPr>
              <w:t>710.6</w:t>
            </w: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239"/>
              <w:spacing w:after="0" w:line="169" w:lineRule="exact"/>
              <w:rPr>
                <w:sz w:val="20"/>
                <w:szCs w:val="20"/>
                <w:color w:val="auto"/>
              </w:rPr>
            </w:pPr>
            <w:r>
              <w:rPr>
                <w:rFonts w:ascii="Arial" w:cs="Arial" w:eastAsia="Arial" w:hAnsi="Arial"/>
                <w:sz w:val="16"/>
                <w:szCs w:val="16"/>
                <w:color w:val="auto"/>
              </w:rPr>
              <w:t>48.8</w:t>
            </w:r>
          </w:p>
        </w:tc>
        <w:tc>
          <w:tcPr>
            <w:tcW w:w="8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47.1</w:t>
            </w:r>
          </w:p>
        </w:tc>
        <w:tc>
          <w:tcPr>
            <w:tcW w:w="1020" w:type="dxa"/>
            <w:vAlign w:val="bottom"/>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rPr>
              <w:t>145.0</w:t>
            </w:r>
          </w:p>
        </w:tc>
        <w:tc>
          <w:tcPr>
            <w:tcW w:w="900" w:type="dxa"/>
            <w:vAlign w:val="bottom"/>
            <w:shd w:val="clear" w:color="auto" w:fill="CFF0FC"/>
          </w:tcPr>
          <w:p>
            <w:pPr>
              <w:jc w:val="right"/>
              <w:ind w:right="59"/>
              <w:spacing w:after="0" w:line="169" w:lineRule="exact"/>
              <w:rPr>
                <w:sz w:val="20"/>
                <w:szCs w:val="20"/>
                <w:color w:val="auto"/>
              </w:rPr>
            </w:pPr>
            <w:r>
              <w:rPr>
                <w:rFonts w:ascii="Arial" w:cs="Arial" w:eastAsia="Arial" w:hAnsi="Arial"/>
                <w:sz w:val="16"/>
                <w:szCs w:val="16"/>
                <w:color w:val="auto"/>
              </w:rPr>
              <w:t>135.5</w:t>
            </w:r>
          </w:p>
        </w:tc>
      </w:tr>
      <w:tr>
        <w:trPr>
          <w:trHeight w:val="20"/>
        </w:trPr>
        <w:tc>
          <w:tcPr>
            <w:tcW w:w="2700" w:type="dxa"/>
            <w:vAlign w:val="bottom"/>
            <w:tcBorders>
              <w:top w:val="single" w:sz="8" w:color="CFF0FC"/>
            </w:tcBorders>
            <w:shd w:val="clear" w:color="auto" w:fill="CFF0FC"/>
          </w:tcPr>
          <w:p>
            <w:pPr>
              <w:spacing w:after="0" w:line="20" w:lineRule="exact"/>
              <w:rPr>
                <w:sz w:val="1"/>
                <w:szCs w:val="1"/>
                <w:color w:val="auto"/>
              </w:rPr>
            </w:pPr>
          </w:p>
        </w:tc>
        <w:tc>
          <w:tcPr>
            <w:tcW w:w="1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r>
      <w:tr>
        <w:trPr>
          <w:trHeight w:val="344"/>
        </w:trPr>
        <w:tc>
          <w:tcPr>
            <w:tcW w:w="2700" w:type="dxa"/>
            <w:vAlign w:val="bottom"/>
          </w:tcPr>
          <w:p>
            <w:pPr>
              <w:spacing w:after="0"/>
              <w:rPr>
                <w:sz w:val="24"/>
                <w:szCs w:val="24"/>
                <w:color w:val="auto"/>
              </w:rPr>
            </w:pPr>
          </w:p>
        </w:tc>
        <w:tc>
          <w:tcPr>
            <w:tcW w:w="3300" w:type="dxa"/>
            <w:vAlign w:val="bottom"/>
            <w:gridSpan w:val="7"/>
          </w:tcPr>
          <w:p>
            <w:pPr>
              <w:ind w:left="980"/>
              <w:spacing w:after="0"/>
              <w:rPr>
                <w:sz w:val="20"/>
                <w:szCs w:val="20"/>
                <w:color w:val="auto"/>
              </w:rPr>
            </w:pPr>
            <w:r>
              <w:rPr>
                <w:rFonts w:ascii="Arial" w:cs="Arial" w:eastAsia="Arial" w:hAnsi="Arial"/>
                <w:sz w:val="16"/>
                <w:szCs w:val="16"/>
                <w:b w:val="1"/>
                <w:bCs w:val="1"/>
                <w:color w:val="auto"/>
              </w:rPr>
              <w:t>Three Months Ended June 30,</w:t>
            </w: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20" w:type="dxa"/>
            <w:vAlign w:val="bottom"/>
            <w:gridSpan w:val="4"/>
          </w:tcPr>
          <w:p>
            <w:pPr>
              <w:jc w:val="right"/>
              <w:ind w:right="119"/>
              <w:spacing w:after="0"/>
              <w:rPr>
                <w:sz w:val="20"/>
                <w:szCs w:val="20"/>
                <w:color w:val="auto"/>
              </w:rPr>
            </w:pPr>
            <w:r>
              <w:rPr>
                <w:rFonts w:ascii="Arial" w:cs="Arial" w:eastAsia="Arial" w:hAnsi="Arial"/>
                <w:sz w:val="16"/>
                <w:szCs w:val="16"/>
                <w:b w:val="1"/>
                <w:bCs w:val="1"/>
                <w:color w:val="auto"/>
              </w:rPr>
              <w:t>Six Months Ended June 30,</w:t>
            </w:r>
          </w:p>
        </w:tc>
        <w:tc>
          <w:tcPr>
            <w:tcW w:w="900" w:type="dxa"/>
            <w:vAlign w:val="bottom"/>
          </w:tcPr>
          <w:p>
            <w:pPr>
              <w:spacing w:after="0"/>
              <w:rPr>
                <w:sz w:val="24"/>
                <w:szCs w:val="24"/>
                <w:color w:val="auto"/>
              </w:rPr>
            </w:pPr>
          </w:p>
        </w:tc>
      </w:tr>
      <w:tr>
        <w:trPr>
          <w:trHeight w:val="203"/>
        </w:trPr>
        <w:tc>
          <w:tcPr>
            <w:tcW w:w="2700" w:type="dxa"/>
            <w:vAlign w:val="bottom"/>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1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2024</w:t>
            </w: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900" w:type="dxa"/>
            <w:vAlign w:val="bottom"/>
            <w:tcBorders>
              <w:bottom w:val="single" w:sz="8" w:color="auto"/>
            </w:tcBorders>
          </w:tcPr>
          <w:p>
            <w:pPr>
              <w:spacing w:after="0"/>
              <w:rPr>
                <w:sz w:val="17"/>
                <w:szCs w:val="17"/>
                <w:color w:val="auto"/>
              </w:rPr>
            </w:pPr>
          </w:p>
        </w:tc>
      </w:tr>
      <w:tr>
        <w:trPr>
          <w:trHeight w:val="168"/>
        </w:trPr>
        <w:tc>
          <w:tcPr>
            <w:tcW w:w="2700" w:type="dxa"/>
            <w:vAlign w:val="bottom"/>
          </w:tcPr>
          <w:p>
            <w:pPr>
              <w:spacing w:after="0"/>
              <w:rPr>
                <w:sz w:val="14"/>
                <w:szCs w:val="14"/>
                <w:color w:val="auto"/>
              </w:rPr>
            </w:pPr>
          </w:p>
        </w:tc>
        <w:tc>
          <w:tcPr>
            <w:tcW w:w="2200" w:type="dxa"/>
            <w:vAlign w:val="bottom"/>
            <w:gridSpan w:val="4"/>
          </w:tcPr>
          <w:p>
            <w:pPr>
              <w:jc w:val="right"/>
              <w:ind w:right="79"/>
              <w:spacing w:after="0" w:line="168" w:lineRule="exact"/>
              <w:rPr>
                <w:sz w:val="20"/>
                <w:szCs w:val="20"/>
                <w:color w:val="auto"/>
              </w:rPr>
            </w:pPr>
            <w:r>
              <w:rPr>
                <w:rFonts w:ascii="Arial" w:cs="Arial" w:eastAsia="Arial" w:hAnsi="Arial"/>
                <w:sz w:val="16"/>
                <w:szCs w:val="16"/>
                <w:b w:val="1"/>
                <w:bCs w:val="1"/>
                <w:color w:val="auto"/>
              </w:rPr>
              <w:t>Variance from</w:t>
            </w: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20" w:type="dxa"/>
            <w:vAlign w:val="bottom"/>
            <w:gridSpan w:val="3"/>
          </w:tcPr>
          <w:p>
            <w:pPr>
              <w:jc w:val="right"/>
              <w:spacing w:after="0" w:line="168" w:lineRule="exact"/>
              <w:rPr>
                <w:sz w:val="20"/>
                <w:szCs w:val="20"/>
                <w:color w:val="auto"/>
              </w:rPr>
            </w:pPr>
            <w:r>
              <w:rPr>
                <w:rFonts w:ascii="Arial" w:cs="Arial" w:eastAsia="Arial" w:hAnsi="Arial"/>
                <w:sz w:val="16"/>
                <w:szCs w:val="16"/>
                <w:b w:val="1"/>
                <w:bCs w:val="1"/>
                <w:color w:val="auto"/>
              </w:rPr>
              <w:t>Variance from</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3"/>
          </w:tcPr>
          <w:p>
            <w:pPr>
              <w:jc w:val="right"/>
              <w:ind w:right="259"/>
              <w:spacing w:after="0" w:line="168" w:lineRule="exact"/>
              <w:rPr>
                <w:sz w:val="20"/>
                <w:szCs w:val="20"/>
                <w:color w:val="auto"/>
              </w:rPr>
            </w:pPr>
            <w:r>
              <w:rPr>
                <w:rFonts w:ascii="Arial" w:cs="Arial" w:eastAsia="Arial" w:hAnsi="Arial"/>
                <w:sz w:val="16"/>
                <w:szCs w:val="16"/>
                <w:b w:val="1"/>
                <w:bCs w:val="1"/>
                <w:color w:val="auto"/>
              </w:rPr>
              <w:t>Variance from</w:t>
            </w:r>
          </w:p>
        </w:tc>
        <w:tc>
          <w:tcPr>
            <w:tcW w:w="1920" w:type="dxa"/>
            <w:vAlign w:val="bottom"/>
            <w:gridSpan w:val="2"/>
          </w:tcPr>
          <w:p>
            <w:pPr>
              <w:jc w:val="right"/>
              <w:ind w:right="19"/>
              <w:spacing w:after="0" w:line="168" w:lineRule="exact"/>
              <w:rPr>
                <w:sz w:val="20"/>
                <w:szCs w:val="20"/>
                <w:color w:val="auto"/>
              </w:rPr>
            </w:pPr>
            <w:r>
              <w:rPr>
                <w:rFonts w:ascii="Arial" w:cs="Arial" w:eastAsia="Arial" w:hAnsi="Arial"/>
                <w:sz w:val="16"/>
                <w:szCs w:val="16"/>
                <w:b w:val="1"/>
                <w:bCs w:val="1"/>
                <w:color w:val="auto"/>
              </w:rPr>
              <w:t>Variance from</w:t>
            </w:r>
          </w:p>
        </w:tc>
      </w:tr>
      <w:tr>
        <w:trPr>
          <w:trHeight w:val="203"/>
        </w:trPr>
        <w:tc>
          <w:tcPr>
            <w:tcW w:w="27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Heating Degree Days</w:t>
            </w:r>
          </w:p>
        </w:tc>
        <w:tc>
          <w:tcPr>
            <w:tcW w:w="12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Actual</w:t>
            </w:r>
          </w:p>
        </w:tc>
        <w:tc>
          <w:tcPr>
            <w:tcW w:w="960" w:type="dxa"/>
            <w:vAlign w:val="bottom"/>
            <w:tcBorders>
              <w:bottom w:val="single" w:sz="8" w:color="auto"/>
            </w:tcBorders>
            <w:gridSpan w:val="3"/>
          </w:tcPr>
          <w:p>
            <w:pPr>
              <w:jc w:val="right"/>
              <w:ind w:right="319"/>
              <w:spacing w:after="0"/>
              <w:rPr>
                <w:sz w:val="20"/>
                <w:szCs w:val="20"/>
                <w:color w:val="auto"/>
              </w:rPr>
            </w:pPr>
            <w:r>
              <w:rPr>
                <w:rFonts w:ascii="Arial" w:cs="Arial" w:eastAsia="Arial" w:hAnsi="Arial"/>
                <w:sz w:val="16"/>
                <w:szCs w:val="16"/>
                <w:b w:val="1"/>
                <w:bCs w:val="1"/>
                <w:color w:val="auto"/>
                <w:w w:val="97"/>
              </w:rPr>
              <w:t>Normal</w:t>
            </w:r>
          </w:p>
        </w:tc>
        <w:tc>
          <w:tcPr>
            <w:tcW w:w="840" w:type="dxa"/>
            <w:vAlign w:val="bottom"/>
            <w:tcBorders>
              <w:bottom w:val="single" w:sz="8" w:color="auto"/>
            </w:tcBorders>
            <w:gridSpan w:val="2"/>
          </w:tcPr>
          <w:p>
            <w:pPr>
              <w:jc w:val="right"/>
              <w:ind w:right="139"/>
              <w:spacing w:after="0"/>
              <w:rPr>
                <w:sz w:val="20"/>
                <w:szCs w:val="20"/>
                <w:color w:val="auto"/>
              </w:rPr>
            </w:pPr>
            <w:r>
              <w:rPr>
                <w:rFonts w:ascii="Arial" w:cs="Arial" w:eastAsia="Arial" w:hAnsi="Arial"/>
                <w:sz w:val="16"/>
                <w:szCs w:val="16"/>
                <w:b w:val="1"/>
                <w:bCs w:val="1"/>
                <w:color w:val="auto"/>
              </w:rPr>
              <w:t>Actual</w:t>
            </w:r>
          </w:p>
        </w:tc>
        <w:tc>
          <w:tcPr>
            <w:tcW w:w="2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Normal</w:t>
            </w: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ind w:left="300"/>
              <w:spacing w:after="0"/>
              <w:rPr>
                <w:sz w:val="20"/>
                <w:szCs w:val="20"/>
                <w:color w:val="auto"/>
              </w:rPr>
            </w:pPr>
            <w:r>
              <w:rPr>
                <w:rFonts w:ascii="Arial" w:cs="Arial" w:eastAsia="Arial" w:hAnsi="Arial"/>
                <w:sz w:val="16"/>
                <w:szCs w:val="16"/>
                <w:b w:val="1"/>
                <w:bCs w:val="1"/>
                <w:color w:val="auto"/>
              </w:rPr>
              <w:t>Actual</w:t>
            </w: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Normal</w:t>
            </w:r>
          </w:p>
        </w:tc>
        <w:tc>
          <w:tcPr>
            <w:tcW w:w="1580" w:type="dxa"/>
            <w:vAlign w:val="bottom"/>
            <w:tcBorders>
              <w:bottom w:val="single" w:sz="8" w:color="auto"/>
            </w:tcBorders>
            <w:gridSpan w:val="2"/>
          </w:tcPr>
          <w:p>
            <w:pPr>
              <w:jc w:val="right"/>
              <w:ind w:right="479"/>
              <w:spacing w:after="0"/>
              <w:rPr>
                <w:sz w:val="20"/>
                <w:szCs w:val="20"/>
                <w:color w:val="auto"/>
              </w:rPr>
            </w:pPr>
            <w:r>
              <w:rPr>
                <w:rFonts w:ascii="Arial" w:cs="Arial" w:eastAsia="Arial" w:hAnsi="Arial"/>
                <w:sz w:val="16"/>
                <w:szCs w:val="16"/>
                <w:b w:val="1"/>
                <w:bCs w:val="1"/>
                <w:color w:val="auto"/>
              </w:rPr>
              <w:t>Actual</w:t>
            </w:r>
          </w:p>
        </w:tc>
        <w:tc>
          <w:tcPr>
            <w:tcW w:w="9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w w:val="97"/>
              </w:rPr>
              <w:t>Normal</w:t>
            </w:r>
          </w:p>
        </w:tc>
      </w:tr>
      <w:tr>
        <w:trPr>
          <w:trHeight w:val="183"/>
        </w:trPr>
        <w:tc>
          <w:tcPr>
            <w:tcW w:w="27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 xml:space="preserve">Arkansas Gas </w:t>
            </w:r>
            <w:r>
              <w:rPr>
                <w:rFonts w:ascii="Arial" w:cs="Arial" w:eastAsia="Arial" w:hAnsi="Arial"/>
                <w:sz w:val="21"/>
                <w:szCs w:val="21"/>
                <w:color w:val="auto"/>
                <w:vertAlign w:val="superscript"/>
              </w:rPr>
              <w:t>(a)</w:t>
            </w:r>
          </w:p>
        </w:tc>
        <w:tc>
          <w:tcPr>
            <w:tcW w:w="1240" w:type="dxa"/>
            <w:vAlign w:val="bottom"/>
            <w:shd w:val="clear" w:color="auto" w:fill="CFF0FC"/>
          </w:tcPr>
          <w:p>
            <w:pPr>
              <w:jc w:val="center"/>
              <w:ind w:right="239"/>
              <w:spacing w:after="0" w:line="183" w:lineRule="exact"/>
              <w:rPr>
                <w:sz w:val="20"/>
                <w:szCs w:val="20"/>
                <w:color w:val="auto"/>
              </w:rPr>
            </w:pPr>
            <w:r>
              <w:rPr>
                <w:rFonts w:ascii="Arial" w:cs="Arial" w:eastAsia="Arial" w:hAnsi="Arial"/>
                <w:sz w:val="16"/>
                <w:szCs w:val="16"/>
                <w:color w:val="auto"/>
              </w:rPr>
              <w:t>193</w:t>
            </w:r>
          </w:p>
        </w:tc>
        <w:tc>
          <w:tcPr>
            <w:tcW w:w="500" w:type="dxa"/>
            <w:vAlign w:val="bottom"/>
            <w:gridSpan w:val="2"/>
            <w:shd w:val="clear" w:color="auto" w:fill="CFF0FC"/>
          </w:tcPr>
          <w:p>
            <w:pPr>
              <w:jc w:val="center"/>
              <w:spacing w:after="0" w:line="183" w:lineRule="exact"/>
              <w:rPr>
                <w:sz w:val="20"/>
                <w:szCs w:val="20"/>
                <w:color w:val="auto"/>
              </w:rPr>
            </w:pPr>
            <w:r>
              <w:rPr>
                <w:rFonts w:ascii="Arial" w:cs="Arial" w:eastAsia="Arial" w:hAnsi="Arial"/>
                <w:sz w:val="16"/>
                <w:szCs w:val="16"/>
                <w:color w:val="auto"/>
              </w:rPr>
              <w:t>(33)%</w:t>
            </w:r>
          </w:p>
        </w:tc>
        <w:tc>
          <w:tcPr>
            <w:tcW w:w="4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80" w:type="dxa"/>
            <w:vAlign w:val="bottom"/>
            <w:shd w:val="clear" w:color="auto" w:fill="CFF0FC"/>
          </w:tcPr>
          <w:p>
            <w:pPr>
              <w:jc w:val="center"/>
              <w:ind w:right="159"/>
              <w:spacing w:after="0" w:line="183" w:lineRule="exact"/>
              <w:rPr>
                <w:sz w:val="20"/>
                <w:szCs w:val="20"/>
                <w:color w:val="auto"/>
              </w:rPr>
            </w:pPr>
            <w:r>
              <w:rPr>
                <w:rFonts w:ascii="Arial" w:cs="Arial" w:eastAsia="Arial" w:hAnsi="Arial"/>
                <w:sz w:val="16"/>
                <w:szCs w:val="16"/>
                <w:color w:val="auto"/>
              </w:rPr>
              <w:t>144</w:t>
            </w:r>
          </w:p>
        </w:tc>
        <w:tc>
          <w:tcPr>
            <w:tcW w:w="260" w:type="dxa"/>
            <w:vAlign w:val="bottom"/>
            <w:shd w:val="clear" w:color="auto" w:fill="CFF0FC"/>
          </w:tcPr>
          <w:p>
            <w:pPr>
              <w:spacing w:after="0"/>
              <w:rPr>
                <w:sz w:val="15"/>
                <w:szCs w:val="15"/>
                <w:color w:val="auto"/>
              </w:rPr>
            </w:pPr>
          </w:p>
        </w:tc>
        <w:tc>
          <w:tcPr>
            <w:tcW w:w="660" w:type="dxa"/>
            <w:vAlign w:val="bottom"/>
            <w:shd w:val="clear" w:color="auto" w:fill="CFF0FC"/>
          </w:tcPr>
          <w:p>
            <w:pPr>
              <w:jc w:val="center"/>
              <w:spacing w:after="0" w:line="183" w:lineRule="exact"/>
              <w:rPr>
                <w:sz w:val="20"/>
                <w:szCs w:val="20"/>
                <w:color w:val="auto"/>
              </w:rPr>
            </w:pPr>
            <w:r>
              <w:rPr>
                <w:rFonts w:ascii="Arial" w:cs="Arial" w:eastAsia="Arial" w:hAnsi="Arial"/>
                <w:sz w:val="16"/>
                <w:szCs w:val="16"/>
                <w:color w:val="auto"/>
              </w:rPr>
              <w:t>(54)%</w:t>
            </w: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2,150</w:t>
            </w:r>
          </w:p>
        </w:tc>
        <w:tc>
          <w:tcPr>
            <w:tcW w:w="120" w:type="dxa"/>
            <w:vAlign w:val="bottom"/>
            <w:shd w:val="clear" w:color="auto" w:fill="CFF0FC"/>
          </w:tcPr>
          <w:p>
            <w:pPr>
              <w:spacing w:after="0"/>
              <w:rPr>
                <w:sz w:val="15"/>
                <w:szCs w:val="15"/>
                <w:color w:val="auto"/>
              </w:rPr>
            </w:pPr>
          </w:p>
        </w:tc>
        <w:tc>
          <w:tcPr>
            <w:tcW w:w="960" w:type="dxa"/>
            <w:vAlign w:val="bottom"/>
            <w:shd w:val="clear" w:color="auto" w:fill="CFF0FC"/>
          </w:tcPr>
          <w:p>
            <w:pPr>
              <w:jc w:val="center"/>
              <w:ind w:left="459"/>
              <w:spacing w:after="0" w:line="183" w:lineRule="exact"/>
              <w:rPr>
                <w:sz w:val="20"/>
                <w:szCs w:val="20"/>
                <w:color w:val="auto"/>
              </w:rPr>
            </w:pPr>
            <w:r>
              <w:rPr>
                <w:rFonts w:ascii="Arial" w:cs="Arial" w:eastAsia="Arial" w:hAnsi="Arial"/>
                <w:sz w:val="16"/>
                <w:szCs w:val="16"/>
                <w:color w:val="auto"/>
              </w:rPr>
              <w:t>(2)%</w:t>
            </w:r>
          </w:p>
        </w:tc>
        <w:tc>
          <w:tcPr>
            <w:tcW w:w="8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519"/>
              <w:spacing w:after="0" w:line="183" w:lineRule="exact"/>
              <w:rPr>
                <w:sz w:val="20"/>
                <w:szCs w:val="20"/>
                <w:color w:val="auto"/>
              </w:rPr>
            </w:pPr>
            <w:r>
              <w:rPr>
                <w:rFonts w:ascii="Arial" w:cs="Arial" w:eastAsia="Arial" w:hAnsi="Arial"/>
                <w:sz w:val="16"/>
                <w:szCs w:val="16"/>
                <w:color w:val="auto"/>
                <w:w w:val="99"/>
              </w:rPr>
              <w:t>1,916</w:t>
            </w:r>
          </w:p>
        </w:tc>
        <w:tc>
          <w:tcPr>
            <w:tcW w:w="900" w:type="dxa"/>
            <w:vAlign w:val="bottom"/>
            <w:shd w:val="clear" w:color="auto" w:fill="CFF0FC"/>
          </w:tcPr>
          <w:p>
            <w:pPr>
              <w:jc w:val="center"/>
              <w:ind w:right="259"/>
              <w:spacing w:after="0" w:line="183" w:lineRule="exact"/>
              <w:rPr>
                <w:sz w:val="20"/>
                <w:szCs w:val="20"/>
                <w:color w:val="auto"/>
              </w:rPr>
            </w:pPr>
            <w:r>
              <w:rPr>
                <w:rFonts w:ascii="Arial" w:cs="Arial" w:eastAsia="Arial" w:hAnsi="Arial"/>
                <w:sz w:val="16"/>
                <w:szCs w:val="16"/>
                <w:color w:val="auto"/>
              </w:rPr>
              <w:t>(17)%</w:t>
            </w:r>
          </w:p>
        </w:tc>
      </w:tr>
      <w:tr>
        <w:trPr>
          <w:trHeight w:val="189"/>
        </w:trPr>
        <w:tc>
          <w:tcPr>
            <w:tcW w:w="2700" w:type="dxa"/>
            <w:vAlign w:val="bottom"/>
          </w:tcPr>
          <w:p>
            <w:pPr>
              <w:spacing w:after="0"/>
              <w:rPr>
                <w:sz w:val="20"/>
                <w:szCs w:val="20"/>
                <w:color w:val="auto"/>
              </w:rPr>
            </w:pPr>
            <w:r>
              <w:rPr>
                <w:rFonts w:ascii="Arial" w:cs="Arial" w:eastAsia="Arial" w:hAnsi="Arial"/>
                <w:sz w:val="16"/>
                <w:szCs w:val="16"/>
                <w:color w:val="auto"/>
              </w:rPr>
              <w:t>Colorado Gas</w:t>
            </w:r>
          </w:p>
        </w:tc>
        <w:tc>
          <w:tcPr>
            <w:tcW w:w="1240" w:type="dxa"/>
            <w:vAlign w:val="bottom"/>
          </w:tcPr>
          <w:p>
            <w:pPr>
              <w:jc w:val="center"/>
              <w:ind w:right="239"/>
              <w:spacing w:after="0"/>
              <w:rPr>
                <w:sz w:val="20"/>
                <w:szCs w:val="20"/>
                <w:color w:val="auto"/>
              </w:rPr>
            </w:pPr>
            <w:r>
              <w:rPr>
                <w:rFonts w:ascii="Arial" w:cs="Arial" w:eastAsia="Arial" w:hAnsi="Arial"/>
                <w:sz w:val="16"/>
                <w:szCs w:val="16"/>
                <w:color w:val="auto"/>
              </w:rPr>
              <w:t>822</w:t>
            </w:r>
          </w:p>
        </w:tc>
        <w:tc>
          <w:tcPr>
            <w:tcW w:w="500" w:type="dxa"/>
            <w:vAlign w:val="bottom"/>
            <w:gridSpan w:val="2"/>
          </w:tcPr>
          <w:p>
            <w:pPr>
              <w:jc w:val="center"/>
              <w:spacing w:after="0"/>
              <w:rPr>
                <w:sz w:val="20"/>
                <w:szCs w:val="20"/>
                <w:color w:val="auto"/>
              </w:rPr>
            </w:pPr>
            <w:r>
              <w:rPr>
                <w:rFonts w:ascii="Arial" w:cs="Arial" w:eastAsia="Arial" w:hAnsi="Arial"/>
                <w:sz w:val="16"/>
                <w:szCs w:val="16"/>
                <w:color w:val="auto"/>
              </w:rPr>
              <w:t>(5)%</w:t>
            </w: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center"/>
              <w:ind w:right="159"/>
              <w:spacing w:after="0"/>
              <w:rPr>
                <w:sz w:val="20"/>
                <w:szCs w:val="20"/>
                <w:color w:val="auto"/>
              </w:rPr>
            </w:pPr>
            <w:r>
              <w:rPr>
                <w:rFonts w:ascii="Arial" w:cs="Arial" w:eastAsia="Arial" w:hAnsi="Arial"/>
                <w:sz w:val="16"/>
                <w:szCs w:val="16"/>
                <w:color w:val="auto"/>
              </w:rPr>
              <w:t>790</w:t>
            </w:r>
          </w:p>
        </w:tc>
        <w:tc>
          <w:tcPr>
            <w:tcW w:w="26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Arial" w:cs="Arial" w:eastAsia="Arial" w:hAnsi="Arial"/>
                <w:sz w:val="16"/>
                <w:szCs w:val="16"/>
                <w:color w:val="auto"/>
              </w:rPr>
              <w:t>(9)%</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3,659</w:t>
            </w:r>
          </w:p>
        </w:tc>
        <w:tc>
          <w:tcPr>
            <w:tcW w:w="120" w:type="dxa"/>
            <w:vAlign w:val="bottom"/>
          </w:tcPr>
          <w:p>
            <w:pPr>
              <w:spacing w:after="0"/>
              <w:rPr>
                <w:sz w:val="16"/>
                <w:szCs w:val="16"/>
                <w:color w:val="auto"/>
              </w:rPr>
            </w:pPr>
          </w:p>
        </w:tc>
        <w:tc>
          <w:tcPr>
            <w:tcW w:w="960" w:type="dxa"/>
            <w:vAlign w:val="bottom"/>
          </w:tcPr>
          <w:p>
            <w:pPr>
              <w:jc w:val="center"/>
              <w:ind w:left="439"/>
              <w:spacing w:after="0"/>
              <w:rPr>
                <w:sz w:val="20"/>
                <w:szCs w:val="20"/>
                <w:color w:val="auto"/>
              </w:rPr>
            </w:pPr>
            <w:r>
              <w:rPr>
                <w:rFonts w:ascii="Arial" w:cs="Arial" w:eastAsia="Arial" w:hAnsi="Arial"/>
                <w:sz w:val="16"/>
                <w:szCs w:val="16"/>
                <w:color w:val="auto"/>
                <w:w w:val="99"/>
              </w:rPr>
              <w:t>---</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20" w:type="dxa"/>
            <w:vAlign w:val="bottom"/>
          </w:tcPr>
          <w:p>
            <w:pPr>
              <w:jc w:val="right"/>
              <w:ind w:right="519"/>
              <w:spacing w:after="0"/>
              <w:rPr>
                <w:sz w:val="20"/>
                <w:szCs w:val="20"/>
                <w:color w:val="auto"/>
              </w:rPr>
            </w:pPr>
            <w:r>
              <w:rPr>
                <w:rFonts w:ascii="Arial" w:cs="Arial" w:eastAsia="Arial" w:hAnsi="Arial"/>
                <w:sz w:val="16"/>
                <w:szCs w:val="16"/>
                <w:color w:val="auto"/>
                <w:w w:val="99"/>
              </w:rPr>
              <w:t>3,533</w:t>
            </w:r>
          </w:p>
        </w:tc>
        <w:tc>
          <w:tcPr>
            <w:tcW w:w="900" w:type="dxa"/>
            <w:vAlign w:val="bottom"/>
          </w:tcPr>
          <w:p>
            <w:pPr>
              <w:jc w:val="center"/>
              <w:ind w:right="259"/>
              <w:spacing w:after="0"/>
              <w:rPr>
                <w:sz w:val="20"/>
                <w:szCs w:val="20"/>
                <w:color w:val="auto"/>
              </w:rPr>
            </w:pPr>
            <w:r>
              <w:rPr>
                <w:rFonts w:ascii="Arial" w:cs="Arial" w:eastAsia="Arial" w:hAnsi="Arial"/>
                <w:sz w:val="16"/>
                <w:szCs w:val="16"/>
                <w:color w:val="auto"/>
              </w:rPr>
              <w:t>(5)%</w:t>
            </w:r>
          </w:p>
        </w:tc>
      </w:tr>
      <w:tr>
        <w:trPr>
          <w:trHeight w:val="189"/>
        </w:trPr>
        <w:tc>
          <w:tcPr>
            <w:tcW w:w="2700" w:type="dxa"/>
            <w:vAlign w:val="bottom"/>
            <w:shd w:val="clear" w:color="auto" w:fill="CFF0FC"/>
          </w:tcPr>
          <w:p>
            <w:pPr>
              <w:spacing w:after="0"/>
              <w:rPr>
                <w:sz w:val="20"/>
                <w:szCs w:val="20"/>
                <w:color w:val="auto"/>
              </w:rPr>
            </w:pPr>
            <w:r>
              <w:rPr>
                <w:rFonts w:ascii="Arial" w:cs="Arial" w:eastAsia="Arial" w:hAnsi="Arial"/>
                <w:sz w:val="16"/>
                <w:szCs w:val="16"/>
                <w:color w:val="auto"/>
              </w:rPr>
              <w:t>Iowa Gas</w:t>
            </w:r>
          </w:p>
        </w:tc>
        <w:tc>
          <w:tcPr>
            <w:tcW w:w="1240" w:type="dxa"/>
            <w:vAlign w:val="bottom"/>
            <w:shd w:val="clear" w:color="auto" w:fill="CFF0FC"/>
          </w:tcPr>
          <w:p>
            <w:pPr>
              <w:jc w:val="center"/>
              <w:ind w:right="239"/>
              <w:spacing w:after="0"/>
              <w:rPr>
                <w:sz w:val="20"/>
                <w:szCs w:val="20"/>
                <w:color w:val="auto"/>
              </w:rPr>
            </w:pPr>
            <w:r>
              <w:rPr>
                <w:rFonts w:ascii="Arial" w:cs="Arial" w:eastAsia="Arial" w:hAnsi="Arial"/>
                <w:sz w:val="16"/>
                <w:szCs w:val="16"/>
                <w:color w:val="auto"/>
              </w:rPr>
              <w:t>640</w:t>
            </w:r>
          </w:p>
        </w:tc>
        <w:tc>
          <w:tcPr>
            <w:tcW w:w="500" w:type="dxa"/>
            <w:vAlign w:val="bottom"/>
            <w:gridSpan w:val="2"/>
            <w:shd w:val="clear" w:color="auto" w:fill="CFF0FC"/>
          </w:tcPr>
          <w:p>
            <w:pPr>
              <w:jc w:val="center"/>
              <w:spacing w:after="0"/>
              <w:rPr>
                <w:sz w:val="20"/>
                <w:szCs w:val="20"/>
                <w:color w:val="auto"/>
              </w:rPr>
            </w:pPr>
            <w:r>
              <w:rPr>
                <w:rFonts w:ascii="Arial" w:cs="Arial" w:eastAsia="Arial" w:hAnsi="Arial"/>
                <w:sz w:val="16"/>
                <w:szCs w:val="16"/>
                <w:color w:val="auto"/>
              </w:rPr>
              <w:t>(5)%</w:t>
            </w:r>
          </w:p>
        </w:tc>
        <w:tc>
          <w:tcPr>
            <w:tcW w:w="4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80" w:type="dxa"/>
            <w:vAlign w:val="bottom"/>
            <w:shd w:val="clear" w:color="auto" w:fill="CFF0FC"/>
          </w:tcPr>
          <w:p>
            <w:pPr>
              <w:jc w:val="center"/>
              <w:ind w:right="159"/>
              <w:spacing w:after="0"/>
              <w:rPr>
                <w:sz w:val="20"/>
                <w:szCs w:val="20"/>
                <w:color w:val="auto"/>
              </w:rPr>
            </w:pPr>
            <w:r>
              <w:rPr>
                <w:rFonts w:ascii="Arial" w:cs="Arial" w:eastAsia="Arial" w:hAnsi="Arial"/>
                <w:sz w:val="16"/>
                <w:szCs w:val="16"/>
                <w:color w:val="auto"/>
              </w:rPr>
              <w:t>507</w:t>
            </w:r>
          </w:p>
        </w:tc>
        <w:tc>
          <w:tcPr>
            <w:tcW w:w="260" w:type="dxa"/>
            <w:vAlign w:val="bottom"/>
            <w:shd w:val="clear" w:color="auto" w:fill="CFF0FC"/>
          </w:tcPr>
          <w:p>
            <w:pPr>
              <w:spacing w:after="0"/>
              <w:rPr>
                <w:sz w:val="16"/>
                <w:szCs w:val="16"/>
                <w:color w:val="auto"/>
              </w:rPr>
            </w:pPr>
          </w:p>
        </w:tc>
        <w:tc>
          <w:tcPr>
            <w:tcW w:w="66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(27)%</w:t>
            </w:r>
          </w:p>
        </w:tc>
        <w:tc>
          <w:tcPr>
            <w:tcW w:w="20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3,928</w:t>
            </w:r>
          </w:p>
        </w:tc>
        <w:tc>
          <w:tcPr>
            <w:tcW w:w="120" w:type="dxa"/>
            <w:vAlign w:val="bottom"/>
            <w:shd w:val="clear" w:color="auto" w:fill="CFF0FC"/>
          </w:tcPr>
          <w:p>
            <w:pPr>
              <w:spacing w:after="0"/>
              <w:rPr>
                <w:sz w:val="16"/>
                <w:szCs w:val="16"/>
                <w:color w:val="auto"/>
              </w:rPr>
            </w:pPr>
          </w:p>
        </w:tc>
        <w:tc>
          <w:tcPr>
            <w:tcW w:w="960" w:type="dxa"/>
            <w:vAlign w:val="bottom"/>
            <w:shd w:val="clear" w:color="auto" w:fill="CFF0FC"/>
          </w:tcPr>
          <w:p>
            <w:pPr>
              <w:jc w:val="center"/>
              <w:ind w:left="459"/>
              <w:spacing w:after="0"/>
              <w:rPr>
                <w:sz w:val="20"/>
                <w:szCs w:val="20"/>
                <w:color w:val="auto"/>
              </w:rPr>
            </w:pPr>
            <w:r>
              <w:rPr>
                <w:rFonts w:ascii="Arial" w:cs="Arial" w:eastAsia="Arial" w:hAnsi="Arial"/>
                <w:sz w:val="16"/>
                <w:szCs w:val="16"/>
                <w:color w:val="auto"/>
              </w:rPr>
              <w:t>(1)%</w:t>
            </w:r>
          </w:p>
        </w:tc>
        <w:tc>
          <w:tcPr>
            <w:tcW w:w="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519"/>
              <w:spacing w:after="0"/>
              <w:rPr>
                <w:sz w:val="20"/>
                <w:szCs w:val="20"/>
                <w:color w:val="auto"/>
              </w:rPr>
            </w:pPr>
            <w:r>
              <w:rPr>
                <w:rFonts w:ascii="Arial" w:cs="Arial" w:eastAsia="Arial" w:hAnsi="Arial"/>
                <w:sz w:val="16"/>
                <w:szCs w:val="16"/>
                <w:color w:val="auto"/>
                <w:w w:val="99"/>
              </w:rPr>
              <w:t>3,405</w:t>
            </w:r>
          </w:p>
        </w:tc>
        <w:tc>
          <w:tcPr>
            <w:tcW w:w="900" w:type="dxa"/>
            <w:vAlign w:val="bottom"/>
            <w:shd w:val="clear" w:color="auto" w:fill="CFF0FC"/>
          </w:tcPr>
          <w:p>
            <w:pPr>
              <w:jc w:val="center"/>
              <w:ind w:right="259"/>
              <w:spacing w:after="0"/>
              <w:rPr>
                <w:sz w:val="20"/>
                <w:szCs w:val="20"/>
                <w:color w:val="auto"/>
              </w:rPr>
            </w:pPr>
            <w:r>
              <w:rPr>
                <w:rFonts w:ascii="Arial" w:cs="Arial" w:eastAsia="Arial" w:hAnsi="Arial"/>
                <w:sz w:val="16"/>
                <w:szCs w:val="16"/>
                <w:color w:val="auto"/>
              </w:rPr>
              <w:t>(18)%</w:t>
            </w:r>
          </w:p>
        </w:tc>
      </w:tr>
      <w:tr>
        <w:trPr>
          <w:trHeight w:val="189"/>
        </w:trPr>
        <w:tc>
          <w:tcPr>
            <w:tcW w:w="2700" w:type="dxa"/>
            <w:vAlign w:val="bottom"/>
          </w:tcPr>
          <w:p>
            <w:pPr>
              <w:spacing w:after="0" w:line="189" w:lineRule="exact"/>
              <w:rPr>
                <w:sz w:val="20"/>
                <w:szCs w:val="20"/>
                <w:color w:val="auto"/>
              </w:rPr>
            </w:pPr>
            <w:r>
              <w:rPr>
                <w:rFonts w:ascii="Arial" w:cs="Arial" w:eastAsia="Arial" w:hAnsi="Arial"/>
                <w:sz w:val="16"/>
                <w:szCs w:val="16"/>
                <w:color w:val="auto"/>
              </w:rPr>
              <w:t xml:space="preserve">Kansas Gas </w:t>
            </w:r>
            <w:r>
              <w:rPr>
                <w:rFonts w:ascii="Arial" w:cs="Arial" w:eastAsia="Arial" w:hAnsi="Arial"/>
                <w:sz w:val="21"/>
                <w:szCs w:val="21"/>
                <w:color w:val="auto"/>
                <w:vertAlign w:val="superscript"/>
              </w:rPr>
              <w:t>(a)</w:t>
            </w:r>
          </w:p>
        </w:tc>
        <w:tc>
          <w:tcPr>
            <w:tcW w:w="1240" w:type="dxa"/>
            <w:vAlign w:val="bottom"/>
          </w:tcPr>
          <w:p>
            <w:pPr>
              <w:jc w:val="center"/>
              <w:ind w:right="239"/>
              <w:spacing w:after="0"/>
              <w:rPr>
                <w:sz w:val="20"/>
                <w:szCs w:val="20"/>
                <w:color w:val="auto"/>
              </w:rPr>
            </w:pPr>
            <w:r>
              <w:rPr>
                <w:rFonts w:ascii="Arial" w:cs="Arial" w:eastAsia="Arial" w:hAnsi="Arial"/>
                <w:sz w:val="16"/>
                <w:szCs w:val="16"/>
                <w:color w:val="auto"/>
              </w:rPr>
              <w:t>367</w:t>
            </w:r>
          </w:p>
        </w:tc>
        <w:tc>
          <w:tcPr>
            <w:tcW w:w="500" w:type="dxa"/>
            <w:vAlign w:val="bottom"/>
            <w:gridSpan w:val="2"/>
          </w:tcPr>
          <w:p>
            <w:pPr>
              <w:jc w:val="center"/>
              <w:spacing w:after="0"/>
              <w:rPr>
                <w:sz w:val="20"/>
                <w:szCs w:val="20"/>
                <w:color w:val="auto"/>
              </w:rPr>
            </w:pPr>
            <w:r>
              <w:rPr>
                <w:rFonts w:ascii="Arial" w:cs="Arial" w:eastAsia="Arial" w:hAnsi="Arial"/>
                <w:sz w:val="16"/>
                <w:szCs w:val="16"/>
                <w:color w:val="auto"/>
              </w:rPr>
              <w:t>(9)%</w:t>
            </w: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center"/>
              <w:ind w:right="159"/>
              <w:spacing w:after="0"/>
              <w:rPr>
                <w:sz w:val="20"/>
                <w:szCs w:val="20"/>
                <w:color w:val="auto"/>
              </w:rPr>
            </w:pPr>
            <w:r>
              <w:rPr>
                <w:rFonts w:ascii="Arial" w:cs="Arial" w:eastAsia="Arial" w:hAnsi="Arial"/>
                <w:sz w:val="16"/>
                <w:szCs w:val="16"/>
                <w:color w:val="auto"/>
              </w:rPr>
              <w:t>266</w:t>
            </w:r>
          </w:p>
        </w:tc>
        <w:tc>
          <w:tcPr>
            <w:tcW w:w="26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Arial" w:cs="Arial" w:eastAsia="Arial" w:hAnsi="Arial"/>
                <w:sz w:val="16"/>
                <w:szCs w:val="16"/>
                <w:color w:val="auto"/>
              </w:rPr>
              <w:t>(37)%</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2,983</w:t>
            </w:r>
          </w:p>
        </w:tc>
        <w:tc>
          <w:tcPr>
            <w:tcW w:w="120" w:type="dxa"/>
            <w:vAlign w:val="bottom"/>
          </w:tcPr>
          <w:p>
            <w:pPr>
              <w:spacing w:after="0"/>
              <w:rPr>
                <w:sz w:val="16"/>
                <w:szCs w:val="16"/>
                <w:color w:val="auto"/>
              </w:rPr>
            </w:pPr>
          </w:p>
        </w:tc>
        <w:tc>
          <w:tcPr>
            <w:tcW w:w="960" w:type="dxa"/>
            <w:vAlign w:val="bottom"/>
          </w:tcPr>
          <w:p>
            <w:pPr>
              <w:jc w:val="center"/>
              <w:ind w:left="439"/>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20" w:type="dxa"/>
            <w:vAlign w:val="bottom"/>
          </w:tcPr>
          <w:p>
            <w:pPr>
              <w:jc w:val="right"/>
              <w:ind w:right="519"/>
              <w:spacing w:after="0"/>
              <w:rPr>
                <w:sz w:val="20"/>
                <w:szCs w:val="20"/>
                <w:color w:val="auto"/>
              </w:rPr>
            </w:pPr>
            <w:r>
              <w:rPr>
                <w:rFonts w:ascii="Arial" w:cs="Arial" w:eastAsia="Arial" w:hAnsi="Arial"/>
                <w:sz w:val="16"/>
                <w:szCs w:val="16"/>
                <w:color w:val="auto"/>
                <w:w w:val="99"/>
              </w:rPr>
              <w:t>2,557</w:t>
            </w:r>
          </w:p>
        </w:tc>
        <w:tc>
          <w:tcPr>
            <w:tcW w:w="900" w:type="dxa"/>
            <w:vAlign w:val="bottom"/>
          </w:tcPr>
          <w:p>
            <w:pPr>
              <w:jc w:val="center"/>
              <w:ind w:right="259"/>
              <w:spacing w:after="0"/>
              <w:rPr>
                <w:sz w:val="20"/>
                <w:szCs w:val="20"/>
                <w:color w:val="auto"/>
              </w:rPr>
            </w:pPr>
            <w:r>
              <w:rPr>
                <w:rFonts w:ascii="Arial" w:cs="Arial" w:eastAsia="Arial" w:hAnsi="Arial"/>
                <w:sz w:val="16"/>
                <w:szCs w:val="16"/>
                <w:color w:val="auto"/>
              </w:rPr>
              <w:t>(11)%</w:t>
            </w:r>
          </w:p>
        </w:tc>
      </w:tr>
      <w:tr>
        <w:trPr>
          <w:trHeight w:val="189"/>
        </w:trPr>
        <w:tc>
          <w:tcPr>
            <w:tcW w:w="2700" w:type="dxa"/>
            <w:vAlign w:val="bottom"/>
            <w:shd w:val="clear" w:color="auto" w:fill="CFF0FC"/>
          </w:tcPr>
          <w:p>
            <w:pPr>
              <w:spacing w:after="0"/>
              <w:rPr>
                <w:sz w:val="20"/>
                <w:szCs w:val="20"/>
                <w:color w:val="auto"/>
              </w:rPr>
            </w:pPr>
            <w:r>
              <w:rPr>
                <w:rFonts w:ascii="Arial" w:cs="Arial" w:eastAsia="Arial" w:hAnsi="Arial"/>
                <w:sz w:val="16"/>
                <w:szCs w:val="16"/>
                <w:color w:val="auto"/>
              </w:rPr>
              <w:t>Nebraska Gas</w:t>
            </w:r>
          </w:p>
        </w:tc>
        <w:tc>
          <w:tcPr>
            <w:tcW w:w="1240" w:type="dxa"/>
            <w:vAlign w:val="bottom"/>
            <w:shd w:val="clear" w:color="auto" w:fill="CFF0FC"/>
          </w:tcPr>
          <w:p>
            <w:pPr>
              <w:jc w:val="center"/>
              <w:ind w:right="239"/>
              <w:spacing w:after="0"/>
              <w:rPr>
                <w:sz w:val="20"/>
                <w:szCs w:val="20"/>
                <w:color w:val="auto"/>
              </w:rPr>
            </w:pPr>
            <w:r>
              <w:rPr>
                <w:rFonts w:ascii="Arial" w:cs="Arial" w:eastAsia="Arial" w:hAnsi="Arial"/>
                <w:sz w:val="16"/>
                <w:szCs w:val="16"/>
                <w:color w:val="auto"/>
              </w:rPr>
              <w:t>553</w:t>
            </w:r>
          </w:p>
        </w:tc>
        <w:tc>
          <w:tcPr>
            <w:tcW w:w="500" w:type="dxa"/>
            <w:vAlign w:val="bottom"/>
            <w:gridSpan w:val="2"/>
            <w:shd w:val="clear" w:color="auto" w:fill="CFF0FC"/>
          </w:tcPr>
          <w:p>
            <w:pPr>
              <w:jc w:val="center"/>
              <w:spacing w:after="0"/>
              <w:rPr>
                <w:sz w:val="20"/>
                <w:szCs w:val="20"/>
                <w:color w:val="auto"/>
              </w:rPr>
            </w:pPr>
            <w:r>
              <w:rPr>
                <w:rFonts w:ascii="Arial" w:cs="Arial" w:eastAsia="Arial" w:hAnsi="Arial"/>
                <w:sz w:val="16"/>
                <w:szCs w:val="16"/>
                <w:color w:val="auto"/>
              </w:rPr>
              <w:t>(9)%</w:t>
            </w:r>
          </w:p>
        </w:tc>
        <w:tc>
          <w:tcPr>
            <w:tcW w:w="4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80" w:type="dxa"/>
            <w:vAlign w:val="bottom"/>
            <w:shd w:val="clear" w:color="auto" w:fill="CFF0FC"/>
          </w:tcPr>
          <w:p>
            <w:pPr>
              <w:jc w:val="center"/>
              <w:ind w:right="159"/>
              <w:spacing w:after="0"/>
              <w:rPr>
                <w:sz w:val="20"/>
                <w:szCs w:val="20"/>
                <w:color w:val="auto"/>
              </w:rPr>
            </w:pPr>
            <w:r>
              <w:rPr>
                <w:rFonts w:ascii="Arial" w:cs="Arial" w:eastAsia="Arial" w:hAnsi="Arial"/>
                <w:sz w:val="16"/>
                <w:szCs w:val="16"/>
                <w:color w:val="auto"/>
              </w:rPr>
              <w:t>457</w:t>
            </w:r>
          </w:p>
        </w:tc>
        <w:tc>
          <w:tcPr>
            <w:tcW w:w="260" w:type="dxa"/>
            <w:vAlign w:val="bottom"/>
            <w:shd w:val="clear" w:color="auto" w:fill="CFF0FC"/>
          </w:tcPr>
          <w:p>
            <w:pPr>
              <w:spacing w:after="0"/>
              <w:rPr>
                <w:sz w:val="16"/>
                <w:szCs w:val="16"/>
                <w:color w:val="auto"/>
              </w:rPr>
            </w:pPr>
          </w:p>
        </w:tc>
        <w:tc>
          <w:tcPr>
            <w:tcW w:w="66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(26)%</w:t>
            </w:r>
          </w:p>
        </w:tc>
        <w:tc>
          <w:tcPr>
            <w:tcW w:w="20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3,592</w:t>
            </w:r>
          </w:p>
        </w:tc>
        <w:tc>
          <w:tcPr>
            <w:tcW w:w="120" w:type="dxa"/>
            <w:vAlign w:val="bottom"/>
            <w:shd w:val="clear" w:color="auto" w:fill="CFF0FC"/>
          </w:tcPr>
          <w:p>
            <w:pPr>
              <w:spacing w:after="0"/>
              <w:rPr>
                <w:sz w:val="16"/>
                <w:szCs w:val="16"/>
                <w:color w:val="auto"/>
              </w:rPr>
            </w:pPr>
          </w:p>
        </w:tc>
        <w:tc>
          <w:tcPr>
            <w:tcW w:w="960" w:type="dxa"/>
            <w:vAlign w:val="bottom"/>
            <w:shd w:val="clear" w:color="auto" w:fill="CFF0FC"/>
          </w:tcPr>
          <w:p>
            <w:pPr>
              <w:jc w:val="center"/>
              <w:ind w:left="439"/>
              <w:spacing w:after="0"/>
              <w:rPr>
                <w:sz w:val="20"/>
                <w:szCs w:val="20"/>
                <w:color w:val="auto"/>
              </w:rPr>
            </w:pPr>
            <w:r>
              <w:rPr>
                <w:rFonts w:ascii="Arial" w:cs="Arial" w:eastAsia="Arial" w:hAnsi="Arial"/>
                <w:sz w:val="16"/>
                <w:szCs w:val="16"/>
                <w:color w:val="auto"/>
                <w:w w:val="99"/>
              </w:rPr>
              <w:t>---</w:t>
            </w:r>
          </w:p>
        </w:tc>
        <w:tc>
          <w:tcPr>
            <w:tcW w:w="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519"/>
              <w:spacing w:after="0"/>
              <w:rPr>
                <w:sz w:val="20"/>
                <w:szCs w:val="20"/>
                <w:color w:val="auto"/>
              </w:rPr>
            </w:pPr>
            <w:r>
              <w:rPr>
                <w:rFonts w:ascii="Arial" w:cs="Arial" w:eastAsia="Arial" w:hAnsi="Arial"/>
                <w:sz w:val="16"/>
                <w:szCs w:val="16"/>
                <w:color w:val="auto"/>
                <w:w w:val="99"/>
              </w:rPr>
              <w:t>3,259</w:t>
            </w:r>
          </w:p>
        </w:tc>
        <w:tc>
          <w:tcPr>
            <w:tcW w:w="900" w:type="dxa"/>
            <w:vAlign w:val="bottom"/>
            <w:shd w:val="clear" w:color="auto" w:fill="CFF0FC"/>
          </w:tcPr>
          <w:p>
            <w:pPr>
              <w:jc w:val="center"/>
              <w:ind w:right="259"/>
              <w:spacing w:after="0"/>
              <w:rPr>
                <w:sz w:val="20"/>
                <w:szCs w:val="20"/>
                <w:color w:val="auto"/>
              </w:rPr>
            </w:pPr>
            <w:r>
              <w:rPr>
                <w:rFonts w:ascii="Arial" w:cs="Arial" w:eastAsia="Arial" w:hAnsi="Arial"/>
                <w:sz w:val="16"/>
                <w:szCs w:val="16"/>
                <w:color w:val="auto"/>
              </w:rPr>
              <w:t>(12)%</w:t>
            </w:r>
          </w:p>
        </w:tc>
      </w:tr>
      <w:tr>
        <w:trPr>
          <w:trHeight w:val="189"/>
        </w:trPr>
        <w:tc>
          <w:tcPr>
            <w:tcW w:w="2700" w:type="dxa"/>
            <w:vAlign w:val="bottom"/>
          </w:tcPr>
          <w:p>
            <w:pPr>
              <w:spacing w:after="0"/>
              <w:rPr>
                <w:sz w:val="20"/>
                <w:szCs w:val="20"/>
                <w:color w:val="auto"/>
              </w:rPr>
            </w:pPr>
            <w:r>
              <w:rPr>
                <w:rFonts w:ascii="Arial" w:cs="Arial" w:eastAsia="Arial" w:hAnsi="Arial"/>
                <w:sz w:val="16"/>
                <w:szCs w:val="16"/>
                <w:color w:val="auto"/>
              </w:rPr>
              <w:t>Wyoming Gas</w:t>
            </w:r>
          </w:p>
        </w:tc>
        <w:tc>
          <w:tcPr>
            <w:tcW w:w="1240" w:type="dxa"/>
            <w:vAlign w:val="bottom"/>
          </w:tcPr>
          <w:p>
            <w:pPr>
              <w:jc w:val="center"/>
              <w:ind w:right="239"/>
              <w:spacing w:after="0"/>
              <w:rPr>
                <w:sz w:val="20"/>
                <w:szCs w:val="20"/>
                <w:color w:val="auto"/>
              </w:rPr>
            </w:pPr>
            <w:r>
              <w:rPr>
                <w:rFonts w:ascii="Arial" w:cs="Arial" w:eastAsia="Arial" w:hAnsi="Arial"/>
                <w:sz w:val="16"/>
                <w:szCs w:val="16"/>
                <w:color w:val="auto"/>
                <w:w w:val="99"/>
              </w:rPr>
              <w:t>1,110</w:t>
            </w:r>
          </w:p>
        </w:tc>
        <w:tc>
          <w:tcPr>
            <w:tcW w:w="500" w:type="dxa"/>
            <w:vAlign w:val="bottom"/>
            <w:gridSpan w:val="2"/>
          </w:tcPr>
          <w:p>
            <w:pPr>
              <w:jc w:val="center"/>
              <w:spacing w:after="0"/>
              <w:rPr>
                <w:sz w:val="20"/>
                <w:szCs w:val="20"/>
                <w:color w:val="auto"/>
              </w:rPr>
            </w:pPr>
            <w:r>
              <w:rPr>
                <w:rFonts w:ascii="Arial" w:cs="Arial" w:eastAsia="Arial" w:hAnsi="Arial"/>
                <w:sz w:val="16"/>
                <w:szCs w:val="16"/>
                <w:color w:val="auto"/>
              </w:rPr>
              <w:t>(7)%</w:t>
            </w: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center"/>
              <w:ind w:right="159"/>
              <w:spacing w:after="0"/>
              <w:rPr>
                <w:sz w:val="20"/>
                <w:szCs w:val="20"/>
                <w:color w:val="auto"/>
              </w:rPr>
            </w:pPr>
            <w:r>
              <w:rPr>
                <w:rFonts w:ascii="Arial" w:cs="Arial" w:eastAsia="Arial" w:hAnsi="Arial"/>
                <w:sz w:val="16"/>
                <w:szCs w:val="16"/>
                <w:color w:val="auto"/>
                <w:w w:val="99"/>
              </w:rPr>
              <w:t>1,096</w:t>
            </w:r>
          </w:p>
        </w:tc>
        <w:tc>
          <w:tcPr>
            <w:tcW w:w="26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Arial" w:cs="Arial" w:eastAsia="Arial" w:hAnsi="Arial"/>
                <w:sz w:val="16"/>
                <w:szCs w:val="16"/>
                <w:color w:val="auto"/>
              </w:rPr>
              <w:t>(9)%</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4,433</w:t>
            </w:r>
          </w:p>
        </w:tc>
        <w:tc>
          <w:tcPr>
            <w:tcW w:w="120" w:type="dxa"/>
            <w:vAlign w:val="bottom"/>
          </w:tcPr>
          <w:p>
            <w:pPr>
              <w:spacing w:after="0"/>
              <w:rPr>
                <w:sz w:val="16"/>
                <w:szCs w:val="16"/>
                <w:color w:val="auto"/>
              </w:rPr>
            </w:pPr>
          </w:p>
        </w:tc>
        <w:tc>
          <w:tcPr>
            <w:tcW w:w="960" w:type="dxa"/>
            <w:vAlign w:val="bottom"/>
          </w:tcPr>
          <w:p>
            <w:pPr>
              <w:jc w:val="center"/>
              <w:ind w:left="439"/>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20" w:type="dxa"/>
            <w:vAlign w:val="bottom"/>
          </w:tcPr>
          <w:p>
            <w:pPr>
              <w:jc w:val="right"/>
              <w:ind w:right="519"/>
              <w:spacing w:after="0"/>
              <w:rPr>
                <w:sz w:val="20"/>
                <w:szCs w:val="20"/>
                <w:color w:val="auto"/>
              </w:rPr>
            </w:pPr>
            <w:r>
              <w:rPr>
                <w:rFonts w:ascii="Arial" w:cs="Arial" w:eastAsia="Arial" w:hAnsi="Arial"/>
                <w:sz w:val="16"/>
                <w:szCs w:val="16"/>
                <w:color w:val="auto"/>
                <w:w w:val="99"/>
              </w:rPr>
              <w:t>4,252</w:t>
            </w:r>
          </w:p>
        </w:tc>
        <w:tc>
          <w:tcPr>
            <w:tcW w:w="900" w:type="dxa"/>
            <w:vAlign w:val="bottom"/>
          </w:tcPr>
          <w:p>
            <w:pPr>
              <w:jc w:val="center"/>
              <w:ind w:right="259"/>
              <w:spacing w:after="0"/>
              <w:rPr>
                <w:sz w:val="20"/>
                <w:szCs w:val="20"/>
                <w:color w:val="auto"/>
              </w:rPr>
            </w:pPr>
            <w:r>
              <w:rPr>
                <w:rFonts w:ascii="Arial" w:cs="Arial" w:eastAsia="Arial" w:hAnsi="Arial"/>
                <w:sz w:val="16"/>
                <w:szCs w:val="16"/>
                <w:color w:val="auto"/>
              </w:rPr>
              <w:t>(5)%</w:t>
            </w:r>
          </w:p>
        </w:tc>
      </w:tr>
      <w:tr>
        <w:trPr>
          <w:trHeight w:val="189"/>
        </w:trPr>
        <w:tc>
          <w:tcPr>
            <w:tcW w:w="2700" w:type="dxa"/>
            <w:vAlign w:val="bottom"/>
            <w:shd w:val="clear" w:color="auto" w:fill="CFF0FC"/>
          </w:tcPr>
          <w:p>
            <w:pPr>
              <w:ind w:left="40"/>
              <w:spacing w:after="0" w:line="189" w:lineRule="exact"/>
              <w:rPr>
                <w:sz w:val="20"/>
                <w:szCs w:val="20"/>
                <w:color w:val="auto"/>
              </w:rPr>
            </w:pPr>
            <w:r>
              <w:rPr>
                <w:rFonts w:ascii="Arial" w:cs="Arial" w:eastAsia="Arial" w:hAnsi="Arial"/>
                <w:sz w:val="16"/>
                <w:szCs w:val="16"/>
                <w:color w:val="auto"/>
              </w:rPr>
              <w:t xml:space="preserve">Combined </w:t>
            </w:r>
            <w:r>
              <w:rPr>
                <w:rFonts w:ascii="Arial" w:cs="Arial" w:eastAsia="Arial" w:hAnsi="Arial"/>
                <w:sz w:val="21"/>
                <w:szCs w:val="21"/>
                <w:color w:val="auto"/>
                <w:vertAlign w:val="superscript"/>
              </w:rPr>
              <w:t>(b)</w:t>
            </w:r>
          </w:p>
        </w:tc>
        <w:tc>
          <w:tcPr>
            <w:tcW w:w="1240" w:type="dxa"/>
            <w:vAlign w:val="bottom"/>
            <w:shd w:val="clear" w:color="auto" w:fill="CFF0FC"/>
          </w:tcPr>
          <w:p>
            <w:pPr>
              <w:jc w:val="center"/>
              <w:ind w:right="239"/>
              <w:spacing w:after="0"/>
              <w:rPr>
                <w:sz w:val="20"/>
                <w:szCs w:val="20"/>
                <w:color w:val="auto"/>
              </w:rPr>
            </w:pPr>
            <w:r>
              <w:rPr>
                <w:rFonts w:ascii="Arial" w:cs="Arial" w:eastAsia="Arial" w:hAnsi="Arial"/>
                <w:sz w:val="16"/>
                <w:szCs w:val="16"/>
                <w:color w:val="auto"/>
              </w:rPr>
              <w:t>658</w:t>
            </w:r>
          </w:p>
        </w:tc>
        <w:tc>
          <w:tcPr>
            <w:tcW w:w="500" w:type="dxa"/>
            <w:vAlign w:val="bottom"/>
            <w:gridSpan w:val="2"/>
            <w:shd w:val="clear" w:color="auto" w:fill="CFF0FC"/>
          </w:tcPr>
          <w:p>
            <w:pPr>
              <w:jc w:val="center"/>
              <w:spacing w:after="0"/>
              <w:rPr>
                <w:sz w:val="20"/>
                <w:szCs w:val="20"/>
                <w:color w:val="auto"/>
              </w:rPr>
            </w:pPr>
            <w:r>
              <w:rPr>
                <w:rFonts w:ascii="Arial" w:cs="Arial" w:eastAsia="Arial" w:hAnsi="Arial"/>
                <w:sz w:val="16"/>
                <w:szCs w:val="16"/>
                <w:color w:val="auto"/>
              </w:rPr>
              <w:t>(8)%</w:t>
            </w:r>
          </w:p>
        </w:tc>
        <w:tc>
          <w:tcPr>
            <w:tcW w:w="4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80" w:type="dxa"/>
            <w:vAlign w:val="bottom"/>
            <w:shd w:val="clear" w:color="auto" w:fill="CFF0FC"/>
          </w:tcPr>
          <w:p>
            <w:pPr>
              <w:jc w:val="center"/>
              <w:ind w:right="159"/>
              <w:spacing w:after="0"/>
              <w:rPr>
                <w:sz w:val="20"/>
                <w:szCs w:val="20"/>
                <w:color w:val="auto"/>
              </w:rPr>
            </w:pPr>
            <w:r>
              <w:rPr>
                <w:rFonts w:ascii="Arial" w:cs="Arial" w:eastAsia="Arial" w:hAnsi="Arial"/>
                <w:sz w:val="16"/>
                <w:szCs w:val="16"/>
                <w:color w:val="auto"/>
              </w:rPr>
              <w:t>587</w:t>
            </w:r>
          </w:p>
        </w:tc>
        <w:tc>
          <w:tcPr>
            <w:tcW w:w="260" w:type="dxa"/>
            <w:vAlign w:val="bottom"/>
            <w:shd w:val="clear" w:color="auto" w:fill="CFF0FC"/>
          </w:tcPr>
          <w:p>
            <w:pPr>
              <w:spacing w:after="0"/>
              <w:rPr>
                <w:sz w:val="16"/>
                <w:szCs w:val="16"/>
                <w:color w:val="auto"/>
              </w:rPr>
            </w:pPr>
          </w:p>
        </w:tc>
        <w:tc>
          <w:tcPr>
            <w:tcW w:w="66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(20)%</w:t>
            </w:r>
          </w:p>
        </w:tc>
        <w:tc>
          <w:tcPr>
            <w:tcW w:w="20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3,740</w:t>
            </w:r>
          </w:p>
        </w:tc>
        <w:tc>
          <w:tcPr>
            <w:tcW w:w="120" w:type="dxa"/>
            <w:vAlign w:val="bottom"/>
            <w:shd w:val="clear" w:color="auto" w:fill="CFF0FC"/>
          </w:tcPr>
          <w:p>
            <w:pPr>
              <w:spacing w:after="0"/>
              <w:rPr>
                <w:sz w:val="16"/>
                <w:szCs w:val="16"/>
                <w:color w:val="auto"/>
              </w:rPr>
            </w:pPr>
          </w:p>
        </w:tc>
        <w:tc>
          <w:tcPr>
            <w:tcW w:w="960" w:type="dxa"/>
            <w:vAlign w:val="bottom"/>
            <w:shd w:val="clear" w:color="auto" w:fill="CFF0FC"/>
          </w:tcPr>
          <w:p>
            <w:pPr>
              <w:jc w:val="center"/>
              <w:ind w:left="439"/>
              <w:spacing w:after="0"/>
              <w:rPr>
                <w:sz w:val="20"/>
                <w:szCs w:val="20"/>
                <w:color w:val="auto"/>
              </w:rPr>
            </w:pPr>
            <w:r>
              <w:rPr>
                <w:rFonts w:ascii="Arial" w:cs="Arial" w:eastAsia="Arial" w:hAnsi="Arial"/>
                <w:sz w:val="16"/>
                <w:szCs w:val="16"/>
                <w:color w:val="auto"/>
                <w:w w:val="99"/>
              </w:rPr>
              <w:t>---</w:t>
            </w:r>
          </w:p>
        </w:tc>
        <w:tc>
          <w:tcPr>
            <w:tcW w:w="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519"/>
              <w:spacing w:after="0"/>
              <w:rPr>
                <w:sz w:val="20"/>
                <w:szCs w:val="20"/>
                <w:color w:val="auto"/>
              </w:rPr>
            </w:pPr>
            <w:r>
              <w:rPr>
                <w:rFonts w:ascii="Arial" w:cs="Arial" w:eastAsia="Arial" w:hAnsi="Arial"/>
                <w:sz w:val="16"/>
                <w:szCs w:val="16"/>
                <w:color w:val="auto"/>
                <w:w w:val="99"/>
              </w:rPr>
              <w:t>3,452</w:t>
            </w:r>
          </w:p>
        </w:tc>
        <w:tc>
          <w:tcPr>
            <w:tcW w:w="900" w:type="dxa"/>
            <w:vAlign w:val="bottom"/>
            <w:shd w:val="clear" w:color="auto" w:fill="CFF0FC"/>
          </w:tcPr>
          <w:p>
            <w:pPr>
              <w:jc w:val="center"/>
              <w:ind w:right="259"/>
              <w:spacing w:after="0"/>
              <w:rPr>
                <w:sz w:val="20"/>
                <w:szCs w:val="20"/>
                <w:color w:val="auto"/>
              </w:rPr>
            </w:pPr>
            <w:r>
              <w:rPr>
                <w:rFonts w:ascii="Arial" w:cs="Arial" w:eastAsia="Arial" w:hAnsi="Arial"/>
                <w:sz w:val="16"/>
                <w:szCs w:val="16"/>
                <w:color w:val="auto"/>
              </w:rPr>
              <w:t>(10)%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04584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119" w:lineRule="exact"/>
        <w:rPr>
          <w:sz w:val="20"/>
          <w:szCs w:val="20"/>
          <w:color w:val="auto"/>
        </w:rPr>
      </w:pPr>
    </w:p>
    <w:p>
      <w:pPr>
        <w:ind w:left="520" w:hanging="512"/>
        <w:spacing w:after="0"/>
        <w:tabs>
          <w:tab w:leader="none" w:pos="5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Arkansas Gas and Kansas Gas have weather normalization mechanisms that mitigate the weather impact on revenue.</w:t>
      </w:r>
    </w:p>
    <w:p>
      <w:pPr>
        <w:spacing w:after="0" w:line="15" w:lineRule="exact"/>
        <w:rPr>
          <w:rFonts w:ascii="Arial" w:cs="Arial" w:eastAsia="Arial" w:hAnsi="Arial"/>
          <w:sz w:val="14"/>
          <w:szCs w:val="14"/>
          <w:color w:val="auto"/>
        </w:rPr>
      </w:pPr>
    </w:p>
    <w:p>
      <w:pPr>
        <w:ind w:left="520" w:right="340" w:hanging="512"/>
        <w:spacing w:after="0" w:line="264" w:lineRule="auto"/>
        <w:tabs>
          <w:tab w:leader="none" w:pos="5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combined heating degree days are calculated based on a weighted average of total customers by state excluding Kansas Gas due to its weather normalization mechanism. Arkansas Gas is partially excluded based on the weather normalization mechanism in effect from November through April.</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660" w:type="dxa"/>
            <w:vAlign w:val="bottom"/>
          </w:tcPr>
          <w:p>
            <w:pPr>
              <w:spacing w:after="0"/>
              <w:rPr>
                <w:sz w:val="20"/>
                <w:szCs w:val="20"/>
                <w:color w:val="auto"/>
              </w:rPr>
            </w:pPr>
            <w:r>
              <w:rPr>
                <w:rFonts w:ascii="Arial" w:cs="Arial" w:eastAsia="Arial" w:hAnsi="Arial"/>
                <w:sz w:val="16"/>
                <w:szCs w:val="16"/>
                <w:b w:val="1"/>
                <w:bCs w:val="1"/>
                <w:color w:val="auto"/>
              </w:rPr>
              <w:t>Corporate and Other</w:t>
            </w: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370"/>
        </w:trPr>
        <w:tc>
          <w:tcPr>
            <w:tcW w:w="6800" w:type="dxa"/>
            <w:vAlign w:val="bottom"/>
            <w:gridSpan w:val="6"/>
          </w:tcPr>
          <w:p>
            <w:pPr>
              <w:spacing w:after="0"/>
              <w:rPr>
                <w:sz w:val="20"/>
                <w:szCs w:val="20"/>
                <w:color w:val="auto"/>
              </w:rPr>
            </w:pPr>
            <w:r>
              <w:rPr>
                <w:rFonts w:ascii="Arial" w:cs="Arial" w:eastAsia="Arial" w:hAnsi="Arial"/>
                <w:sz w:val="16"/>
                <w:szCs w:val="16"/>
                <w:color w:val="auto"/>
              </w:rPr>
              <w:t>Corporate and Other operating results, including inter-segment eliminations, were as follows:</w:t>
            </w: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52"/>
        </w:trPr>
        <w:tc>
          <w:tcPr>
            <w:tcW w:w="26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40" w:type="dxa"/>
            <w:vAlign w:val="bottom"/>
            <w:gridSpan w:val="3"/>
          </w:tcPr>
          <w:p>
            <w:pPr>
              <w:jc w:val="center"/>
              <w:ind w:left="159"/>
              <w:spacing w:after="0"/>
              <w:rPr>
                <w:sz w:val="20"/>
                <w:szCs w:val="20"/>
                <w:color w:val="auto"/>
              </w:rPr>
            </w:pPr>
            <w:r>
              <w:rPr>
                <w:rFonts w:ascii="Arial" w:cs="Arial" w:eastAsia="Arial" w:hAnsi="Arial"/>
                <w:sz w:val="16"/>
                <w:szCs w:val="16"/>
                <w:b w:val="1"/>
                <w:bCs w:val="1"/>
                <w:color w:val="auto"/>
              </w:rPr>
              <w:t>Three Months Ended June 30,</w:t>
            </w: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380" w:type="dxa"/>
            <w:vAlign w:val="bottom"/>
            <w:gridSpan w:val="4"/>
          </w:tcPr>
          <w:p>
            <w:pPr>
              <w:jc w:val="center"/>
              <w:ind w:right="159"/>
              <w:spacing w:after="0"/>
              <w:rPr>
                <w:sz w:val="20"/>
                <w:szCs w:val="20"/>
                <w:color w:val="auto"/>
              </w:rPr>
            </w:pPr>
            <w:r>
              <w:rPr>
                <w:rFonts w:ascii="Arial" w:cs="Arial" w:eastAsia="Arial" w:hAnsi="Arial"/>
                <w:sz w:val="16"/>
                <w:szCs w:val="16"/>
                <w:b w:val="1"/>
                <w:bCs w:val="1"/>
                <w:color w:val="auto"/>
              </w:rPr>
              <w:t>Six Months Ended June 30,</w:t>
            </w:r>
          </w:p>
        </w:tc>
        <w:tc>
          <w:tcPr>
            <w:tcW w:w="680" w:type="dxa"/>
            <w:vAlign w:val="bottom"/>
          </w:tcPr>
          <w:p>
            <w:pPr>
              <w:spacing w:after="0"/>
              <w:rPr>
                <w:sz w:val="24"/>
                <w:szCs w:val="24"/>
                <w:color w:val="auto"/>
              </w:rPr>
            </w:pPr>
          </w:p>
        </w:tc>
      </w:tr>
      <w:tr>
        <w:trPr>
          <w:trHeight w:val="189"/>
        </w:trPr>
        <w:tc>
          <w:tcPr>
            <w:tcW w:w="26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00" w:type="dxa"/>
            <w:vAlign w:val="bottom"/>
            <w:gridSpan w:val="2"/>
          </w:tcPr>
          <w:p>
            <w:pPr>
              <w:jc w:val="center"/>
              <w:spacing w:after="0"/>
              <w:rPr>
                <w:sz w:val="20"/>
                <w:szCs w:val="20"/>
                <w:color w:val="auto"/>
              </w:rPr>
            </w:pPr>
            <w:r>
              <w:rPr>
                <w:rFonts w:ascii="Arial" w:cs="Arial" w:eastAsia="Arial" w:hAnsi="Arial"/>
                <w:sz w:val="16"/>
                <w:szCs w:val="16"/>
                <w:b w:val="1"/>
                <w:bCs w:val="1"/>
                <w:color w:val="auto"/>
              </w:rPr>
              <w:t>2025 vs 2024</w:t>
            </w:r>
          </w:p>
        </w:tc>
        <w:tc>
          <w:tcPr>
            <w:tcW w:w="8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20" w:type="dxa"/>
            <w:vAlign w:val="bottom"/>
            <w:gridSpan w:val="2"/>
          </w:tcPr>
          <w:p>
            <w:pPr>
              <w:jc w:val="center"/>
              <w:ind w:right="79"/>
              <w:spacing w:after="0"/>
              <w:rPr>
                <w:sz w:val="20"/>
                <w:szCs w:val="20"/>
                <w:color w:val="auto"/>
              </w:rPr>
            </w:pPr>
            <w:r>
              <w:rPr>
                <w:rFonts w:ascii="Arial" w:cs="Arial" w:eastAsia="Arial" w:hAnsi="Arial"/>
                <w:sz w:val="16"/>
                <w:szCs w:val="16"/>
                <w:b w:val="1"/>
                <w:bCs w:val="1"/>
                <w:color w:val="auto"/>
              </w:rPr>
              <w:t>2025 vs 2024</w:t>
            </w:r>
          </w:p>
        </w:tc>
      </w:tr>
      <w:tr>
        <w:trPr>
          <w:trHeight w:val="203"/>
        </w:trPr>
        <w:tc>
          <w:tcPr>
            <w:tcW w:w="26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2025</w:t>
            </w: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2024</w:t>
            </w:r>
          </w:p>
        </w:tc>
        <w:tc>
          <w:tcPr>
            <w:tcW w:w="13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8"/>
              </w:rPr>
              <w:t>Variance</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4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4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jc w:val="center"/>
              <w:ind w:right="39"/>
              <w:spacing w:after="0"/>
              <w:rPr>
                <w:sz w:val="20"/>
                <w:szCs w:val="20"/>
                <w:color w:val="auto"/>
              </w:rPr>
            </w:pPr>
            <w:r>
              <w:rPr>
                <w:rFonts w:ascii="Arial" w:cs="Arial" w:eastAsia="Arial" w:hAnsi="Arial"/>
                <w:sz w:val="16"/>
                <w:szCs w:val="16"/>
                <w:b w:val="1"/>
                <w:bCs w:val="1"/>
                <w:color w:val="auto"/>
              </w:rPr>
              <w:t>Variance</w:t>
            </w:r>
          </w:p>
        </w:tc>
      </w:tr>
      <w:tr>
        <w:trPr>
          <w:trHeight w:val="182"/>
        </w:trPr>
        <w:tc>
          <w:tcPr>
            <w:tcW w:w="26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jc w:val="right"/>
              <w:ind w:right="339"/>
              <w:spacing w:after="0" w:line="183" w:lineRule="exact"/>
              <w:rPr>
                <w:sz w:val="20"/>
                <w:szCs w:val="20"/>
                <w:color w:val="auto"/>
              </w:rPr>
            </w:pPr>
            <w:r>
              <w:rPr>
                <w:rFonts w:ascii="Arial" w:cs="Arial" w:eastAsia="Arial" w:hAnsi="Arial"/>
                <w:sz w:val="16"/>
                <w:szCs w:val="16"/>
                <w:color w:val="auto"/>
              </w:rPr>
              <w:t>(in millions)</w:t>
            </w:r>
          </w:p>
        </w:tc>
        <w:tc>
          <w:tcPr>
            <w:tcW w:w="4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r>
      <w:tr>
        <w:trPr>
          <w:trHeight w:val="203"/>
        </w:trPr>
        <w:tc>
          <w:tcPr>
            <w:tcW w:w="2660" w:type="dxa"/>
            <w:vAlign w:val="bottom"/>
            <w:shd w:val="clear" w:color="auto" w:fill="CFF0FC"/>
          </w:tcPr>
          <w:p>
            <w:pPr>
              <w:spacing w:after="0" w:line="169" w:lineRule="exact"/>
              <w:rPr>
                <w:sz w:val="20"/>
                <w:szCs w:val="20"/>
                <w:color w:val="auto"/>
              </w:rPr>
            </w:pPr>
            <w:r>
              <w:rPr>
                <w:rFonts w:ascii="Arial" w:cs="Arial" w:eastAsia="Arial" w:hAnsi="Arial"/>
                <w:sz w:val="16"/>
                <w:szCs w:val="16"/>
                <w:color w:val="auto"/>
              </w:rPr>
              <w:t>Operating income (loss)</w:t>
            </w:r>
          </w:p>
        </w:tc>
        <w:tc>
          <w:tcPr>
            <w:tcW w:w="1200" w:type="dxa"/>
            <w:vAlign w:val="bottom"/>
            <w:gridSpan w:val="2"/>
            <w:shd w:val="clear" w:color="auto" w:fill="CFF0FC"/>
          </w:tcPr>
          <w:p>
            <w:pPr>
              <w:jc w:val="right"/>
              <w:ind w:right="160"/>
              <w:spacing w:after="0" w:line="169" w:lineRule="exact"/>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ind w:right="59"/>
              <w:spacing w:after="0" w:line="169" w:lineRule="exact"/>
              <w:rPr>
                <w:sz w:val="20"/>
                <w:szCs w:val="20"/>
                <w:color w:val="auto"/>
              </w:rPr>
            </w:pPr>
            <w:r>
              <w:rPr>
                <w:rFonts w:ascii="Arial" w:cs="Arial" w:eastAsia="Arial" w:hAnsi="Arial"/>
                <w:sz w:val="16"/>
                <w:szCs w:val="16"/>
                <w:color w:val="auto"/>
              </w:rPr>
              <w:t>(2.0) $</w:t>
            </w:r>
          </w:p>
        </w:tc>
        <w:tc>
          <w:tcPr>
            <w:tcW w:w="98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1.3</w:t>
            </w:r>
          </w:p>
        </w:tc>
        <w:tc>
          <w:tcPr>
            <w:tcW w:w="720" w:type="dxa"/>
            <w:vAlign w:val="bottom"/>
            <w:shd w:val="clear" w:color="auto" w:fill="CFF0FC"/>
          </w:tcPr>
          <w:p>
            <w:pPr>
              <w:jc w:val="right"/>
              <w:ind w:right="499"/>
              <w:spacing w:after="0" w:line="169" w:lineRule="exact"/>
              <w:rPr>
                <w:sz w:val="20"/>
                <w:szCs w:val="20"/>
                <w:color w:val="auto"/>
              </w:rPr>
            </w:pPr>
            <w:r>
              <w:rPr>
                <w:rFonts w:ascii="Arial" w:cs="Arial" w:eastAsia="Arial" w:hAnsi="Arial"/>
                <w:sz w:val="16"/>
                <w:szCs w:val="16"/>
                <w:color w:val="auto"/>
              </w:rPr>
              <w:t>$</w:t>
            </w:r>
          </w:p>
        </w:tc>
        <w:tc>
          <w:tcPr>
            <w:tcW w:w="58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(3.3)</w:t>
            </w:r>
          </w:p>
        </w:tc>
        <w:tc>
          <w:tcPr>
            <w:tcW w:w="800" w:type="dxa"/>
            <w:vAlign w:val="bottom"/>
            <w:shd w:val="clear" w:color="auto" w:fill="CFF0FC"/>
          </w:tcPr>
          <w:p>
            <w:pPr>
              <w:jc w:val="right"/>
              <w:ind w:right="599"/>
              <w:spacing w:after="0" w:line="169" w:lineRule="exact"/>
              <w:rPr>
                <w:sz w:val="20"/>
                <w:szCs w:val="20"/>
                <w:color w:val="auto"/>
              </w:rPr>
            </w:pPr>
            <w:r>
              <w:rPr>
                <w:rFonts w:ascii="Arial" w:cs="Arial" w:eastAsia="Arial" w:hAnsi="Arial"/>
                <w:sz w:val="16"/>
                <w:szCs w:val="16"/>
                <w:color w:val="auto"/>
              </w:rPr>
              <w:t>$</w:t>
            </w:r>
          </w:p>
        </w:tc>
        <w:tc>
          <w:tcPr>
            <w:tcW w:w="46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(2.9)</w:t>
            </w:r>
          </w:p>
        </w:tc>
        <w:tc>
          <w:tcPr>
            <w:tcW w:w="840" w:type="dxa"/>
            <w:vAlign w:val="bottom"/>
            <w:shd w:val="clear" w:color="auto" w:fill="CFF0FC"/>
          </w:tcPr>
          <w:p>
            <w:pPr>
              <w:jc w:val="right"/>
              <w:ind w:right="639"/>
              <w:spacing w:after="0" w:line="169" w:lineRule="exact"/>
              <w:rPr>
                <w:sz w:val="20"/>
                <w:szCs w:val="20"/>
                <w:color w:val="auto"/>
              </w:rPr>
            </w:pPr>
            <w:r>
              <w:rPr>
                <w:rFonts w:ascii="Arial" w:cs="Arial" w:eastAsia="Arial" w:hAnsi="Arial"/>
                <w:sz w:val="16"/>
                <w:szCs w:val="16"/>
                <w:color w:val="auto"/>
              </w:rPr>
              <w:t>$</w:t>
            </w:r>
          </w:p>
        </w:tc>
        <w:tc>
          <w:tcPr>
            <w:tcW w:w="44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(0.6)</w:t>
            </w:r>
          </w:p>
        </w:tc>
        <w:tc>
          <w:tcPr>
            <w:tcW w:w="640" w:type="dxa"/>
            <w:vAlign w:val="bottom"/>
            <w:shd w:val="clear" w:color="auto" w:fill="CFF0FC"/>
          </w:tcPr>
          <w:p>
            <w:pPr>
              <w:jc w:val="right"/>
              <w:ind w:right="439"/>
              <w:spacing w:after="0" w:line="169" w:lineRule="exact"/>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(2.3)</w:t>
            </w:r>
          </w:p>
        </w:tc>
      </w:tr>
      <w:tr>
        <w:trPr>
          <w:trHeight w:val="20"/>
        </w:trPr>
        <w:tc>
          <w:tcPr>
            <w:tcW w:w="266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Three Months Ended June 30, 2025, Compared to the Three Months Ended June 30, 2024:</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Operating loss increased primarily due to a prior year gain on the sale of a Corporate asset and higher unallocated outside services expenses.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Six Months Ended June 30, 2025, Compared to the Six Months Ended June 30, 2024:</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Operating loss increased primarily due to a prior year gain on the sale of a Corporate asset and higher unallocated outside services expenses.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000" w:type="dxa"/>
            <w:vAlign w:val="bottom"/>
            <w:gridSpan w:val="5"/>
          </w:tcPr>
          <w:p>
            <w:pPr>
              <w:spacing w:after="0"/>
              <w:rPr>
                <w:sz w:val="20"/>
                <w:szCs w:val="20"/>
                <w:color w:val="auto"/>
              </w:rPr>
            </w:pPr>
            <w:r>
              <w:rPr>
                <w:rFonts w:ascii="Arial" w:cs="Arial" w:eastAsia="Arial" w:hAnsi="Arial"/>
                <w:sz w:val="16"/>
                <w:szCs w:val="16"/>
                <w:b w:val="1"/>
                <w:bCs w:val="1"/>
                <w:color w:val="auto"/>
              </w:rPr>
              <w:t>Consolidated Interest Expense, Other Income and Income Tax Expense</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344"/>
        </w:trPr>
        <w:tc>
          <w:tcPr>
            <w:tcW w:w="3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00" w:type="dxa"/>
            <w:vAlign w:val="bottom"/>
            <w:gridSpan w:val="5"/>
          </w:tcPr>
          <w:p>
            <w:pPr>
              <w:jc w:val="right"/>
              <w:ind w:right="679"/>
              <w:spacing w:after="0"/>
              <w:rPr>
                <w:sz w:val="20"/>
                <w:szCs w:val="20"/>
                <w:color w:val="auto"/>
              </w:rPr>
            </w:pPr>
            <w:r>
              <w:rPr>
                <w:rFonts w:ascii="Arial" w:cs="Arial" w:eastAsia="Arial" w:hAnsi="Arial"/>
                <w:sz w:val="16"/>
                <w:szCs w:val="16"/>
                <w:b w:val="1"/>
                <w:bCs w:val="1"/>
                <w:color w:val="auto"/>
              </w:rPr>
              <w:t>Three Months Ended June 30,</w:t>
            </w:r>
          </w:p>
        </w:tc>
        <w:tc>
          <w:tcPr>
            <w:tcW w:w="240" w:type="dxa"/>
            <w:vAlign w:val="bottom"/>
          </w:tcPr>
          <w:p>
            <w:pPr>
              <w:spacing w:after="0"/>
              <w:rPr>
                <w:sz w:val="24"/>
                <w:szCs w:val="24"/>
                <w:color w:val="auto"/>
              </w:rPr>
            </w:pPr>
          </w:p>
        </w:tc>
        <w:tc>
          <w:tcPr>
            <w:tcW w:w="3580" w:type="dxa"/>
            <w:vAlign w:val="bottom"/>
            <w:gridSpan w:val="5"/>
          </w:tcPr>
          <w:p>
            <w:pPr>
              <w:jc w:val="right"/>
              <w:ind w:right="839"/>
              <w:spacing w:after="0"/>
              <w:rPr>
                <w:sz w:val="20"/>
                <w:szCs w:val="20"/>
                <w:color w:val="auto"/>
              </w:rPr>
            </w:pPr>
            <w:r>
              <w:rPr>
                <w:rFonts w:ascii="Arial" w:cs="Arial" w:eastAsia="Arial" w:hAnsi="Arial"/>
                <w:sz w:val="16"/>
                <w:szCs w:val="16"/>
                <w:b w:val="1"/>
                <w:bCs w:val="1"/>
                <w:color w:val="auto"/>
              </w:rPr>
              <w:t>Six Months Ended June 30,</w:t>
            </w:r>
          </w:p>
        </w:tc>
      </w:tr>
      <w:tr>
        <w:trPr>
          <w:trHeight w:val="189"/>
        </w:trPr>
        <w:tc>
          <w:tcPr>
            <w:tcW w:w="3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right"/>
              <w:ind w:right="179"/>
              <w:spacing w:after="0"/>
              <w:rPr>
                <w:sz w:val="20"/>
                <w:szCs w:val="20"/>
                <w:color w:val="auto"/>
              </w:rPr>
            </w:pPr>
            <w:r>
              <w:rPr>
                <w:rFonts w:ascii="Arial" w:cs="Arial" w:eastAsia="Arial" w:hAnsi="Arial"/>
                <w:sz w:val="16"/>
                <w:szCs w:val="16"/>
                <w:b w:val="1"/>
                <w:bCs w:val="1"/>
                <w:color w:val="auto"/>
              </w:rPr>
              <w:t>2025 vs 2024</w:t>
            </w: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ind w:right="239"/>
              <w:spacing w:after="0"/>
              <w:rPr>
                <w:sz w:val="20"/>
                <w:szCs w:val="20"/>
                <w:color w:val="auto"/>
              </w:rPr>
            </w:pPr>
            <w:r>
              <w:rPr>
                <w:rFonts w:ascii="Arial" w:cs="Arial" w:eastAsia="Arial" w:hAnsi="Arial"/>
                <w:sz w:val="16"/>
                <w:szCs w:val="16"/>
                <w:b w:val="1"/>
                <w:bCs w:val="1"/>
                <w:color w:val="auto"/>
              </w:rPr>
              <w:t>2025 vs 2024</w:t>
            </w:r>
          </w:p>
        </w:tc>
      </w:tr>
      <w:tr>
        <w:trPr>
          <w:trHeight w:val="203"/>
        </w:trPr>
        <w:tc>
          <w:tcPr>
            <w:tcW w:w="37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2025</w:t>
            </w: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2024</w:t>
            </w: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Variance</w:t>
            </w: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2025</w:t>
            </w: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2024</w:t>
            </w: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Variance</w:t>
            </w:r>
          </w:p>
        </w:tc>
      </w:tr>
      <w:tr>
        <w:trPr>
          <w:trHeight w:val="183"/>
        </w:trPr>
        <w:tc>
          <w:tcPr>
            <w:tcW w:w="37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3"/>
          </w:tcPr>
          <w:p>
            <w:pPr>
              <w:jc w:val="right"/>
              <w:ind w:right="699"/>
              <w:spacing w:after="0" w:line="183" w:lineRule="exact"/>
              <w:rPr>
                <w:sz w:val="20"/>
                <w:szCs w:val="20"/>
                <w:color w:val="auto"/>
              </w:rPr>
            </w:pPr>
            <w:r>
              <w:rPr>
                <w:rFonts w:ascii="Arial" w:cs="Arial" w:eastAsia="Arial" w:hAnsi="Arial"/>
                <w:sz w:val="16"/>
                <w:szCs w:val="16"/>
                <w:color w:val="auto"/>
              </w:rPr>
              <w:t>(in millions)</w:t>
            </w: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r>
      <w:tr>
        <w:trPr>
          <w:trHeight w:val="183"/>
        </w:trPr>
        <w:tc>
          <w:tcPr>
            <w:tcW w:w="37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Interest expense, net</w:t>
            </w:r>
          </w:p>
        </w:tc>
        <w:tc>
          <w:tcPr>
            <w:tcW w:w="22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w w:val="89"/>
              </w:rPr>
              <w:t>$</w:t>
            </w:r>
          </w:p>
        </w:tc>
        <w:tc>
          <w:tcPr>
            <w:tcW w:w="9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(48.9)</w:t>
            </w:r>
          </w:p>
        </w:tc>
        <w:tc>
          <w:tcPr>
            <w:tcW w:w="24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(42.6)</w:t>
            </w:r>
          </w:p>
        </w:tc>
        <w:tc>
          <w:tcPr>
            <w:tcW w:w="1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2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(6.3)</w:t>
            </w:r>
          </w:p>
        </w:tc>
        <w:tc>
          <w:tcPr>
            <w:tcW w:w="24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(100.3)</w:t>
            </w:r>
          </w:p>
        </w:tc>
        <w:tc>
          <w:tcPr>
            <w:tcW w:w="24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(86.7)</w:t>
            </w:r>
          </w:p>
        </w:tc>
        <w:tc>
          <w:tcPr>
            <w:tcW w:w="1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(13.6)</w:t>
            </w:r>
          </w:p>
        </w:tc>
      </w:tr>
      <w:tr>
        <w:trPr>
          <w:trHeight w:val="189"/>
        </w:trPr>
        <w:tc>
          <w:tcPr>
            <w:tcW w:w="3700" w:type="dxa"/>
            <w:vAlign w:val="bottom"/>
          </w:tcPr>
          <w:p>
            <w:pPr>
              <w:spacing w:after="0"/>
              <w:rPr>
                <w:sz w:val="20"/>
                <w:szCs w:val="20"/>
                <w:color w:val="auto"/>
              </w:rPr>
            </w:pPr>
            <w:r>
              <w:rPr>
                <w:rFonts w:ascii="Arial" w:cs="Arial" w:eastAsia="Arial" w:hAnsi="Arial"/>
                <w:sz w:val="16"/>
                <w:szCs w:val="16"/>
                <w:color w:val="auto"/>
              </w:rPr>
              <w:t>Other income (expense), net</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(0.4)</w:t>
            </w:r>
          </w:p>
        </w:tc>
        <w:tc>
          <w:tcPr>
            <w:tcW w:w="24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0.4</w:t>
            </w:r>
          </w:p>
        </w:tc>
        <w:tc>
          <w:tcPr>
            <w:tcW w:w="1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(0.8)</w:t>
            </w:r>
          </w:p>
        </w:tc>
        <w:tc>
          <w:tcPr>
            <w:tcW w:w="240" w:type="dxa"/>
            <w:vAlign w:val="bottom"/>
          </w:tcPr>
          <w:p>
            <w:pPr>
              <w:spacing w:after="0"/>
              <w:rPr>
                <w:sz w:val="16"/>
                <w:szCs w:val="16"/>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0.6</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(0.5)</w:t>
            </w:r>
          </w:p>
        </w:tc>
        <w:tc>
          <w:tcPr>
            <w:tcW w:w="140" w:type="dxa"/>
            <w:vAlign w:val="bottom"/>
          </w:tcPr>
          <w:p>
            <w:pPr>
              <w:spacing w:after="0"/>
              <w:rPr>
                <w:sz w:val="16"/>
                <w:szCs w:val="16"/>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1.1</w:t>
            </w:r>
          </w:p>
        </w:tc>
      </w:tr>
      <w:tr>
        <w:trPr>
          <w:trHeight w:val="189"/>
        </w:trPr>
        <w:tc>
          <w:tcPr>
            <w:tcW w:w="3700" w:type="dxa"/>
            <w:vAlign w:val="bottom"/>
            <w:shd w:val="clear" w:color="auto" w:fill="CFF0FC"/>
          </w:tcPr>
          <w:p>
            <w:pPr>
              <w:spacing w:after="0"/>
              <w:rPr>
                <w:sz w:val="20"/>
                <w:szCs w:val="20"/>
                <w:color w:val="auto"/>
              </w:rPr>
            </w:pPr>
            <w:r>
              <w:rPr>
                <w:rFonts w:ascii="Arial" w:cs="Arial" w:eastAsia="Arial" w:hAnsi="Arial"/>
                <w:sz w:val="16"/>
                <w:szCs w:val="16"/>
                <w:color w:val="auto"/>
              </w:rPr>
              <w:t>Income tax (expense)</w:t>
            </w:r>
          </w:p>
        </w:tc>
        <w:tc>
          <w:tcPr>
            <w:tcW w:w="22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w:t>
            </w:r>
          </w:p>
        </w:tc>
        <w:tc>
          <w:tcPr>
            <w:tcW w:w="24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w:t>
            </w:r>
          </w:p>
        </w:tc>
        <w:tc>
          <w:tcPr>
            <w:tcW w:w="14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(0.7)</w:t>
            </w:r>
          </w:p>
        </w:tc>
        <w:tc>
          <w:tcPr>
            <w:tcW w:w="24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(22.5)</w:t>
            </w:r>
          </w:p>
        </w:tc>
        <w:tc>
          <w:tcPr>
            <w:tcW w:w="24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(20.6)</w:t>
            </w:r>
          </w:p>
        </w:tc>
        <w:tc>
          <w:tcPr>
            <w:tcW w:w="1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Three Months Ended June 30, 2025, Compared to the Three Months Ended June 30, 2024:</w:t>
      </w:r>
    </w:p>
    <w:p>
      <w:pPr>
        <w:spacing w:after="0" w:line="194"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u w:val="single" w:color="auto"/>
          <w:color w:val="auto"/>
        </w:rPr>
        <w:t>Interest expense, net</w:t>
      </w:r>
      <w:r>
        <w:rPr>
          <w:rFonts w:ascii="Arial" w:cs="Arial" w:eastAsia="Arial" w:hAnsi="Arial"/>
          <w:sz w:val="16"/>
          <w:szCs w:val="16"/>
          <w:color w:val="auto"/>
        </w:rPr>
        <w:t xml:space="preserve"> increased primarily due to higher interest rates on long-term debt, higher CP Program borrowings and lower interest income on lower cash and cash equivalents balances.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Other income (expense), net</w:t>
      </w:r>
      <w:r>
        <w:rPr>
          <w:rFonts w:ascii="Arial" w:cs="Arial" w:eastAsia="Arial" w:hAnsi="Arial"/>
          <w:sz w:val="16"/>
          <w:szCs w:val="16"/>
          <w:color w:val="auto"/>
        </w:rPr>
        <w:t xml:space="preserve"> was comparable to the same period in the prior year.</w:t>
      </w:r>
    </w:p>
    <w:p>
      <w:pPr>
        <w:spacing w:after="0" w:line="194"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u w:val="single" w:color="auto"/>
          <w:color w:val="auto"/>
        </w:rPr>
        <w:t>Income tax (expense)</w:t>
      </w:r>
      <w:r>
        <w:rPr>
          <w:rFonts w:ascii="Arial" w:cs="Arial" w:eastAsia="Arial" w:hAnsi="Arial"/>
          <w:sz w:val="16"/>
          <w:szCs w:val="16"/>
          <w:color w:val="auto"/>
        </w:rPr>
        <w:t xml:space="preserve"> was comparable to the same period in the prior year. For the three months ended June 30, 2025, the effective tax rate was 13.3%, which was comparable to 13.0% for the same period in 2024.</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Six Months Ended June 30, 2025, Compared to the Six Months Ended June 30, 2024:</w:t>
      </w:r>
    </w:p>
    <w:p>
      <w:pPr>
        <w:spacing w:after="0" w:line="194"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u w:val="single" w:color="auto"/>
          <w:color w:val="auto"/>
        </w:rPr>
        <w:t>Interest expense, net</w:t>
      </w:r>
      <w:r>
        <w:rPr>
          <w:rFonts w:ascii="Arial" w:cs="Arial" w:eastAsia="Arial" w:hAnsi="Arial"/>
          <w:sz w:val="16"/>
          <w:szCs w:val="16"/>
          <w:color w:val="auto"/>
        </w:rPr>
        <w:t xml:space="preserve"> increased primarily due to higher interest rates on long-term debt, higher CP Program borrowings and lower interest income on lower cash and cash equivalents balances.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Other income (expense), net</w:t>
      </w:r>
      <w:r>
        <w:rPr>
          <w:rFonts w:ascii="Arial" w:cs="Arial" w:eastAsia="Arial" w:hAnsi="Arial"/>
          <w:sz w:val="16"/>
          <w:szCs w:val="16"/>
          <w:color w:val="auto"/>
        </w:rPr>
        <w:t xml:space="preserve"> was comparable to the same period in the prior year.</w:t>
      </w:r>
    </w:p>
    <w:p>
      <w:pPr>
        <w:spacing w:after="0" w:line="194"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u w:val="single" w:color="auto"/>
          <w:color w:val="auto"/>
        </w:rPr>
        <w:t>Income tax (expense)</w:t>
      </w:r>
      <w:r>
        <w:rPr>
          <w:rFonts w:ascii="Arial" w:cs="Arial" w:eastAsia="Arial" w:hAnsi="Arial"/>
          <w:sz w:val="16"/>
          <w:szCs w:val="16"/>
          <w:color w:val="auto"/>
        </w:rPr>
        <w:t xml:space="preserve"> was comparable to the same period in the prior year. For the six months ended June 30, 2025, the effective tax rate was 12.0%, which was comparable to 11.7% for the same period in 2024.</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Liquidity and Capital Resources</w:t>
      </w:r>
    </w:p>
    <w:p>
      <w:pPr>
        <w:sectPr>
          <w:pgSz w:w="11900" w:h="16838" w:orient="portrait"/>
          <w:cols w:equalWidth="0" w:num="1">
            <w:col w:w="11240"/>
          </w:cols>
          <w:pgMar w:left="320" w:top="125" w:right="339" w:bottom="1440" w:gutter="0" w:footer="0" w:header="0"/>
        </w:sectPr>
      </w:pP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an informational summary of our liquidity and capital structure as of:</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6"/>
          <w:szCs w:val="16"/>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132320" cy="1200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233" w:lineRule="auto"/>
        <w:rPr>
          <w:sz w:val="20"/>
          <w:szCs w:val="20"/>
          <w:color w:val="auto"/>
        </w:rPr>
      </w:pPr>
      <w:r>
        <w:rPr>
          <w:rFonts w:ascii="Arial" w:cs="Arial" w:eastAsia="Arial" w:hAnsi="Arial"/>
          <w:sz w:val="16"/>
          <w:szCs w:val="16"/>
          <w:color w:val="auto"/>
        </w:rPr>
        <w:t xml:space="preserve">Available capacity under Revolving Credit Facility and CP Program </w:t>
      </w:r>
      <w:r>
        <w:rPr>
          <w:rFonts w:ascii="Arial" w:cs="Arial" w:eastAsia="Arial" w:hAnsi="Arial"/>
          <w:sz w:val="21"/>
          <w:szCs w:val="21"/>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200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Available liquidity</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Capital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132320" cy="1200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220" w:lineRule="auto"/>
        <w:rPr>
          <w:sz w:val="20"/>
          <w:szCs w:val="20"/>
          <w:color w:val="auto"/>
        </w:rPr>
      </w:pPr>
      <w:r>
        <w:rPr>
          <w:rFonts w:ascii="Arial" w:cs="Arial" w:eastAsia="Arial" w:hAnsi="Arial"/>
          <w:sz w:val="16"/>
          <w:szCs w:val="16"/>
          <w:color w:val="auto"/>
        </w:rPr>
        <w:t xml:space="preserve">Short-term debt </w:t>
      </w:r>
      <w:r>
        <w:rPr>
          <w:rFonts w:ascii="Arial" w:cs="Arial" w:eastAsia="Arial" w:hAnsi="Arial"/>
          <w:sz w:val="21"/>
          <w:szCs w:val="21"/>
          <w:color w:val="auto"/>
          <w:vertAlign w:val="superscript"/>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289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Long-term debt</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Total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289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Total stockholders' equity (excludes non-controlling interest)</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Total 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200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Debt to 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200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Long-term debt to total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190309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26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June 30, 2025</w:t>
            </w:r>
          </w:p>
        </w:tc>
        <w:tc>
          <w:tcPr>
            <w:tcW w:w="16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December 31, 2024</w:t>
            </w:r>
          </w:p>
        </w:tc>
      </w:tr>
      <w:tr>
        <w:trPr>
          <w:trHeight w:val="183"/>
        </w:trPr>
        <w:tc>
          <w:tcPr>
            <w:tcW w:w="260" w:type="dxa"/>
            <w:vAlign w:val="bottom"/>
            <w:tcBorders>
              <w:bottom w:val="single" w:sz="8" w:color="auto"/>
            </w:tcBorders>
          </w:tcPr>
          <w:p>
            <w:pPr>
              <w:spacing w:after="0"/>
              <w:rPr>
                <w:sz w:val="15"/>
                <w:szCs w:val="15"/>
                <w:color w:val="auto"/>
              </w:rPr>
            </w:pPr>
          </w:p>
        </w:tc>
        <w:tc>
          <w:tcPr>
            <w:tcW w:w="3880" w:type="dxa"/>
            <w:vAlign w:val="bottom"/>
            <w:tcBorders>
              <w:bottom w:val="single" w:sz="8" w:color="auto"/>
            </w:tcBorders>
            <w:gridSpan w:val="3"/>
          </w:tcPr>
          <w:p>
            <w:pPr>
              <w:jc w:val="right"/>
              <w:ind w:right="1399"/>
              <w:spacing w:after="0" w:line="183" w:lineRule="exact"/>
              <w:rPr>
                <w:sz w:val="20"/>
                <w:szCs w:val="20"/>
                <w:color w:val="auto"/>
              </w:rPr>
            </w:pPr>
            <w:r>
              <w:rPr>
                <w:rFonts w:ascii="Arial" w:cs="Arial" w:eastAsia="Arial" w:hAnsi="Arial"/>
                <w:sz w:val="16"/>
                <w:szCs w:val="16"/>
                <w:color w:val="auto"/>
              </w:rPr>
              <w:t>(dollars in millions)</w:t>
            </w:r>
          </w:p>
        </w:tc>
      </w:tr>
      <w:tr>
        <w:trPr>
          <w:trHeight w:val="168"/>
        </w:trPr>
        <w:tc>
          <w:tcPr>
            <w:tcW w:w="260" w:type="dxa"/>
            <w:vAlign w:val="bottom"/>
          </w:tcPr>
          <w:p>
            <w:pPr>
              <w:jc w:val="right"/>
              <w:ind w:right="79"/>
              <w:spacing w:after="0" w:line="168" w:lineRule="exact"/>
              <w:rPr>
                <w:sz w:val="20"/>
                <w:szCs w:val="20"/>
                <w:color w:val="auto"/>
              </w:rPr>
            </w:pPr>
            <w:r>
              <w:rPr>
                <w:rFonts w:ascii="Arial" w:cs="Arial" w:eastAsia="Arial" w:hAnsi="Arial"/>
                <w:sz w:val="16"/>
                <w:szCs w:val="16"/>
                <w:color w:val="auto"/>
                <w:w w:val="89"/>
              </w:rPr>
              <w:t>$</w:t>
            </w:r>
          </w:p>
        </w:tc>
        <w:tc>
          <w:tcPr>
            <w:tcW w:w="1800" w:type="dxa"/>
            <w:vAlign w:val="bottom"/>
          </w:tcPr>
          <w:p>
            <w:pPr>
              <w:jc w:val="right"/>
              <w:ind w:right="79"/>
              <w:spacing w:after="0" w:line="168" w:lineRule="exact"/>
              <w:rPr>
                <w:sz w:val="20"/>
                <w:szCs w:val="20"/>
                <w:color w:val="auto"/>
              </w:rPr>
            </w:pPr>
            <w:r>
              <w:rPr>
                <w:rFonts w:ascii="Arial" w:cs="Arial" w:eastAsia="Arial" w:hAnsi="Arial"/>
                <w:sz w:val="16"/>
                <w:szCs w:val="16"/>
                <w:color w:val="auto"/>
              </w:rPr>
              <w:t>8.1</w:t>
            </w:r>
          </w:p>
        </w:tc>
        <w:tc>
          <w:tcPr>
            <w:tcW w:w="160" w:type="dxa"/>
            <w:vAlign w:val="bottom"/>
          </w:tcPr>
          <w:p>
            <w:pPr>
              <w:jc w:val="right"/>
              <w:spacing w:after="0" w:line="168" w:lineRule="exact"/>
              <w:rPr>
                <w:sz w:val="20"/>
                <w:szCs w:val="20"/>
                <w:color w:val="auto"/>
              </w:rPr>
            </w:pPr>
            <w:r>
              <w:rPr>
                <w:rFonts w:ascii="Arial" w:cs="Arial" w:eastAsia="Arial" w:hAnsi="Arial"/>
                <w:sz w:val="16"/>
                <w:szCs w:val="16"/>
                <w:color w:val="auto"/>
                <w:w w:val="89"/>
              </w:rPr>
              <w:t>$</w:t>
            </w:r>
          </w:p>
        </w:tc>
        <w:tc>
          <w:tcPr>
            <w:tcW w:w="1920" w:type="dxa"/>
            <w:vAlign w:val="bottom"/>
          </w:tcPr>
          <w:p>
            <w:pPr>
              <w:jc w:val="right"/>
              <w:ind w:right="99"/>
              <w:spacing w:after="0" w:line="168" w:lineRule="exact"/>
              <w:rPr>
                <w:sz w:val="20"/>
                <w:szCs w:val="20"/>
                <w:color w:val="auto"/>
              </w:rPr>
            </w:pPr>
            <w:r>
              <w:rPr>
                <w:rFonts w:ascii="Arial" w:cs="Arial" w:eastAsia="Arial" w:hAnsi="Arial"/>
                <w:sz w:val="16"/>
                <w:szCs w:val="16"/>
                <w:color w:val="auto"/>
              </w:rPr>
              <w:t>16.1</w:t>
            </w:r>
          </w:p>
        </w:tc>
      </w:tr>
      <w:tr>
        <w:trPr>
          <w:trHeight w:val="203"/>
        </w:trPr>
        <w:tc>
          <w:tcPr>
            <w:tcW w:w="26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622.8</w:t>
            </w:r>
          </w:p>
        </w:tc>
        <w:tc>
          <w:tcPr>
            <w:tcW w:w="16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612.7</w:t>
            </w:r>
          </w:p>
        </w:tc>
      </w:tr>
      <w:tr>
        <w:trPr>
          <w:trHeight w:val="208"/>
        </w:trPr>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800" w:type="dxa"/>
            <w:vAlign w:val="bottom"/>
          </w:tcPr>
          <w:p>
            <w:pPr>
              <w:jc w:val="right"/>
              <w:ind w:right="79"/>
              <w:spacing w:after="0"/>
              <w:rPr>
                <w:sz w:val="20"/>
                <w:szCs w:val="20"/>
                <w:color w:val="auto"/>
              </w:rPr>
            </w:pPr>
            <w:r>
              <w:rPr>
                <w:rFonts w:ascii="Arial" w:cs="Arial" w:eastAsia="Arial" w:hAnsi="Arial"/>
                <w:sz w:val="16"/>
                <w:szCs w:val="16"/>
                <w:color w:val="auto"/>
              </w:rPr>
              <w:t>630.9</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Pr>
          <w:p>
            <w:pPr>
              <w:jc w:val="right"/>
              <w:ind w:right="99"/>
              <w:spacing w:after="0"/>
              <w:rPr>
                <w:sz w:val="20"/>
                <w:szCs w:val="20"/>
                <w:color w:val="auto"/>
              </w:rPr>
            </w:pPr>
            <w:r>
              <w:rPr>
                <w:rFonts w:ascii="Arial" w:cs="Arial" w:eastAsia="Arial" w:hAnsi="Arial"/>
                <w:sz w:val="16"/>
                <w:szCs w:val="16"/>
                <w:color w:val="auto"/>
              </w:rPr>
              <w:t>628.8</w:t>
            </w:r>
          </w:p>
        </w:tc>
      </w:tr>
      <w:tr>
        <w:trPr>
          <w:trHeight w:val="527"/>
        </w:trPr>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800" w:type="dxa"/>
            <w:vAlign w:val="bottom"/>
          </w:tcPr>
          <w:p>
            <w:pPr>
              <w:jc w:val="right"/>
              <w:ind w:right="79"/>
              <w:spacing w:after="0"/>
              <w:rPr>
                <w:sz w:val="20"/>
                <w:szCs w:val="20"/>
                <w:color w:val="auto"/>
              </w:rPr>
            </w:pPr>
            <w:r>
              <w:rPr>
                <w:rFonts w:ascii="Arial" w:cs="Arial" w:eastAsia="Arial" w:hAnsi="Arial"/>
                <w:sz w:val="16"/>
                <w:szCs w:val="16"/>
                <w:color w:val="auto"/>
              </w:rPr>
              <w:t>423.7</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Pr>
          <w:p>
            <w:pPr>
              <w:jc w:val="right"/>
              <w:ind w:right="99"/>
              <w:spacing w:after="0"/>
              <w:rPr>
                <w:sz w:val="20"/>
                <w:szCs w:val="20"/>
                <w:color w:val="auto"/>
              </w:rPr>
            </w:pPr>
            <w:r>
              <w:rPr>
                <w:rFonts w:ascii="Arial" w:cs="Arial" w:eastAsia="Arial" w:hAnsi="Arial"/>
                <w:sz w:val="16"/>
                <w:szCs w:val="16"/>
                <w:color w:val="auto"/>
              </w:rPr>
              <w:t>133.8</w:t>
            </w:r>
          </w:p>
        </w:tc>
      </w:tr>
      <w:tr>
        <w:trPr>
          <w:trHeight w:val="203"/>
        </w:trPr>
        <w:tc>
          <w:tcPr>
            <w:tcW w:w="26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3,952.4</w:t>
            </w:r>
          </w:p>
        </w:tc>
        <w:tc>
          <w:tcPr>
            <w:tcW w:w="16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4,250.2</w:t>
            </w:r>
          </w:p>
        </w:tc>
      </w:tr>
      <w:tr>
        <w:trPr>
          <w:trHeight w:val="168"/>
        </w:trPr>
        <w:tc>
          <w:tcPr>
            <w:tcW w:w="260" w:type="dxa"/>
            <w:vAlign w:val="bottom"/>
          </w:tcPr>
          <w:p>
            <w:pPr>
              <w:spacing w:after="0"/>
              <w:rPr>
                <w:sz w:val="14"/>
                <w:szCs w:val="14"/>
                <w:color w:val="auto"/>
              </w:rPr>
            </w:pPr>
          </w:p>
        </w:tc>
        <w:tc>
          <w:tcPr>
            <w:tcW w:w="1800" w:type="dxa"/>
            <w:vAlign w:val="bottom"/>
          </w:tcPr>
          <w:p>
            <w:pPr>
              <w:jc w:val="right"/>
              <w:ind w:right="79"/>
              <w:spacing w:after="0" w:line="168" w:lineRule="exact"/>
              <w:rPr>
                <w:sz w:val="20"/>
                <w:szCs w:val="20"/>
                <w:color w:val="auto"/>
              </w:rPr>
            </w:pPr>
            <w:r>
              <w:rPr>
                <w:rFonts w:ascii="Arial" w:cs="Arial" w:eastAsia="Arial" w:hAnsi="Arial"/>
                <w:sz w:val="16"/>
                <w:szCs w:val="16"/>
                <w:color w:val="auto"/>
              </w:rPr>
              <w:t>4,376.1</w:t>
            </w:r>
          </w:p>
        </w:tc>
        <w:tc>
          <w:tcPr>
            <w:tcW w:w="160" w:type="dxa"/>
            <w:vAlign w:val="bottom"/>
          </w:tcPr>
          <w:p>
            <w:pPr>
              <w:spacing w:after="0"/>
              <w:rPr>
                <w:sz w:val="14"/>
                <w:szCs w:val="14"/>
                <w:color w:val="auto"/>
              </w:rPr>
            </w:pPr>
          </w:p>
        </w:tc>
        <w:tc>
          <w:tcPr>
            <w:tcW w:w="1920" w:type="dxa"/>
            <w:vAlign w:val="bottom"/>
          </w:tcPr>
          <w:p>
            <w:pPr>
              <w:jc w:val="right"/>
              <w:ind w:right="99"/>
              <w:spacing w:after="0" w:line="168" w:lineRule="exact"/>
              <w:rPr>
                <w:sz w:val="20"/>
                <w:szCs w:val="20"/>
                <w:color w:val="auto"/>
              </w:rPr>
            </w:pPr>
            <w:r>
              <w:rPr>
                <w:rFonts w:ascii="Arial" w:cs="Arial" w:eastAsia="Arial" w:hAnsi="Arial"/>
                <w:sz w:val="16"/>
                <w:szCs w:val="16"/>
                <w:color w:val="auto"/>
              </w:rPr>
              <w:t>4,384.0</w:t>
            </w:r>
          </w:p>
        </w:tc>
      </w:tr>
      <w:tr>
        <w:trPr>
          <w:trHeight w:val="203"/>
        </w:trPr>
        <w:tc>
          <w:tcPr>
            <w:tcW w:w="26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3,636.1</w:t>
            </w:r>
          </w:p>
        </w:tc>
        <w:tc>
          <w:tcPr>
            <w:tcW w:w="16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3,501.5</w:t>
            </w:r>
          </w:p>
        </w:tc>
      </w:tr>
      <w:tr>
        <w:trPr>
          <w:trHeight w:val="208"/>
        </w:trPr>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800" w:type="dxa"/>
            <w:vAlign w:val="bottom"/>
          </w:tcPr>
          <w:p>
            <w:pPr>
              <w:jc w:val="right"/>
              <w:ind w:right="79"/>
              <w:spacing w:after="0"/>
              <w:rPr>
                <w:sz w:val="20"/>
                <w:szCs w:val="20"/>
                <w:color w:val="auto"/>
              </w:rPr>
            </w:pPr>
            <w:r>
              <w:rPr>
                <w:rFonts w:ascii="Arial" w:cs="Arial" w:eastAsia="Arial" w:hAnsi="Arial"/>
                <w:sz w:val="16"/>
                <w:szCs w:val="16"/>
                <w:color w:val="auto"/>
              </w:rPr>
              <w:t>8,012.2</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Pr>
          <w:p>
            <w:pPr>
              <w:jc w:val="right"/>
              <w:ind w:right="99"/>
              <w:spacing w:after="0"/>
              <w:rPr>
                <w:sz w:val="20"/>
                <w:szCs w:val="20"/>
                <w:color w:val="auto"/>
              </w:rPr>
            </w:pPr>
            <w:r>
              <w:rPr>
                <w:rFonts w:ascii="Arial" w:cs="Arial" w:eastAsia="Arial" w:hAnsi="Arial"/>
                <w:sz w:val="16"/>
                <w:szCs w:val="16"/>
                <w:color w:val="auto"/>
              </w:rPr>
              <w:t>7,885.5</w:t>
            </w:r>
          </w:p>
        </w:tc>
      </w:tr>
      <w:tr>
        <w:trPr>
          <w:trHeight w:val="338"/>
        </w:trPr>
        <w:tc>
          <w:tcPr>
            <w:tcW w:w="26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54.6%</w:t>
            </w:r>
          </w:p>
        </w:tc>
        <w:tc>
          <w:tcPr>
            <w:tcW w:w="16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55.6%</w:t>
            </w:r>
          </w:p>
        </w:tc>
      </w:tr>
      <w:tr>
        <w:trPr>
          <w:trHeight w:val="215"/>
        </w:trPr>
        <w:tc>
          <w:tcPr>
            <w:tcW w:w="2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90.3%</w:t>
            </w:r>
          </w:p>
        </w:tc>
        <w:tc>
          <w:tcPr>
            <w:tcW w:w="1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96.9%</w:t>
            </w:r>
          </w:p>
        </w:tc>
      </w:tr>
    </w:tbl>
    <w:p>
      <w:pPr>
        <w:spacing w:after="0" w:line="128" w:lineRule="exact"/>
        <w:rPr>
          <w:sz w:val="20"/>
          <w:szCs w:val="20"/>
          <w:color w:val="auto"/>
        </w:rPr>
      </w:pPr>
    </w:p>
    <w:p>
      <w:pPr>
        <w:sectPr>
          <w:pgSz w:w="11900" w:h="16838" w:orient="portrait"/>
          <w:cols w:equalWidth="0" w:num="2">
            <w:col w:w="6920" w:space="180"/>
            <w:col w:w="4140"/>
          </w:cols>
          <w:pgMar w:left="320" w:top="125" w:right="339" w:bottom="1440" w:gutter="0" w:footer="0" w:header="0"/>
          <w:type w:val="continuous"/>
        </w:sectPr>
      </w:pPr>
    </w:p>
    <w:p>
      <w:pPr>
        <w:ind w:left="520" w:right="100" w:hanging="512"/>
        <w:spacing w:after="0" w:line="251" w:lineRule="auto"/>
        <w:tabs>
          <w:tab w:leader="none" w:pos="5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 xml:space="preserve">Available capacity under Revolving Credit Facility and CP Program represents $750 million of total borrowing capacity less outstanding borrowings and letters of credit. See </w:t>
      </w:r>
      <w:r>
        <w:rPr>
          <w:rFonts w:ascii="Arial" w:cs="Arial" w:eastAsia="Arial" w:hAnsi="Arial"/>
          <w:sz w:val="14"/>
          <w:szCs w:val="14"/>
          <w:u w:val="single" w:color="auto"/>
          <w:color w:val="0000FF"/>
        </w:rPr>
        <w:t>Note 5</w:t>
      </w:r>
      <w:r>
        <w:rPr>
          <w:rFonts w:ascii="Arial" w:cs="Arial" w:eastAsia="Arial" w:hAnsi="Arial"/>
          <w:sz w:val="14"/>
          <w:szCs w:val="14"/>
          <w:color w:val="auto"/>
        </w:rPr>
        <w:t xml:space="preserve"> of the Notes to Consolidated Financial Statements for more information.</w:t>
      </w:r>
    </w:p>
    <w:p>
      <w:pPr>
        <w:spacing w:after="0" w:line="1" w:lineRule="exact"/>
        <w:rPr>
          <w:rFonts w:ascii="Arial" w:cs="Arial" w:eastAsia="Arial" w:hAnsi="Arial"/>
          <w:sz w:val="14"/>
          <w:szCs w:val="14"/>
          <w:color w:val="auto"/>
        </w:rPr>
      </w:pPr>
    </w:p>
    <w:p>
      <w:pPr>
        <w:ind w:left="520" w:hanging="512"/>
        <w:spacing w:after="0"/>
        <w:tabs>
          <w:tab w:leader="none" w:pos="5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Short-term debt includes our $300 million, 3.95% senior unsecured notes due January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516255</wp:posOffset>
            </wp:positionH>
            <wp:positionV relativeFrom="paragraph">
              <wp:posOffset>-113030</wp:posOffset>
            </wp:positionV>
            <wp:extent cx="26924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69240" cy="825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Future Financing Plans</w:t>
      </w:r>
    </w:p>
    <w:p>
      <w:pPr>
        <w:spacing w:after="0" w:line="194" w:lineRule="exact"/>
        <w:rPr>
          <w:sz w:val="20"/>
          <w:szCs w:val="20"/>
          <w:color w:val="auto"/>
        </w:rPr>
      </w:pPr>
    </w:p>
    <w:p>
      <w:pPr>
        <w:jc w:val="both"/>
        <w:ind w:right="180"/>
        <w:spacing w:after="0" w:line="266" w:lineRule="auto"/>
        <w:rPr>
          <w:sz w:val="20"/>
          <w:szCs w:val="20"/>
          <w:color w:val="auto"/>
        </w:rPr>
      </w:pPr>
      <w:r>
        <w:rPr>
          <w:rFonts w:ascii="Arial" w:cs="Arial" w:eastAsia="Arial" w:hAnsi="Arial"/>
          <w:sz w:val="16"/>
          <w:szCs w:val="16"/>
          <w:color w:val="auto"/>
        </w:rPr>
        <w:t>We plan to fund our capital plan and strategic objectives by using cash generated from operating activities and various financing alternatives, which could include our Revolving Credit Facility, our CP Program, and the issuance of common stock under our ATM or in a secondary offering. We plan to re-finance our $300 million, 3.95%, senior unsecured notes due January 2026, at or before maturity date.</w:t>
      </w: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 ACTIVITIES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summarize our cash flows for the six months ended June 30, 2025:</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Operating Activities:</w:t>
      </w:r>
    </w:p>
    <w:p>
      <w:pPr>
        <w:spacing w:after="0" w:line="194" w:lineRule="exact"/>
        <w:rPr>
          <w:sz w:val="20"/>
          <w:szCs w:val="20"/>
          <w:color w:val="auto"/>
        </w:rPr>
      </w:pPr>
    </w:p>
    <w:tbl>
      <w:tblPr>
        <w:tblLayout w:type="fixed"/>
        <w:tblInd w:w="6880" w:type="dxa"/>
        <w:tblCellMar>
          <w:top w:w="0" w:type="dxa"/>
          <w:left w:w="0" w:type="dxa"/>
          <w:bottom w:w="0" w:type="dxa"/>
          <w:right w:w="0" w:type="dxa"/>
        </w:tblCellMar>
      </w:tblPr>
      <w:tr>
        <w:trPr>
          <w:trHeight w:val="223"/>
        </w:trPr>
        <w:tc>
          <w:tcPr>
            <w:tcW w:w="58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Arial" w:cs="Arial" w:eastAsia="Arial" w:hAnsi="Arial"/>
                <w:sz w:val="16"/>
                <w:szCs w:val="16"/>
                <w:b w:val="1"/>
                <w:bCs w:val="1"/>
                <w:color w:val="auto"/>
              </w:rPr>
              <w:t>Six Months Ended June 30,</w:t>
            </w:r>
          </w:p>
        </w:tc>
        <w:tc>
          <w:tcPr>
            <w:tcW w:w="104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2025 vs 2024</w:t>
            </w: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580" w:type="dxa"/>
            <w:vAlign w:val="bottom"/>
          </w:tcPr>
          <w:p>
            <w:pPr>
              <w:jc w:val="right"/>
              <w:ind w:right="139"/>
              <w:spacing w:after="0"/>
              <w:rPr>
                <w:sz w:val="20"/>
                <w:szCs w:val="20"/>
                <w:color w:val="auto"/>
              </w:rPr>
            </w:pPr>
            <w:r>
              <w:rPr>
                <w:rFonts w:ascii="Arial" w:cs="Arial" w:eastAsia="Arial" w:hAnsi="Arial"/>
                <w:sz w:val="16"/>
                <w:szCs w:val="16"/>
                <w:b w:val="1"/>
                <w:bCs w:val="1"/>
                <w:color w:val="auto"/>
                <w:w w:val="95"/>
              </w:rPr>
              <w:t>2025</w:t>
            </w:r>
          </w:p>
        </w:tc>
        <w:tc>
          <w:tcPr>
            <w:tcW w:w="2360" w:type="dxa"/>
            <w:vAlign w:val="bottom"/>
          </w:tcPr>
          <w:p>
            <w:pPr>
              <w:jc w:val="right"/>
              <w:ind w:right="819"/>
              <w:spacing w:after="0"/>
              <w:rPr>
                <w:sz w:val="20"/>
                <w:szCs w:val="20"/>
                <w:color w:val="auto"/>
              </w:rPr>
            </w:pPr>
            <w:r>
              <w:rPr>
                <w:rFonts w:ascii="Arial" w:cs="Arial" w:eastAsia="Arial" w:hAnsi="Arial"/>
                <w:sz w:val="16"/>
                <w:szCs w:val="16"/>
                <w:b w:val="1"/>
                <w:bCs w:val="1"/>
                <w:color w:val="auto"/>
              </w:rPr>
              <w:t>2024</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rPr>
              <w:t>Variance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8300"/>
        <w:spacing w:after="0"/>
        <w:rPr>
          <w:sz w:val="20"/>
          <w:szCs w:val="20"/>
          <w:color w:val="auto"/>
        </w:rPr>
      </w:pPr>
      <w:r>
        <w:rPr>
          <w:rFonts w:ascii="Arial" w:cs="Arial" w:eastAsia="Arial" w:hAnsi="Arial"/>
          <w:sz w:val="16"/>
          <w:szCs w:val="16"/>
          <w:color w:val="auto"/>
        </w:rPr>
        <w:t>(in millions)</w:t>
      </w:r>
    </w:p>
    <w:p>
      <w:pPr>
        <w:sectPr>
          <w:pgSz w:w="11900" w:h="16838" w:orient="portrait"/>
          <w:cols w:equalWidth="0" w:num="1">
            <w:col w:w="11240"/>
          </w:cols>
          <w:pgMar w:left="320" w:top="125" w:right="339"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1200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Non-cash adjustments to Net income</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6"/>
          <w:szCs w:val="16"/>
          <w:color w:val="auto"/>
        </w:rPr>
        <w:t>Total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1289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Changes in certain operating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200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ind w:left="120" w:right="140"/>
        <w:spacing w:after="0" w:line="248" w:lineRule="auto"/>
        <w:rPr>
          <w:sz w:val="20"/>
          <w:szCs w:val="20"/>
          <w:color w:val="auto"/>
        </w:rPr>
      </w:pPr>
      <w:r>
        <w:rPr>
          <w:rFonts w:ascii="Arial" w:cs="Arial" w:eastAsia="Arial" w:hAnsi="Arial"/>
          <w:sz w:val="16"/>
          <w:szCs w:val="16"/>
          <w:color w:val="auto"/>
        </w:rPr>
        <w:t>Materials, supplies and fuel, Accounts receivable and other current assets Accounts payable and other current liabilities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8"/>
        </w:trPr>
        <w:tc>
          <w:tcPr>
            <w:tcW w:w="640" w:type="dxa"/>
            <w:vAlign w:val="bottom"/>
            <w:tcBorders>
              <w:top w:val="single" w:sz="8" w:color="auto"/>
            </w:tcBorders>
            <w:gridSpan w:val="2"/>
          </w:tcPr>
          <w:p>
            <w:pPr>
              <w:jc w:val="right"/>
              <w:ind w:right="464"/>
              <w:spacing w:after="0" w:line="168" w:lineRule="exact"/>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jc w:val="right"/>
              <w:spacing w:after="0" w:line="168" w:lineRule="exact"/>
              <w:rPr>
                <w:sz w:val="20"/>
                <w:szCs w:val="20"/>
                <w:color w:val="auto"/>
              </w:rPr>
            </w:pPr>
            <w:r>
              <w:rPr>
                <w:rFonts w:ascii="Arial" w:cs="Arial" w:eastAsia="Arial" w:hAnsi="Arial"/>
                <w:sz w:val="16"/>
                <w:szCs w:val="16"/>
                <w:color w:val="auto"/>
              </w:rPr>
              <w:t>165.2</w:t>
            </w:r>
          </w:p>
        </w:tc>
        <w:tc>
          <w:tcPr>
            <w:tcW w:w="660" w:type="dxa"/>
            <w:vAlign w:val="bottom"/>
            <w:tcBorders>
              <w:top w:val="single" w:sz="8" w:color="auto"/>
            </w:tcBorders>
          </w:tcPr>
          <w:p>
            <w:pPr>
              <w:jc w:val="right"/>
              <w:ind w:right="459"/>
              <w:spacing w:after="0" w:line="168" w:lineRule="exact"/>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spacing w:after="0" w:line="168" w:lineRule="exact"/>
              <w:rPr>
                <w:sz w:val="20"/>
                <w:szCs w:val="20"/>
                <w:color w:val="auto"/>
              </w:rPr>
            </w:pPr>
            <w:r>
              <w:rPr>
                <w:rFonts w:ascii="Arial" w:cs="Arial" w:eastAsia="Arial" w:hAnsi="Arial"/>
                <w:sz w:val="16"/>
                <w:szCs w:val="16"/>
                <w:color w:val="auto"/>
              </w:rPr>
              <w:t>156.2</w:t>
            </w:r>
          </w:p>
        </w:tc>
        <w:tc>
          <w:tcPr>
            <w:tcW w:w="640" w:type="dxa"/>
            <w:vAlign w:val="bottom"/>
            <w:tcBorders>
              <w:top w:val="single" w:sz="8" w:color="auto"/>
            </w:tcBorders>
          </w:tcPr>
          <w:p>
            <w:pPr>
              <w:jc w:val="right"/>
              <w:ind w:right="439"/>
              <w:spacing w:after="0" w:line="168" w:lineRule="exact"/>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ind w:right="19"/>
              <w:spacing w:after="0" w:line="168" w:lineRule="exact"/>
              <w:rPr>
                <w:sz w:val="20"/>
                <w:szCs w:val="20"/>
                <w:color w:val="auto"/>
              </w:rPr>
            </w:pPr>
            <w:r>
              <w:rPr>
                <w:rFonts w:ascii="Arial" w:cs="Arial" w:eastAsia="Arial" w:hAnsi="Arial"/>
                <w:sz w:val="16"/>
                <w:szCs w:val="16"/>
                <w:color w:val="auto"/>
              </w:rPr>
              <w:t>9.0</w:t>
            </w:r>
          </w:p>
        </w:tc>
      </w:tr>
      <w:tr>
        <w:trPr>
          <w:trHeight w:val="203"/>
        </w:trPr>
        <w:tc>
          <w:tcPr>
            <w:tcW w:w="2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195.0</w:t>
            </w:r>
          </w:p>
        </w:tc>
        <w:tc>
          <w:tcPr>
            <w:tcW w:w="6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181.6</w:t>
            </w:r>
          </w:p>
        </w:tc>
        <w:tc>
          <w:tcPr>
            <w:tcW w:w="6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13.4</w:t>
            </w:r>
          </w:p>
        </w:tc>
      </w:tr>
      <w:tr>
        <w:trPr>
          <w:trHeight w:val="183"/>
        </w:trPr>
        <w:tc>
          <w:tcPr>
            <w:tcW w:w="20" w:type="dxa"/>
            <w:vAlign w:val="bottom"/>
          </w:tcPr>
          <w:p>
            <w:pPr>
              <w:spacing w:after="0"/>
              <w:rPr>
                <w:sz w:val="15"/>
                <w:szCs w:val="15"/>
                <w:color w:val="auto"/>
              </w:rPr>
            </w:pPr>
          </w:p>
        </w:tc>
        <w:tc>
          <w:tcPr>
            <w:tcW w:w="620" w:type="dxa"/>
            <w:vAlign w:val="bottom"/>
            <w:tcBorders>
              <w:bottom w:val="single" w:sz="8" w:color="auto"/>
            </w:tcBorders>
          </w:tcPr>
          <w:p>
            <w:pPr>
              <w:jc w:val="right"/>
              <w:ind w:right="464"/>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360.2</w:t>
            </w:r>
          </w:p>
        </w:tc>
        <w:tc>
          <w:tcPr>
            <w:tcW w:w="660" w:type="dxa"/>
            <w:vAlign w:val="bottom"/>
            <w:tcBorders>
              <w:bottom w:val="single" w:sz="8" w:color="auto"/>
            </w:tcBorders>
          </w:tcPr>
          <w:p>
            <w:pPr>
              <w:jc w:val="right"/>
              <w:ind w:right="459"/>
              <w:spacing w:after="0" w:line="183" w:lineRule="exact"/>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337.8</w:t>
            </w:r>
          </w:p>
        </w:tc>
        <w:tc>
          <w:tcPr>
            <w:tcW w:w="640" w:type="dxa"/>
            <w:vAlign w:val="bottom"/>
            <w:tcBorders>
              <w:bottom w:val="single" w:sz="8" w:color="auto"/>
            </w:tcBorders>
          </w:tcPr>
          <w:p>
            <w:pPr>
              <w:jc w:val="right"/>
              <w:ind w:right="439"/>
              <w:spacing w:after="0" w:line="183" w:lineRule="exact"/>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22.4</w:t>
            </w:r>
          </w:p>
        </w:tc>
      </w:tr>
      <w:tr>
        <w:trPr>
          <w:trHeight w:val="357"/>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93.2</w:t>
            </w:r>
          </w:p>
        </w:tc>
        <w:tc>
          <w:tcPr>
            <w:tcW w:w="6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146.1</w:t>
            </w:r>
          </w:p>
        </w:tc>
        <w:tc>
          <w:tcPr>
            <w:tcW w:w="6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(52.9)</w:t>
            </w:r>
          </w:p>
        </w:tc>
      </w:tr>
      <w:tr>
        <w:trPr>
          <w:trHeight w:val="201"/>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(93.3)</w:t>
            </w:r>
          </w:p>
        </w:tc>
        <w:tc>
          <w:tcPr>
            <w:tcW w:w="6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(77.4)</w:t>
            </w:r>
          </w:p>
        </w:tc>
        <w:tc>
          <w:tcPr>
            <w:tcW w:w="6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(15.9)</w:t>
            </w:r>
          </w:p>
        </w:tc>
      </w:tr>
    </w:tbl>
    <w:p>
      <w:pPr>
        <w:spacing w:after="0" w:line="7" w:lineRule="exact"/>
        <w:rPr>
          <w:sz w:val="20"/>
          <w:szCs w:val="20"/>
          <w:color w:val="auto"/>
        </w:rPr>
      </w:pPr>
    </w:p>
    <w:p>
      <w:pPr>
        <w:sectPr>
          <w:pgSz w:w="11900" w:h="16838" w:orient="portrait"/>
          <w:cols w:equalWidth="0" w:num="2">
            <w:col w:w="5560" w:space="720"/>
            <w:col w:w="496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184"/>
        </w:trPr>
        <w:tc>
          <w:tcPr>
            <w:tcW w:w="62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Regulatory assets</w:t>
            </w:r>
          </w:p>
        </w:tc>
        <w:tc>
          <w:tcPr>
            <w:tcW w:w="64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57.9</w:t>
            </w:r>
          </w:p>
        </w:tc>
        <w:tc>
          <w:tcPr>
            <w:tcW w:w="66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69.8</w:t>
            </w:r>
          </w:p>
        </w:tc>
        <w:tc>
          <w:tcPr>
            <w:tcW w:w="64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(11.9)</w:t>
            </w:r>
          </w:p>
        </w:tc>
      </w:tr>
      <w:tr>
        <w:trPr>
          <w:trHeight w:val="183"/>
        </w:trPr>
        <w:tc>
          <w:tcPr>
            <w:tcW w:w="6280" w:type="dxa"/>
            <w:vAlign w:val="bottom"/>
          </w:tcPr>
          <w:p>
            <w:pPr>
              <w:ind w:left="60"/>
              <w:spacing w:after="0" w:line="183" w:lineRule="exact"/>
              <w:rPr>
                <w:sz w:val="20"/>
                <w:szCs w:val="20"/>
                <w:color w:val="auto"/>
              </w:rPr>
            </w:pPr>
            <w:r>
              <w:rPr>
                <w:rFonts w:ascii="Arial" w:cs="Arial" w:eastAsia="Arial" w:hAnsi="Arial"/>
                <w:sz w:val="16"/>
                <w:szCs w:val="16"/>
                <w:color w:val="auto"/>
              </w:rPr>
              <w:t>Net inflow (outflow) from changes in certain operating assets and liabilities</w:t>
            </w:r>
          </w:p>
        </w:tc>
        <w:tc>
          <w:tcPr>
            <w:tcW w:w="640" w:type="dxa"/>
            <w:vAlign w:val="bottom"/>
            <w:tcBorders>
              <w:bottom w:val="single" w:sz="8" w:color="auto"/>
            </w:tcBorders>
          </w:tcPr>
          <w:p>
            <w:pPr>
              <w:jc w:val="right"/>
              <w:ind w:right="459"/>
              <w:spacing w:after="0" w:line="183" w:lineRule="exact"/>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57.8</w:t>
            </w:r>
          </w:p>
        </w:tc>
        <w:tc>
          <w:tcPr>
            <w:tcW w:w="660" w:type="dxa"/>
            <w:vAlign w:val="bottom"/>
            <w:tcBorders>
              <w:bottom w:val="single" w:sz="8" w:color="auto"/>
            </w:tcBorders>
          </w:tcPr>
          <w:p>
            <w:pPr>
              <w:jc w:val="right"/>
              <w:ind w:right="459"/>
              <w:spacing w:after="0" w:line="183" w:lineRule="exact"/>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138.5</w:t>
            </w:r>
          </w:p>
        </w:tc>
        <w:tc>
          <w:tcPr>
            <w:tcW w:w="640" w:type="dxa"/>
            <w:vAlign w:val="bottom"/>
            <w:tcBorders>
              <w:bottom w:val="single" w:sz="8" w:color="auto"/>
            </w:tcBorders>
          </w:tcPr>
          <w:p>
            <w:pPr>
              <w:jc w:val="right"/>
              <w:ind w:right="439"/>
              <w:spacing w:after="0" w:line="183" w:lineRule="exact"/>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(80.7)</w:t>
            </w:r>
          </w:p>
        </w:tc>
      </w:tr>
      <w:tr>
        <w:trPr>
          <w:trHeight w:val="183"/>
        </w:trPr>
        <w:tc>
          <w:tcPr>
            <w:tcW w:w="628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6"/>
                <w:szCs w:val="16"/>
                <w:color w:val="auto"/>
              </w:rPr>
              <w:t>Other operating activities</w:t>
            </w:r>
          </w:p>
        </w:tc>
        <w:tc>
          <w:tcPr>
            <w:tcW w:w="64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(1.6)</w:t>
            </w:r>
          </w:p>
        </w:tc>
        <w:tc>
          <w:tcPr>
            <w:tcW w:w="66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(12.3)</w:t>
            </w:r>
          </w:p>
        </w:tc>
        <w:tc>
          <w:tcPr>
            <w:tcW w:w="64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10.7</w:t>
            </w:r>
          </w:p>
        </w:tc>
      </w:tr>
      <w:tr>
        <w:trPr>
          <w:trHeight w:val="183"/>
        </w:trPr>
        <w:tc>
          <w:tcPr>
            <w:tcW w:w="6280" w:type="dxa"/>
            <w:vAlign w:val="bottom"/>
          </w:tcPr>
          <w:p>
            <w:pPr>
              <w:spacing w:after="0" w:line="183" w:lineRule="exact"/>
              <w:rPr>
                <w:sz w:val="20"/>
                <w:szCs w:val="20"/>
                <w:color w:val="auto"/>
              </w:rPr>
            </w:pPr>
            <w:r>
              <w:rPr>
                <w:rFonts w:ascii="Arial" w:cs="Arial" w:eastAsia="Arial" w:hAnsi="Arial"/>
                <w:sz w:val="16"/>
                <w:szCs w:val="16"/>
                <w:color w:val="auto"/>
              </w:rPr>
              <w:t>Net cash provided by operating activities</w:t>
            </w:r>
          </w:p>
        </w:tc>
        <w:tc>
          <w:tcPr>
            <w:tcW w:w="640" w:type="dxa"/>
            <w:vAlign w:val="bottom"/>
            <w:tcBorders>
              <w:bottom w:val="single" w:sz="8" w:color="auto"/>
            </w:tcBorders>
          </w:tcPr>
          <w:p>
            <w:pPr>
              <w:jc w:val="right"/>
              <w:ind w:right="459"/>
              <w:spacing w:after="0" w:line="183" w:lineRule="exact"/>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416.4</w:t>
            </w:r>
          </w:p>
        </w:tc>
        <w:tc>
          <w:tcPr>
            <w:tcW w:w="660" w:type="dxa"/>
            <w:vAlign w:val="bottom"/>
            <w:tcBorders>
              <w:bottom w:val="single" w:sz="8" w:color="auto"/>
            </w:tcBorders>
          </w:tcPr>
          <w:p>
            <w:pPr>
              <w:jc w:val="right"/>
              <w:ind w:right="459"/>
              <w:spacing w:after="0" w:line="183" w:lineRule="exact"/>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464.0</w:t>
            </w:r>
          </w:p>
        </w:tc>
        <w:tc>
          <w:tcPr>
            <w:tcW w:w="640" w:type="dxa"/>
            <w:vAlign w:val="bottom"/>
            <w:tcBorders>
              <w:bottom w:val="single" w:sz="8" w:color="auto"/>
            </w:tcBorders>
          </w:tcPr>
          <w:p>
            <w:pPr>
              <w:jc w:val="right"/>
              <w:ind w:right="439"/>
              <w:spacing w:after="0" w:line="183" w:lineRule="exact"/>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(47.6)</w:t>
            </w:r>
          </w:p>
        </w:tc>
      </w:tr>
      <w:tr>
        <w:trPr>
          <w:trHeight w:val="20"/>
        </w:trPr>
        <w:tc>
          <w:tcPr>
            <w:tcW w:w="6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Six Months Ended June 30, 2025, Compared to the Six Months Ended June 30, 2024</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Net cash provided by operating activities was $47.6 million lower than the same period in 2024. The variance to the prior year was primarily attributable to:</w:t>
      </w:r>
    </w:p>
    <w:p>
      <w:pPr>
        <w:spacing w:after="0" w:line="194" w:lineRule="exact"/>
        <w:rPr>
          <w:sz w:val="20"/>
          <w:szCs w:val="20"/>
          <w:color w:val="auto"/>
        </w:rPr>
      </w:pPr>
    </w:p>
    <w:p>
      <w:pPr>
        <w:jc w:val="both"/>
        <w:ind w:left="1020" w:right="280" w:hanging="503"/>
        <w:spacing w:after="0" w:line="253" w:lineRule="auto"/>
        <w:tabs>
          <w:tab w:leader="none" w:pos="1020" w:val="left"/>
        </w:tabs>
        <w:numPr>
          <w:ilvl w:val="0"/>
          <w:numId w:val="50"/>
        </w:numPr>
        <w:rPr>
          <w:rFonts w:ascii="Times New Roman" w:cs="Times New Roman" w:eastAsia="Times New Roman" w:hAnsi="Times New Roman"/>
          <w:sz w:val="16"/>
          <w:szCs w:val="16"/>
          <w:color w:val="auto"/>
        </w:rPr>
      </w:pPr>
      <w:r>
        <w:rPr>
          <w:rFonts w:ascii="Arial" w:cs="Arial" w:eastAsia="Arial" w:hAnsi="Arial"/>
          <w:sz w:val="16"/>
          <w:szCs w:val="16"/>
          <w:color w:val="auto"/>
        </w:rPr>
        <w:t>Total earnings (net income plus non-cash adjustments) were $22.4 million higher for the six months ended June 30, 2025, compared to the same period in the prior year primarily as a result of increased Electric and Gas Utility margins due to new rates and rider recovery partially offset by higher operating expenses and higher financing costs.</w:t>
      </w: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020" w:hanging="503"/>
        <w:spacing w:after="0"/>
        <w:tabs>
          <w:tab w:leader="none" w:pos="1020" w:val="left"/>
        </w:tabs>
        <w:numPr>
          <w:ilvl w:val="0"/>
          <w:numId w:val="51"/>
        </w:numPr>
        <w:rPr>
          <w:rFonts w:ascii="Times New Roman" w:cs="Times New Roman" w:eastAsia="Times New Roman" w:hAnsi="Times New Roman"/>
          <w:sz w:val="16"/>
          <w:szCs w:val="16"/>
          <w:color w:val="auto"/>
        </w:rPr>
      </w:pPr>
      <w:r>
        <w:rPr>
          <w:rFonts w:ascii="Arial" w:cs="Arial" w:eastAsia="Arial" w:hAnsi="Arial"/>
          <w:sz w:val="16"/>
          <w:szCs w:val="16"/>
          <w:color w:val="auto"/>
        </w:rPr>
        <w:t>Net inflows from changes in certain operating assets and liabilities were $80.7 million lower, primarily attributable to:</w:t>
      </w:r>
    </w:p>
    <w:p>
      <w:pPr>
        <w:spacing w:after="0" w:line="206" w:lineRule="exact"/>
        <w:rPr>
          <w:rFonts w:ascii="Times New Roman" w:cs="Times New Roman" w:eastAsia="Times New Roman" w:hAnsi="Times New Roman"/>
          <w:sz w:val="16"/>
          <w:szCs w:val="16"/>
          <w:color w:val="auto"/>
        </w:rPr>
      </w:pPr>
    </w:p>
    <w:p>
      <w:pPr>
        <w:ind w:left="1540" w:right="40" w:hanging="509"/>
        <w:spacing w:after="0" w:line="28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w:t>
      </w:r>
      <w:r>
        <w:rPr>
          <w:rFonts w:ascii="Arial" w:cs="Arial" w:eastAsia="Arial" w:hAnsi="Arial"/>
          <w:sz w:val="16"/>
          <w:szCs w:val="16"/>
          <w:color w:val="auto"/>
        </w:rPr>
        <w:t>Cash inflows decreased by approximately $52.9 million as a result of changes in accounts receivable and other current assets primarily driven by fluctuations in commodity prices;</w:t>
      </w:r>
    </w:p>
    <w:p>
      <w:pPr>
        <w:spacing w:after="0" w:line="128" w:lineRule="exact"/>
        <w:rPr>
          <w:rFonts w:ascii="Times New Roman" w:cs="Times New Roman" w:eastAsia="Times New Roman" w:hAnsi="Times New Roman"/>
          <w:sz w:val="16"/>
          <w:szCs w:val="16"/>
          <w:color w:val="auto"/>
        </w:rPr>
      </w:pPr>
    </w:p>
    <w:p>
      <w:pPr>
        <w:ind w:left="1540" w:right="20" w:hanging="509"/>
        <w:spacing w:after="0" w:line="26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w:t>
      </w:r>
      <w:r>
        <w:rPr>
          <w:rFonts w:ascii="Arial" w:cs="Arial" w:eastAsia="Arial" w:hAnsi="Arial"/>
          <w:sz w:val="16"/>
          <w:szCs w:val="16"/>
          <w:color w:val="auto"/>
        </w:rPr>
        <w:t>Cash outflows increased by approximately $15.9 million as a result of increases in accounts payable and other current liabilities primarily driven by fluctuations in commodity prices, remediation costs for our manufactured gas plant site in Iowa and changes in other working capital requirements; and</w:t>
      </w:r>
    </w:p>
    <w:p>
      <w:pPr>
        <w:spacing w:after="0" w:line="144" w:lineRule="exact"/>
        <w:rPr>
          <w:rFonts w:ascii="Times New Roman" w:cs="Times New Roman" w:eastAsia="Times New Roman" w:hAnsi="Times New Roman"/>
          <w:sz w:val="16"/>
          <w:szCs w:val="16"/>
          <w:color w:val="auto"/>
        </w:rPr>
      </w:pPr>
    </w:p>
    <w:p>
      <w:pPr>
        <w:ind w:left="1540" w:right="280" w:hanging="509"/>
        <w:spacing w:after="0" w:line="28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w:t>
      </w:r>
      <w:r>
        <w:rPr>
          <w:rFonts w:ascii="Arial" w:cs="Arial" w:eastAsia="Arial" w:hAnsi="Arial"/>
          <w:sz w:val="16"/>
          <w:szCs w:val="16"/>
          <w:color w:val="auto"/>
        </w:rPr>
        <w:t>Cash inflows decreased by approximately $11.9 million as a result of changes in our regulatory assets and liabilities primarily due to lower recoveries of our Winter Storm Uri regulatory asset as recovery is now complete in several of our jurisdictions.</w:t>
      </w:r>
    </w:p>
    <w:p>
      <w:pPr>
        <w:spacing w:after="0" w:line="128"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51"/>
        </w:numPr>
        <w:rPr>
          <w:rFonts w:ascii="Times New Roman" w:cs="Times New Roman" w:eastAsia="Times New Roman" w:hAnsi="Times New Roman"/>
          <w:sz w:val="16"/>
          <w:szCs w:val="16"/>
          <w:color w:val="auto"/>
        </w:rPr>
      </w:pPr>
      <w:r>
        <w:rPr>
          <w:rFonts w:ascii="Arial" w:cs="Arial" w:eastAsia="Arial" w:hAnsi="Arial"/>
          <w:sz w:val="16"/>
          <w:szCs w:val="16"/>
          <w:color w:val="auto"/>
        </w:rPr>
        <w:t>Cash outflows decreased $10.7 million from other operating activities primarily due to lower costs from cloud computing arrangements.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200" w:type="dxa"/>
            <w:vAlign w:val="bottom"/>
          </w:tcPr>
          <w:p>
            <w:pPr>
              <w:spacing w:after="0"/>
              <w:rPr>
                <w:sz w:val="20"/>
                <w:szCs w:val="20"/>
                <w:color w:val="auto"/>
              </w:rPr>
            </w:pPr>
            <w:r>
              <w:rPr>
                <w:rFonts w:ascii="Arial" w:cs="Arial" w:eastAsia="Arial" w:hAnsi="Arial"/>
                <w:sz w:val="16"/>
                <w:szCs w:val="16"/>
                <w:b w:val="1"/>
                <w:bCs w:val="1"/>
                <w:color w:val="auto"/>
              </w:rPr>
              <w:t>Investing Activities:</w:t>
            </w:r>
          </w:p>
        </w:tc>
        <w:tc>
          <w:tcPr>
            <w:tcW w:w="10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6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540" w:type="dxa"/>
            <w:vAlign w:val="bottom"/>
            <w:gridSpan w:val="4"/>
          </w:tcPr>
          <w:p>
            <w:pPr>
              <w:jc w:val="center"/>
              <w:ind w:left="239"/>
              <w:spacing w:after="0"/>
              <w:rPr>
                <w:sz w:val="20"/>
                <w:szCs w:val="20"/>
                <w:color w:val="auto"/>
              </w:rPr>
            </w:pPr>
            <w:r>
              <w:rPr>
                <w:rFonts w:ascii="Arial" w:cs="Arial" w:eastAsia="Arial" w:hAnsi="Arial"/>
                <w:sz w:val="16"/>
                <w:szCs w:val="16"/>
                <w:b w:val="1"/>
                <w:bCs w:val="1"/>
                <w:color w:val="auto"/>
              </w:rPr>
              <w:t>Six Months Ended June 30,</w:t>
            </w:r>
          </w:p>
        </w:tc>
        <w:tc>
          <w:tcPr>
            <w:tcW w:w="1460" w:type="dxa"/>
            <w:vAlign w:val="bottom"/>
            <w:vMerge w:val="restart"/>
          </w:tcPr>
          <w:p>
            <w:pPr>
              <w:jc w:val="right"/>
              <w:ind w:right="339"/>
              <w:spacing w:after="0"/>
              <w:rPr>
                <w:sz w:val="20"/>
                <w:szCs w:val="20"/>
                <w:color w:val="auto"/>
              </w:rPr>
            </w:pPr>
            <w:r>
              <w:rPr>
                <w:rFonts w:ascii="Arial" w:cs="Arial" w:eastAsia="Arial" w:hAnsi="Arial"/>
                <w:sz w:val="16"/>
                <w:szCs w:val="16"/>
                <w:b w:val="1"/>
                <w:bCs w:val="1"/>
                <w:color w:val="auto"/>
              </w:rPr>
              <w:t>2025 vs 2024</w:t>
            </w:r>
          </w:p>
        </w:tc>
        <w:tc>
          <w:tcPr>
            <w:tcW w:w="0" w:type="dxa"/>
            <w:vAlign w:val="bottom"/>
          </w:tcPr>
          <w:p>
            <w:pPr>
              <w:spacing w:after="0"/>
              <w:rPr>
                <w:sz w:val="1"/>
                <w:szCs w:val="1"/>
                <w:color w:val="auto"/>
              </w:rPr>
            </w:pPr>
          </w:p>
        </w:tc>
      </w:tr>
      <w:tr>
        <w:trPr>
          <w:trHeight w:val="155"/>
        </w:trPr>
        <w:tc>
          <w:tcPr>
            <w:tcW w:w="6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6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2025</w:t>
            </w:r>
          </w:p>
        </w:tc>
        <w:tc>
          <w:tcPr>
            <w:tcW w:w="6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b w:val="1"/>
                <w:bCs w:val="1"/>
                <w:color w:val="auto"/>
              </w:rPr>
              <w:t>2024</w:t>
            </w:r>
          </w:p>
        </w:tc>
        <w:tc>
          <w:tcPr>
            <w:tcW w:w="2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Variance</w:t>
            </w:r>
          </w:p>
        </w:tc>
        <w:tc>
          <w:tcPr>
            <w:tcW w:w="0" w:type="dxa"/>
            <w:vAlign w:val="bottom"/>
          </w:tcPr>
          <w:p>
            <w:pPr>
              <w:spacing w:after="0"/>
              <w:rPr>
                <w:sz w:val="1"/>
                <w:szCs w:val="1"/>
                <w:color w:val="auto"/>
              </w:rPr>
            </w:pPr>
          </w:p>
        </w:tc>
      </w:tr>
      <w:tr>
        <w:trPr>
          <w:trHeight w:val="183"/>
        </w:trPr>
        <w:tc>
          <w:tcPr>
            <w:tcW w:w="620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center"/>
              <w:ind w:right="239"/>
              <w:spacing w:after="0" w:line="183" w:lineRule="exact"/>
              <w:rPr>
                <w:sz w:val="20"/>
                <w:szCs w:val="20"/>
                <w:color w:val="auto"/>
              </w:rPr>
            </w:pPr>
            <w:r>
              <w:rPr>
                <w:rFonts w:ascii="Arial" w:cs="Arial" w:eastAsia="Arial" w:hAnsi="Arial"/>
                <w:sz w:val="16"/>
                <w:szCs w:val="16"/>
                <w:color w:val="auto"/>
              </w:rPr>
              <w:t>(in millions)</w:t>
            </w:r>
          </w:p>
        </w:tc>
        <w:tc>
          <w:tcPr>
            <w:tcW w:w="2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2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Capital expenditures</w:t>
            </w:r>
          </w:p>
        </w:tc>
        <w:tc>
          <w:tcPr>
            <w:tcW w:w="1040" w:type="dxa"/>
            <w:vAlign w:val="bottom"/>
            <w:shd w:val="clear" w:color="auto" w:fill="CFF0FC"/>
          </w:tcPr>
          <w:p>
            <w:pPr>
              <w:jc w:val="right"/>
              <w:ind w:right="882"/>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(371.8)</w:t>
            </w:r>
          </w:p>
        </w:tc>
        <w:tc>
          <w:tcPr>
            <w:tcW w:w="26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14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(342.4)</w:t>
            </w:r>
          </w:p>
        </w:tc>
        <w:tc>
          <w:tcPr>
            <w:tcW w:w="24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14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(29.4)</w:t>
            </w:r>
          </w:p>
        </w:tc>
        <w:tc>
          <w:tcPr>
            <w:tcW w:w="0" w:type="dxa"/>
            <w:vAlign w:val="bottom"/>
          </w:tcPr>
          <w:p>
            <w:pPr>
              <w:spacing w:after="0"/>
              <w:rPr>
                <w:sz w:val="1"/>
                <w:szCs w:val="1"/>
                <w:color w:val="auto"/>
              </w:rPr>
            </w:pPr>
          </w:p>
        </w:tc>
      </w:tr>
      <w:tr>
        <w:trPr>
          <w:trHeight w:val="189"/>
        </w:trPr>
        <w:tc>
          <w:tcPr>
            <w:tcW w:w="6200" w:type="dxa"/>
            <w:vAlign w:val="bottom"/>
          </w:tcPr>
          <w:p>
            <w:pPr>
              <w:spacing w:after="0"/>
              <w:rPr>
                <w:sz w:val="20"/>
                <w:szCs w:val="20"/>
                <w:color w:val="auto"/>
              </w:rPr>
            </w:pPr>
            <w:r>
              <w:rPr>
                <w:rFonts w:ascii="Arial" w:cs="Arial" w:eastAsia="Arial" w:hAnsi="Arial"/>
                <w:sz w:val="16"/>
                <w:szCs w:val="16"/>
                <w:color w:val="auto"/>
              </w:rPr>
              <w:t>Other investing activities</w:t>
            </w:r>
          </w:p>
        </w:tc>
        <w:tc>
          <w:tcPr>
            <w:tcW w:w="10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23"/>
        </w:trPr>
        <w:tc>
          <w:tcPr>
            <w:tcW w:w="620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6"/>
                <w:szCs w:val="16"/>
                <w:color w:val="auto"/>
              </w:rPr>
              <w:t>Net cash (used in) investing activities</w:t>
            </w:r>
          </w:p>
        </w:tc>
        <w:tc>
          <w:tcPr>
            <w:tcW w:w="1040" w:type="dxa"/>
            <w:vAlign w:val="bottom"/>
            <w:tcBorders>
              <w:bottom w:val="single" w:sz="8" w:color="auto"/>
            </w:tcBorders>
            <w:shd w:val="clear" w:color="auto" w:fill="CFF0FC"/>
          </w:tcPr>
          <w:p>
            <w:pPr>
              <w:jc w:val="right"/>
              <w:ind w:right="882"/>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(376.2)</w:t>
            </w:r>
          </w:p>
        </w:tc>
        <w:tc>
          <w:tcPr>
            <w:tcW w:w="260" w:type="dxa"/>
            <w:vAlign w:val="bottom"/>
            <w:tcBorders>
              <w:bottom w:val="single" w:sz="8" w:color="auto"/>
            </w:tcBorders>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(340.7)</w:t>
            </w:r>
          </w:p>
        </w:tc>
        <w:tc>
          <w:tcPr>
            <w:tcW w:w="24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(35.5)</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Six Months Ended June 30, 2025, Compared to the Six Months Ended June 30, 2024</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Net cash used in investing activities was $35.5 million higher than the same period in 2024. The variance to the prior year was primarily attributable to:</w:t>
      </w:r>
    </w:p>
    <w:p>
      <w:pPr>
        <w:spacing w:after="0" w:line="194" w:lineRule="exact"/>
        <w:rPr>
          <w:sz w:val="20"/>
          <w:szCs w:val="20"/>
          <w:color w:val="auto"/>
        </w:rPr>
      </w:pPr>
    </w:p>
    <w:p>
      <w:pPr>
        <w:ind w:left="1020" w:right="220" w:hanging="503"/>
        <w:spacing w:after="0" w:line="266" w:lineRule="auto"/>
        <w:tabs>
          <w:tab w:leader="none" w:pos="1020" w:val="left"/>
        </w:tabs>
        <w:numPr>
          <w:ilvl w:val="0"/>
          <w:numId w:val="52"/>
        </w:numPr>
        <w:rPr>
          <w:rFonts w:ascii="Times New Roman" w:cs="Times New Roman" w:eastAsia="Times New Roman" w:hAnsi="Times New Roman"/>
          <w:sz w:val="16"/>
          <w:szCs w:val="16"/>
          <w:color w:val="auto"/>
        </w:rPr>
      </w:pPr>
      <w:r>
        <w:rPr>
          <w:rFonts w:ascii="Arial" w:cs="Arial" w:eastAsia="Arial" w:hAnsi="Arial"/>
          <w:sz w:val="16"/>
          <w:szCs w:val="16"/>
          <w:color w:val="auto"/>
        </w:rPr>
        <w:t>Cash outflows from capital expenditures (which are net of contributions in aid of construction) increased $29.4 million primarily as a result of the Ready Wyoming and Lange II projects and prior year receipts related to contributions in aid of construction for data center projects in Wyoming; and</w:t>
      </w:r>
    </w:p>
    <w:p>
      <w:pPr>
        <w:spacing w:after="0" w:line="62" w:lineRule="exact"/>
        <w:rPr>
          <w:rFonts w:ascii="Times New Roman" w:cs="Times New Roman" w:eastAsia="Times New Roman" w:hAnsi="Times New Roman"/>
          <w:sz w:val="16"/>
          <w:szCs w:val="16"/>
          <w:color w:val="auto"/>
        </w:rPr>
      </w:pPr>
    </w:p>
    <w:p>
      <w:pPr>
        <w:ind w:left="1020" w:right="20" w:hanging="503"/>
        <w:spacing w:after="0" w:line="285" w:lineRule="auto"/>
        <w:tabs>
          <w:tab w:leader="none" w:pos="1020" w:val="left"/>
        </w:tabs>
        <w:numPr>
          <w:ilvl w:val="0"/>
          <w:numId w:val="52"/>
        </w:numPr>
        <w:rPr>
          <w:rFonts w:ascii="Times New Roman" w:cs="Times New Roman" w:eastAsia="Times New Roman" w:hAnsi="Times New Roman"/>
          <w:sz w:val="16"/>
          <w:szCs w:val="16"/>
          <w:color w:val="auto"/>
        </w:rPr>
      </w:pPr>
      <w:r>
        <w:rPr>
          <w:rFonts w:ascii="Arial" w:cs="Arial" w:eastAsia="Arial" w:hAnsi="Arial"/>
          <w:sz w:val="16"/>
          <w:szCs w:val="16"/>
          <w:color w:val="auto"/>
        </w:rPr>
        <w:t>Cash outflows increased by $6.1 million for other investing activities primarily due to higher AFUDC debt driven by higher construction work-in-progress balances and prior year proceeds from the sale of a Corporate asset.</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200" w:type="dxa"/>
            <w:vAlign w:val="bottom"/>
          </w:tcPr>
          <w:p>
            <w:pPr>
              <w:spacing w:after="0"/>
              <w:rPr>
                <w:sz w:val="20"/>
                <w:szCs w:val="20"/>
                <w:color w:val="auto"/>
              </w:rPr>
            </w:pPr>
            <w:r>
              <w:rPr>
                <w:rFonts w:ascii="Arial" w:cs="Arial" w:eastAsia="Arial" w:hAnsi="Arial"/>
                <w:sz w:val="16"/>
                <w:szCs w:val="16"/>
                <w:b w:val="1"/>
                <w:bCs w:val="1"/>
                <w:color w:val="auto"/>
              </w:rPr>
              <w:t>Financing Activities:</w:t>
            </w:r>
          </w:p>
        </w:tc>
        <w:tc>
          <w:tcPr>
            <w:tcW w:w="1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6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80" w:type="dxa"/>
            <w:vAlign w:val="bottom"/>
            <w:gridSpan w:val="4"/>
          </w:tcPr>
          <w:p>
            <w:pPr>
              <w:jc w:val="center"/>
              <w:ind w:left="179"/>
              <w:spacing w:after="0"/>
              <w:rPr>
                <w:sz w:val="20"/>
                <w:szCs w:val="20"/>
                <w:color w:val="auto"/>
              </w:rPr>
            </w:pPr>
            <w:r>
              <w:rPr>
                <w:rFonts w:ascii="Arial" w:cs="Arial" w:eastAsia="Arial" w:hAnsi="Arial"/>
                <w:sz w:val="16"/>
                <w:szCs w:val="16"/>
                <w:b w:val="1"/>
                <w:bCs w:val="1"/>
                <w:color w:val="auto"/>
              </w:rPr>
              <w:t>Six Months Ended June 30,</w:t>
            </w:r>
          </w:p>
        </w:tc>
        <w:tc>
          <w:tcPr>
            <w:tcW w:w="1480" w:type="dxa"/>
            <w:vAlign w:val="bottom"/>
            <w:vMerge w:val="restart"/>
          </w:tcPr>
          <w:p>
            <w:pPr>
              <w:jc w:val="right"/>
              <w:ind w:right="339"/>
              <w:spacing w:after="0"/>
              <w:rPr>
                <w:sz w:val="20"/>
                <w:szCs w:val="20"/>
                <w:color w:val="auto"/>
              </w:rPr>
            </w:pPr>
            <w:r>
              <w:rPr>
                <w:rFonts w:ascii="Arial" w:cs="Arial" w:eastAsia="Arial" w:hAnsi="Arial"/>
                <w:sz w:val="16"/>
                <w:szCs w:val="16"/>
                <w:b w:val="1"/>
                <w:bCs w:val="1"/>
                <w:color w:val="auto"/>
              </w:rPr>
              <w:t>2025 vs 2024</w:t>
            </w:r>
          </w:p>
        </w:tc>
        <w:tc>
          <w:tcPr>
            <w:tcW w:w="0" w:type="dxa"/>
            <w:vAlign w:val="bottom"/>
          </w:tcPr>
          <w:p>
            <w:pPr>
              <w:spacing w:after="0"/>
              <w:rPr>
                <w:sz w:val="1"/>
                <w:szCs w:val="1"/>
                <w:color w:val="auto"/>
              </w:rPr>
            </w:pPr>
          </w:p>
        </w:tc>
      </w:tr>
      <w:tr>
        <w:trPr>
          <w:trHeight w:val="155"/>
        </w:trPr>
        <w:tc>
          <w:tcPr>
            <w:tcW w:w="6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6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2025</w:t>
            </w:r>
          </w:p>
        </w:tc>
        <w:tc>
          <w:tcPr>
            <w:tcW w:w="5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ind w:right="259"/>
              <w:spacing w:after="0"/>
              <w:rPr>
                <w:sz w:val="20"/>
                <w:szCs w:val="20"/>
                <w:color w:val="auto"/>
              </w:rPr>
            </w:pPr>
            <w:r>
              <w:rPr>
                <w:rFonts w:ascii="Arial" w:cs="Arial" w:eastAsia="Arial" w:hAnsi="Arial"/>
                <w:sz w:val="16"/>
                <w:szCs w:val="16"/>
                <w:b w:val="1"/>
                <w:bCs w:val="1"/>
                <w:color w:val="auto"/>
              </w:rPr>
              <w:t>2024</w:t>
            </w:r>
          </w:p>
        </w:tc>
        <w:tc>
          <w:tcPr>
            <w:tcW w:w="2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Variance</w:t>
            </w:r>
          </w:p>
        </w:tc>
        <w:tc>
          <w:tcPr>
            <w:tcW w:w="0" w:type="dxa"/>
            <w:vAlign w:val="bottom"/>
          </w:tcPr>
          <w:p>
            <w:pPr>
              <w:spacing w:after="0"/>
              <w:rPr>
                <w:sz w:val="1"/>
                <w:szCs w:val="1"/>
                <w:color w:val="auto"/>
              </w:rPr>
            </w:pPr>
          </w:p>
        </w:tc>
      </w:tr>
      <w:tr>
        <w:trPr>
          <w:trHeight w:val="183"/>
        </w:trPr>
        <w:tc>
          <w:tcPr>
            <w:tcW w:w="620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center"/>
              <w:ind w:right="279"/>
              <w:spacing w:after="0" w:line="183" w:lineRule="exact"/>
              <w:rPr>
                <w:sz w:val="20"/>
                <w:szCs w:val="20"/>
                <w:color w:val="auto"/>
              </w:rPr>
            </w:pPr>
            <w:r>
              <w:rPr>
                <w:rFonts w:ascii="Arial" w:cs="Arial" w:eastAsia="Arial" w:hAnsi="Arial"/>
                <w:sz w:val="16"/>
                <w:szCs w:val="16"/>
                <w:color w:val="auto"/>
              </w:rPr>
              <w:t>(in millions)</w:t>
            </w:r>
          </w:p>
        </w:tc>
        <w:tc>
          <w:tcPr>
            <w:tcW w:w="2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2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Dividends paid on common stock</w:t>
            </w:r>
          </w:p>
        </w:tc>
        <w:tc>
          <w:tcPr>
            <w:tcW w:w="1080" w:type="dxa"/>
            <w:vAlign w:val="bottom"/>
            <w:shd w:val="clear" w:color="auto" w:fill="CFF0FC"/>
          </w:tcPr>
          <w:p>
            <w:pPr>
              <w:jc w:val="right"/>
              <w:ind w:right="922"/>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(97.6)</w:t>
            </w:r>
          </w:p>
        </w:tc>
        <w:tc>
          <w:tcPr>
            <w:tcW w:w="26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14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(89.3)</w:t>
            </w:r>
          </w:p>
        </w:tc>
        <w:tc>
          <w:tcPr>
            <w:tcW w:w="22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4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189"/>
        </w:trPr>
        <w:tc>
          <w:tcPr>
            <w:tcW w:w="6200" w:type="dxa"/>
            <w:vAlign w:val="bottom"/>
          </w:tcPr>
          <w:p>
            <w:pPr>
              <w:spacing w:after="0"/>
              <w:rPr>
                <w:sz w:val="20"/>
                <w:szCs w:val="20"/>
                <w:color w:val="auto"/>
              </w:rPr>
            </w:pPr>
            <w:r>
              <w:rPr>
                <w:rFonts w:ascii="Arial" w:cs="Arial" w:eastAsia="Arial" w:hAnsi="Arial"/>
                <w:sz w:val="16"/>
                <w:szCs w:val="16"/>
                <w:color w:val="auto"/>
              </w:rPr>
              <w:t>Common stock issued</w:t>
            </w:r>
          </w:p>
        </w:tc>
        <w:tc>
          <w:tcPr>
            <w:tcW w:w="10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65.0</w:t>
            </w:r>
          </w:p>
        </w:tc>
        <w:tc>
          <w:tcPr>
            <w:tcW w:w="260" w:type="dxa"/>
            <w:vAlign w:val="bottom"/>
          </w:tcPr>
          <w:p>
            <w:pPr>
              <w:spacing w:after="0"/>
              <w:rPr>
                <w:sz w:val="16"/>
                <w:szCs w:val="16"/>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73.0</w:t>
            </w:r>
          </w:p>
        </w:tc>
        <w:tc>
          <w:tcPr>
            <w:tcW w:w="2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189"/>
        </w:trPr>
        <w:tc>
          <w:tcPr>
            <w:tcW w:w="6200" w:type="dxa"/>
            <w:vAlign w:val="bottom"/>
            <w:shd w:val="clear" w:color="auto" w:fill="CFF0FC"/>
          </w:tcPr>
          <w:p>
            <w:pPr>
              <w:spacing w:after="0"/>
              <w:rPr>
                <w:sz w:val="20"/>
                <w:szCs w:val="20"/>
                <w:color w:val="auto"/>
              </w:rPr>
            </w:pPr>
            <w:r>
              <w:rPr>
                <w:rFonts w:ascii="Arial" w:cs="Arial" w:eastAsia="Arial" w:hAnsi="Arial"/>
                <w:sz w:val="16"/>
                <w:szCs w:val="16"/>
                <w:color w:val="auto"/>
              </w:rPr>
              <w:t>Short-term and long-term debt borrowings (repayments), net</w:t>
            </w:r>
          </w:p>
        </w:tc>
        <w:tc>
          <w:tcPr>
            <w:tcW w:w="108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w:t>
            </w:r>
          </w:p>
        </w:tc>
        <w:tc>
          <w:tcPr>
            <w:tcW w:w="260" w:type="dxa"/>
            <w:vAlign w:val="bottom"/>
            <w:shd w:val="clear" w:color="auto" w:fill="CFF0FC"/>
          </w:tcPr>
          <w:p>
            <w:pPr>
              <w:spacing w:after="0"/>
              <w:rPr>
                <w:sz w:val="16"/>
                <w:szCs w:val="16"/>
                <w:color w:val="auto"/>
              </w:rPr>
            </w:pPr>
          </w:p>
        </w:tc>
        <w:tc>
          <w:tcPr>
            <w:tcW w:w="14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450.0</w:t>
            </w:r>
          </w:p>
        </w:tc>
        <w:tc>
          <w:tcPr>
            <w:tcW w:w="220" w:type="dxa"/>
            <w:vAlign w:val="bottom"/>
            <w:shd w:val="clear" w:color="auto" w:fill="CFF0FC"/>
          </w:tcPr>
          <w:p>
            <w:pPr>
              <w:spacing w:after="0"/>
              <w:rPr>
                <w:sz w:val="16"/>
                <w:szCs w:val="16"/>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(460.1)</w:t>
            </w:r>
          </w:p>
        </w:tc>
        <w:tc>
          <w:tcPr>
            <w:tcW w:w="0" w:type="dxa"/>
            <w:vAlign w:val="bottom"/>
          </w:tcPr>
          <w:p>
            <w:pPr>
              <w:spacing w:after="0"/>
              <w:rPr>
                <w:sz w:val="1"/>
                <w:szCs w:val="1"/>
                <w:color w:val="auto"/>
              </w:rPr>
            </w:pPr>
          </w:p>
        </w:tc>
      </w:tr>
      <w:tr>
        <w:trPr>
          <w:trHeight w:val="189"/>
        </w:trPr>
        <w:tc>
          <w:tcPr>
            <w:tcW w:w="6200" w:type="dxa"/>
            <w:vAlign w:val="bottom"/>
          </w:tcPr>
          <w:p>
            <w:pPr>
              <w:spacing w:after="0"/>
              <w:rPr>
                <w:sz w:val="20"/>
                <w:szCs w:val="20"/>
                <w:color w:val="auto"/>
              </w:rPr>
            </w:pPr>
            <w:r>
              <w:rPr>
                <w:rFonts w:ascii="Arial" w:cs="Arial" w:eastAsia="Arial" w:hAnsi="Arial"/>
                <w:sz w:val="16"/>
                <w:szCs w:val="16"/>
                <w:color w:val="auto"/>
              </w:rPr>
              <w:t>Distributions to non-controlling interests</w:t>
            </w:r>
          </w:p>
        </w:tc>
        <w:tc>
          <w:tcPr>
            <w:tcW w:w="10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(3.8)</w:t>
            </w:r>
          </w:p>
        </w:tc>
        <w:tc>
          <w:tcPr>
            <w:tcW w:w="2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16"/>
                <w:szCs w:val="16"/>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189"/>
        </w:trPr>
        <w:tc>
          <w:tcPr>
            <w:tcW w:w="6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Other financing activities</w:t>
            </w:r>
          </w:p>
        </w:tc>
        <w:tc>
          <w:tcPr>
            <w:tcW w:w="1080" w:type="dxa"/>
            <w:vAlign w:val="bottom"/>
            <w:tcBorders>
              <w:bottom w:val="single" w:sz="8" w:color="auto"/>
            </w:tcBorders>
            <w:shd w:val="clear" w:color="auto" w:fill="CFF0FC"/>
          </w:tcPr>
          <w:p>
            <w:pPr>
              <w:spacing w:after="0"/>
              <w:rPr>
                <w:sz w:val="16"/>
                <w:szCs w:val="16"/>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w:t>
            </w:r>
          </w:p>
        </w:tc>
        <w:tc>
          <w:tcPr>
            <w:tcW w:w="260" w:type="dxa"/>
            <w:vAlign w:val="bottom"/>
            <w:tcBorders>
              <w:bottom w:val="single" w:sz="8" w:color="auto"/>
            </w:tcBorders>
            <w:shd w:val="clear" w:color="auto" w:fill="CFF0FC"/>
          </w:tcPr>
          <w:p>
            <w:pPr>
              <w:spacing w:after="0"/>
              <w:rPr>
                <w:sz w:val="16"/>
                <w:szCs w:val="16"/>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(8.3)</w:t>
            </w:r>
          </w:p>
        </w:tc>
        <w:tc>
          <w:tcPr>
            <w:tcW w:w="220" w:type="dxa"/>
            <w:vAlign w:val="bottom"/>
            <w:tcBorders>
              <w:bottom w:val="single" w:sz="8" w:color="auto"/>
            </w:tcBorders>
            <w:shd w:val="clear" w:color="auto" w:fill="CFF0FC"/>
          </w:tcPr>
          <w:p>
            <w:pPr>
              <w:spacing w:after="0"/>
              <w:rPr>
                <w:sz w:val="16"/>
                <w:szCs w:val="16"/>
                <w:color w:val="auto"/>
              </w:rPr>
            </w:pPr>
          </w:p>
        </w:tc>
        <w:tc>
          <w:tcPr>
            <w:tcW w:w="14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183"/>
        </w:trPr>
        <w:tc>
          <w:tcPr>
            <w:tcW w:w="6200" w:type="dxa"/>
            <w:vAlign w:val="bottom"/>
          </w:tcPr>
          <w:p>
            <w:pPr>
              <w:spacing w:after="0" w:line="183" w:lineRule="exact"/>
              <w:rPr>
                <w:sz w:val="20"/>
                <w:szCs w:val="20"/>
                <w:color w:val="auto"/>
              </w:rPr>
            </w:pPr>
            <w:r>
              <w:rPr>
                <w:rFonts w:ascii="Arial" w:cs="Arial" w:eastAsia="Arial" w:hAnsi="Arial"/>
                <w:sz w:val="16"/>
                <w:szCs w:val="16"/>
                <w:color w:val="auto"/>
              </w:rPr>
              <w:t>Net cash provided by (used in) financing activities</w:t>
            </w:r>
          </w:p>
        </w:tc>
        <w:tc>
          <w:tcPr>
            <w:tcW w:w="1080" w:type="dxa"/>
            <w:vAlign w:val="bottom"/>
            <w:tcBorders>
              <w:bottom w:val="single" w:sz="8" w:color="auto"/>
            </w:tcBorders>
          </w:tcPr>
          <w:p>
            <w:pPr>
              <w:jc w:val="right"/>
              <w:ind w:right="922"/>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(47.8)</w:t>
            </w:r>
          </w:p>
        </w:tc>
        <w:tc>
          <w:tcPr>
            <w:tcW w:w="26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415.4</w:t>
            </w:r>
          </w:p>
        </w:tc>
        <w:tc>
          <w:tcPr>
            <w:tcW w:w="22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(463.2)</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Six Months Ended June 30, 2025, Compared to the Six Months Ended June 30, 2024</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Net cash used in financing activities was $463.2 million higher than the same period in 2024. The variance to the prior year was primarily attributable to:</w:t>
      </w:r>
    </w:p>
    <w:p>
      <w:pPr>
        <w:spacing w:after="0" w:line="194" w:lineRule="exact"/>
        <w:rPr>
          <w:sz w:val="20"/>
          <w:szCs w:val="20"/>
          <w:color w:val="auto"/>
        </w:rPr>
      </w:pPr>
    </w:p>
    <w:p>
      <w:pPr>
        <w:ind w:left="1020" w:right="500" w:hanging="503"/>
        <w:spacing w:after="0" w:line="285" w:lineRule="auto"/>
        <w:tabs>
          <w:tab w:leader="none" w:pos="1020" w:val="left"/>
        </w:tabs>
        <w:numPr>
          <w:ilvl w:val="0"/>
          <w:numId w:val="53"/>
        </w:numPr>
        <w:rPr>
          <w:rFonts w:ascii="Times New Roman" w:cs="Times New Roman" w:eastAsia="Times New Roman" w:hAnsi="Times New Roman"/>
          <w:sz w:val="16"/>
          <w:szCs w:val="16"/>
          <w:color w:val="auto"/>
        </w:rPr>
      </w:pPr>
      <w:r>
        <w:rPr>
          <w:rFonts w:ascii="Arial" w:cs="Arial" w:eastAsia="Arial" w:hAnsi="Arial"/>
          <w:sz w:val="16"/>
          <w:szCs w:val="16"/>
          <w:color w:val="auto"/>
        </w:rPr>
        <w:t>Dividends paid on common stock increased $8.3 million due to the increased dividend rate per share and increased number of common shares outstanding;</w:t>
      </w:r>
    </w:p>
    <w:p>
      <w:pPr>
        <w:spacing w:after="0" w:line="129"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53"/>
        </w:numPr>
        <w:rPr>
          <w:rFonts w:ascii="Times New Roman" w:cs="Times New Roman" w:eastAsia="Times New Roman" w:hAnsi="Times New Roman"/>
          <w:sz w:val="16"/>
          <w:szCs w:val="16"/>
          <w:color w:val="auto"/>
        </w:rPr>
      </w:pPr>
      <w:r>
        <w:rPr>
          <w:rFonts w:ascii="Arial" w:cs="Arial" w:eastAsia="Arial" w:hAnsi="Arial"/>
          <w:sz w:val="16"/>
          <w:szCs w:val="16"/>
          <w:color w:val="auto"/>
        </w:rPr>
        <w:t>Cash inflows decreased $8.0 million due to lower issuances of common stock;</w:t>
      </w:r>
    </w:p>
    <w:p>
      <w:pPr>
        <w:spacing w:after="0" w:line="206" w:lineRule="exact"/>
        <w:rPr>
          <w:rFonts w:ascii="Times New Roman" w:cs="Times New Roman" w:eastAsia="Times New Roman" w:hAnsi="Times New Roman"/>
          <w:sz w:val="16"/>
          <w:szCs w:val="16"/>
          <w:color w:val="auto"/>
        </w:rPr>
      </w:pPr>
    </w:p>
    <w:p>
      <w:pPr>
        <w:ind w:left="1020" w:right="100" w:hanging="503"/>
        <w:spacing w:after="0" w:line="256" w:lineRule="auto"/>
        <w:tabs>
          <w:tab w:leader="none" w:pos="1020" w:val="left"/>
        </w:tabs>
        <w:numPr>
          <w:ilvl w:val="0"/>
          <w:numId w:val="53"/>
        </w:numPr>
        <w:rPr>
          <w:rFonts w:ascii="Times New Roman" w:cs="Times New Roman" w:eastAsia="Times New Roman" w:hAnsi="Times New Roman"/>
          <w:sz w:val="16"/>
          <w:szCs w:val="16"/>
          <w:color w:val="auto"/>
        </w:rPr>
      </w:pPr>
      <w:r>
        <w:rPr>
          <w:rFonts w:ascii="Arial" w:cs="Arial" w:eastAsia="Arial" w:hAnsi="Arial"/>
          <w:sz w:val="16"/>
          <w:szCs w:val="16"/>
          <w:color w:val="auto"/>
        </w:rPr>
        <w:t>Net cash outflows increased $460.1 million as a result of net repayment activity under our Revolving Credit Facility and CP Program and prior year proceeds from the May 16, 2024, debt offering;</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020" w:right="420" w:hanging="503"/>
        <w:spacing w:after="0" w:line="285" w:lineRule="auto"/>
        <w:tabs>
          <w:tab w:leader="none" w:pos="1020" w:val="left"/>
        </w:tabs>
        <w:numPr>
          <w:ilvl w:val="0"/>
          <w:numId w:val="54"/>
        </w:numPr>
        <w:rPr>
          <w:rFonts w:ascii="Times New Roman" w:cs="Times New Roman" w:eastAsia="Times New Roman" w:hAnsi="Times New Roman"/>
          <w:sz w:val="16"/>
          <w:szCs w:val="16"/>
          <w:color w:val="auto"/>
        </w:rPr>
      </w:pPr>
      <w:r>
        <w:rPr>
          <w:rFonts w:ascii="Arial" w:cs="Arial" w:eastAsia="Arial" w:hAnsi="Arial"/>
          <w:sz w:val="16"/>
          <w:szCs w:val="16"/>
          <w:color w:val="auto"/>
        </w:rPr>
        <w:t>Distributions to non-controlling interests decreased $6.2 million due to lower net income from Black Hills Colorado IPP primarily driven by unplanned generation outages; and</w:t>
      </w:r>
    </w:p>
    <w:p>
      <w:pPr>
        <w:spacing w:after="0" w:line="129"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54"/>
        </w:numPr>
        <w:rPr>
          <w:rFonts w:ascii="Times New Roman" w:cs="Times New Roman" w:eastAsia="Times New Roman" w:hAnsi="Times New Roman"/>
          <w:sz w:val="16"/>
          <w:szCs w:val="16"/>
          <w:color w:val="auto"/>
        </w:rPr>
      </w:pPr>
      <w:r>
        <w:rPr>
          <w:rFonts w:ascii="Arial" w:cs="Arial" w:eastAsia="Arial" w:hAnsi="Arial"/>
          <w:sz w:val="16"/>
          <w:szCs w:val="16"/>
          <w:color w:val="auto"/>
        </w:rPr>
        <w:t>Cash outflows decreased $7.0 million from other financing activities primarily due to prior year financing costs from the May 2024 debt offering.</w:t>
      </w:r>
    </w:p>
    <w:p>
      <w:pPr>
        <w:spacing w:after="0" w:line="3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CAPITAL RESOURCES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See </w:t>
      </w:r>
      <w:r>
        <w:rPr>
          <w:rFonts w:ascii="Arial" w:cs="Arial" w:eastAsia="Arial" w:hAnsi="Arial"/>
          <w:sz w:val="16"/>
          <w:szCs w:val="16"/>
          <w:u w:val="single" w:color="auto"/>
          <w:color w:val="0000FF"/>
        </w:rPr>
        <w:t>Note 5</w:t>
      </w:r>
      <w:r>
        <w:rPr>
          <w:rFonts w:ascii="Arial" w:cs="Arial" w:eastAsia="Arial" w:hAnsi="Arial"/>
          <w:sz w:val="16"/>
          <w:szCs w:val="16"/>
          <w:color w:val="auto"/>
        </w:rPr>
        <w:t xml:space="preserve"> of the Condensed Notes to Consolidated Financial Statements for recent financing updates and financial covenants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-4445</wp:posOffset>
            </wp:positionV>
            <wp:extent cx="30289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02895"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CREDIT RATINGS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represents the credit ratings and outlook and risk profile of BHC as of the date of this report: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4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rPr>
              <w:t>Rating Agency</w:t>
            </w:r>
          </w:p>
        </w:tc>
        <w:tc>
          <w:tcPr>
            <w:tcW w:w="2940" w:type="dxa"/>
            <w:vAlign w:val="bottom"/>
            <w:tcBorders>
              <w:bottom w:val="single" w:sz="8" w:color="auto"/>
            </w:tcBorders>
          </w:tcPr>
          <w:p>
            <w:pPr>
              <w:jc w:val="center"/>
              <w:ind w:right="679"/>
              <w:spacing w:after="0"/>
              <w:rPr>
                <w:sz w:val="20"/>
                <w:szCs w:val="20"/>
                <w:color w:val="auto"/>
              </w:rPr>
            </w:pPr>
            <w:r>
              <w:rPr>
                <w:rFonts w:ascii="Arial" w:cs="Arial" w:eastAsia="Arial" w:hAnsi="Arial"/>
                <w:sz w:val="16"/>
                <w:szCs w:val="16"/>
                <w:b w:val="1"/>
                <w:bCs w:val="1"/>
                <w:color w:val="auto"/>
              </w:rPr>
              <w:t>Senior Unsecured Rating</w:t>
            </w:r>
          </w:p>
        </w:tc>
        <w:tc>
          <w:tcPr>
            <w:tcW w:w="2760" w:type="dxa"/>
            <w:vAlign w:val="bottom"/>
            <w:tcBorders>
              <w:bottom w:val="single" w:sz="8" w:color="auto"/>
            </w:tcBorders>
          </w:tcPr>
          <w:p>
            <w:pPr>
              <w:jc w:val="center"/>
              <w:ind w:right="259"/>
              <w:spacing w:after="0"/>
              <w:rPr>
                <w:sz w:val="20"/>
                <w:szCs w:val="20"/>
                <w:color w:val="auto"/>
              </w:rPr>
            </w:pPr>
            <w:r>
              <w:rPr>
                <w:rFonts w:ascii="Arial" w:cs="Arial" w:eastAsia="Arial" w:hAnsi="Arial"/>
                <w:sz w:val="16"/>
                <w:szCs w:val="16"/>
                <w:b w:val="1"/>
                <w:bCs w:val="1"/>
                <w:color w:val="auto"/>
              </w:rPr>
              <w:t>Outlook</w:t>
            </w:r>
          </w:p>
        </w:tc>
      </w:tr>
      <w:tr>
        <w:trPr>
          <w:trHeight w:val="183"/>
        </w:trPr>
        <w:tc>
          <w:tcPr>
            <w:tcW w:w="520" w:type="dxa"/>
            <w:vAlign w:val="bottom"/>
            <w:shd w:val="clear" w:color="auto" w:fill="CFF0FC"/>
          </w:tcPr>
          <w:p>
            <w:pPr>
              <w:spacing w:after="0" w:line="183" w:lineRule="exact"/>
              <w:rPr>
                <w:sz w:val="20"/>
                <w:szCs w:val="20"/>
                <w:color w:val="auto"/>
              </w:rPr>
            </w:pPr>
            <w:r>
              <w:rPr>
                <w:rFonts w:ascii="Arial" w:cs="Arial" w:eastAsia="Arial" w:hAnsi="Arial"/>
                <w:sz w:val="21"/>
                <w:szCs w:val="21"/>
                <w:color w:val="auto"/>
                <w:vertAlign w:val="subscript"/>
              </w:rPr>
              <w:t>S&amp;P</w:t>
            </w:r>
            <w:r>
              <w:rPr>
                <w:rFonts w:ascii="Arial" w:cs="Arial" w:eastAsia="Arial" w:hAnsi="Arial"/>
                <w:sz w:val="9"/>
                <w:szCs w:val="9"/>
                <w:color w:val="auto"/>
              </w:rPr>
              <w:t xml:space="preserve"> (a)</w:t>
            </w:r>
          </w:p>
        </w:tc>
        <w:tc>
          <w:tcPr>
            <w:tcW w:w="1140" w:type="dxa"/>
            <w:vAlign w:val="bottom"/>
            <w:shd w:val="clear" w:color="auto" w:fill="CFF0FC"/>
          </w:tcPr>
          <w:p>
            <w:pPr>
              <w:spacing w:after="0"/>
              <w:rPr>
                <w:sz w:val="15"/>
                <w:szCs w:val="15"/>
                <w:color w:val="auto"/>
              </w:rPr>
            </w:pPr>
          </w:p>
        </w:tc>
        <w:tc>
          <w:tcPr>
            <w:tcW w:w="3880" w:type="dxa"/>
            <w:vAlign w:val="bottom"/>
            <w:shd w:val="clear" w:color="auto" w:fill="CFF0FC"/>
          </w:tcPr>
          <w:p>
            <w:pPr>
              <w:spacing w:after="0"/>
              <w:rPr>
                <w:sz w:val="15"/>
                <w:szCs w:val="15"/>
                <w:color w:val="auto"/>
              </w:rPr>
            </w:pPr>
          </w:p>
        </w:tc>
        <w:tc>
          <w:tcPr>
            <w:tcW w:w="2940" w:type="dxa"/>
            <w:vAlign w:val="bottom"/>
            <w:shd w:val="clear" w:color="auto" w:fill="CFF0FC"/>
          </w:tcPr>
          <w:p>
            <w:pPr>
              <w:jc w:val="center"/>
              <w:ind w:right="679"/>
              <w:spacing w:after="0" w:line="183" w:lineRule="exact"/>
              <w:rPr>
                <w:sz w:val="20"/>
                <w:szCs w:val="20"/>
                <w:color w:val="auto"/>
              </w:rPr>
            </w:pPr>
            <w:r>
              <w:rPr>
                <w:rFonts w:ascii="Arial" w:cs="Arial" w:eastAsia="Arial" w:hAnsi="Arial"/>
                <w:sz w:val="16"/>
                <w:szCs w:val="16"/>
                <w:color w:val="auto"/>
              </w:rPr>
              <w:t>BBB+</w:t>
            </w:r>
          </w:p>
        </w:tc>
        <w:tc>
          <w:tcPr>
            <w:tcW w:w="2760" w:type="dxa"/>
            <w:vAlign w:val="bottom"/>
            <w:shd w:val="clear" w:color="auto" w:fill="CFF0FC"/>
          </w:tcPr>
          <w:p>
            <w:pPr>
              <w:jc w:val="center"/>
              <w:ind w:right="259"/>
              <w:spacing w:after="0" w:line="183" w:lineRule="exact"/>
              <w:rPr>
                <w:sz w:val="20"/>
                <w:szCs w:val="20"/>
                <w:color w:val="auto"/>
              </w:rPr>
            </w:pPr>
            <w:r>
              <w:rPr>
                <w:rFonts w:ascii="Arial" w:cs="Arial" w:eastAsia="Arial" w:hAnsi="Arial"/>
                <w:sz w:val="16"/>
                <w:szCs w:val="16"/>
                <w:color w:val="auto"/>
              </w:rPr>
              <w:t>Stable</w:t>
            </w:r>
          </w:p>
        </w:tc>
      </w:tr>
      <w:tr>
        <w:trPr>
          <w:trHeight w:val="290"/>
        </w:trPr>
        <w:tc>
          <w:tcPr>
            <w:tcW w:w="5540" w:type="dxa"/>
            <w:vAlign w:val="bottom"/>
            <w:gridSpan w:val="3"/>
          </w:tcPr>
          <w:p>
            <w:pPr>
              <w:spacing w:after="0"/>
              <w:rPr>
                <w:sz w:val="20"/>
                <w:szCs w:val="20"/>
                <w:color w:val="auto"/>
              </w:rPr>
            </w:pPr>
            <w:r>
              <w:rPr>
                <w:rFonts w:ascii="Arial" w:cs="Arial" w:eastAsia="Arial" w:hAnsi="Arial"/>
                <w:sz w:val="16"/>
                <w:szCs w:val="16"/>
                <w:color w:val="auto"/>
              </w:rPr>
              <w:t xml:space="preserve">Moody's </w:t>
            </w:r>
            <w:r>
              <w:rPr>
                <w:rFonts w:ascii="Arial" w:cs="Arial" w:eastAsia="Arial" w:hAnsi="Arial"/>
                <w:sz w:val="21"/>
                <w:szCs w:val="21"/>
                <w:color w:val="auto"/>
                <w:vertAlign w:val="superscript"/>
              </w:rPr>
              <w:t>(b)</w:t>
            </w:r>
          </w:p>
        </w:tc>
        <w:tc>
          <w:tcPr>
            <w:tcW w:w="2940" w:type="dxa"/>
            <w:vAlign w:val="bottom"/>
          </w:tcPr>
          <w:p>
            <w:pPr>
              <w:jc w:val="center"/>
              <w:ind w:right="679"/>
              <w:spacing w:after="0"/>
              <w:rPr>
                <w:sz w:val="20"/>
                <w:szCs w:val="20"/>
                <w:color w:val="auto"/>
              </w:rPr>
            </w:pPr>
            <w:r>
              <w:rPr>
                <w:rFonts w:ascii="Arial" w:cs="Arial" w:eastAsia="Arial" w:hAnsi="Arial"/>
                <w:sz w:val="16"/>
                <w:szCs w:val="16"/>
                <w:color w:val="auto"/>
              </w:rPr>
              <w:t>Baa2</w:t>
            </w:r>
          </w:p>
        </w:tc>
        <w:tc>
          <w:tcPr>
            <w:tcW w:w="2760" w:type="dxa"/>
            <w:vAlign w:val="bottom"/>
          </w:tcPr>
          <w:p>
            <w:pPr>
              <w:jc w:val="center"/>
              <w:ind w:right="259"/>
              <w:spacing w:after="0"/>
              <w:rPr>
                <w:sz w:val="20"/>
                <w:szCs w:val="20"/>
                <w:color w:val="auto"/>
              </w:rPr>
            </w:pPr>
            <w:r>
              <w:rPr>
                <w:rFonts w:ascii="Arial" w:cs="Arial" w:eastAsia="Arial" w:hAnsi="Arial"/>
                <w:sz w:val="16"/>
                <w:szCs w:val="16"/>
                <w:color w:val="auto"/>
              </w:rPr>
              <w:t>Stable</w:t>
            </w:r>
          </w:p>
        </w:tc>
      </w:tr>
      <w:tr>
        <w:trPr>
          <w:trHeight w:val="34"/>
        </w:trPr>
        <w:tc>
          <w:tcPr>
            <w:tcW w:w="520" w:type="dxa"/>
            <w:vAlign w:val="bottom"/>
          </w:tcPr>
          <w:p>
            <w:pPr>
              <w:spacing w:after="0"/>
              <w:rPr>
                <w:sz w:val="2"/>
                <w:szCs w:val="2"/>
                <w:color w:val="auto"/>
              </w:rPr>
            </w:pPr>
          </w:p>
        </w:tc>
        <w:tc>
          <w:tcPr>
            <w:tcW w:w="5020" w:type="dxa"/>
            <w:vAlign w:val="bottom"/>
            <w:gridSpan w:val="2"/>
          </w:tcPr>
          <w:p>
            <w:pPr>
              <w:spacing w:after="0"/>
              <w:rPr>
                <w:sz w:val="2"/>
                <w:szCs w:val="2"/>
                <w:color w:val="auto"/>
              </w:rPr>
            </w:pPr>
          </w:p>
        </w:tc>
        <w:tc>
          <w:tcPr>
            <w:tcW w:w="2940" w:type="dxa"/>
            <w:vAlign w:val="bottom"/>
          </w:tcPr>
          <w:p>
            <w:pPr>
              <w:spacing w:after="0"/>
              <w:rPr>
                <w:sz w:val="2"/>
                <w:szCs w:val="2"/>
                <w:color w:val="auto"/>
              </w:rPr>
            </w:pPr>
          </w:p>
        </w:tc>
        <w:tc>
          <w:tcPr>
            <w:tcW w:w="2760" w:type="dxa"/>
            <w:vAlign w:val="bottom"/>
          </w:tcPr>
          <w:p>
            <w:pPr>
              <w:spacing w:after="0"/>
              <w:rPr>
                <w:sz w:val="2"/>
                <w:szCs w:val="2"/>
                <w:color w:val="auto"/>
              </w:rPr>
            </w:pPr>
          </w:p>
        </w:tc>
      </w:tr>
      <w:tr>
        <w:trPr>
          <w:trHeight w:val="146"/>
        </w:trPr>
        <w:tc>
          <w:tcPr>
            <w:tcW w:w="520" w:type="dxa"/>
            <w:vAlign w:val="bottom"/>
            <w:tcBorders>
              <w:top w:val="single" w:sz="8" w:color="auto"/>
            </w:tcBorders>
          </w:tcPr>
          <w:p>
            <w:pPr>
              <w:spacing w:after="0" w:line="147" w:lineRule="exact"/>
              <w:rPr>
                <w:sz w:val="20"/>
                <w:szCs w:val="20"/>
                <w:color w:val="auto"/>
              </w:rPr>
            </w:pPr>
            <w:r>
              <w:rPr>
                <w:rFonts w:ascii="Arial" w:cs="Arial" w:eastAsia="Arial" w:hAnsi="Arial"/>
                <w:sz w:val="14"/>
                <w:szCs w:val="14"/>
                <w:color w:val="auto"/>
              </w:rPr>
              <w:t>(a)</w:t>
            </w:r>
          </w:p>
        </w:tc>
        <w:tc>
          <w:tcPr>
            <w:tcW w:w="1140" w:type="dxa"/>
            <w:vAlign w:val="bottom"/>
            <w:tcBorders>
              <w:top w:val="single" w:sz="8" w:color="auto"/>
            </w:tcBorders>
          </w:tcPr>
          <w:p>
            <w:pPr>
              <w:spacing w:after="0" w:line="147" w:lineRule="exact"/>
              <w:rPr>
                <w:sz w:val="20"/>
                <w:szCs w:val="20"/>
                <w:color w:val="auto"/>
              </w:rPr>
            </w:pPr>
            <w:r>
              <w:rPr>
                <w:rFonts w:ascii="Arial" w:cs="Arial" w:eastAsia="Arial" w:hAnsi="Arial"/>
                <w:sz w:val="14"/>
                <w:szCs w:val="14"/>
                <w:color w:val="auto"/>
              </w:rPr>
              <w:t>On May 9, 2024,</w:t>
            </w:r>
          </w:p>
        </w:tc>
        <w:tc>
          <w:tcPr>
            <w:tcW w:w="3880" w:type="dxa"/>
            <w:vAlign w:val="bottom"/>
          </w:tcPr>
          <w:p>
            <w:pPr>
              <w:spacing w:after="0" w:line="147" w:lineRule="exact"/>
              <w:rPr>
                <w:sz w:val="20"/>
                <w:szCs w:val="20"/>
                <w:color w:val="auto"/>
              </w:rPr>
            </w:pPr>
            <w:r>
              <w:rPr>
                <w:rFonts w:ascii="Arial" w:cs="Arial" w:eastAsia="Arial" w:hAnsi="Arial"/>
                <w:sz w:val="14"/>
                <w:szCs w:val="14"/>
                <w:color w:val="auto"/>
              </w:rPr>
              <w:t>S&amp;P affirmed BBB+ rating and maintained a Stable outlook.</w:t>
            </w:r>
          </w:p>
        </w:tc>
        <w:tc>
          <w:tcPr>
            <w:tcW w:w="2940" w:type="dxa"/>
            <w:vAlign w:val="bottom"/>
          </w:tcPr>
          <w:p>
            <w:pPr>
              <w:spacing w:after="0"/>
              <w:rPr>
                <w:sz w:val="12"/>
                <w:szCs w:val="12"/>
                <w:color w:val="auto"/>
              </w:rPr>
            </w:pPr>
          </w:p>
        </w:tc>
        <w:tc>
          <w:tcPr>
            <w:tcW w:w="2760" w:type="dxa"/>
            <w:vAlign w:val="bottom"/>
          </w:tcPr>
          <w:p>
            <w:pPr>
              <w:spacing w:after="0"/>
              <w:rPr>
                <w:sz w:val="12"/>
                <w:szCs w:val="12"/>
                <w:color w:val="auto"/>
              </w:rPr>
            </w:pPr>
          </w:p>
        </w:tc>
      </w:tr>
      <w:tr>
        <w:trPr>
          <w:trHeight w:val="190"/>
        </w:trPr>
        <w:tc>
          <w:tcPr>
            <w:tcW w:w="520" w:type="dxa"/>
            <w:vAlign w:val="bottom"/>
          </w:tcPr>
          <w:p>
            <w:pPr>
              <w:spacing w:after="0"/>
              <w:rPr>
                <w:sz w:val="20"/>
                <w:szCs w:val="20"/>
                <w:color w:val="auto"/>
              </w:rPr>
            </w:pPr>
            <w:r>
              <w:rPr>
                <w:rFonts w:ascii="Arial" w:cs="Arial" w:eastAsia="Arial" w:hAnsi="Arial"/>
                <w:sz w:val="14"/>
                <w:szCs w:val="14"/>
                <w:color w:val="auto"/>
              </w:rPr>
              <w:t>(b)</w:t>
            </w:r>
          </w:p>
        </w:tc>
        <w:tc>
          <w:tcPr>
            <w:tcW w:w="7960" w:type="dxa"/>
            <w:vAlign w:val="bottom"/>
            <w:gridSpan w:val="3"/>
          </w:tcPr>
          <w:p>
            <w:pPr>
              <w:spacing w:after="0"/>
              <w:rPr>
                <w:sz w:val="20"/>
                <w:szCs w:val="20"/>
                <w:color w:val="auto"/>
              </w:rPr>
            </w:pPr>
            <w:r>
              <w:rPr>
                <w:rFonts w:ascii="Arial" w:cs="Arial" w:eastAsia="Arial" w:hAnsi="Arial"/>
                <w:sz w:val="14"/>
                <w:szCs w:val="14"/>
                <w:color w:val="auto"/>
              </w:rPr>
              <w:t>On March 5, 2025, Moody's affirmed our Baa2 rating and maintained a Stable outlook.</w:t>
            </w:r>
          </w:p>
        </w:tc>
        <w:tc>
          <w:tcPr>
            <w:tcW w:w="2760" w:type="dxa"/>
            <w:vAlign w:val="bottom"/>
          </w:tcPr>
          <w:p>
            <w:pPr>
              <w:spacing w:after="0"/>
              <w:rPr>
                <w:sz w:val="16"/>
                <w:szCs w:val="16"/>
                <w:color w:val="auto"/>
              </w:rPr>
            </w:pPr>
          </w:p>
        </w:tc>
      </w:tr>
      <w:tr>
        <w:trPr>
          <w:trHeight w:val="371"/>
        </w:trPr>
        <w:tc>
          <w:tcPr>
            <w:tcW w:w="8480" w:type="dxa"/>
            <w:vAlign w:val="bottom"/>
            <w:gridSpan w:val="4"/>
          </w:tcPr>
          <w:p>
            <w:pPr>
              <w:spacing w:after="0"/>
              <w:rPr>
                <w:sz w:val="20"/>
                <w:szCs w:val="20"/>
                <w:color w:val="auto"/>
              </w:rPr>
            </w:pPr>
            <w:r>
              <w:rPr>
                <w:rFonts w:ascii="Arial" w:cs="Arial" w:eastAsia="Arial" w:hAnsi="Arial"/>
                <w:sz w:val="16"/>
                <w:szCs w:val="16"/>
                <w:color w:val="auto"/>
              </w:rPr>
              <w:t>The following table represents the credit rating of South Dakota Electric as of the date of this report:</w:t>
            </w:r>
          </w:p>
        </w:tc>
        <w:tc>
          <w:tcPr>
            <w:tcW w:w="2760" w:type="dxa"/>
            <w:vAlign w:val="bottom"/>
          </w:tcPr>
          <w:p>
            <w:pPr>
              <w:spacing w:after="0"/>
              <w:rPr>
                <w:sz w:val="24"/>
                <w:szCs w:val="24"/>
                <w:color w:val="auto"/>
              </w:rPr>
            </w:pPr>
          </w:p>
        </w:tc>
      </w:tr>
    </w:tbl>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Rating Agency</w:t>
            </w:r>
          </w:p>
        </w:tc>
        <w:tc>
          <w:tcPr>
            <w:tcW w:w="6600" w:type="dxa"/>
            <w:vAlign w:val="bottom"/>
            <w:tcBorders>
              <w:bottom w:val="single" w:sz="8" w:color="auto"/>
            </w:tcBorders>
          </w:tcPr>
          <w:p>
            <w:pPr>
              <w:jc w:val="center"/>
              <w:ind w:left="2019"/>
              <w:spacing w:after="0"/>
              <w:rPr>
                <w:sz w:val="20"/>
                <w:szCs w:val="20"/>
                <w:color w:val="auto"/>
              </w:rPr>
            </w:pPr>
            <w:r>
              <w:rPr>
                <w:rFonts w:ascii="Arial" w:cs="Arial" w:eastAsia="Arial" w:hAnsi="Arial"/>
                <w:sz w:val="16"/>
                <w:szCs w:val="16"/>
                <w:b w:val="1"/>
                <w:bCs w:val="1"/>
                <w:color w:val="auto"/>
              </w:rPr>
              <w:t>Senior Secured Rating</w:t>
            </w:r>
          </w:p>
        </w:tc>
      </w:tr>
      <w:tr>
        <w:trPr>
          <w:trHeight w:val="183"/>
        </w:trPr>
        <w:tc>
          <w:tcPr>
            <w:tcW w:w="46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S&amp;P</w:t>
            </w:r>
          </w:p>
        </w:tc>
        <w:tc>
          <w:tcPr>
            <w:tcW w:w="6600" w:type="dxa"/>
            <w:vAlign w:val="bottom"/>
            <w:shd w:val="clear" w:color="auto" w:fill="CFF0FC"/>
          </w:tcPr>
          <w:p>
            <w:pPr>
              <w:jc w:val="center"/>
              <w:ind w:left="2019"/>
              <w:spacing w:after="0" w:line="183" w:lineRule="exact"/>
              <w:rPr>
                <w:sz w:val="20"/>
                <w:szCs w:val="20"/>
                <w:color w:val="auto"/>
              </w:rPr>
            </w:pPr>
            <w:r>
              <w:rPr>
                <w:rFonts w:ascii="Arial" w:cs="Arial" w:eastAsia="Arial" w:hAnsi="Arial"/>
                <w:sz w:val="16"/>
                <w:szCs w:val="16"/>
                <w:color w:val="auto"/>
                <w:w w:val="93"/>
              </w:rPr>
              <w:t>A</w:t>
            </w:r>
          </w:p>
        </w:tc>
      </w:tr>
    </w:tbl>
    <w:p>
      <w:pPr>
        <w:spacing w:after="0" w:line="175" w:lineRule="exact"/>
        <w:rPr>
          <w:sz w:val="20"/>
          <w:szCs w:val="20"/>
          <w:color w:val="auto"/>
        </w:rPr>
      </w:pPr>
    </w:p>
    <w:p>
      <w:pPr>
        <w:ind w:right="580"/>
        <w:spacing w:after="0" w:line="286" w:lineRule="auto"/>
        <w:rPr>
          <w:sz w:val="20"/>
          <w:szCs w:val="20"/>
          <w:color w:val="auto"/>
        </w:rPr>
      </w:pPr>
      <w:r>
        <w:rPr>
          <w:rFonts w:ascii="Arial" w:cs="Arial" w:eastAsia="Arial" w:hAnsi="Arial"/>
          <w:sz w:val="16"/>
          <w:szCs w:val="16"/>
          <w:color w:val="auto"/>
        </w:rPr>
        <w:t>We have not had any triggering events (i.e. an acceleration of repayment of outstanding indebtedness, an increase in interest costs, or the posting of additional cash collateral) tied to our stock price and have not executed any transactions that require us to issue equity based on our credit ratings.</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720" w:type="dxa"/>
            <w:vAlign w:val="bottom"/>
          </w:tcPr>
          <w:p>
            <w:pPr>
              <w:spacing w:after="0"/>
              <w:rPr>
                <w:sz w:val="20"/>
                <w:szCs w:val="20"/>
                <w:color w:val="auto"/>
              </w:rPr>
            </w:pPr>
            <w:r>
              <w:rPr>
                <w:rFonts w:ascii="Arial" w:cs="Arial" w:eastAsia="Arial" w:hAnsi="Arial"/>
                <w:sz w:val="16"/>
                <w:szCs w:val="16"/>
                <w:b w:val="1"/>
                <w:bCs w:val="1"/>
                <w:color w:val="auto"/>
              </w:rPr>
              <w:t>CAPITAL REQUIREMENTS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3720" w:type="dxa"/>
            <w:vAlign w:val="bottom"/>
          </w:tcPr>
          <w:p>
            <w:pPr>
              <w:spacing w:after="0"/>
              <w:rPr>
                <w:sz w:val="20"/>
                <w:szCs w:val="20"/>
                <w:color w:val="auto"/>
              </w:rPr>
            </w:pPr>
            <w:r>
              <w:rPr>
                <w:rFonts w:ascii="Arial" w:cs="Arial" w:eastAsia="Arial" w:hAnsi="Arial"/>
                <w:sz w:val="16"/>
                <w:szCs w:val="16"/>
                <w:b w:val="1"/>
                <w:bCs w:val="1"/>
                <w:color w:val="auto"/>
              </w:rPr>
              <w:t>Capital Expenditures</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 xml:space="preserve">Actual </w:t>
            </w:r>
            <w:r>
              <w:rPr>
                <w:rFonts w:ascii="Arial" w:cs="Arial" w:eastAsia="Arial" w:hAnsi="Arial"/>
                <w:sz w:val="21"/>
                <w:szCs w:val="21"/>
                <w:b w:val="1"/>
                <w:bCs w:val="1"/>
                <w:color w:val="auto"/>
                <w:w w:val="93"/>
                <w:vertAlign w:val="superscript"/>
              </w:rPr>
              <w:t>(a)</w:t>
            </w: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6"/>
                <w:szCs w:val="16"/>
                <w:b w:val="1"/>
                <w:bCs w:val="1"/>
                <w:color w:val="auto"/>
                <w:w w:val="94"/>
              </w:rPr>
              <w:t xml:space="preserve">Forecasted </w:t>
            </w:r>
            <w:r>
              <w:rPr>
                <w:rFonts w:ascii="Arial" w:cs="Arial" w:eastAsia="Arial" w:hAnsi="Arial"/>
                <w:sz w:val="21"/>
                <w:szCs w:val="21"/>
                <w:b w:val="1"/>
                <w:bCs w:val="1"/>
                <w:color w:val="auto"/>
                <w:w w:val="94"/>
                <w:vertAlign w:val="superscript"/>
              </w:rPr>
              <w:t>(b)</w:t>
            </w: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3720" w:type="dxa"/>
            <w:vAlign w:val="bottom"/>
          </w:tcPr>
          <w:p>
            <w:pPr>
              <w:spacing w:after="0" w:line="183" w:lineRule="exact"/>
              <w:rPr>
                <w:sz w:val="20"/>
                <w:szCs w:val="20"/>
                <w:color w:val="auto"/>
              </w:rPr>
            </w:pPr>
            <w:r>
              <w:rPr>
                <w:rFonts w:ascii="Arial" w:cs="Arial" w:eastAsia="Arial" w:hAnsi="Arial"/>
                <w:sz w:val="16"/>
                <w:szCs w:val="16"/>
                <w:b w:val="1"/>
                <w:bCs w:val="1"/>
                <w:color w:val="auto"/>
              </w:rPr>
              <w:t>Capital Expenditures by Segment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80" w:type="dxa"/>
            <w:vAlign w:val="bottom"/>
          </w:tcPr>
          <w:p>
            <w:pPr>
              <w:jc w:val="center"/>
              <w:spacing w:after="0" w:line="183" w:lineRule="exact"/>
              <w:rPr>
                <w:sz w:val="20"/>
                <w:szCs w:val="20"/>
                <w:color w:val="auto"/>
              </w:rPr>
            </w:pPr>
            <w:r>
              <w:rPr>
                <w:rFonts w:ascii="Arial" w:cs="Arial" w:eastAsia="Arial" w:hAnsi="Arial"/>
                <w:sz w:val="16"/>
                <w:szCs w:val="16"/>
                <w:b w:val="1"/>
                <w:bCs w:val="1"/>
                <w:color w:val="auto"/>
              </w:rPr>
              <w:t>Six Months Ended</w:t>
            </w:r>
          </w:p>
        </w:tc>
        <w:tc>
          <w:tcPr>
            <w:tcW w:w="340" w:type="dxa"/>
            <w:vAlign w:val="bottom"/>
          </w:tcPr>
          <w:p>
            <w:pPr>
              <w:spacing w:after="0"/>
              <w:rPr>
                <w:sz w:val="15"/>
                <w:szCs w:val="15"/>
                <w:color w:val="auto"/>
              </w:rPr>
            </w:pPr>
          </w:p>
        </w:tc>
        <w:tc>
          <w:tcPr>
            <w:tcW w:w="92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 xml:space="preserve">2025 </w:t>
            </w:r>
            <w:r>
              <w:rPr>
                <w:rFonts w:ascii="Arial" w:cs="Arial" w:eastAsia="Arial" w:hAnsi="Arial"/>
                <w:sz w:val="21"/>
                <w:szCs w:val="21"/>
                <w:b w:val="1"/>
                <w:bCs w:val="1"/>
                <w:color w:val="auto"/>
                <w:vertAlign w:val="superscript"/>
              </w:rPr>
              <w:t>(c)</w:t>
            </w:r>
          </w:p>
        </w:tc>
        <w:tc>
          <w:tcPr>
            <w:tcW w:w="160" w:type="dxa"/>
            <w:vAlign w:val="bottom"/>
          </w:tcPr>
          <w:p>
            <w:pPr>
              <w:spacing w:after="0"/>
              <w:rPr>
                <w:sz w:val="15"/>
                <w:szCs w:val="15"/>
                <w:color w:val="auto"/>
              </w:rPr>
            </w:pPr>
          </w:p>
        </w:tc>
        <w:tc>
          <w:tcPr>
            <w:tcW w:w="920" w:type="dxa"/>
            <w:vAlign w:val="bottom"/>
            <w:vMerge w:val="restart"/>
          </w:tcPr>
          <w:p>
            <w:pPr>
              <w:jc w:val="right"/>
              <w:ind w:right="259"/>
              <w:spacing w:after="0"/>
              <w:rPr>
                <w:sz w:val="20"/>
                <w:szCs w:val="20"/>
                <w:color w:val="auto"/>
              </w:rPr>
            </w:pPr>
            <w:r>
              <w:rPr>
                <w:rFonts w:ascii="Arial" w:cs="Arial" w:eastAsia="Arial" w:hAnsi="Arial"/>
                <w:sz w:val="16"/>
                <w:szCs w:val="16"/>
                <w:b w:val="1"/>
                <w:bCs w:val="1"/>
                <w:color w:val="auto"/>
              </w:rPr>
              <w:t>2026</w:t>
            </w:r>
          </w:p>
        </w:tc>
        <w:tc>
          <w:tcPr>
            <w:tcW w:w="300" w:type="dxa"/>
            <w:vAlign w:val="bottom"/>
          </w:tcPr>
          <w:p>
            <w:pPr>
              <w:spacing w:after="0"/>
              <w:rPr>
                <w:sz w:val="15"/>
                <w:szCs w:val="15"/>
                <w:color w:val="auto"/>
              </w:rPr>
            </w:pPr>
          </w:p>
        </w:tc>
        <w:tc>
          <w:tcPr>
            <w:tcW w:w="86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2027</w:t>
            </w:r>
          </w:p>
        </w:tc>
        <w:tc>
          <w:tcPr>
            <w:tcW w:w="260" w:type="dxa"/>
            <w:vAlign w:val="bottom"/>
          </w:tcPr>
          <w:p>
            <w:pPr>
              <w:spacing w:after="0"/>
              <w:rPr>
                <w:sz w:val="15"/>
                <w:szCs w:val="15"/>
                <w:color w:val="auto"/>
              </w:rPr>
            </w:pPr>
          </w:p>
        </w:tc>
        <w:tc>
          <w:tcPr>
            <w:tcW w:w="84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2028</w:t>
            </w:r>
          </w:p>
        </w:tc>
        <w:tc>
          <w:tcPr>
            <w:tcW w:w="240" w:type="dxa"/>
            <w:vAlign w:val="bottom"/>
          </w:tcPr>
          <w:p>
            <w:pPr>
              <w:spacing w:after="0"/>
              <w:rPr>
                <w:sz w:val="15"/>
                <w:szCs w:val="15"/>
                <w:color w:val="auto"/>
              </w:rPr>
            </w:pPr>
          </w:p>
        </w:tc>
        <w:tc>
          <w:tcPr>
            <w:tcW w:w="82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2029</w:t>
            </w:r>
          </w:p>
        </w:tc>
        <w:tc>
          <w:tcPr>
            <w:tcW w:w="0" w:type="dxa"/>
            <w:vAlign w:val="bottom"/>
          </w:tcPr>
          <w:p>
            <w:pPr>
              <w:spacing w:after="0"/>
              <w:rPr>
                <w:sz w:val="1"/>
                <w:szCs w:val="1"/>
                <w:color w:val="auto"/>
              </w:rPr>
            </w:pPr>
          </w:p>
        </w:tc>
      </w:tr>
      <w:tr>
        <w:trPr>
          <w:trHeight w:val="189"/>
        </w:trPr>
        <w:tc>
          <w:tcPr>
            <w:tcW w:w="3720" w:type="dxa"/>
            <w:vAlign w:val="bottom"/>
          </w:tcPr>
          <w:p>
            <w:pPr>
              <w:spacing w:after="0"/>
              <w:rPr>
                <w:sz w:val="20"/>
                <w:szCs w:val="20"/>
                <w:color w:val="auto"/>
              </w:rPr>
            </w:pPr>
            <w:r>
              <w:rPr>
                <w:rFonts w:ascii="Arial" w:cs="Arial" w:eastAsia="Arial" w:hAnsi="Arial"/>
                <w:sz w:val="14"/>
                <w:szCs w:val="14"/>
                <w:color w:val="auto"/>
              </w:rPr>
              <w:t>(minor differences may result due to rounding)</w:t>
            </w: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June 30, 2025</w:t>
            </w: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w w:val="98"/>
              </w:rPr>
              <w:t>(in millions)</w:t>
            </w:r>
          </w:p>
        </w:tc>
        <w:tc>
          <w:tcPr>
            <w:tcW w:w="3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72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Electric Utilities</w:t>
            </w:r>
          </w:p>
        </w:tc>
        <w:tc>
          <w:tcPr>
            <w:tcW w:w="180" w:type="dxa"/>
            <w:vAlign w:val="bottom"/>
            <w:gridSpan w:val="2"/>
            <w:shd w:val="clear" w:color="auto" w:fill="CFF0FC"/>
          </w:tcPr>
          <w:p>
            <w:pPr>
              <w:jc w:val="right"/>
              <w:ind w:right="4"/>
              <w:spacing w:after="0" w:line="183" w:lineRule="exact"/>
              <w:rPr>
                <w:sz w:val="20"/>
                <w:szCs w:val="20"/>
                <w:color w:val="auto"/>
              </w:rPr>
            </w:pPr>
            <w:r>
              <w:rPr>
                <w:rFonts w:ascii="Arial" w:cs="Arial" w:eastAsia="Arial" w:hAnsi="Arial"/>
                <w:sz w:val="16"/>
                <w:szCs w:val="16"/>
                <w:color w:val="auto"/>
                <w:w w:val="89"/>
              </w:rPr>
              <w:t>$</w:t>
            </w:r>
          </w:p>
        </w:tc>
        <w:tc>
          <w:tcPr>
            <w:tcW w:w="1680" w:type="dxa"/>
            <w:vAlign w:val="bottom"/>
            <w:shd w:val="clear" w:color="auto" w:fill="CFF0FC"/>
          </w:tcPr>
          <w:p>
            <w:pPr>
              <w:jc w:val="center"/>
              <w:ind w:left="19"/>
              <w:spacing w:after="0" w:line="183" w:lineRule="exact"/>
              <w:rPr>
                <w:sz w:val="20"/>
                <w:szCs w:val="20"/>
                <w:color w:val="auto"/>
              </w:rPr>
            </w:pPr>
            <w:r>
              <w:rPr>
                <w:rFonts w:ascii="Arial" w:cs="Arial" w:eastAsia="Arial" w:hAnsi="Arial"/>
                <w:sz w:val="16"/>
                <w:szCs w:val="16"/>
                <w:color w:val="auto"/>
                <w:w w:val="97"/>
              </w:rPr>
              <w:t>212</w:t>
            </w:r>
          </w:p>
        </w:tc>
        <w:tc>
          <w:tcPr>
            <w:tcW w:w="3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550</w:t>
            </w:r>
          </w:p>
        </w:tc>
        <w:tc>
          <w:tcPr>
            <w:tcW w:w="1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432</w:t>
            </w:r>
          </w:p>
        </w:tc>
        <w:tc>
          <w:tcPr>
            <w:tcW w:w="30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383</w:t>
            </w:r>
          </w:p>
        </w:tc>
        <w:tc>
          <w:tcPr>
            <w:tcW w:w="26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615</w:t>
            </w:r>
          </w:p>
        </w:tc>
        <w:tc>
          <w:tcPr>
            <w:tcW w:w="2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435</w:t>
            </w:r>
          </w:p>
        </w:tc>
        <w:tc>
          <w:tcPr>
            <w:tcW w:w="0" w:type="dxa"/>
            <w:vAlign w:val="bottom"/>
          </w:tcPr>
          <w:p>
            <w:pPr>
              <w:spacing w:after="0"/>
              <w:rPr>
                <w:sz w:val="1"/>
                <w:szCs w:val="1"/>
                <w:color w:val="auto"/>
              </w:rPr>
            </w:pPr>
          </w:p>
        </w:tc>
      </w:tr>
      <w:tr>
        <w:trPr>
          <w:trHeight w:val="189"/>
        </w:trPr>
        <w:tc>
          <w:tcPr>
            <w:tcW w:w="3720" w:type="dxa"/>
            <w:vAlign w:val="bottom"/>
          </w:tcPr>
          <w:p>
            <w:pPr>
              <w:spacing w:after="0"/>
              <w:rPr>
                <w:sz w:val="20"/>
                <w:szCs w:val="20"/>
                <w:color w:val="auto"/>
              </w:rPr>
            </w:pPr>
            <w:r>
              <w:rPr>
                <w:rFonts w:ascii="Arial" w:cs="Arial" w:eastAsia="Arial" w:hAnsi="Arial"/>
                <w:sz w:val="16"/>
                <w:szCs w:val="16"/>
                <w:color w:val="auto"/>
              </w:rPr>
              <w:t>Gas Utilities</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tcPr>
          <w:p>
            <w:pPr>
              <w:jc w:val="center"/>
              <w:ind w:left="19"/>
              <w:spacing w:after="0"/>
              <w:rPr>
                <w:sz w:val="20"/>
                <w:szCs w:val="20"/>
                <w:color w:val="auto"/>
              </w:rPr>
            </w:pPr>
            <w:r>
              <w:rPr>
                <w:rFonts w:ascii="Arial" w:cs="Arial" w:eastAsia="Arial" w:hAnsi="Arial"/>
                <w:sz w:val="16"/>
                <w:szCs w:val="16"/>
                <w:color w:val="auto"/>
                <w:w w:val="97"/>
              </w:rPr>
              <w:t>154</w:t>
            </w:r>
          </w:p>
        </w:tc>
        <w:tc>
          <w:tcPr>
            <w:tcW w:w="3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431</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386</w:t>
            </w:r>
          </w:p>
        </w:tc>
        <w:tc>
          <w:tcPr>
            <w:tcW w:w="3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412</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447</w:t>
            </w:r>
          </w:p>
        </w:tc>
        <w:tc>
          <w:tcPr>
            <w:tcW w:w="240" w:type="dxa"/>
            <w:vAlign w:val="bottom"/>
          </w:tcPr>
          <w:p>
            <w:pPr>
              <w:spacing w:after="0"/>
              <w:rPr>
                <w:sz w:val="16"/>
                <w:szCs w:val="16"/>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447</w:t>
            </w:r>
          </w:p>
        </w:tc>
        <w:tc>
          <w:tcPr>
            <w:tcW w:w="0" w:type="dxa"/>
            <w:vAlign w:val="bottom"/>
          </w:tcPr>
          <w:p>
            <w:pPr>
              <w:spacing w:after="0"/>
              <w:rPr>
                <w:sz w:val="1"/>
                <w:szCs w:val="1"/>
                <w:color w:val="auto"/>
              </w:rPr>
            </w:pPr>
          </w:p>
        </w:tc>
      </w:tr>
      <w:tr>
        <w:trPr>
          <w:trHeight w:val="189"/>
        </w:trPr>
        <w:tc>
          <w:tcPr>
            <w:tcW w:w="3720" w:type="dxa"/>
            <w:vAlign w:val="bottom"/>
            <w:shd w:val="clear" w:color="auto" w:fill="CFF0FC"/>
          </w:tcPr>
          <w:p>
            <w:pPr>
              <w:spacing w:after="0"/>
              <w:rPr>
                <w:sz w:val="20"/>
                <w:szCs w:val="20"/>
                <w:color w:val="auto"/>
              </w:rPr>
            </w:pPr>
            <w:r>
              <w:rPr>
                <w:rFonts w:ascii="Arial" w:cs="Arial" w:eastAsia="Arial" w:hAnsi="Arial"/>
                <w:sz w:val="16"/>
                <w:szCs w:val="16"/>
                <w:color w:val="auto"/>
              </w:rPr>
              <w:t>Corporate and Other</w:t>
            </w:r>
          </w:p>
        </w:tc>
        <w:tc>
          <w:tcPr>
            <w:tcW w:w="20" w:type="dxa"/>
            <w:vAlign w:val="bottom"/>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1680" w:type="dxa"/>
            <w:vAlign w:val="bottom"/>
            <w:tcBorders>
              <w:bottom w:val="single" w:sz="8" w:color="auto"/>
            </w:tcBorders>
            <w:shd w:val="clear" w:color="auto" w:fill="CFF0FC"/>
          </w:tcPr>
          <w:p>
            <w:pPr>
              <w:jc w:val="center"/>
              <w:ind w:left="19"/>
              <w:spacing w:after="0"/>
              <w:rPr>
                <w:sz w:val="20"/>
                <w:szCs w:val="20"/>
                <w:color w:val="auto"/>
              </w:rPr>
            </w:pPr>
            <w:r>
              <w:rPr>
                <w:rFonts w:ascii="Arial" w:cs="Arial" w:eastAsia="Arial" w:hAnsi="Arial"/>
                <w:sz w:val="16"/>
                <w:szCs w:val="16"/>
                <w:color w:val="auto"/>
              </w:rPr>
              <w:t>4</w:t>
            </w:r>
          </w:p>
        </w:tc>
        <w:tc>
          <w:tcPr>
            <w:tcW w:w="34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w:t>
            </w:r>
          </w:p>
        </w:tc>
        <w:tc>
          <w:tcPr>
            <w:tcW w:w="16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w:t>
            </w:r>
          </w:p>
        </w:tc>
        <w:tc>
          <w:tcPr>
            <w:tcW w:w="300" w:type="dxa"/>
            <w:vAlign w:val="bottom"/>
            <w:tcBorders>
              <w:bottom w:val="single" w:sz="8" w:color="auto"/>
            </w:tcBorders>
            <w:shd w:val="clear" w:color="auto" w:fill="CFF0FC"/>
          </w:tcPr>
          <w:p>
            <w:pPr>
              <w:spacing w:after="0"/>
              <w:rPr>
                <w:sz w:val="16"/>
                <w:szCs w:val="16"/>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w:t>
            </w:r>
          </w:p>
        </w:tc>
        <w:tc>
          <w:tcPr>
            <w:tcW w:w="260" w:type="dxa"/>
            <w:vAlign w:val="bottom"/>
            <w:tcBorders>
              <w:bottom w:val="single" w:sz="8" w:color="auto"/>
            </w:tcBorders>
            <w:shd w:val="clear" w:color="auto" w:fill="CFF0FC"/>
          </w:tcPr>
          <w:p>
            <w:pPr>
              <w:spacing w:after="0"/>
              <w:rPr>
                <w:sz w:val="16"/>
                <w:szCs w:val="16"/>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w:t>
            </w:r>
          </w:p>
        </w:tc>
        <w:tc>
          <w:tcPr>
            <w:tcW w:w="240" w:type="dxa"/>
            <w:vAlign w:val="bottom"/>
            <w:tcBorders>
              <w:bottom w:val="single" w:sz="8" w:color="auto"/>
            </w:tcBorders>
            <w:shd w:val="clear" w:color="auto" w:fill="CFF0FC"/>
          </w:tcPr>
          <w:p>
            <w:pPr>
              <w:spacing w:after="0"/>
              <w:rPr>
                <w:sz w:val="16"/>
                <w:szCs w:val="16"/>
                <w:color w:val="auto"/>
              </w:rPr>
            </w:pPr>
          </w:p>
        </w:tc>
        <w:tc>
          <w:tcPr>
            <w:tcW w:w="8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183"/>
        </w:trPr>
        <w:tc>
          <w:tcPr>
            <w:tcW w:w="37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1680" w:type="dxa"/>
            <w:vAlign w:val="bottom"/>
            <w:tcBorders>
              <w:bottom w:val="single" w:sz="8" w:color="auto"/>
            </w:tcBorders>
          </w:tcPr>
          <w:p>
            <w:pPr>
              <w:jc w:val="center"/>
              <w:ind w:left="19"/>
              <w:spacing w:after="0" w:line="183" w:lineRule="exact"/>
              <w:rPr>
                <w:sz w:val="20"/>
                <w:szCs w:val="20"/>
                <w:color w:val="auto"/>
              </w:rPr>
            </w:pPr>
            <w:r>
              <w:rPr>
                <w:rFonts w:ascii="Arial" w:cs="Arial" w:eastAsia="Arial" w:hAnsi="Arial"/>
                <w:sz w:val="16"/>
                <w:szCs w:val="16"/>
                <w:color w:val="auto"/>
                <w:w w:val="97"/>
              </w:rPr>
              <w:t>370</w:t>
            </w:r>
          </w:p>
        </w:tc>
        <w:tc>
          <w:tcPr>
            <w:tcW w:w="3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1,002</w:t>
            </w:r>
          </w:p>
        </w:tc>
        <w:tc>
          <w:tcPr>
            <w:tcW w:w="1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859</w:t>
            </w:r>
          </w:p>
        </w:tc>
        <w:tc>
          <w:tcPr>
            <w:tcW w:w="30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822</w:t>
            </w:r>
          </w:p>
        </w:tc>
        <w:tc>
          <w:tcPr>
            <w:tcW w:w="26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1,089</w:t>
            </w:r>
          </w:p>
        </w:tc>
        <w:tc>
          <w:tcPr>
            <w:tcW w:w="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909</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04584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133" w:lineRule="exact"/>
        <w:rPr>
          <w:sz w:val="20"/>
          <w:szCs w:val="20"/>
          <w:color w:val="auto"/>
        </w:rPr>
      </w:pPr>
    </w:p>
    <w:p>
      <w:pPr>
        <w:ind w:left="520" w:right="800" w:hanging="512"/>
        <w:spacing w:after="0" w:line="251" w:lineRule="auto"/>
        <w:tabs>
          <w:tab w:leader="none" w:pos="520" w:val="left"/>
        </w:tabs>
        <w:numPr>
          <w:ilvl w:val="0"/>
          <w:numId w:val="55"/>
        </w:numPr>
        <w:rPr>
          <w:rFonts w:ascii="Arial" w:cs="Arial" w:eastAsia="Arial" w:hAnsi="Arial"/>
          <w:sz w:val="14"/>
          <w:szCs w:val="14"/>
          <w:color w:val="auto"/>
        </w:rPr>
      </w:pPr>
      <w:r>
        <w:rPr>
          <w:rFonts w:ascii="Arial" w:cs="Arial" w:eastAsia="Arial" w:hAnsi="Arial"/>
          <w:sz w:val="14"/>
          <w:szCs w:val="14"/>
          <w:color w:val="auto"/>
        </w:rPr>
        <w:t xml:space="preserve">Includes accruals for property, plant and equipment as disclosed in supplemental cash flow information in the </w:t>
      </w:r>
      <w:r>
        <w:rPr>
          <w:rFonts w:ascii="Arial" w:cs="Arial" w:eastAsia="Arial" w:hAnsi="Arial"/>
          <w:sz w:val="14"/>
          <w:szCs w:val="14"/>
          <w:u w:val="single" w:color="auto"/>
          <w:color w:val="0000FF"/>
        </w:rPr>
        <w:t>Consolidated Statements of Cash Flows</w:t>
      </w:r>
      <w:r>
        <w:rPr>
          <w:rFonts w:ascii="Arial" w:cs="Arial" w:eastAsia="Arial" w:hAnsi="Arial"/>
          <w:sz w:val="14"/>
          <w:szCs w:val="14"/>
          <w:color w:val="auto"/>
        </w:rPr>
        <w:t xml:space="preserve"> in the Consolidated Financial Statements. Capital expenditures are presented net of CIACs in the Consolidated Statements of Cash Flows.</w:t>
      </w:r>
    </w:p>
    <w:p>
      <w:pPr>
        <w:spacing w:after="0" w:line="1" w:lineRule="exact"/>
        <w:rPr>
          <w:rFonts w:ascii="Arial" w:cs="Arial" w:eastAsia="Arial" w:hAnsi="Arial"/>
          <w:sz w:val="14"/>
          <w:szCs w:val="14"/>
          <w:color w:val="auto"/>
        </w:rPr>
      </w:pPr>
    </w:p>
    <w:p>
      <w:pPr>
        <w:ind w:left="520" w:hanging="512"/>
        <w:spacing w:after="0"/>
        <w:tabs>
          <w:tab w:leader="none" w:pos="520" w:val="left"/>
        </w:tabs>
        <w:numPr>
          <w:ilvl w:val="0"/>
          <w:numId w:val="55"/>
        </w:numPr>
        <w:rPr>
          <w:rFonts w:ascii="Arial" w:cs="Arial" w:eastAsia="Arial" w:hAnsi="Arial"/>
          <w:sz w:val="14"/>
          <w:szCs w:val="14"/>
          <w:color w:val="auto"/>
        </w:rPr>
      </w:pPr>
      <w:r>
        <w:rPr>
          <w:rFonts w:ascii="Arial" w:cs="Arial" w:eastAsia="Arial" w:hAnsi="Arial"/>
          <w:sz w:val="14"/>
          <w:szCs w:val="14"/>
          <w:color w:val="auto"/>
        </w:rPr>
        <w:t>Projects are being evaluated by our segments for timing, cost, and other factors.</w:t>
      </w:r>
    </w:p>
    <w:p>
      <w:pPr>
        <w:spacing w:after="0" w:line="1" w:lineRule="exact"/>
        <w:rPr>
          <w:rFonts w:ascii="Arial" w:cs="Arial" w:eastAsia="Arial" w:hAnsi="Arial"/>
          <w:sz w:val="14"/>
          <w:szCs w:val="14"/>
          <w:color w:val="auto"/>
        </w:rPr>
      </w:pPr>
    </w:p>
    <w:p>
      <w:pPr>
        <w:ind w:left="520" w:hanging="512"/>
        <w:spacing w:after="0"/>
        <w:tabs>
          <w:tab w:leader="none" w:pos="520" w:val="left"/>
        </w:tabs>
        <w:numPr>
          <w:ilvl w:val="0"/>
          <w:numId w:val="55"/>
        </w:numPr>
        <w:rPr>
          <w:rFonts w:ascii="Arial" w:cs="Arial" w:eastAsia="Arial" w:hAnsi="Arial"/>
          <w:sz w:val="14"/>
          <w:szCs w:val="14"/>
          <w:color w:val="auto"/>
        </w:rPr>
      </w:pPr>
      <w:r>
        <w:rPr>
          <w:rFonts w:ascii="Arial" w:cs="Arial" w:eastAsia="Arial" w:hAnsi="Arial"/>
          <w:sz w:val="14"/>
          <w:szCs w:val="14"/>
          <w:color w:val="auto"/>
        </w:rPr>
        <w:t>Includes actual capital expenditures for the six months ended June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4756150</wp:posOffset>
            </wp:positionH>
            <wp:positionV relativeFrom="paragraph">
              <wp:posOffset>-318770</wp:posOffset>
            </wp:positionV>
            <wp:extent cx="162496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624965"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Common Stock Dividends</w:t>
      </w:r>
    </w:p>
    <w:p>
      <w:pPr>
        <w:spacing w:after="0" w:line="194"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Dividends paid on our common stock totaled $97.6 million for the six months ended June 30, 2025, or $0.676 per share. On July 22, 2025, our board of directors declared a quarterly dividend of $0.676 per share payable September 2, 2025, equivalent to an annual dividend of $2.704 per share. The amount of any future cash dividends to be declared and paid, if any, will depend upon, among other things, our financial condition, funds from operations, the level of our capital expenditures, restrictions under our Revolving Credit Facility, and our future business prospects.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Critical Accounting Estimates</w:t>
      </w:r>
    </w:p>
    <w:p>
      <w:pPr>
        <w:spacing w:after="0" w:line="194"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A summary of our critical accounting estimates is included in our 2024 Annual Report on Form 10-K. There were no material changes made as of June 30, 2025.</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New Accounting Pronouncements</w:t>
      </w:r>
    </w:p>
    <w:p>
      <w:pPr>
        <w:spacing w:after="0" w:line="194" w:lineRule="exact"/>
        <w:rPr>
          <w:sz w:val="20"/>
          <w:szCs w:val="20"/>
          <w:color w:val="auto"/>
        </w:rPr>
      </w:pPr>
    </w:p>
    <w:p>
      <w:pPr>
        <w:ind w:right="840"/>
        <w:spacing w:after="0" w:line="286" w:lineRule="auto"/>
        <w:rPr>
          <w:sz w:val="20"/>
          <w:szCs w:val="20"/>
          <w:color w:val="auto"/>
        </w:rPr>
      </w:pPr>
      <w:r>
        <w:rPr>
          <w:rFonts w:ascii="Arial" w:cs="Arial" w:eastAsia="Arial" w:hAnsi="Arial"/>
          <w:sz w:val="16"/>
          <w:szCs w:val="16"/>
          <w:color w:val="auto"/>
        </w:rPr>
        <w:t xml:space="preserve">See </w:t>
      </w:r>
      <w:r>
        <w:rPr>
          <w:rFonts w:ascii="Arial" w:cs="Arial" w:eastAsia="Arial" w:hAnsi="Arial"/>
          <w:sz w:val="16"/>
          <w:szCs w:val="16"/>
          <w:u w:val="single" w:color="auto"/>
          <w:color w:val="0000FF"/>
        </w:rPr>
        <w:t>Note 1</w:t>
      </w:r>
      <w:r>
        <w:rPr>
          <w:rFonts w:ascii="Arial" w:cs="Arial" w:eastAsia="Arial" w:hAnsi="Arial"/>
          <w:sz w:val="16"/>
          <w:szCs w:val="16"/>
          <w:color w:val="auto"/>
        </w:rPr>
        <w:t xml:space="preserve"> of the Condensed Notes to Consolidated Financial Statements for a description of recent accounting pronouncements, if any, and our expectation of their impact on our results of operations and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-165735</wp:posOffset>
            </wp:positionV>
            <wp:extent cx="30289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02895" cy="8255"/>
                    </a:xfrm>
                    <a:prstGeom prst="rect">
                      <a:avLst/>
                    </a:prstGeom>
                    <a:noFill/>
                  </pic:spPr>
                </pic:pic>
              </a:graphicData>
            </a:graphic>
          </wp:anchor>
        </w:drawing>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QUANTITATIVE AND QUALITATIVE DISCLOSURES ABOUT MARKET RISK</w:t>
      </w:r>
    </w:p>
    <w:p>
      <w:pPr>
        <w:spacing w:after="0" w:line="194"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auto"/>
        </w:rPr>
        <w:t>There have been no material changes to our quantitative and qualitative disclosures about market risk previously disclosed in Item 7A of our 2024 Annual Report on Form 10-K.</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CONTROLS AND PROCEDURES</w:t>
      </w:r>
    </w:p>
    <w:p>
      <w:pPr>
        <w:spacing w:after="0" w:line="194"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Our Chief Executive Officer and Chief Financial Officer evaluated the effectiveness of our disclosure controls and procedures (as defined in Rules 13a-15(e) and 15d-15(e) of the Securities Exchange Act of 1934, as amended (the “Exchange Act”)) as of June 30, 2025. Based on their evaluation, they have concluded that our disclosure controls and procedures were effective at June 30, 2025.</w:t>
      </w:r>
    </w:p>
    <w:p>
      <w:pPr>
        <w:spacing w:after="0" w:line="144"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Our disclosure controls and procedures are designed to ensure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194"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auto"/>
        </w:rPr>
        <w:t>During the quarter ended June 30, 2025, there have been no changes in our internal controls over financial reporting that have materially affected, or are reasonably likely, to materially affect our internal control over financial reporting.</w:t>
      </w: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II. OTHER INFORMATION</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LEGAL PROCEEDINGS</w:t>
      </w:r>
    </w:p>
    <w:p>
      <w:pPr>
        <w:spacing w:after="0" w:line="194"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color w:val="auto"/>
        </w:rPr>
        <w:t xml:space="preserve">For information regarding legal proceedings, see </w:t>
      </w:r>
      <w:r>
        <w:rPr>
          <w:rFonts w:ascii="Arial" w:cs="Arial" w:eastAsia="Arial" w:hAnsi="Arial"/>
          <w:sz w:val="16"/>
          <w:szCs w:val="16"/>
          <w:u w:val="single" w:color="auto"/>
          <w:color w:val="0000FF"/>
        </w:rPr>
        <w:t>Note 3</w:t>
      </w:r>
      <w:r>
        <w:rPr>
          <w:rFonts w:ascii="Arial" w:cs="Arial" w:eastAsia="Arial" w:hAnsi="Arial"/>
          <w:sz w:val="16"/>
          <w:szCs w:val="16"/>
          <w:color w:val="auto"/>
        </w:rPr>
        <w:t xml:space="preserve"> of the Condensed Notes to Consolidated Financial Statements and Note 3 in Item 8 of our 2024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2246630</wp:posOffset>
            </wp:positionH>
            <wp:positionV relativeFrom="paragraph">
              <wp:posOffset>-165735</wp:posOffset>
            </wp:positionV>
            <wp:extent cx="30289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02895" cy="8255"/>
                    </a:xfrm>
                    <a:prstGeom prst="rect">
                      <a:avLst/>
                    </a:prstGeom>
                    <a:noFill/>
                  </pic:spPr>
                </pic:pic>
              </a:graphicData>
            </a:graphic>
          </wp:anchor>
        </w:drawing>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There are no material changes to the risk factors previously disclosed in Item 1A of Part I in our 2024 Annual Report on Form 10-K.</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UNREGISTERED SALES OF EQUITY SECURITIES AND USE OF PROCEEDS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contains monthly information about our acquisitions of equity securities for the three months ended June 30, 2025:</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8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960" w:type="dxa"/>
            <w:vAlign w:val="bottom"/>
          </w:tcPr>
          <w:p>
            <w:pPr>
              <w:jc w:val="center"/>
              <w:ind w:right="19"/>
              <w:spacing w:after="0"/>
              <w:rPr>
                <w:sz w:val="20"/>
                <w:szCs w:val="20"/>
                <w:color w:val="auto"/>
              </w:rPr>
            </w:pPr>
            <w:r>
              <w:rPr>
                <w:rFonts w:ascii="Arial" w:cs="Arial" w:eastAsia="Arial" w:hAnsi="Arial"/>
                <w:sz w:val="16"/>
                <w:szCs w:val="16"/>
                <w:b w:val="1"/>
                <w:bCs w:val="1"/>
                <w:color w:val="auto"/>
              </w:rPr>
              <w:t>Maximum Number (or</w:t>
            </w:r>
          </w:p>
        </w:tc>
      </w:tr>
      <w:tr>
        <w:trPr>
          <w:trHeight w:val="189"/>
        </w:trPr>
        <w:tc>
          <w:tcPr>
            <w:tcW w:w="38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960" w:type="dxa"/>
            <w:vAlign w:val="bottom"/>
          </w:tcPr>
          <w:p>
            <w:pPr>
              <w:jc w:val="center"/>
              <w:ind w:right="19"/>
              <w:spacing w:after="0"/>
              <w:rPr>
                <w:sz w:val="20"/>
                <w:szCs w:val="20"/>
                <w:color w:val="auto"/>
              </w:rPr>
            </w:pPr>
            <w:r>
              <w:rPr>
                <w:rFonts w:ascii="Arial" w:cs="Arial" w:eastAsia="Arial" w:hAnsi="Arial"/>
                <w:sz w:val="16"/>
                <w:szCs w:val="16"/>
                <w:b w:val="1"/>
                <w:bCs w:val="1"/>
                <w:color w:val="auto"/>
              </w:rPr>
              <w:t>Approximate Dollar</w:t>
            </w:r>
          </w:p>
        </w:tc>
      </w:tr>
      <w:tr>
        <w:trPr>
          <w:trHeight w:val="189"/>
        </w:trPr>
        <w:tc>
          <w:tcPr>
            <w:tcW w:w="38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100" w:type="dxa"/>
            <w:vAlign w:val="bottom"/>
          </w:tcPr>
          <w:p>
            <w:pPr>
              <w:jc w:val="center"/>
              <w:spacing w:after="0"/>
              <w:rPr>
                <w:sz w:val="20"/>
                <w:szCs w:val="20"/>
                <w:color w:val="auto"/>
              </w:rPr>
            </w:pPr>
            <w:r>
              <w:rPr>
                <w:rFonts w:ascii="Arial" w:cs="Arial" w:eastAsia="Arial" w:hAnsi="Arial"/>
                <w:sz w:val="16"/>
                <w:szCs w:val="16"/>
                <w:b w:val="1"/>
                <w:bCs w:val="1"/>
                <w:color w:val="auto"/>
              </w:rPr>
              <w:t>Total Number of Shares</w:t>
            </w:r>
          </w:p>
        </w:tc>
        <w:tc>
          <w:tcPr>
            <w:tcW w:w="1960" w:type="dxa"/>
            <w:vAlign w:val="bottom"/>
          </w:tcPr>
          <w:p>
            <w:pPr>
              <w:jc w:val="center"/>
              <w:ind w:right="19"/>
              <w:spacing w:after="0"/>
              <w:rPr>
                <w:sz w:val="20"/>
                <w:szCs w:val="20"/>
                <w:color w:val="auto"/>
              </w:rPr>
            </w:pPr>
            <w:r>
              <w:rPr>
                <w:rFonts w:ascii="Arial" w:cs="Arial" w:eastAsia="Arial" w:hAnsi="Arial"/>
                <w:sz w:val="16"/>
                <w:szCs w:val="16"/>
                <w:b w:val="1"/>
                <w:bCs w:val="1"/>
                <w:color w:val="auto"/>
              </w:rPr>
              <w:t>Value) of Shares That</w:t>
            </w:r>
          </w:p>
        </w:tc>
      </w:tr>
      <w:tr>
        <w:trPr>
          <w:trHeight w:val="189"/>
        </w:trPr>
        <w:tc>
          <w:tcPr>
            <w:tcW w:w="38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100" w:type="dxa"/>
            <w:vAlign w:val="bottom"/>
          </w:tcPr>
          <w:p>
            <w:pPr>
              <w:jc w:val="center"/>
              <w:spacing w:after="0"/>
              <w:rPr>
                <w:sz w:val="20"/>
                <w:szCs w:val="20"/>
                <w:color w:val="auto"/>
              </w:rPr>
            </w:pPr>
            <w:r>
              <w:rPr>
                <w:rFonts w:ascii="Arial" w:cs="Arial" w:eastAsia="Arial" w:hAnsi="Arial"/>
                <w:sz w:val="16"/>
                <w:szCs w:val="16"/>
                <w:b w:val="1"/>
                <w:bCs w:val="1"/>
                <w:color w:val="auto"/>
              </w:rPr>
              <w:t>Purchased as Part of</w:t>
            </w:r>
          </w:p>
        </w:tc>
        <w:tc>
          <w:tcPr>
            <w:tcW w:w="1960" w:type="dxa"/>
            <w:vAlign w:val="bottom"/>
          </w:tcPr>
          <w:p>
            <w:pPr>
              <w:jc w:val="center"/>
              <w:spacing w:after="0"/>
              <w:rPr>
                <w:sz w:val="20"/>
                <w:szCs w:val="20"/>
                <w:color w:val="auto"/>
              </w:rPr>
            </w:pPr>
            <w:r>
              <w:rPr>
                <w:rFonts w:ascii="Arial" w:cs="Arial" w:eastAsia="Arial" w:hAnsi="Arial"/>
                <w:sz w:val="16"/>
                <w:szCs w:val="16"/>
                <w:b w:val="1"/>
                <w:bCs w:val="1"/>
                <w:color w:val="auto"/>
              </w:rPr>
              <w:t>May Yet Be Purchased</w:t>
            </w:r>
          </w:p>
        </w:tc>
      </w:tr>
      <w:tr>
        <w:trPr>
          <w:trHeight w:val="163"/>
        </w:trPr>
        <w:tc>
          <w:tcPr>
            <w:tcW w:w="3840" w:type="dxa"/>
            <w:vAlign w:val="bottom"/>
          </w:tcPr>
          <w:p>
            <w:pPr>
              <w:spacing w:after="0"/>
              <w:rPr>
                <w:sz w:val="14"/>
                <w:szCs w:val="14"/>
                <w:color w:val="auto"/>
              </w:rPr>
            </w:pPr>
          </w:p>
        </w:tc>
        <w:tc>
          <w:tcPr>
            <w:tcW w:w="1920" w:type="dxa"/>
            <w:vAlign w:val="bottom"/>
          </w:tcPr>
          <w:p>
            <w:pPr>
              <w:jc w:val="right"/>
              <w:ind w:right="19"/>
              <w:spacing w:after="0" w:line="163" w:lineRule="exact"/>
              <w:rPr>
                <w:sz w:val="20"/>
                <w:szCs w:val="20"/>
                <w:color w:val="auto"/>
              </w:rPr>
            </w:pPr>
            <w:r>
              <w:rPr>
                <w:rFonts w:ascii="Arial" w:cs="Arial" w:eastAsia="Arial" w:hAnsi="Arial"/>
                <w:sz w:val="16"/>
                <w:szCs w:val="16"/>
                <w:b w:val="1"/>
                <w:bCs w:val="1"/>
                <w:color w:val="auto"/>
                <w:w w:val="99"/>
              </w:rPr>
              <w:t>Total Number of Shares</w:t>
            </w:r>
          </w:p>
        </w:tc>
        <w:tc>
          <w:tcPr>
            <w:tcW w:w="1420" w:type="dxa"/>
            <w:vAlign w:val="bottom"/>
            <w:gridSpan w:val="2"/>
          </w:tcPr>
          <w:p>
            <w:pPr>
              <w:ind w:left="140"/>
              <w:spacing w:after="0" w:line="163" w:lineRule="exact"/>
              <w:rPr>
                <w:sz w:val="20"/>
                <w:szCs w:val="20"/>
                <w:color w:val="auto"/>
              </w:rPr>
            </w:pPr>
            <w:r>
              <w:rPr>
                <w:rFonts w:ascii="Arial" w:cs="Arial" w:eastAsia="Arial" w:hAnsi="Arial"/>
                <w:sz w:val="16"/>
                <w:szCs w:val="16"/>
                <w:b w:val="1"/>
                <w:bCs w:val="1"/>
                <w:color w:val="auto"/>
              </w:rPr>
              <w:t>Average Price</w:t>
            </w:r>
          </w:p>
        </w:tc>
        <w:tc>
          <w:tcPr>
            <w:tcW w:w="2100" w:type="dxa"/>
            <w:vAlign w:val="bottom"/>
          </w:tcPr>
          <w:p>
            <w:pPr>
              <w:jc w:val="center"/>
              <w:spacing w:after="0" w:line="163" w:lineRule="exact"/>
              <w:rPr>
                <w:sz w:val="20"/>
                <w:szCs w:val="20"/>
                <w:color w:val="auto"/>
              </w:rPr>
            </w:pPr>
            <w:r>
              <w:rPr>
                <w:rFonts w:ascii="Arial" w:cs="Arial" w:eastAsia="Arial" w:hAnsi="Arial"/>
                <w:sz w:val="16"/>
                <w:szCs w:val="16"/>
                <w:b w:val="1"/>
                <w:bCs w:val="1"/>
                <w:color w:val="auto"/>
              </w:rPr>
              <w:t>Publicly Announced</w:t>
            </w:r>
          </w:p>
        </w:tc>
        <w:tc>
          <w:tcPr>
            <w:tcW w:w="1960" w:type="dxa"/>
            <w:vAlign w:val="bottom"/>
          </w:tcPr>
          <w:p>
            <w:pPr>
              <w:jc w:val="center"/>
              <w:spacing w:after="0" w:line="163" w:lineRule="exact"/>
              <w:rPr>
                <w:sz w:val="20"/>
                <w:szCs w:val="20"/>
                <w:color w:val="auto"/>
              </w:rPr>
            </w:pPr>
            <w:r>
              <w:rPr>
                <w:rFonts w:ascii="Arial" w:cs="Arial" w:eastAsia="Arial" w:hAnsi="Arial"/>
                <w:sz w:val="16"/>
                <w:szCs w:val="16"/>
                <w:b w:val="1"/>
                <w:bCs w:val="1"/>
                <w:color w:val="auto"/>
              </w:rPr>
              <w:t>Under the Plans or</w:t>
            </w:r>
          </w:p>
        </w:tc>
      </w:tr>
      <w:tr>
        <w:trPr>
          <w:trHeight w:val="230"/>
        </w:trPr>
        <w:tc>
          <w:tcPr>
            <w:tcW w:w="3840" w:type="dxa"/>
            <w:vAlign w:val="bottom"/>
            <w:tcBorders>
              <w:bottom w:val="single" w:sz="8" w:color="auto"/>
            </w:tcBorders>
          </w:tcPr>
          <w:p>
            <w:pPr>
              <w:ind w:left="1660"/>
              <w:spacing w:after="0"/>
              <w:rPr>
                <w:sz w:val="20"/>
                <w:szCs w:val="20"/>
                <w:color w:val="auto"/>
              </w:rPr>
            </w:pPr>
            <w:r>
              <w:rPr>
                <w:rFonts w:ascii="Arial" w:cs="Arial" w:eastAsia="Arial" w:hAnsi="Arial"/>
                <w:sz w:val="16"/>
                <w:szCs w:val="16"/>
                <w:b w:val="1"/>
                <w:bCs w:val="1"/>
                <w:color w:val="auto"/>
              </w:rPr>
              <w:t>Period</w:t>
            </w:r>
          </w:p>
        </w:tc>
        <w:tc>
          <w:tcPr>
            <w:tcW w:w="1920" w:type="dxa"/>
            <w:vAlign w:val="bottom"/>
            <w:tcBorders>
              <w:bottom w:val="single" w:sz="8" w:color="auto"/>
            </w:tcBorders>
          </w:tcPr>
          <w:p>
            <w:pPr>
              <w:jc w:val="right"/>
              <w:ind w:right="399"/>
              <w:spacing w:after="0" w:line="230" w:lineRule="exact"/>
              <w:rPr>
                <w:sz w:val="20"/>
                <w:szCs w:val="20"/>
                <w:color w:val="auto"/>
              </w:rPr>
            </w:pPr>
            <w:r>
              <w:rPr>
                <w:rFonts w:ascii="Arial" w:cs="Arial" w:eastAsia="Arial" w:hAnsi="Arial"/>
                <w:sz w:val="16"/>
                <w:szCs w:val="16"/>
                <w:b w:val="1"/>
                <w:bCs w:val="1"/>
                <w:color w:val="auto"/>
              </w:rPr>
              <w:t xml:space="preserve">Purchased </w:t>
            </w:r>
            <w:r>
              <w:rPr>
                <w:rFonts w:ascii="Arial" w:cs="Arial" w:eastAsia="Arial" w:hAnsi="Arial"/>
                <w:sz w:val="21"/>
                <w:szCs w:val="21"/>
                <w:b w:val="1"/>
                <w:bCs w:val="1"/>
                <w:color w:val="auto"/>
                <w:vertAlign w:val="superscript"/>
              </w:rPr>
              <w:t>(a)</w:t>
            </w:r>
          </w:p>
        </w:tc>
        <w:tc>
          <w:tcPr>
            <w:tcW w:w="142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Paid per Share</w:t>
            </w: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Plans or Programs</w:t>
            </w: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Programs</w:t>
            </w:r>
          </w:p>
        </w:tc>
      </w:tr>
      <w:tr>
        <w:trPr>
          <w:trHeight w:val="182"/>
        </w:trPr>
        <w:tc>
          <w:tcPr>
            <w:tcW w:w="38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April 1, 2025 - April 30, 2025</w:t>
            </w:r>
          </w:p>
        </w:tc>
        <w:tc>
          <w:tcPr>
            <w:tcW w:w="19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w:t>
            </w:r>
          </w:p>
        </w:tc>
        <w:tc>
          <w:tcPr>
            <w:tcW w:w="540" w:type="dxa"/>
            <w:vAlign w:val="bottom"/>
            <w:shd w:val="clear" w:color="auto" w:fill="CFF0FC"/>
          </w:tcPr>
          <w:p>
            <w:pPr>
              <w:jc w:val="right"/>
              <w:ind w:right="299"/>
              <w:spacing w:after="0" w:line="183" w:lineRule="exact"/>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60.83</w:t>
            </w:r>
          </w:p>
        </w:tc>
        <w:tc>
          <w:tcPr>
            <w:tcW w:w="2100" w:type="dxa"/>
            <w:vAlign w:val="bottom"/>
            <w:shd w:val="clear" w:color="auto" w:fill="CFF0FC"/>
          </w:tcPr>
          <w:p>
            <w:pPr>
              <w:ind w:left="1880"/>
              <w:spacing w:after="0" w:line="183" w:lineRule="exact"/>
              <w:rPr>
                <w:sz w:val="20"/>
                <w:szCs w:val="20"/>
                <w:color w:val="auto"/>
              </w:rPr>
            </w:pPr>
            <w:r>
              <w:rPr>
                <w:rFonts w:ascii="Arial" w:cs="Arial" w:eastAsia="Arial" w:hAnsi="Arial"/>
                <w:sz w:val="16"/>
                <w:szCs w:val="16"/>
                <w:color w:val="auto"/>
              </w:rPr>
              <w:t>—</w:t>
            </w:r>
          </w:p>
        </w:tc>
        <w:tc>
          <w:tcPr>
            <w:tcW w:w="1960" w:type="dxa"/>
            <w:vAlign w:val="bottom"/>
            <w:shd w:val="clear" w:color="auto" w:fill="CFF0FC"/>
          </w:tcPr>
          <w:p>
            <w:pPr>
              <w:ind w:left="1680"/>
              <w:spacing w:after="0" w:line="183" w:lineRule="exact"/>
              <w:rPr>
                <w:sz w:val="20"/>
                <w:szCs w:val="20"/>
                <w:color w:val="auto"/>
              </w:rPr>
            </w:pPr>
            <w:r>
              <w:rPr>
                <w:rFonts w:ascii="Arial" w:cs="Arial" w:eastAsia="Arial" w:hAnsi="Arial"/>
                <w:sz w:val="16"/>
                <w:szCs w:val="16"/>
                <w:color w:val="auto"/>
              </w:rPr>
              <w:t>—</w:t>
            </w:r>
          </w:p>
        </w:tc>
      </w:tr>
      <w:tr>
        <w:trPr>
          <w:trHeight w:val="189"/>
        </w:trPr>
        <w:tc>
          <w:tcPr>
            <w:tcW w:w="3840" w:type="dxa"/>
            <w:vAlign w:val="bottom"/>
          </w:tcPr>
          <w:p>
            <w:pPr>
              <w:spacing w:after="0"/>
              <w:rPr>
                <w:sz w:val="20"/>
                <w:szCs w:val="20"/>
                <w:color w:val="auto"/>
              </w:rPr>
            </w:pPr>
            <w:r>
              <w:rPr>
                <w:rFonts w:ascii="Arial" w:cs="Arial" w:eastAsia="Arial" w:hAnsi="Arial"/>
                <w:sz w:val="16"/>
                <w:szCs w:val="16"/>
                <w:color w:val="auto"/>
              </w:rPr>
              <w:t>May 1, 2025 - May 31, 2025</w:t>
            </w:r>
          </w:p>
        </w:tc>
        <w:tc>
          <w:tcPr>
            <w:tcW w:w="1920" w:type="dxa"/>
            <w:vAlign w:val="bottom"/>
          </w:tcPr>
          <w:p>
            <w:pPr>
              <w:jc w:val="right"/>
              <w:spacing w:after="0"/>
              <w:rPr>
                <w:sz w:val="20"/>
                <w:szCs w:val="20"/>
                <w:color w:val="auto"/>
              </w:rPr>
            </w:pPr>
            <w:r>
              <w:rPr>
                <w:rFonts w:ascii="Arial" w:cs="Arial" w:eastAsia="Arial" w:hAnsi="Arial"/>
                <w:sz w:val="16"/>
                <w:szCs w:val="16"/>
                <w:color w:val="auto"/>
              </w:rPr>
              <w:t>745</w:t>
            </w:r>
          </w:p>
        </w:tc>
        <w:tc>
          <w:tcPr>
            <w:tcW w:w="540" w:type="dxa"/>
            <w:vAlign w:val="bottom"/>
          </w:tcPr>
          <w:p>
            <w:pPr>
              <w:spacing w:after="0"/>
              <w:rPr>
                <w:sz w:val="16"/>
                <w:szCs w:val="16"/>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61.50</w:t>
            </w:r>
          </w:p>
        </w:tc>
        <w:tc>
          <w:tcPr>
            <w:tcW w:w="2100" w:type="dxa"/>
            <w:vAlign w:val="bottom"/>
          </w:tcPr>
          <w:p>
            <w:pPr>
              <w:ind w:left="1880"/>
              <w:spacing w:after="0"/>
              <w:rPr>
                <w:sz w:val="20"/>
                <w:szCs w:val="20"/>
                <w:color w:val="auto"/>
              </w:rPr>
            </w:pPr>
            <w:r>
              <w:rPr>
                <w:rFonts w:ascii="Arial" w:cs="Arial" w:eastAsia="Arial" w:hAnsi="Arial"/>
                <w:sz w:val="16"/>
                <w:szCs w:val="16"/>
                <w:color w:val="auto"/>
              </w:rPr>
              <w:t>—</w:t>
            </w:r>
          </w:p>
        </w:tc>
        <w:tc>
          <w:tcPr>
            <w:tcW w:w="1960" w:type="dxa"/>
            <w:vAlign w:val="bottom"/>
          </w:tcPr>
          <w:p>
            <w:pPr>
              <w:ind w:left="1680"/>
              <w:spacing w:after="0"/>
              <w:rPr>
                <w:sz w:val="20"/>
                <w:szCs w:val="20"/>
                <w:color w:val="auto"/>
              </w:rPr>
            </w:pPr>
            <w:r>
              <w:rPr>
                <w:rFonts w:ascii="Arial" w:cs="Arial" w:eastAsia="Arial" w:hAnsi="Arial"/>
                <w:sz w:val="16"/>
                <w:szCs w:val="16"/>
                <w:color w:val="auto"/>
              </w:rPr>
              <w:t>—</w:t>
            </w:r>
          </w:p>
        </w:tc>
      </w:tr>
      <w:tr>
        <w:trPr>
          <w:trHeight w:val="189"/>
        </w:trPr>
        <w:tc>
          <w:tcPr>
            <w:tcW w:w="3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June 1, 2025 - June 30, 2025</w:t>
            </w:r>
          </w:p>
        </w:tc>
        <w:tc>
          <w:tcPr>
            <w:tcW w:w="1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540" w:type="dxa"/>
            <w:vAlign w:val="bottom"/>
            <w:tcBorders>
              <w:bottom w:val="single" w:sz="8" w:color="auto"/>
            </w:tcBorders>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58.44</w:t>
            </w:r>
          </w:p>
        </w:tc>
        <w:tc>
          <w:tcPr>
            <w:tcW w:w="2100" w:type="dxa"/>
            <w:vAlign w:val="bottom"/>
            <w:tcBorders>
              <w:bottom w:val="single" w:sz="8" w:color="auto"/>
            </w:tcBorders>
            <w:shd w:val="clear" w:color="auto" w:fill="CFF0FC"/>
          </w:tcPr>
          <w:p>
            <w:pPr>
              <w:ind w:left="1880"/>
              <w:spacing w:after="0"/>
              <w:rPr>
                <w:sz w:val="20"/>
                <w:szCs w:val="20"/>
                <w:color w:val="auto"/>
              </w:rPr>
            </w:pPr>
            <w:r>
              <w:rPr>
                <w:rFonts w:ascii="Arial" w:cs="Arial" w:eastAsia="Arial" w:hAnsi="Arial"/>
                <w:sz w:val="16"/>
                <w:szCs w:val="16"/>
                <w:color w:val="auto"/>
              </w:rPr>
              <w:t>—</w:t>
            </w:r>
          </w:p>
        </w:tc>
        <w:tc>
          <w:tcPr>
            <w:tcW w:w="1960" w:type="dxa"/>
            <w:vAlign w:val="bottom"/>
            <w:tcBorders>
              <w:bottom w:val="single" w:sz="8" w:color="auto"/>
            </w:tcBorders>
            <w:shd w:val="clear" w:color="auto" w:fill="CFF0FC"/>
          </w:tcPr>
          <w:p>
            <w:pPr>
              <w:ind w:left="1680"/>
              <w:spacing w:after="0"/>
              <w:rPr>
                <w:sz w:val="20"/>
                <w:szCs w:val="20"/>
                <w:color w:val="auto"/>
              </w:rPr>
            </w:pPr>
            <w:r>
              <w:rPr>
                <w:rFonts w:ascii="Arial" w:cs="Arial" w:eastAsia="Arial" w:hAnsi="Arial"/>
                <w:sz w:val="16"/>
                <w:szCs w:val="16"/>
                <w:color w:val="auto"/>
              </w:rPr>
              <w:t>—</w:t>
            </w:r>
          </w:p>
        </w:tc>
      </w:tr>
      <w:tr>
        <w:trPr>
          <w:trHeight w:val="183"/>
        </w:trPr>
        <w:tc>
          <w:tcPr>
            <w:tcW w:w="3840" w:type="dxa"/>
            <w:vAlign w:val="bottom"/>
          </w:tcPr>
          <w:p>
            <w:pPr>
              <w:ind w:left="120"/>
              <w:spacing w:after="0" w:line="169" w:lineRule="exact"/>
              <w:rPr>
                <w:sz w:val="20"/>
                <w:szCs w:val="20"/>
                <w:color w:val="auto"/>
              </w:rPr>
            </w:pPr>
            <w:r>
              <w:rPr>
                <w:rFonts w:ascii="Arial" w:cs="Arial" w:eastAsia="Arial" w:hAnsi="Arial"/>
                <w:sz w:val="16"/>
                <w:szCs w:val="16"/>
                <w:color w:val="auto"/>
              </w:rPr>
              <w:t>Total</w:t>
            </w:r>
          </w:p>
        </w:tc>
        <w:tc>
          <w:tcPr>
            <w:tcW w:w="19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747</w:t>
            </w:r>
          </w:p>
        </w:tc>
        <w:tc>
          <w:tcPr>
            <w:tcW w:w="540" w:type="dxa"/>
            <w:vAlign w:val="bottom"/>
            <w:tcBorders>
              <w:bottom w:val="single" w:sz="8" w:color="auto"/>
            </w:tcBorders>
          </w:tcPr>
          <w:p>
            <w:pPr>
              <w:jc w:val="right"/>
              <w:ind w:right="299"/>
              <w:spacing w:after="0" w:line="169"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line="169" w:lineRule="exact"/>
              <w:rPr>
                <w:sz w:val="20"/>
                <w:szCs w:val="20"/>
                <w:color w:val="auto"/>
              </w:rPr>
            </w:pPr>
            <w:r>
              <w:rPr>
                <w:rFonts w:ascii="Arial" w:cs="Arial" w:eastAsia="Arial" w:hAnsi="Arial"/>
                <w:sz w:val="16"/>
                <w:szCs w:val="16"/>
                <w:color w:val="auto"/>
              </w:rPr>
              <w:t>61.49</w:t>
            </w:r>
          </w:p>
        </w:tc>
        <w:tc>
          <w:tcPr>
            <w:tcW w:w="2100" w:type="dxa"/>
            <w:vAlign w:val="bottom"/>
            <w:tcBorders>
              <w:bottom w:val="single" w:sz="8" w:color="auto"/>
            </w:tcBorders>
          </w:tcPr>
          <w:p>
            <w:pPr>
              <w:ind w:left="1880"/>
              <w:spacing w:after="0" w:line="169" w:lineRule="exact"/>
              <w:rPr>
                <w:sz w:val="20"/>
                <w:szCs w:val="20"/>
                <w:color w:val="auto"/>
              </w:rPr>
            </w:pPr>
            <w:r>
              <w:rPr>
                <w:rFonts w:ascii="Arial" w:cs="Arial" w:eastAsia="Arial" w:hAnsi="Arial"/>
                <w:sz w:val="16"/>
                <w:szCs w:val="16"/>
                <w:color w:val="auto"/>
              </w:rPr>
              <w:t>—</w:t>
            </w:r>
          </w:p>
        </w:tc>
        <w:tc>
          <w:tcPr>
            <w:tcW w:w="1960" w:type="dxa"/>
            <w:vAlign w:val="bottom"/>
            <w:tcBorders>
              <w:bottom w:val="single" w:sz="8" w:color="auto"/>
            </w:tcBorders>
          </w:tcPr>
          <w:p>
            <w:pPr>
              <w:ind w:left="1680"/>
              <w:spacing w:after="0" w:line="169" w:lineRule="exact"/>
              <w:rPr>
                <w:sz w:val="20"/>
                <w:szCs w:val="20"/>
                <w:color w:val="auto"/>
              </w:rPr>
            </w:pPr>
            <w:r>
              <w:rPr>
                <w:rFonts w:ascii="Arial" w:cs="Arial" w:eastAsia="Arial" w:hAnsi="Arial"/>
                <w:sz w:val="16"/>
                <w:szCs w:val="16"/>
                <w:color w:val="auto"/>
              </w:rPr>
              <w:t>—</w:t>
            </w:r>
          </w:p>
        </w:tc>
      </w:tr>
      <w:tr>
        <w:trPr>
          <w:trHeight w:val="20"/>
        </w:trPr>
        <w:tc>
          <w:tcPr>
            <w:tcW w:w="384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04584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119" w:lineRule="exact"/>
        <w:rPr>
          <w:sz w:val="20"/>
          <w:szCs w:val="20"/>
          <w:color w:val="auto"/>
        </w:rPr>
      </w:pPr>
    </w:p>
    <w:p>
      <w:pPr>
        <w:ind w:left="520" w:right="360" w:hanging="512"/>
        <w:spacing w:after="0" w:line="285" w:lineRule="auto"/>
        <w:tabs>
          <w:tab w:leader="none" w:pos="520" w:val="left"/>
        </w:tabs>
        <w:numPr>
          <w:ilvl w:val="0"/>
          <w:numId w:val="56"/>
        </w:numPr>
        <w:rPr>
          <w:rFonts w:ascii="Arial" w:cs="Arial" w:eastAsia="Arial" w:hAnsi="Arial"/>
          <w:sz w:val="14"/>
          <w:szCs w:val="14"/>
          <w:color w:val="auto"/>
        </w:rPr>
      </w:pPr>
      <w:r>
        <w:rPr>
          <w:rFonts w:ascii="Arial" w:cs="Arial" w:eastAsia="Arial" w:hAnsi="Arial"/>
          <w:sz w:val="14"/>
          <w:szCs w:val="14"/>
          <w:color w:val="auto"/>
        </w:rPr>
        <w:t>Shares were acquired under the share withholding provisions of the Amended and Restated 2015 Omnibus Incentive Plan for payment of taxes associated with the vesting of various equity compensation plans.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MINE SAFETY DISCLOSURES</w:t>
      </w:r>
    </w:p>
    <w:p>
      <w:pPr>
        <w:spacing w:after="0" w:line="194"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 xml:space="preserve">Information concerning mine safety violations or other regulatory matters required by Sections 1503(a) of the Dodd-Frank Wall Street Reform and Consumer Protection Act is included in </w:t>
      </w:r>
      <w:r>
        <w:rPr>
          <w:rFonts w:ascii="Arial" w:cs="Arial" w:eastAsia="Arial" w:hAnsi="Arial"/>
          <w:sz w:val="16"/>
          <w:szCs w:val="16"/>
          <w:u w:val="single" w:color="auto"/>
          <w:color w:val="0000FF"/>
        </w:rPr>
        <w:t>Exhibit 95</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1297305</wp:posOffset>
            </wp:positionH>
            <wp:positionV relativeFrom="paragraph">
              <wp:posOffset>-45720</wp:posOffset>
            </wp:positionV>
            <wp:extent cx="45148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51485" cy="8255"/>
                    </a:xfrm>
                    <a:prstGeom prst="rect">
                      <a:avLst/>
                    </a:prstGeom>
                    <a:noFill/>
                  </pic:spPr>
                </pic:pic>
              </a:graphicData>
            </a:graphic>
          </wp:anchor>
        </w:drawing>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 OTHER INFORMATION</w:t>
      </w:r>
    </w:p>
    <w:p>
      <w:pPr>
        <w:spacing w:after="0" w:line="194"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None of our directors or officers adopted, modified, or terminated a Rule 10b5-1 trading arrangement or a non-Rule 10b5-1 trading arrangement during the three months ended June 30, 2025.</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 EXHIBITS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Exhibits filed herewithin are designated by an asterisk (*). All exhibits not so designated are incorporated by reference to a prior filing, as indicated.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440" w:type="dxa"/>
            <w:vAlign w:val="bottom"/>
          </w:tcPr>
          <w:p>
            <w:pPr>
              <w:ind w:left="380"/>
              <w:spacing w:after="0"/>
              <w:rPr>
                <w:sz w:val="20"/>
                <w:szCs w:val="20"/>
                <w:color w:val="auto"/>
              </w:rPr>
            </w:pPr>
            <w:r>
              <w:rPr>
                <w:rFonts w:ascii="Arial" w:cs="Arial" w:eastAsia="Arial" w:hAnsi="Arial"/>
                <w:sz w:val="16"/>
                <w:szCs w:val="16"/>
                <w:b w:val="1"/>
                <w:bCs w:val="1"/>
                <w:color w:val="auto"/>
              </w:rPr>
              <w:t>Exhibit</w:t>
            </w:r>
          </w:p>
        </w:tc>
        <w:tc>
          <w:tcPr>
            <w:tcW w:w="8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120" w:type="dxa"/>
            <w:vAlign w:val="bottom"/>
            <w:gridSpan w:val="7"/>
            <w:vMerge w:val="restart"/>
          </w:tcPr>
          <w:p>
            <w:pPr>
              <w:ind w:left="72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128"/>
        </w:trPr>
        <w:tc>
          <w:tcPr>
            <w:tcW w:w="1440" w:type="dxa"/>
            <w:vAlign w:val="bottom"/>
            <w:vMerge w:val="restart"/>
          </w:tcPr>
          <w:p>
            <w:pPr>
              <w:ind w:left="360"/>
              <w:spacing w:after="0"/>
              <w:rPr>
                <w:sz w:val="20"/>
                <w:szCs w:val="20"/>
                <w:color w:val="auto"/>
              </w:rPr>
            </w:pPr>
            <w:r>
              <w:rPr>
                <w:rFonts w:ascii="Arial" w:cs="Arial" w:eastAsia="Arial" w:hAnsi="Arial"/>
                <w:sz w:val="16"/>
                <w:szCs w:val="16"/>
                <w:b w:val="1"/>
                <w:bCs w:val="1"/>
                <w:color w:val="auto"/>
              </w:rPr>
              <w:t>Number</w:t>
            </w: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12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440" w:type="dxa"/>
            <w:vAlign w:val="bottom"/>
            <w:tcBorders>
              <w:bottom w:val="single" w:sz="8" w:color="auto"/>
            </w:tcBorders>
            <w:vMerge w:val="continue"/>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21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48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5"/>
        </w:trPr>
        <w:tc>
          <w:tcPr>
            <w:tcW w:w="1440" w:type="dxa"/>
            <w:vAlign w:val="bottom"/>
          </w:tcPr>
          <w:p>
            <w:pPr>
              <w:ind w:left="120"/>
              <w:spacing w:after="0" w:line="155" w:lineRule="exact"/>
              <w:rPr>
                <w:sz w:val="20"/>
                <w:szCs w:val="20"/>
                <w:color w:val="auto"/>
              </w:rPr>
            </w:pPr>
            <w:r>
              <w:rPr>
                <w:rFonts w:ascii="Arial" w:cs="Arial" w:eastAsia="Arial" w:hAnsi="Arial"/>
                <w:sz w:val="16"/>
                <w:szCs w:val="16"/>
                <w:color w:val="auto"/>
              </w:rPr>
              <w:t>10.1</w:t>
            </w:r>
          </w:p>
        </w:tc>
        <w:tc>
          <w:tcPr>
            <w:tcW w:w="9800" w:type="dxa"/>
            <w:vAlign w:val="bottom"/>
            <w:gridSpan w:val="11"/>
          </w:tcPr>
          <w:p>
            <w:pPr>
              <w:spacing w:after="0" w:line="155" w:lineRule="exact"/>
              <w:rPr>
                <w:rFonts w:ascii="Arial" w:cs="Arial" w:eastAsia="Arial" w:hAnsi="Arial"/>
                <w:sz w:val="16"/>
                <w:szCs w:val="16"/>
                <w:color w:val="0000FF"/>
              </w:rPr>
            </w:pPr>
            <w:hyperlink r:id="rId148">
              <w:r>
                <w:rPr>
                  <w:rFonts w:ascii="Arial" w:cs="Arial" w:eastAsia="Arial" w:hAnsi="Arial"/>
                  <w:sz w:val="16"/>
                  <w:szCs w:val="16"/>
                  <w:color w:val="0000FF"/>
                </w:rPr>
                <w:t>First Amendment to Equity Distribution Sales Agreement dated May 8, 2025 among Black Hills Corporation and the Agents, Forward</w:t>
              </w:r>
            </w:hyperlink>
          </w:p>
        </w:tc>
        <w:tc>
          <w:tcPr>
            <w:tcW w:w="0" w:type="dxa"/>
            <w:vAlign w:val="bottom"/>
          </w:tcPr>
          <w:p>
            <w:pPr>
              <w:spacing w:after="0"/>
              <w:rPr>
                <w:sz w:val="1"/>
                <w:szCs w:val="1"/>
                <w:color w:val="auto"/>
              </w:rPr>
            </w:pPr>
          </w:p>
        </w:tc>
      </w:tr>
      <w:tr>
        <w:trPr>
          <w:trHeight w:val="169"/>
        </w:trPr>
        <w:tc>
          <w:tcPr>
            <w:tcW w:w="1440" w:type="dxa"/>
            <w:vAlign w:val="bottom"/>
            <w:vMerge w:val="restart"/>
          </w:tcPr>
          <w:p>
            <w:pPr>
              <w:ind w:left="120"/>
              <w:spacing w:after="0"/>
              <w:rPr>
                <w:sz w:val="20"/>
                <w:szCs w:val="20"/>
                <w:color w:val="auto"/>
              </w:rPr>
            </w:pPr>
            <w:r>
              <w:rPr>
                <w:rFonts w:ascii="Arial" w:cs="Arial" w:eastAsia="Arial" w:hAnsi="Arial"/>
                <w:sz w:val="16"/>
                <w:szCs w:val="16"/>
                <w:color w:val="auto"/>
              </w:rPr>
              <w:t>31.1*</w:t>
            </w:r>
          </w:p>
        </w:tc>
        <w:tc>
          <w:tcPr>
            <w:tcW w:w="9520" w:type="dxa"/>
            <w:vAlign w:val="bottom"/>
            <w:tcBorders>
              <w:top w:val="single" w:sz="8" w:color="0000FF"/>
            </w:tcBorders>
            <w:gridSpan w:val="9"/>
          </w:tcPr>
          <w:p>
            <w:pPr>
              <w:spacing w:after="0" w:line="169" w:lineRule="exact"/>
              <w:rPr>
                <w:rFonts w:ascii="Arial" w:cs="Arial" w:eastAsia="Arial" w:hAnsi="Arial"/>
                <w:sz w:val="16"/>
                <w:szCs w:val="16"/>
                <w:color w:val="0000FF"/>
              </w:rPr>
            </w:pPr>
            <w:hyperlink r:id="rId148">
              <w:r>
                <w:rPr>
                  <w:rFonts w:ascii="Arial" w:cs="Arial" w:eastAsia="Arial" w:hAnsi="Arial"/>
                  <w:sz w:val="16"/>
                  <w:szCs w:val="16"/>
                  <w:color w:val="0000FF"/>
                </w:rPr>
                <w:t>Purchasers and Forward Sellers named therein (Filed as Exhibit 1.1 to the Registrant's Form 8-K filed on May 8, 2025).</w:t>
              </w:r>
            </w:hyperlink>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440" w:type="dxa"/>
            <w:vAlign w:val="bottom"/>
            <w:vMerge w:val="continue"/>
          </w:tcPr>
          <w:p>
            <w:pPr>
              <w:spacing w:after="0"/>
              <w:rPr>
                <w:sz w:val="14"/>
                <w:szCs w:val="14"/>
                <w:color w:val="auto"/>
              </w:rPr>
            </w:pPr>
          </w:p>
        </w:tc>
        <w:tc>
          <w:tcPr>
            <w:tcW w:w="8520" w:type="dxa"/>
            <w:vAlign w:val="bottom"/>
            <w:tcBorders>
              <w:top w:val="single" w:sz="8" w:color="0000FF"/>
            </w:tcBorders>
            <w:gridSpan w:val="5"/>
          </w:tcPr>
          <w:p>
            <w:pPr>
              <w:spacing w:after="0" w:line="169" w:lineRule="exact"/>
              <w:rPr>
                <w:sz w:val="20"/>
                <w:szCs w:val="20"/>
                <w:color w:val="auto"/>
              </w:rPr>
            </w:pPr>
            <w:r>
              <w:rPr>
                <w:rFonts w:ascii="Arial" w:cs="Arial" w:eastAsia="Arial" w:hAnsi="Arial"/>
                <w:sz w:val="16"/>
                <w:szCs w:val="16"/>
                <w:color w:val="0000FF"/>
              </w:rPr>
              <w:t>Certification of Chief Executive Officer pursuant to Rule 13a - 14(a) of the Securities Exchange Act of 1934, as adopted</w:t>
            </w:r>
          </w:p>
        </w:tc>
        <w:tc>
          <w:tcPr>
            <w:tcW w:w="1280" w:type="dxa"/>
            <w:vAlign w:val="bottom"/>
            <w:gridSpan w:val="6"/>
          </w:tcPr>
          <w:p>
            <w:pPr>
              <w:ind w:left="40"/>
              <w:spacing w:after="0" w:line="169" w:lineRule="exact"/>
              <w:rPr>
                <w:sz w:val="20"/>
                <w:szCs w:val="20"/>
                <w:color w:val="auto"/>
              </w:rPr>
            </w:pPr>
            <w:r>
              <w:rPr>
                <w:rFonts w:ascii="Arial" w:cs="Arial" w:eastAsia="Arial" w:hAnsi="Arial"/>
                <w:sz w:val="16"/>
                <w:szCs w:val="16"/>
                <w:color w:val="0000FF"/>
              </w:rPr>
              <w:t>pursuant to</w:t>
            </w:r>
          </w:p>
        </w:tc>
        <w:tc>
          <w:tcPr>
            <w:tcW w:w="0" w:type="dxa"/>
            <w:vAlign w:val="bottom"/>
          </w:tcPr>
          <w:p>
            <w:pPr>
              <w:spacing w:after="0"/>
              <w:rPr>
                <w:sz w:val="1"/>
                <w:szCs w:val="1"/>
                <w:color w:val="auto"/>
              </w:rPr>
            </w:pPr>
          </w:p>
        </w:tc>
      </w:tr>
      <w:tr>
        <w:trPr>
          <w:trHeight w:val="169"/>
        </w:trPr>
        <w:tc>
          <w:tcPr>
            <w:tcW w:w="1440" w:type="dxa"/>
            <w:vAlign w:val="bottom"/>
            <w:vMerge w:val="restart"/>
          </w:tcPr>
          <w:p>
            <w:pPr>
              <w:ind w:left="120"/>
              <w:spacing w:after="0"/>
              <w:rPr>
                <w:sz w:val="20"/>
                <w:szCs w:val="20"/>
                <w:color w:val="auto"/>
              </w:rPr>
            </w:pPr>
            <w:r>
              <w:rPr>
                <w:rFonts w:ascii="Arial" w:cs="Arial" w:eastAsia="Arial" w:hAnsi="Arial"/>
                <w:sz w:val="16"/>
                <w:szCs w:val="16"/>
                <w:color w:val="auto"/>
              </w:rPr>
              <w:t>31.2*</w:t>
            </w:r>
          </w:p>
        </w:tc>
        <w:tc>
          <w:tcPr>
            <w:tcW w:w="9420" w:type="dxa"/>
            <w:vAlign w:val="bottom"/>
            <w:tcBorders>
              <w:top w:val="single" w:sz="8" w:color="0000FF"/>
            </w:tcBorders>
            <w:gridSpan w:val="8"/>
          </w:tcPr>
          <w:p>
            <w:pPr>
              <w:spacing w:after="0" w:line="169" w:lineRule="exact"/>
              <w:rPr>
                <w:sz w:val="20"/>
                <w:szCs w:val="20"/>
                <w:color w:val="auto"/>
              </w:rPr>
            </w:pPr>
            <w:r>
              <w:rPr>
                <w:rFonts w:ascii="Arial" w:cs="Arial" w:eastAsia="Arial" w:hAnsi="Arial"/>
                <w:sz w:val="16"/>
                <w:szCs w:val="16"/>
                <w:color w:val="0000FF"/>
              </w:rPr>
              <w:t>Section 302 of the Sarbanes - Oxley Act of 2002.</w:t>
            </w:r>
          </w:p>
        </w:tc>
        <w:tc>
          <w:tcPr>
            <w:tcW w:w="28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440" w:type="dxa"/>
            <w:vAlign w:val="bottom"/>
            <w:vMerge w:val="continue"/>
          </w:tcPr>
          <w:p>
            <w:pPr>
              <w:spacing w:after="0"/>
              <w:rPr>
                <w:sz w:val="14"/>
                <w:szCs w:val="14"/>
                <w:color w:val="auto"/>
              </w:rPr>
            </w:pPr>
          </w:p>
        </w:tc>
        <w:tc>
          <w:tcPr>
            <w:tcW w:w="3500" w:type="dxa"/>
            <w:vAlign w:val="bottom"/>
            <w:tcBorders>
              <w:top w:val="single" w:sz="8" w:color="0000FF"/>
            </w:tcBorders>
            <w:gridSpan w:val="3"/>
          </w:tcPr>
          <w:p>
            <w:pPr>
              <w:spacing w:after="0" w:line="169" w:lineRule="exact"/>
              <w:rPr>
                <w:sz w:val="20"/>
                <w:szCs w:val="20"/>
                <w:color w:val="auto"/>
              </w:rPr>
            </w:pPr>
            <w:r>
              <w:rPr>
                <w:rFonts w:ascii="Arial" w:cs="Arial" w:eastAsia="Arial" w:hAnsi="Arial"/>
                <w:sz w:val="16"/>
                <w:szCs w:val="16"/>
                <w:color w:val="0000FF"/>
                <w:w w:val="99"/>
              </w:rPr>
              <w:t>Certification of Chief Financial Officer pursuant to</w:t>
            </w:r>
          </w:p>
        </w:tc>
        <w:tc>
          <w:tcPr>
            <w:tcW w:w="6300" w:type="dxa"/>
            <w:vAlign w:val="bottom"/>
            <w:gridSpan w:val="8"/>
          </w:tcPr>
          <w:p>
            <w:pPr>
              <w:ind w:left="60"/>
              <w:spacing w:after="0" w:line="169" w:lineRule="exact"/>
              <w:rPr>
                <w:sz w:val="20"/>
                <w:szCs w:val="20"/>
                <w:color w:val="auto"/>
              </w:rPr>
            </w:pPr>
            <w:r>
              <w:rPr>
                <w:rFonts w:ascii="Arial" w:cs="Arial" w:eastAsia="Arial" w:hAnsi="Arial"/>
                <w:sz w:val="16"/>
                <w:szCs w:val="16"/>
                <w:color w:val="0000FF"/>
              </w:rPr>
              <w:t>Rule 13a - 14(a) of the Securities Exchange Act of 1934, as adopted pursuant to</w:t>
            </w:r>
          </w:p>
        </w:tc>
        <w:tc>
          <w:tcPr>
            <w:tcW w:w="0" w:type="dxa"/>
            <w:vAlign w:val="bottom"/>
          </w:tcPr>
          <w:p>
            <w:pPr>
              <w:spacing w:after="0"/>
              <w:rPr>
                <w:sz w:val="1"/>
                <w:szCs w:val="1"/>
                <w:color w:val="auto"/>
              </w:rPr>
            </w:pPr>
          </w:p>
        </w:tc>
      </w:tr>
      <w:tr>
        <w:trPr>
          <w:trHeight w:val="169"/>
        </w:trPr>
        <w:tc>
          <w:tcPr>
            <w:tcW w:w="1440" w:type="dxa"/>
            <w:vAlign w:val="bottom"/>
            <w:vMerge w:val="restart"/>
          </w:tcPr>
          <w:p>
            <w:pPr>
              <w:ind w:left="120"/>
              <w:spacing w:after="0"/>
              <w:rPr>
                <w:sz w:val="20"/>
                <w:szCs w:val="20"/>
                <w:color w:val="auto"/>
              </w:rPr>
            </w:pPr>
            <w:r>
              <w:rPr>
                <w:rFonts w:ascii="Arial" w:cs="Arial" w:eastAsia="Arial" w:hAnsi="Arial"/>
                <w:sz w:val="16"/>
                <w:szCs w:val="16"/>
                <w:color w:val="auto"/>
              </w:rPr>
              <w:t>32.1*</w:t>
            </w:r>
          </w:p>
        </w:tc>
        <w:tc>
          <w:tcPr>
            <w:tcW w:w="9360" w:type="dxa"/>
            <w:vAlign w:val="bottom"/>
            <w:tcBorders>
              <w:top w:val="single" w:sz="8" w:color="0000FF"/>
            </w:tcBorders>
            <w:gridSpan w:val="7"/>
          </w:tcPr>
          <w:p>
            <w:pPr>
              <w:spacing w:after="0" w:line="169" w:lineRule="exact"/>
              <w:rPr>
                <w:sz w:val="20"/>
                <w:szCs w:val="20"/>
                <w:color w:val="auto"/>
              </w:rPr>
            </w:pPr>
            <w:r>
              <w:rPr>
                <w:rFonts w:ascii="Arial" w:cs="Arial" w:eastAsia="Arial" w:hAnsi="Arial"/>
                <w:sz w:val="16"/>
                <w:szCs w:val="16"/>
                <w:color w:val="0000FF"/>
              </w:rPr>
              <w:t>Section 302 of the Sarbanes - Oxley Act of 2002.</w:t>
            </w:r>
          </w:p>
        </w:tc>
        <w:tc>
          <w:tcPr>
            <w:tcW w:w="340" w:type="dxa"/>
            <w:vAlign w:val="bottom"/>
            <w:gridSpan w:val="3"/>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40" w:type="dxa"/>
            <w:vAlign w:val="bottom"/>
            <w:vMerge w:val="continue"/>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20" w:type="dxa"/>
            <w:vAlign w:val="bottom"/>
            <w:gridSpan w:val="2"/>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440" w:type="dxa"/>
            <w:vAlign w:val="bottom"/>
            <w:vMerge w:val="continue"/>
          </w:tcPr>
          <w:p>
            <w:pPr>
              <w:spacing w:after="0"/>
              <w:rPr>
                <w:sz w:val="14"/>
                <w:szCs w:val="14"/>
                <w:color w:val="auto"/>
              </w:rPr>
            </w:pPr>
          </w:p>
        </w:tc>
        <w:tc>
          <w:tcPr>
            <w:tcW w:w="9800" w:type="dxa"/>
            <w:vAlign w:val="bottom"/>
            <w:gridSpan w:val="11"/>
          </w:tcPr>
          <w:p>
            <w:pPr>
              <w:spacing w:after="0" w:line="169" w:lineRule="exact"/>
              <w:rPr>
                <w:sz w:val="20"/>
                <w:szCs w:val="20"/>
                <w:color w:val="auto"/>
              </w:rPr>
            </w:pPr>
            <w:r>
              <w:rPr>
                <w:rFonts w:ascii="Arial" w:cs="Arial" w:eastAsia="Arial" w:hAnsi="Arial"/>
                <w:sz w:val="16"/>
                <w:szCs w:val="16"/>
                <w:color w:val="0000FF"/>
              </w:rPr>
              <w:t>Certification of Chief Executive Officer pursuant to 18 U.S.C. Section 1350, as adopted pursuant to Section 906 of the Sarbanes -</w:t>
            </w:r>
          </w:p>
        </w:tc>
        <w:tc>
          <w:tcPr>
            <w:tcW w:w="0" w:type="dxa"/>
            <w:vAlign w:val="bottom"/>
          </w:tcPr>
          <w:p>
            <w:pPr>
              <w:spacing w:after="0"/>
              <w:rPr>
                <w:sz w:val="1"/>
                <w:szCs w:val="1"/>
                <w:color w:val="auto"/>
              </w:rPr>
            </w:pPr>
          </w:p>
        </w:tc>
      </w:tr>
      <w:tr>
        <w:trPr>
          <w:trHeight w:val="169"/>
        </w:trPr>
        <w:tc>
          <w:tcPr>
            <w:tcW w:w="1440" w:type="dxa"/>
            <w:vAlign w:val="bottom"/>
            <w:vMerge w:val="restart"/>
          </w:tcPr>
          <w:p>
            <w:pPr>
              <w:ind w:left="120"/>
              <w:spacing w:after="0"/>
              <w:rPr>
                <w:sz w:val="20"/>
                <w:szCs w:val="20"/>
                <w:color w:val="auto"/>
              </w:rPr>
            </w:pPr>
            <w:r>
              <w:rPr>
                <w:rFonts w:ascii="Arial" w:cs="Arial" w:eastAsia="Arial" w:hAnsi="Arial"/>
                <w:sz w:val="16"/>
                <w:szCs w:val="16"/>
                <w:color w:val="auto"/>
              </w:rPr>
              <w:t>32.2*</w:t>
            </w:r>
          </w:p>
        </w:tc>
        <w:tc>
          <w:tcPr>
            <w:tcW w:w="1320" w:type="dxa"/>
            <w:vAlign w:val="bottom"/>
            <w:tcBorders>
              <w:top w:val="single" w:sz="8" w:color="0000FF"/>
              <w:bottom w:val="single" w:sz="8" w:color="0000FF"/>
            </w:tcBorders>
            <w:gridSpan w:val="2"/>
          </w:tcPr>
          <w:p>
            <w:pPr>
              <w:spacing w:after="0" w:line="169" w:lineRule="exact"/>
              <w:rPr>
                <w:sz w:val="20"/>
                <w:szCs w:val="20"/>
                <w:color w:val="auto"/>
              </w:rPr>
            </w:pPr>
            <w:r>
              <w:rPr>
                <w:rFonts w:ascii="Arial" w:cs="Arial" w:eastAsia="Arial" w:hAnsi="Arial"/>
                <w:sz w:val="16"/>
                <w:szCs w:val="16"/>
                <w:color w:val="0000FF"/>
                <w:w w:val="99"/>
              </w:rPr>
              <w:t>Oxley Act of 2002.</w:t>
            </w:r>
          </w:p>
        </w:tc>
        <w:tc>
          <w:tcPr>
            <w:tcW w:w="7980" w:type="dxa"/>
            <w:vAlign w:val="bottom"/>
            <w:tcBorders>
              <w:top w:val="single" w:sz="8" w:color="0000FF"/>
            </w:tcBorders>
            <w:gridSpan w:val="4"/>
          </w:tcPr>
          <w:p>
            <w:pPr>
              <w:spacing w:after="0"/>
              <w:rPr>
                <w:sz w:val="14"/>
                <w:szCs w:val="14"/>
                <w:color w:val="auto"/>
              </w:rPr>
            </w:pPr>
          </w:p>
        </w:tc>
        <w:tc>
          <w:tcPr>
            <w:tcW w:w="400" w:type="dxa"/>
            <w:vAlign w:val="bottom"/>
            <w:gridSpan w:val="4"/>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440" w:type="dxa"/>
            <w:vAlign w:val="bottom"/>
            <w:vMerge w:val="continue"/>
          </w:tcPr>
          <w:p>
            <w:pPr>
              <w:spacing w:after="0"/>
              <w:rPr>
                <w:sz w:val="14"/>
                <w:szCs w:val="14"/>
                <w:color w:val="auto"/>
              </w:rPr>
            </w:pPr>
          </w:p>
        </w:tc>
        <w:tc>
          <w:tcPr>
            <w:tcW w:w="9800" w:type="dxa"/>
            <w:vAlign w:val="bottom"/>
            <w:gridSpan w:val="11"/>
          </w:tcPr>
          <w:p>
            <w:pPr>
              <w:spacing w:after="0" w:line="169" w:lineRule="exact"/>
              <w:rPr>
                <w:sz w:val="20"/>
                <w:szCs w:val="20"/>
                <w:color w:val="auto"/>
              </w:rPr>
            </w:pPr>
            <w:r>
              <w:rPr>
                <w:rFonts w:ascii="Arial" w:cs="Arial" w:eastAsia="Arial" w:hAnsi="Arial"/>
                <w:sz w:val="16"/>
                <w:szCs w:val="16"/>
                <w:color w:val="0000FF"/>
              </w:rPr>
              <w:t>Certification of Chief Financial Officer pursuant to 18 U.S.C. Section 1350, as adopted pursuant to Section 906 of the Sarbanes - Oxley</w:t>
            </w:r>
          </w:p>
        </w:tc>
        <w:tc>
          <w:tcPr>
            <w:tcW w:w="0" w:type="dxa"/>
            <w:vAlign w:val="bottom"/>
          </w:tcPr>
          <w:p>
            <w:pPr>
              <w:spacing w:after="0"/>
              <w:rPr>
                <w:sz w:val="1"/>
                <w:szCs w:val="1"/>
                <w:color w:val="auto"/>
              </w:rPr>
            </w:pPr>
          </w:p>
        </w:tc>
      </w:tr>
      <w:tr>
        <w:trPr>
          <w:trHeight w:val="169"/>
        </w:trPr>
        <w:tc>
          <w:tcPr>
            <w:tcW w:w="1440" w:type="dxa"/>
            <w:vAlign w:val="bottom"/>
            <w:vMerge w:val="restart"/>
          </w:tcPr>
          <w:p>
            <w:pPr>
              <w:ind w:left="120"/>
              <w:spacing w:after="0"/>
              <w:rPr>
                <w:sz w:val="20"/>
                <w:szCs w:val="20"/>
                <w:color w:val="auto"/>
              </w:rPr>
            </w:pPr>
            <w:r>
              <w:rPr>
                <w:rFonts w:ascii="Arial" w:cs="Arial" w:eastAsia="Arial" w:hAnsi="Arial"/>
                <w:sz w:val="16"/>
                <w:szCs w:val="16"/>
                <w:color w:val="auto"/>
              </w:rPr>
              <w:t>95*</w:t>
            </w:r>
          </w:p>
        </w:tc>
        <w:tc>
          <w:tcPr>
            <w:tcW w:w="9700" w:type="dxa"/>
            <w:vAlign w:val="bottom"/>
            <w:tcBorders>
              <w:top w:val="single" w:sz="8" w:color="0000FF"/>
            </w:tcBorders>
            <w:gridSpan w:val="10"/>
          </w:tcPr>
          <w:p>
            <w:pPr>
              <w:spacing w:after="0" w:line="169" w:lineRule="exact"/>
              <w:rPr>
                <w:sz w:val="20"/>
                <w:szCs w:val="20"/>
                <w:color w:val="auto"/>
              </w:rPr>
            </w:pPr>
            <w:r>
              <w:rPr>
                <w:rFonts w:ascii="Arial" w:cs="Arial" w:eastAsia="Arial" w:hAnsi="Arial"/>
                <w:sz w:val="16"/>
                <w:szCs w:val="16"/>
                <w:color w:val="0000FF"/>
              </w:rPr>
              <w:t>Act of 2002.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440" w:type="dxa"/>
            <w:vAlign w:val="bottom"/>
            <w:vMerge w:val="continue"/>
          </w:tcPr>
          <w:p>
            <w:pPr>
              <w:spacing w:after="0"/>
              <w:rPr>
                <w:sz w:val="14"/>
                <w:szCs w:val="14"/>
                <w:color w:val="auto"/>
              </w:rPr>
            </w:pPr>
          </w:p>
        </w:tc>
        <w:tc>
          <w:tcPr>
            <w:tcW w:w="860" w:type="dxa"/>
            <w:vAlign w:val="bottom"/>
            <w:tcBorders>
              <w:top w:val="single" w:sz="8" w:color="0000FF"/>
            </w:tcBorders>
          </w:tcPr>
          <w:p>
            <w:pPr>
              <w:spacing w:after="0" w:line="169" w:lineRule="exact"/>
              <w:rPr>
                <w:sz w:val="20"/>
                <w:szCs w:val="20"/>
                <w:color w:val="auto"/>
              </w:rPr>
            </w:pPr>
            <w:r>
              <w:rPr>
                <w:rFonts w:ascii="Arial" w:cs="Arial" w:eastAsia="Arial" w:hAnsi="Arial"/>
                <w:sz w:val="16"/>
                <w:szCs w:val="16"/>
                <w:color w:val="0000FF"/>
                <w:w w:val="99"/>
              </w:rPr>
              <w:t>Mine Safety</w:t>
            </w:r>
          </w:p>
        </w:tc>
        <w:tc>
          <w:tcPr>
            <w:tcW w:w="8940" w:type="dxa"/>
            <w:vAlign w:val="bottom"/>
            <w:gridSpan w:val="10"/>
          </w:tcPr>
          <w:p>
            <w:pPr>
              <w:ind w:left="40"/>
              <w:spacing w:after="0" w:line="169" w:lineRule="exact"/>
              <w:rPr>
                <w:sz w:val="20"/>
                <w:szCs w:val="20"/>
                <w:color w:val="auto"/>
              </w:rPr>
            </w:pPr>
            <w:r>
              <w:rPr>
                <w:rFonts w:ascii="Arial" w:cs="Arial" w:eastAsia="Arial" w:hAnsi="Arial"/>
                <w:sz w:val="16"/>
                <w:szCs w:val="16"/>
                <w:color w:val="0000FF"/>
              </w:rPr>
              <w:t>and Health Administration Safety Data.</w:t>
            </w:r>
          </w:p>
        </w:tc>
        <w:tc>
          <w:tcPr>
            <w:tcW w:w="0" w:type="dxa"/>
            <w:vAlign w:val="bottom"/>
          </w:tcPr>
          <w:p>
            <w:pPr>
              <w:spacing w:after="0"/>
              <w:rPr>
                <w:sz w:val="1"/>
                <w:szCs w:val="1"/>
                <w:color w:val="auto"/>
              </w:rPr>
            </w:pPr>
          </w:p>
        </w:tc>
      </w:tr>
      <w:tr>
        <w:trPr>
          <w:trHeight w:val="20"/>
        </w:trPr>
        <w:tc>
          <w:tcPr>
            <w:tcW w:w="1440" w:type="dxa"/>
            <w:vAlign w:val="bottom"/>
            <w:vMerge w:val="restart"/>
          </w:tcPr>
          <w:p>
            <w:pPr>
              <w:ind w:left="120"/>
              <w:spacing w:after="0"/>
              <w:rPr>
                <w:sz w:val="20"/>
                <w:szCs w:val="20"/>
                <w:color w:val="auto"/>
              </w:rPr>
            </w:pPr>
            <w:r>
              <w:rPr>
                <w:rFonts w:ascii="Arial" w:cs="Arial" w:eastAsia="Arial" w:hAnsi="Arial"/>
                <w:sz w:val="16"/>
                <w:szCs w:val="16"/>
                <w:color w:val="auto"/>
              </w:rPr>
              <w:t>101.INS*</w:t>
            </w:r>
          </w:p>
        </w:tc>
        <w:tc>
          <w:tcPr>
            <w:tcW w:w="3680" w:type="dxa"/>
            <w:vAlign w:val="bottom"/>
            <w:gridSpan w:val="4"/>
            <w:shd w:val="clear" w:color="auto" w:fill="0000FF"/>
          </w:tcPr>
          <w:p>
            <w:pPr>
              <w:spacing w:after="0" w:line="20" w:lineRule="exact"/>
              <w:rPr>
                <w:sz w:val="1"/>
                <w:szCs w:val="1"/>
                <w:color w:val="auto"/>
              </w:rPr>
            </w:pPr>
          </w:p>
        </w:tc>
        <w:tc>
          <w:tcPr>
            <w:tcW w:w="612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440" w:type="dxa"/>
            <w:vAlign w:val="bottom"/>
            <w:vMerge w:val="continue"/>
          </w:tcPr>
          <w:p>
            <w:pPr>
              <w:spacing w:after="0"/>
              <w:rPr>
                <w:sz w:val="15"/>
                <w:szCs w:val="15"/>
                <w:color w:val="auto"/>
              </w:rPr>
            </w:pPr>
          </w:p>
        </w:tc>
        <w:tc>
          <w:tcPr>
            <w:tcW w:w="9800" w:type="dxa"/>
            <w:vAlign w:val="bottom"/>
            <w:gridSpan w:val="11"/>
          </w:tcPr>
          <w:p>
            <w:pPr>
              <w:spacing w:after="0" w:line="182" w:lineRule="exact"/>
              <w:rPr>
                <w:sz w:val="20"/>
                <w:szCs w:val="20"/>
                <w:color w:val="auto"/>
              </w:rPr>
            </w:pPr>
            <w:r>
              <w:rPr>
                <w:rFonts w:ascii="Arial" w:cs="Arial" w:eastAsia="Arial" w:hAnsi="Arial"/>
                <w:sz w:val="16"/>
                <w:szCs w:val="16"/>
                <w:color w:val="auto"/>
              </w:rPr>
              <w:t>Inline XBRL Instance Document - the instance document does not appear in the Interactive Data File because its XBRL tags are</w:t>
            </w:r>
          </w:p>
        </w:tc>
        <w:tc>
          <w:tcPr>
            <w:tcW w:w="0" w:type="dxa"/>
            <w:vAlign w:val="bottom"/>
          </w:tcPr>
          <w:p>
            <w:pPr>
              <w:spacing w:after="0"/>
              <w:rPr>
                <w:sz w:val="1"/>
                <w:szCs w:val="1"/>
                <w:color w:val="auto"/>
              </w:rPr>
            </w:pPr>
          </w:p>
        </w:tc>
      </w:tr>
      <w:tr>
        <w:trPr>
          <w:trHeight w:val="189"/>
        </w:trPr>
        <w:tc>
          <w:tcPr>
            <w:tcW w:w="1440" w:type="dxa"/>
            <w:vAlign w:val="bottom"/>
          </w:tcPr>
          <w:p>
            <w:pPr>
              <w:spacing w:after="0"/>
              <w:rPr>
                <w:sz w:val="16"/>
                <w:szCs w:val="16"/>
                <w:color w:val="auto"/>
              </w:rPr>
            </w:pPr>
          </w:p>
        </w:tc>
        <w:tc>
          <w:tcPr>
            <w:tcW w:w="9800" w:type="dxa"/>
            <w:vAlign w:val="bottom"/>
            <w:gridSpan w:val="11"/>
          </w:tcPr>
          <w:p>
            <w:pPr>
              <w:spacing w:after="0"/>
              <w:rPr>
                <w:sz w:val="20"/>
                <w:szCs w:val="20"/>
                <w:color w:val="auto"/>
              </w:rPr>
            </w:pPr>
            <w:r>
              <w:rPr>
                <w:rFonts w:ascii="Arial" w:cs="Arial" w:eastAsia="Arial" w:hAnsi="Arial"/>
                <w:sz w:val="16"/>
                <w:szCs w:val="16"/>
                <w:color w:val="auto"/>
              </w:rPr>
              <w:t>embedded within the Inline XBRL document</w:t>
            </w:r>
          </w:p>
        </w:tc>
        <w:tc>
          <w:tcPr>
            <w:tcW w:w="0" w:type="dxa"/>
            <w:vAlign w:val="bottom"/>
          </w:tcPr>
          <w:p>
            <w:pPr>
              <w:spacing w:after="0"/>
              <w:rPr>
                <w:sz w:val="1"/>
                <w:szCs w:val="1"/>
                <w:color w:val="auto"/>
              </w:rPr>
            </w:pPr>
          </w:p>
        </w:tc>
      </w:tr>
      <w:tr>
        <w:trPr>
          <w:trHeight w:val="189"/>
        </w:trPr>
        <w:tc>
          <w:tcPr>
            <w:tcW w:w="1440" w:type="dxa"/>
            <w:vAlign w:val="bottom"/>
          </w:tcPr>
          <w:p>
            <w:pPr>
              <w:ind w:left="120"/>
              <w:spacing w:after="0"/>
              <w:rPr>
                <w:sz w:val="20"/>
                <w:szCs w:val="20"/>
                <w:color w:val="auto"/>
              </w:rPr>
            </w:pPr>
            <w:r>
              <w:rPr>
                <w:rFonts w:ascii="Arial" w:cs="Arial" w:eastAsia="Arial" w:hAnsi="Arial"/>
                <w:sz w:val="16"/>
                <w:szCs w:val="16"/>
                <w:color w:val="auto"/>
              </w:rPr>
              <w:t>101.SCH*</w:t>
            </w:r>
          </w:p>
        </w:tc>
        <w:tc>
          <w:tcPr>
            <w:tcW w:w="9800" w:type="dxa"/>
            <w:vAlign w:val="bottom"/>
            <w:gridSpan w:val="11"/>
          </w:tcPr>
          <w:p>
            <w:pPr>
              <w:spacing w:after="0"/>
              <w:rPr>
                <w:sz w:val="20"/>
                <w:szCs w:val="20"/>
                <w:color w:val="auto"/>
              </w:rPr>
            </w:pPr>
            <w:r>
              <w:rPr>
                <w:rFonts w:ascii="Arial" w:cs="Arial" w:eastAsia="Arial" w:hAnsi="Arial"/>
                <w:sz w:val="16"/>
                <w:szCs w:val="16"/>
                <w:color w:val="auto"/>
              </w:rPr>
              <w:t>Inline XBRL Taxonomy Extension Schema with Embedded Linkbase Documents</w:t>
            </w:r>
          </w:p>
        </w:tc>
        <w:tc>
          <w:tcPr>
            <w:tcW w:w="0" w:type="dxa"/>
            <w:vAlign w:val="bottom"/>
          </w:tcPr>
          <w:p>
            <w:pPr>
              <w:spacing w:after="0"/>
              <w:rPr>
                <w:sz w:val="1"/>
                <w:szCs w:val="1"/>
                <w:color w:val="auto"/>
              </w:rPr>
            </w:pPr>
          </w:p>
        </w:tc>
      </w:tr>
      <w:tr>
        <w:trPr>
          <w:trHeight w:val="215"/>
        </w:trPr>
        <w:tc>
          <w:tcPr>
            <w:tcW w:w="1440" w:type="dxa"/>
            <w:vAlign w:val="bottom"/>
          </w:tcPr>
          <w:p>
            <w:pPr>
              <w:ind w:left="120"/>
              <w:spacing w:after="0"/>
              <w:rPr>
                <w:sz w:val="20"/>
                <w:szCs w:val="20"/>
                <w:color w:val="auto"/>
              </w:rPr>
            </w:pPr>
            <w:r>
              <w:rPr>
                <w:rFonts w:ascii="Arial" w:cs="Arial" w:eastAsia="Arial" w:hAnsi="Arial"/>
                <w:sz w:val="16"/>
                <w:szCs w:val="16"/>
                <w:color w:val="auto"/>
              </w:rPr>
              <w:t>104*</w:t>
            </w:r>
          </w:p>
        </w:tc>
        <w:tc>
          <w:tcPr>
            <w:tcW w:w="9800" w:type="dxa"/>
            <w:vAlign w:val="bottom"/>
            <w:gridSpan w:val="11"/>
          </w:tcPr>
          <w:p>
            <w:pPr>
              <w:spacing w:after="0"/>
              <w:rPr>
                <w:sz w:val="20"/>
                <w:szCs w:val="20"/>
                <w:color w:val="auto"/>
              </w:rPr>
            </w:pPr>
            <w:r>
              <w:rPr>
                <w:rFonts w:ascii="Arial" w:cs="Arial" w:eastAsia="Arial" w:hAnsi="Arial"/>
                <w:sz w:val="16"/>
                <w:szCs w:val="16"/>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SIGNATURES</w:t>
      </w:r>
    </w:p>
    <w:p>
      <w:pPr>
        <w:spacing w:after="0" w:line="194" w:lineRule="exact"/>
        <w:rPr>
          <w:sz w:val="20"/>
          <w:szCs w:val="20"/>
          <w:color w:val="auto"/>
        </w:rPr>
      </w:pPr>
    </w:p>
    <w:p>
      <w:pPr>
        <w:ind w:right="900"/>
        <w:spacing w:after="0" w:line="286"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29" w:lineRule="exact"/>
        <w:rPr>
          <w:sz w:val="20"/>
          <w:szCs w:val="20"/>
          <w:color w:val="auto"/>
        </w:rPr>
      </w:pPr>
    </w:p>
    <w:p>
      <w:pPr>
        <w:ind w:left="5820"/>
        <w:spacing w:after="0"/>
        <w:rPr>
          <w:sz w:val="20"/>
          <w:szCs w:val="20"/>
          <w:color w:val="auto"/>
        </w:rPr>
      </w:pPr>
      <w:r>
        <w:rPr>
          <w:rFonts w:ascii="Arial" w:cs="Arial" w:eastAsia="Arial" w:hAnsi="Arial"/>
          <w:sz w:val="16"/>
          <w:szCs w:val="16"/>
          <w:color w:val="auto"/>
        </w:rPr>
        <w:t>BLACK HILLS CORPORATION</w:t>
      </w:r>
    </w:p>
    <w:p>
      <w:pPr>
        <w:spacing w:after="0" w:line="248" w:lineRule="exact"/>
        <w:rPr>
          <w:sz w:val="20"/>
          <w:szCs w:val="20"/>
          <w:color w:val="auto"/>
        </w:rPr>
      </w:pPr>
    </w:p>
    <w:p>
      <w:pPr>
        <w:ind w:left="5400"/>
        <w:spacing w:after="0"/>
        <w:rPr>
          <w:sz w:val="20"/>
          <w:szCs w:val="20"/>
          <w:color w:val="auto"/>
        </w:rPr>
      </w:pPr>
      <w:r>
        <w:rPr>
          <w:rFonts w:ascii="Arial" w:cs="Arial" w:eastAsia="Arial" w:hAnsi="Arial"/>
          <w:sz w:val="16"/>
          <w:szCs w:val="16"/>
          <w:color w:val="auto"/>
        </w:rPr>
        <w:t>/s/ Linden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29210</wp:posOffset>
            </wp:positionV>
            <wp:extent cx="3703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53" w:lineRule="exact"/>
        <w:rPr>
          <w:sz w:val="20"/>
          <w:szCs w:val="20"/>
          <w:color w:val="auto"/>
        </w:rPr>
      </w:pPr>
    </w:p>
    <w:p>
      <w:pPr>
        <w:ind w:left="5400"/>
        <w:spacing w:after="0"/>
        <w:rPr>
          <w:sz w:val="20"/>
          <w:szCs w:val="20"/>
          <w:color w:val="auto"/>
        </w:rPr>
      </w:pPr>
      <w:r>
        <w:rPr>
          <w:rFonts w:ascii="Arial" w:cs="Arial" w:eastAsia="Arial" w:hAnsi="Arial"/>
          <w:sz w:val="16"/>
          <w:szCs w:val="16"/>
          <w:color w:val="auto"/>
        </w:rPr>
        <w:t>Linden R. Evans, President and</w:t>
      </w:r>
    </w:p>
    <w:p>
      <w:pPr>
        <w:spacing w:after="0" w:line="86"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Chief Executive Officer</w:t>
      </w:r>
    </w:p>
    <w:p>
      <w:pPr>
        <w:spacing w:after="0" w:line="329" w:lineRule="exact"/>
        <w:rPr>
          <w:sz w:val="20"/>
          <w:szCs w:val="20"/>
          <w:color w:val="auto"/>
        </w:rPr>
      </w:pPr>
    </w:p>
    <w:p>
      <w:pPr>
        <w:ind w:left="5400"/>
        <w:spacing w:after="0"/>
        <w:rPr>
          <w:sz w:val="20"/>
          <w:szCs w:val="20"/>
          <w:color w:val="auto"/>
        </w:rPr>
      </w:pPr>
      <w:r>
        <w:rPr>
          <w:rFonts w:ascii="Arial" w:cs="Arial" w:eastAsia="Arial" w:hAnsi="Arial"/>
          <w:sz w:val="16"/>
          <w:szCs w:val="16"/>
          <w:color w:val="auto"/>
        </w:rPr>
        <w:t>/s/ Kimberly F. Nooney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29210</wp:posOffset>
            </wp:positionV>
            <wp:extent cx="37033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3703320" cy="8890"/>
                    </a:xfrm>
                    <a:prstGeom prst="rect">
                      <a:avLst/>
                    </a:prstGeom>
                    <a:noFill/>
                  </pic:spPr>
                </pic:pic>
              </a:graphicData>
            </a:graphic>
          </wp:anchor>
        </w:drawing>
      </w:r>
    </w:p>
    <w:p>
      <w:pPr>
        <w:spacing w:after="0" w:line="53" w:lineRule="exact"/>
        <w:rPr>
          <w:sz w:val="20"/>
          <w:szCs w:val="20"/>
          <w:color w:val="auto"/>
        </w:rPr>
      </w:pPr>
    </w:p>
    <w:p>
      <w:pPr>
        <w:ind w:left="5400"/>
        <w:spacing w:after="0"/>
        <w:rPr>
          <w:sz w:val="20"/>
          <w:szCs w:val="20"/>
          <w:color w:val="auto"/>
        </w:rPr>
      </w:pPr>
      <w:r>
        <w:rPr>
          <w:rFonts w:ascii="Arial" w:cs="Arial" w:eastAsia="Arial" w:hAnsi="Arial"/>
          <w:sz w:val="16"/>
          <w:szCs w:val="16"/>
          <w:color w:val="auto"/>
        </w:rPr>
        <w:t>Kimberly F. Nooney, Senior Vice President and</w:t>
      </w:r>
    </w:p>
    <w:p>
      <w:pPr>
        <w:spacing w:after="0" w:line="86"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Chief Financial Officer</w:t>
      </w:r>
    </w:p>
    <w:p>
      <w:pPr>
        <w:spacing w:after="0" w:line="329" w:lineRule="exact"/>
        <w:rPr>
          <w:sz w:val="20"/>
          <w:szCs w:val="20"/>
          <w:color w:val="auto"/>
        </w:rPr>
      </w:pPr>
    </w:p>
    <w:p>
      <w:pPr>
        <w:spacing w:after="0"/>
        <w:tabs>
          <w:tab w:leader="none" w:pos="780" w:val="left"/>
        </w:tabs>
        <w:rPr>
          <w:sz w:val="20"/>
          <w:szCs w:val="20"/>
          <w:color w:val="auto"/>
        </w:rPr>
      </w:pPr>
      <w:r>
        <w:rPr>
          <w:rFonts w:ascii="Arial" w:cs="Arial" w:eastAsia="Arial" w:hAnsi="Arial"/>
          <w:sz w:val="16"/>
          <w:szCs w:val="16"/>
          <w:color w:val="auto"/>
        </w:rPr>
        <w:t>Dated:</w:t>
      </w:r>
      <w:r>
        <w:rPr>
          <w:sz w:val="20"/>
          <w:szCs w:val="20"/>
          <w:color w:val="auto"/>
        </w:rPr>
        <w:tab/>
      </w:r>
      <w:r>
        <w:rPr>
          <w:rFonts w:ascii="Arial" w:cs="Arial" w:eastAsia="Arial" w:hAnsi="Arial"/>
          <w:sz w:val="16"/>
          <w:szCs w:val="16"/>
          <w:color w:val="auto"/>
        </w:rPr>
        <w:t>July 31, 2025</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6"/>
          <w:szCs w:val="16"/>
          <w:b w:val="1"/>
          <w:bCs w:val="1"/>
          <w:color w:val="auto"/>
        </w:rPr>
        <w:t>Exhibit 31.1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I, Linden R. Evans, certify that:</w:t>
      </w:r>
    </w:p>
    <w:p>
      <w:pPr>
        <w:spacing w:after="0" w:line="194" w:lineRule="exact"/>
        <w:rPr>
          <w:sz w:val="20"/>
          <w:szCs w:val="20"/>
          <w:color w:val="auto"/>
        </w:rPr>
      </w:pPr>
    </w:p>
    <w:p>
      <w:pPr>
        <w:ind w:left="760" w:hanging="752"/>
        <w:spacing w:after="0"/>
        <w:tabs>
          <w:tab w:leader="none" w:pos="7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Black Hills Corporation;</w:t>
      </w:r>
    </w:p>
    <w:p>
      <w:pPr>
        <w:spacing w:after="0" w:line="194" w:lineRule="exact"/>
        <w:rPr>
          <w:rFonts w:ascii="Arial" w:cs="Arial" w:eastAsia="Arial" w:hAnsi="Arial"/>
          <w:sz w:val="16"/>
          <w:szCs w:val="16"/>
          <w:color w:val="auto"/>
        </w:rPr>
      </w:pPr>
    </w:p>
    <w:p>
      <w:pPr>
        <w:jc w:val="both"/>
        <w:ind w:left="760" w:right="20" w:hanging="752"/>
        <w:spacing w:after="0" w:line="266" w:lineRule="auto"/>
        <w:tabs>
          <w:tab w:leader="none" w:pos="7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4" w:lineRule="exact"/>
        <w:rPr>
          <w:rFonts w:ascii="Arial" w:cs="Arial" w:eastAsia="Arial" w:hAnsi="Arial"/>
          <w:sz w:val="16"/>
          <w:szCs w:val="16"/>
          <w:color w:val="auto"/>
        </w:rPr>
      </w:pPr>
    </w:p>
    <w:p>
      <w:pPr>
        <w:ind w:left="760" w:right="140" w:hanging="752"/>
        <w:spacing w:after="0" w:line="286" w:lineRule="auto"/>
        <w:tabs>
          <w:tab w:leader="none" w:pos="7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8" w:lineRule="exact"/>
        <w:rPr>
          <w:rFonts w:ascii="Arial" w:cs="Arial" w:eastAsia="Arial" w:hAnsi="Arial"/>
          <w:sz w:val="16"/>
          <w:szCs w:val="16"/>
          <w:color w:val="auto"/>
        </w:rPr>
      </w:pPr>
    </w:p>
    <w:p>
      <w:pPr>
        <w:jc w:val="both"/>
        <w:ind w:left="760" w:right="120" w:hanging="752"/>
        <w:spacing w:after="0" w:line="266" w:lineRule="auto"/>
        <w:tabs>
          <w:tab w:leader="none" w:pos="7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4" w:lineRule="exact"/>
        <w:rPr>
          <w:rFonts w:ascii="Arial" w:cs="Arial" w:eastAsia="Arial" w:hAnsi="Arial"/>
          <w:sz w:val="16"/>
          <w:szCs w:val="16"/>
          <w:color w:val="auto"/>
        </w:rPr>
      </w:pPr>
    </w:p>
    <w:p>
      <w:pPr>
        <w:ind w:left="1500" w:right="40" w:hanging="743"/>
        <w:spacing w:after="0" w:line="266" w:lineRule="auto"/>
        <w:tabs>
          <w:tab w:leader="none" w:pos="1500" w:val="left"/>
        </w:tabs>
        <w:numPr>
          <w:ilvl w:val="1"/>
          <w:numId w:val="5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4" w:lineRule="exact"/>
        <w:rPr>
          <w:rFonts w:ascii="Arial" w:cs="Arial" w:eastAsia="Arial" w:hAnsi="Arial"/>
          <w:sz w:val="16"/>
          <w:szCs w:val="16"/>
          <w:color w:val="auto"/>
        </w:rPr>
      </w:pPr>
    </w:p>
    <w:p>
      <w:pPr>
        <w:ind w:left="1500" w:right="40" w:hanging="743"/>
        <w:spacing w:after="0" w:line="266" w:lineRule="auto"/>
        <w:tabs>
          <w:tab w:leader="none" w:pos="1500" w:val="left"/>
        </w:tabs>
        <w:numPr>
          <w:ilvl w:val="1"/>
          <w:numId w:val="5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4" w:lineRule="exact"/>
        <w:rPr>
          <w:rFonts w:ascii="Arial" w:cs="Arial" w:eastAsia="Arial" w:hAnsi="Arial"/>
          <w:sz w:val="16"/>
          <w:szCs w:val="16"/>
          <w:color w:val="auto"/>
        </w:rPr>
      </w:pPr>
    </w:p>
    <w:p>
      <w:pPr>
        <w:ind w:left="1500" w:hanging="743"/>
        <w:spacing w:after="0" w:line="275" w:lineRule="auto"/>
        <w:tabs>
          <w:tab w:leader="none" w:pos="1500" w:val="left"/>
        </w:tabs>
        <w:numPr>
          <w:ilvl w:val="1"/>
          <w:numId w:val="5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34" w:lineRule="exact"/>
        <w:rPr>
          <w:rFonts w:ascii="Arial" w:cs="Arial" w:eastAsia="Arial" w:hAnsi="Arial"/>
          <w:sz w:val="16"/>
          <w:szCs w:val="16"/>
          <w:color w:val="auto"/>
        </w:rPr>
      </w:pPr>
    </w:p>
    <w:p>
      <w:pPr>
        <w:ind w:left="1500" w:right="160" w:hanging="743"/>
        <w:spacing w:after="0" w:line="266" w:lineRule="auto"/>
        <w:tabs>
          <w:tab w:leader="none" w:pos="1500" w:val="left"/>
        </w:tabs>
        <w:numPr>
          <w:ilvl w:val="1"/>
          <w:numId w:val="5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4" w:lineRule="exact"/>
        <w:rPr>
          <w:rFonts w:ascii="Arial" w:cs="Arial" w:eastAsia="Arial" w:hAnsi="Arial"/>
          <w:sz w:val="16"/>
          <w:szCs w:val="16"/>
          <w:color w:val="auto"/>
        </w:rPr>
      </w:pPr>
    </w:p>
    <w:p>
      <w:pPr>
        <w:ind w:left="760" w:right="160" w:hanging="752"/>
        <w:spacing w:after="0" w:line="286" w:lineRule="auto"/>
        <w:tabs>
          <w:tab w:leader="none" w:pos="7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28" w:lineRule="exact"/>
        <w:rPr>
          <w:rFonts w:ascii="Arial" w:cs="Arial" w:eastAsia="Arial" w:hAnsi="Arial"/>
          <w:sz w:val="16"/>
          <w:szCs w:val="16"/>
          <w:color w:val="auto"/>
        </w:rPr>
      </w:pPr>
    </w:p>
    <w:p>
      <w:pPr>
        <w:ind w:left="1500" w:right="440" w:hanging="743"/>
        <w:spacing w:after="0" w:line="286" w:lineRule="auto"/>
        <w:tabs>
          <w:tab w:leader="none" w:pos="1500" w:val="left"/>
        </w:tabs>
        <w:numPr>
          <w:ilvl w:val="1"/>
          <w:numId w:val="5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8" w:lineRule="exact"/>
        <w:rPr>
          <w:rFonts w:ascii="Arial" w:cs="Arial" w:eastAsia="Arial" w:hAnsi="Arial"/>
          <w:sz w:val="16"/>
          <w:szCs w:val="16"/>
          <w:color w:val="auto"/>
        </w:rPr>
      </w:pPr>
    </w:p>
    <w:p>
      <w:pPr>
        <w:ind w:left="1500" w:right="80" w:hanging="743"/>
        <w:spacing w:after="0" w:line="286" w:lineRule="auto"/>
        <w:tabs>
          <w:tab w:leader="none" w:pos="1500" w:val="left"/>
        </w:tabs>
        <w:numPr>
          <w:ilvl w:val="1"/>
          <w:numId w:val="57"/>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Date: July 31, 2025</w:t>
      </w:r>
    </w:p>
    <w:p>
      <w:pPr>
        <w:spacing w:after="0" w:line="21"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/s/ Linden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1905</wp:posOffset>
            </wp:positionV>
            <wp:extent cx="356616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6"/>
          <w:szCs w:val="16"/>
          <w:color w:val="auto"/>
        </w:rPr>
        <w:t>Linden R. Evans</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606425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6"/>
          <w:szCs w:val="16"/>
          <w:b w:val="1"/>
          <w:bCs w:val="1"/>
          <w:color w:val="auto"/>
        </w:rPr>
        <w:t>Exhibit 31.2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I, Kimberly F. Nooney, certify that:</w:t>
      </w:r>
    </w:p>
    <w:p>
      <w:pPr>
        <w:spacing w:after="0" w:line="194" w:lineRule="exact"/>
        <w:rPr>
          <w:sz w:val="20"/>
          <w:szCs w:val="20"/>
          <w:color w:val="auto"/>
        </w:rPr>
      </w:pPr>
    </w:p>
    <w:p>
      <w:pPr>
        <w:ind w:left="760" w:hanging="752"/>
        <w:spacing w:after="0"/>
        <w:tabs>
          <w:tab w:leader="none" w:pos="7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Black Hills Corporation;</w:t>
      </w:r>
    </w:p>
    <w:p>
      <w:pPr>
        <w:spacing w:after="0" w:line="194" w:lineRule="exact"/>
        <w:rPr>
          <w:rFonts w:ascii="Arial" w:cs="Arial" w:eastAsia="Arial" w:hAnsi="Arial"/>
          <w:sz w:val="16"/>
          <w:szCs w:val="16"/>
          <w:color w:val="auto"/>
        </w:rPr>
      </w:pPr>
    </w:p>
    <w:p>
      <w:pPr>
        <w:jc w:val="both"/>
        <w:ind w:left="760" w:right="20" w:hanging="752"/>
        <w:spacing w:after="0" w:line="266" w:lineRule="auto"/>
        <w:tabs>
          <w:tab w:leader="none" w:pos="7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4" w:lineRule="exact"/>
        <w:rPr>
          <w:rFonts w:ascii="Arial" w:cs="Arial" w:eastAsia="Arial" w:hAnsi="Arial"/>
          <w:sz w:val="16"/>
          <w:szCs w:val="16"/>
          <w:color w:val="auto"/>
        </w:rPr>
      </w:pPr>
    </w:p>
    <w:p>
      <w:pPr>
        <w:ind w:left="760" w:right="140" w:hanging="752"/>
        <w:spacing w:after="0" w:line="286" w:lineRule="auto"/>
        <w:tabs>
          <w:tab w:leader="none" w:pos="7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8" w:lineRule="exact"/>
        <w:rPr>
          <w:rFonts w:ascii="Arial" w:cs="Arial" w:eastAsia="Arial" w:hAnsi="Arial"/>
          <w:sz w:val="16"/>
          <w:szCs w:val="16"/>
          <w:color w:val="auto"/>
        </w:rPr>
      </w:pPr>
    </w:p>
    <w:p>
      <w:pPr>
        <w:jc w:val="both"/>
        <w:ind w:left="760" w:right="120" w:hanging="752"/>
        <w:spacing w:after="0" w:line="266" w:lineRule="auto"/>
        <w:tabs>
          <w:tab w:leader="none" w:pos="7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4" w:lineRule="exact"/>
        <w:rPr>
          <w:rFonts w:ascii="Arial" w:cs="Arial" w:eastAsia="Arial" w:hAnsi="Arial"/>
          <w:sz w:val="16"/>
          <w:szCs w:val="16"/>
          <w:color w:val="auto"/>
        </w:rPr>
      </w:pPr>
    </w:p>
    <w:p>
      <w:pPr>
        <w:ind w:left="1500" w:right="40" w:hanging="743"/>
        <w:spacing w:after="0" w:line="266" w:lineRule="auto"/>
        <w:tabs>
          <w:tab w:leader="none" w:pos="1500" w:val="left"/>
        </w:tabs>
        <w:numPr>
          <w:ilvl w:val="1"/>
          <w:numId w:val="5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4" w:lineRule="exact"/>
        <w:rPr>
          <w:rFonts w:ascii="Arial" w:cs="Arial" w:eastAsia="Arial" w:hAnsi="Arial"/>
          <w:sz w:val="16"/>
          <w:szCs w:val="16"/>
          <w:color w:val="auto"/>
        </w:rPr>
      </w:pPr>
    </w:p>
    <w:p>
      <w:pPr>
        <w:ind w:left="1500" w:right="40" w:hanging="743"/>
        <w:spacing w:after="0" w:line="266" w:lineRule="auto"/>
        <w:tabs>
          <w:tab w:leader="none" w:pos="1500" w:val="left"/>
        </w:tabs>
        <w:numPr>
          <w:ilvl w:val="1"/>
          <w:numId w:val="5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4" w:lineRule="exact"/>
        <w:rPr>
          <w:rFonts w:ascii="Arial" w:cs="Arial" w:eastAsia="Arial" w:hAnsi="Arial"/>
          <w:sz w:val="16"/>
          <w:szCs w:val="16"/>
          <w:color w:val="auto"/>
        </w:rPr>
      </w:pPr>
    </w:p>
    <w:p>
      <w:pPr>
        <w:ind w:left="1500" w:hanging="743"/>
        <w:spacing w:after="0" w:line="275" w:lineRule="auto"/>
        <w:tabs>
          <w:tab w:leader="none" w:pos="1500" w:val="left"/>
        </w:tabs>
        <w:numPr>
          <w:ilvl w:val="1"/>
          <w:numId w:val="5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34" w:lineRule="exact"/>
        <w:rPr>
          <w:rFonts w:ascii="Arial" w:cs="Arial" w:eastAsia="Arial" w:hAnsi="Arial"/>
          <w:sz w:val="16"/>
          <w:szCs w:val="16"/>
          <w:color w:val="auto"/>
        </w:rPr>
      </w:pPr>
    </w:p>
    <w:p>
      <w:pPr>
        <w:ind w:left="1500" w:right="160" w:hanging="743"/>
        <w:spacing w:after="0" w:line="266" w:lineRule="auto"/>
        <w:tabs>
          <w:tab w:leader="none" w:pos="1500" w:val="left"/>
        </w:tabs>
        <w:numPr>
          <w:ilvl w:val="1"/>
          <w:numId w:val="5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4" w:lineRule="exact"/>
        <w:rPr>
          <w:rFonts w:ascii="Arial" w:cs="Arial" w:eastAsia="Arial" w:hAnsi="Arial"/>
          <w:sz w:val="16"/>
          <w:szCs w:val="16"/>
          <w:color w:val="auto"/>
        </w:rPr>
      </w:pPr>
    </w:p>
    <w:p>
      <w:pPr>
        <w:ind w:left="760" w:right="160" w:hanging="752"/>
        <w:spacing w:after="0" w:line="286" w:lineRule="auto"/>
        <w:tabs>
          <w:tab w:leader="none" w:pos="7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28" w:lineRule="exact"/>
        <w:rPr>
          <w:rFonts w:ascii="Arial" w:cs="Arial" w:eastAsia="Arial" w:hAnsi="Arial"/>
          <w:sz w:val="16"/>
          <w:szCs w:val="16"/>
          <w:color w:val="auto"/>
        </w:rPr>
      </w:pPr>
    </w:p>
    <w:p>
      <w:pPr>
        <w:ind w:left="1500" w:right="440" w:hanging="743"/>
        <w:spacing w:after="0" w:line="286" w:lineRule="auto"/>
        <w:tabs>
          <w:tab w:leader="none" w:pos="1500" w:val="left"/>
        </w:tabs>
        <w:numPr>
          <w:ilvl w:val="1"/>
          <w:numId w:val="5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8" w:lineRule="exact"/>
        <w:rPr>
          <w:rFonts w:ascii="Arial" w:cs="Arial" w:eastAsia="Arial" w:hAnsi="Arial"/>
          <w:sz w:val="16"/>
          <w:szCs w:val="16"/>
          <w:color w:val="auto"/>
        </w:rPr>
      </w:pPr>
    </w:p>
    <w:p>
      <w:pPr>
        <w:ind w:left="1500" w:right="80" w:hanging="743"/>
        <w:spacing w:after="0" w:line="286" w:lineRule="auto"/>
        <w:tabs>
          <w:tab w:leader="none" w:pos="1500" w:val="left"/>
        </w:tabs>
        <w:numPr>
          <w:ilvl w:val="1"/>
          <w:numId w:val="58"/>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Date: July 31, 2025</w:t>
      </w:r>
    </w:p>
    <w:p>
      <w:pPr>
        <w:spacing w:after="0" w:line="21"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/s/ Kimberly F. Nooney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1905</wp:posOffset>
            </wp:positionV>
            <wp:extent cx="348869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ind w:left="5840"/>
        <w:spacing w:after="0"/>
        <w:rPr>
          <w:sz w:val="20"/>
          <w:szCs w:val="20"/>
          <w:color w:val="auto"/>
        </w:rPr>
      </w:pPr>
      <w:r>
        <w:rPr>
          <w:rFonts w:ascii="Arial" w:cs="Arial" w:eastAsia="Arial" w:hAnsi="Arial"/>
          <w:sz w:val="16"/>
          <w:szCs w:val="16"/>
          <w:color w:val="auto"/>
        </w:rPr>
        <w:t>Kimberly F. Nooney</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606425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6"/>
          <w:szCs w:val="16"/>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SECTION 906 OF THE SARBANES-OXLEY ACT OF 2002</w:t>
      </w:r>
    </w:p>
    <w:p>
      <w:pPr>
        <w:spacing w:after="0" w:line="178" w:lineRule="exact"/>
        <w:rPr>
          <w:sz w:val="20"/>
          <w:szCs w:val="20"/>
          <w:color w:val="auto"/>
        </w:rPr>
      </w:pPr>
    </w:p>
    <w:p>
      <w:pPr>
        <w:ind w:right="180"/>
        <w:spacing w:after="0" w:line="266" w:lineRule="auto"/>
        <w:rPr>
          <w:sz w:val="20"/>
          <w:szCs w:val="20"/>
          <w:color w:val="auto"/>
        </w:rPr>
      </w:pPr>
      <w:r>
        <w:rPr>
          <w:rFonts w:ascii="Arial" w:cs="Arial" w:eastAsia="Arial" w:hAnsi="Arial"/>
          <w:sz w:val="16"/>
          <w:szCs w:val="16"/>
          <w:color w:val="auto"/>
        </w:rPr>
        <w:t>In connection with the Quarterly Report of Black Hills Corporation (the “Company”) on Form 10-Q for the period ended June 30, 2025, as filed with the Securities and Exchange Commission on the date hereof (the “Report”), I, Linden R. Evans, President and Chief Executive Officer of the Company, certify, pursuant to 18 U.S.C. ss. 1350, as adopted pursuant to ss. 906 of the Sarbanes-Oxley Act of 2002, that:</w:t>
      </w:r>
    </w:p>
    <w:p>
      <w:pPr>
        <w:spacing w:after="0" w:line="144" w:lineRule="exact"/>
        <w:rPr>
          <w:sz w:val="20"/>
          <w:szCs w:val="20"/>
          <w:color w:val="auto"/>
        </w:rPr>
      </w:pPr>
    </w:p>
    <w:p>
      <w:pPr>
        <w:ind w:left="1500" w:right="4900" w:hanging="743"/>
        <w:spacing w:after="0" w:line="286" w:lineRule="auto"/>
        <w:tabs>
          <w:tab w:leader="none" w:pos="15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 (a) or 15 (d) of the Securities Exchange Act of 1934; and</w:t>
      </w:r>
    </w:p>
    <w:p>
      <w:pPr>
        <w:spacing w:after="0" w:line="128" w:lineRule="exact"/>
        <w:rPr>
          <w:rFonts w:ascii="Arial" w:cs="Arial" w:eastAsia="Arial" w:hAnsi="Arial"/>
          <w:sz w:val="16"/>
          <w:szCs w:val="16"/>
          <w:color w:val="auto"/>
        </w:rPr>
      </w:pPr>
    </w:p>
    <w:p>
      <w:pPr>
        <w:ind w:left="1500" w:right="4420" w:hanging="743"/>
        <w:spacing w:after="0" w:line="286" w:lineRule="auto"/>
        <w:tabs>
          <w:tab w:leader="none" w:pos="15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18" w:lineRule="exact"/>
        <w:rPr>
          <w:sz w:val="20"/>
          <w:szCs w:val="20"/>
          <w:color w:val="auto"/>
        </w:rPr>
      </w:pPr>
    </w:p>
    <w:p>
      <w:pPr>
        <w:ind w:left="100"/>
        <w:spacing w:after="0"/>
        <w:rPr>
          <w:sz w:val="20"/>
          <w:szCs w:val="20"/>
          <w:color w:val="auto"/>
        </w:rPr>
      </w:pPr>
      <w:r>
        <w:rPr>
          <w:rFonts w:ascii="Arial" w:cs="Arial" w:eastAsia="Arial" w:hAnsi="Arial"/>
          <w:sz w:val="16"/>
          <w:szCs w:val="16"/>
          <w:color w:val="auto"/>
        </w:rPr>
        <w:t>Date: July 31, 2025</w:t>
      </w:r>
    </w:p>
    <w:p>
      <w:pPr>
        <w:spacing w:after="0" w:line="221" w:lineRule="exact"/>
        <w:rPr>
          <w:sz w:val="20"/>
          <w:szCs w:val="20"/>
          <w:color w:val="auto"/>
        </w:rPr>
      </w:pPr>
    </w:p>
    <w:p>
      <w:pPr>
        <w:ind w:left="6340"/>
        <w:spacing w:after="0"/>
        <w:rPr>
          <w:sz w:val="20"/>
          <w:szCs w:val="20"/>
          <w:color w:val="auto"/>
        </w:rPr>
      </w:pPr>
      <w:r>
        <w:rPr>
          <w:rFonts w:ascii="Arial" w:cs="Arial" w:eastAsia="Arial" w:hAnsi="Arial"/>
          <w:sz w:val="16"/>
          <w:szCs w:val="16"/>
          <w:color w:val="auto"/>
        </w:rPr>
        <w:t>/s/ Linden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12065</wp:posOffset>
            </wp:positionV>
            <wp:extent cx="317182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11" w:lineRule="exact"/>
        <w:rPr>
          <w:sz w:val="20"/>
          <w:szCs w:val="20"/>
          <w:color w:val="auto"/>
        </w:rPr>
      </w:pPr>
    </w:p>
    <w:p>
      <w:pPr>
        <w:ind w:left="6340"/>
        <w:spacing w:after="0"/>
        <w:rPr>
          <w:sz w:val="20"/>
          <w:szCs w:val="20"/>
          <w:color w:val="auto"/>
        </w:rPr>
      </w:pPr>
      <w:r>
        <w:rPr>
          <w:rFonts w:ascii="Arial" w:cs="Arial" w:eastAsia="Arial" w:hAnsi="Arial"/>
          <w:sz w:val="16"/>
          <w:szCs w:val="16"/>
          <w:color w:val="auto"/>
        </w:rPr>
        <w:t>Linden R. Evans</w:t>
      </w:r>
    </w:p>
    <w:p>
      <w:pPr>
        <w:spacing w:after="0" w:line="9" w:lineRule="exact"/>
        <w:rPr>
          <w:sz w:val="20"/>
          <w:szCs w:val="20"/>
          <w:color w:val="auto"/>
        </w:rPr>
      </w:pPr>
    </w:p>
    <w:p>
      <w:pPr>
        <w:ind w:left="6340"/>
        <w:spacing w:after="0"/>
        <w:rPr>
          <w:sz w:val="20"/>
          <w:szCs w:val="20"/>
          <w:color w:val="auto"/>
        </w:rPr>
      </w:pPr>
      <w:r>
        <w:rPr>
          <w:rFonts w:ascii="Arial" w:cs="Arial" w:eastAsia="Arial" w:hAnsi="Arial"/>
          <w:sz w:val="16"/>
          <w:szCs w:val="16"/>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1017905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6"/>
          <w:szCs w:val="16"/>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SECTION 906 OF THE SARBANES-OXLEY ACT OF 2002</w:t>
      </w:r>
    </w:p>
    <w:p>
      <w:pPr>
        <w:spacing w:after="0" w:line="178" w:lineRule="exact"/>
        <w:rPr>
          <w:sz w:val="20"/>
          <w:szCs w:val="20"/>
          <w:color w:val="auto"/>
        </w:rPr>
      </w:pPr>
    </w:p>
    <w:p>
      <w:pPr>
        <w:jc w:val="both"/>
        <w:ind w:right="420"/>
        <w:spacing w:after="0" w:line="266" w:lineRule="auto"/>
        <w:rPr>
          <w:sz w:val="20"/>
          <w:szCs w:val="20"/>
          <w:color w:val="auto"/>
        </w:rPr>
      </w:pPr>
      <w:r>
        <w:rPr>
          <w:rFonts w:ascii="Arial" w:cs="Arial" w:eastAsia="Arial" w:hAnsi="Arial"/>
          <w:sz w:val="16"/>
          <w:szCs w:val="16"/>
          <w:color w:val="auto"/>
        </w:rPr>
        <w:t>In connection with the Quarterly Report of Black Hills Corporation (the “Company”) on Form 10-Q for the period ended June 30, 2025, as filed with the Securities and Exchange Commission on the date hereof (the “Report”), I, Kimberly F. Nooney, Senior Vice President and Chief Financial Officer of the Company, certify, pursuant to 18 U.S.C. ss. 1350, as adopted pursuant to ss. 906 of the Sarbanes-Oxley Act of 2002, that:</w:t>
      </w:r>
    </w:p>
    <w:p>
      <w:pPr>
        <w:spacing w:after="0" w:line="144" w:lineRule="exact"/>
        <w:rPr>
          <w:sz w:val="20"/>
          <w:szCs w:val="20"/>
          <w:color w:val="auto"/>
        </w:rPr>
      </w:pPr>
    </w:p>
    <w:p>
      <w:pPr>
        <w:ind w:left="1500" w:right="4900" w:hanging="743"/>
        <w:spacing w:after="0" w:line="286" w:lineRule="auto"/>
        <w:tabs>
          <w:tab w:leader="none" w:pos="15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 (a) or 15 (d) of the Securities Exchange Act of 1934; and</w:t>
      </w:r>
    </w:p>
    <w:p>
      <w:pPr>
        <w:spacing w:after="0" w:line="128" w:lineRule="exact"/>
        <w:rPr>
          <w:rFonts w:ascii="Arial" w:cs="Arial" w:eastAsia="Arial" w:hAnsi="Arial"/>
          <w:sz w:val="16"/>
          <w:szCs w:val="16"/>
          <w:color w:val="auto"/>
        </w:rPr>
      </w:pPr>
    </w:p>
    <w:p>
      <w:pPr>
        <w:ind w:left="1500" w:right="4420" w:hanging="743"/>
        <w:spacing w:after="0" w:line="286" w:lineRule="auto"/>
        <w:tabs>
          <w:tab w:leader="none" w:pos="15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18" w:lineRule="exact"/>
        <w:rPr>
          <w:sz w:val="20"/>
          <w:szCs w:val="20"/>
          <w:color w:val="auto"/>
        </w:rPr>
      </w:pPr>
    </w:p>
    <w:p>
      <w:pPr>
        <w:ind w:left="100"/>
        <w:spacing w:after="0"/>
        <w:rPr>
          <w:sz w:val="20"/>
          <w:szCs w:val="20"/>
          <w:color w:val="auto"/>
        </w:rPr>
      </w:pPr>
      <w:r>
        <w:rPr>
          <w:rFonts w:ascii="Arial" w:cs="Arial" w:eastAsia="Arial" w:hAnsi="Arial"/>
          <w:sz w:val="16"/>
          <w:szCs w:val="16"/>
          <w:color w:val="auto"/>
        </w:rPr>
        <w:t>Date: July 31, 2025</w:t>
      </w:r>
    </w:p>
    <w:p>
      <w:pPr>
        <w:spacing w:after="0" w:line="194" w:lineRule="exact"/>
        <w:rPr>
          <w:sz w:val="20"/>
          <w:szCs w:val="20"/>
          <w:color w:val="auto"/>
        </w:rPr>
      </w:pPr>
    </w:p>
    <w:p>
      <w:pPr>
        <w:ind w:left="6340"/>
        <w:spacing w:after="0"/>
        <w:rPr>
          <w:sz w:val="20"/>
          <w:szCs w:val="20"/>
          <w:color w:val="auto"/>
        </w:rPr>
      </w:pPr>
      <w:r>
        <w:rPr>
          <w:rFonts w:ascii="Arial" w:cs="Arial" w:eastAsia="Arial" w:hAnsi="Arial"/>
          <w:sz w:val="16"/>
          <w:szCs w:val="16"/>
          <w:color w:val="auto"/>
        </w:rPr>
        <w:t>/s/ Kimberly F. Nooney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12065</wp:posOffset>
            </wp:positionV>
            <wp:extent cx="317182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3171825" cy="8890"/>
                    </a:xfrm>
                    <a:prstGeom prst="rect">
                      <a:avLst/>
                    </a:prstGeom>
                    <a:noFill/>
                  </pic:spPr>
                </pic:pic>
              </a:graphicData>
            </a:graphic>
          </wp:anchor>
        </w:drawing>
      </w:r>
    </w:p>
    <w:p>
      <w:pPr>
        <w:spacing w:after="0" w:line="11" w:lineRule="exact"/>
        <w:rPr>
          <w:sz w:val="20"/>
          <w:szCs w:val="20"/>
          <w:color w:val="auto"/>
        </w:rPr>
      </w:pPr>
    </w:p>
    <w:p>
      <w:pPr>
        <w:ind w:left="6340"/>
        <w:spacing w:after="0"/>
        <w:rPr>
          <w:sz w:val="20"/>
          <w:szCs w:val="20"/>
          <w:color w:val="auto"/>
        </w:rPr>
      </w:pPr>
      <w:r>
        <w:rPr>
          <w:rFonts w:ascii="Arial" w:cs="Arial" w:eastAsia="Arial" w:hAnsi="Arial"/>
          <w:sz w:val="16"/>
          <w:szCs w:val="16"/>
          <w:color w:val="auto"/>
        </w:rPr>
        <w:t>Kimberly F. Nooney</w:t>
      </w:r>
    </w:p>
    <w:p>
      <w:pPr>
        <w:spacing w:after="0" w:line="9" w:lineRule="exact"/>
        <w:rPr>
          <w:sz w:val="20"/>
          <w:szCs w:val="20"/>
          <w:color w:val="auto"/>
        </w:rPr>
      </w:pPr>
    </w:p>
    <w:p>
      <w:pPr>
        <w:ind w:left="6340"/>
        <w:spacing w:after="0"/>
        <w:rPr>
          <w:sz w:val="20"/>
          <w:szCs w:val="20"/>
          <w:color w:val="auto"/>
        </w:rPr>
      </w:pPr>
      <w:r>
        <w:rPr>
          <w:rFonts w:ascii="Arial" w:cs="Arial" w:eastAsia="Arial" w:hAnsi="Arial"/>
          <w:sz w:val="16"/>
          <w:szCs w:val="16"/>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1017905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6"/>
          <w:szCs w:val="16"/>
          <w:b w:val="1"/>
          <w:bCs w:val="1"/>
          <w:color w:val="auto"/>
        </w:rPr>
        <w:t>Exhibit 95</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Information concerning mine safety violations or other regulatory matters required by Sections 1503(a) of Dodd-Frank is included below.</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Mine Safety and Health Administration Safety Data</w:t>
      </w:r>
    </w:p>
    <w:p>
      <w:pPr>
        <w:spacing w:after="0" w:line="194"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Safety is a core value at Black Hills Corporation and at each of its subsidiary operations. We have in place a comprehensive safety program that includes extensive health and safety training for all employees, site inspections, emergency response preparedness, crisis communications training, incident investigation, regulatory compliance training and process auditing, as well as an open dialogue between all levels of employees. The goals of our processes are to eliminate exposure to hazards in the workplace, ensure that we comply with all mine safety regulations, and support regulatory and industry efforts to improve the health and safety of our employees along with the industry as a whole.</w:t>
      </w:r>
    </w:p>
    <w:p>
      <w:pPr>
        <w:spacing w:after="0" w:line="153"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Under the recently enacted Dodd-Frank Act, each operator of a coal or other mine is required to include certain mine safety results in its periodic reports filed with the SEC. Our mining operation, consisting of Wyodak Mine, is subject to regulation by the federal Mine Safety and Health Administration ("MSHA") under the Federal Mine Safety and Health Act of 1977 (the “Mine Act”). Below we present the following information regarding certain mining safety and health matters for the three month period ended June 30, 2025. In evaluating this information, consideration should be given to factors such as: (i) the number of citations and orders will vary depending on the size of the coal mine, (ii) the number of citations issued will vary from inspector to inspector and mine to mine, and (iii) citations and orders can be contested and appealed, and in that process, are often reduced in severity and amount, and are sometimes dismissed. The information presented includes:</w:t>
      </w:r>
    </w:p>
    <w:p>
      <w:pPr>
        <w:spacing w:after="0" w:line="168" w:lineRule="exact"/>
        <w:rPr>
          <w:sz w:val="20"/>
          <w:szCs w:val="20"/>
          <w:color w:val="auto"/>
        </w:rPr>
      </w:pPr>
    </w:p>
    <w:p>
      <w:pPr>
        <w:ind w:left="900" w:right="140" w:hanging="518"/>
        <w:spacing w:after="0" w:line="256" w:lineRule="auto"/>
        <w:tabs>
          <w:tab w:leader="none" w:pos="900" w:val="left"/>
        </w:tabs>
        <w:numPr>
          <w:ilvl w:val="0"/>
          <w:numId w:val="61"/>
        </w:numPr>
        <w:rPr>
          <w:rFonts w:ascii="Times New Roman" w:cs="Times New Roman" w:eastAsia="Times New Roman" w:hAnsi="Times New Roman"/>
          <w:sz w:val="18"/>
          <w:szCs w:val="18"/>
          <w:color w:val="auto"/>
        </w:rPr>
      </w:pPr>
      <w:r>
        <w:rPr>
          <w:rFonts w:ascii="Arial" w:cs="Arial" w:eastAsia="Arial" w:hAnsi="Arial"/>
          <w:sz w:val="16"/>
          <w:szCs w:val="16"/>
          <w:color w:val="auto"/>
        </w:rPr>
        <w:t>Total number of violations of mandatory health and safety standards that could significantly and substantially contribute to the cause and effect of a coal or other mine safety or health hazard under section 104 of the Mine Act for which we have received a citation from MSHA;</w:t>
      </w:r>
    </w:p>
    <w:p>
      <w:pPr>
        <w:spacing w:after="0" w:line="163"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61"/>
        </w:numPr>
        <w:rPr>
          <w:rFonts w:ascii="Times New Roman" w:cs="Times New Roman" w:eastAsia="Times New Roman" w:hAnsi="Times New Roman"/>
          <w:sz w:val="18"/>
          <w:szCs w:val="18"/>
          <w:color w:val="auto"/>
        </w:rPr>
      </w:pPr>
      <w:r>
        <w:rPr>
          <w:rFonts w:ascii="Arial" w:cs="Arial" w:eastAsia="Arial" w:hAnsi="Arial"/>
          <w:sz w:val="16"/>
          <w:szCs w:val="16"/>
          <w:color w:val="auto"/>
        </w:rPr>
        <w:t>Total number of orders issued under section 104(b) of the Mine Act;</w:t>
      </w:r>
    </w:p>
    <w:p>
      <w:pPr>
        <w:spacing w:after="0" w:line="198" w:lineRule="exact"/>
        <w:rPr>
          <w:rFonts w:ascii="Times New Roman" w:cs="Times New Roman" w:eastAsia="Times New Roman" w:hAnsi="Times New Roman"/>
          <w:sz w:val="18"/>
          <w:szCs w:val="18"/>
          <w:color w:val="auto"/>
        </w:rPr>
      </w:pPr>
    </w:p>
    <w:p>
      <w:pPr>
        <w:ind w:left="900" w:right="100" w:hanging="518"/>
        <w:spacing w:after="0" w:line="256" w:lineRule="auto"/>
        <w:tabs>
          <w:tab w:leader="none" w:pos="900" w:val="left"/>
        </w:tabs>
        <w:numPr>
          <w:ilvl w:val="0"/>
          <w:numId w:val="61"/>
        </w:numPr>
        <w:rPr>
          <w:rFonts w:ascii="Times New Roman" w:cs="Times New Roman" w:eastAsia="Times New Roman" w:hAnsi="Times New Roman"/>
          <w:sz w:val="18"/>
          <w:szCs w:val="18"/>
          <w:color w:val="auto"/>
        </w:rPr>
      </w:pPr>
      <w:r>
        <w:rPr>
          <w:rFonts w:ascii="Arial" w:cs="Arial" w:eastAsia="Arial" w:hAnsi="Arial"/>
          <w:sz w:val="16"/>
          <w:szCs w:val="16"/>
          <w:color w:val="auto"/>
        </w:rPr>
        <w:t>Total number of citations and orders for unwarrantable failure of the mine operator to comply with mandatory health and safety standards under section 104(d) of the Mine Act;</w:t>
      </w:r>
    </w:p>
    <w:p>
      <w:pPr>
        <w:spacing w:after="0" w:line="163"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61"/>
        </w:numPr>
        <w:rPr>
          <w:rFonts w:ascii="Times New Roman" w:cs="Times New Roman" w:eastAsia="Times New Roman" w:hAnsi="Times New Roman"/>
          <w:sz w:val="18"/>
          <w:szCs w:val="18"/>
          <w:color w:val="auto"/>
        </w:rPr>
      </w:pPr>
      <w:r>
        <w:rPr>
          <w:rFonts w:ascii="Arial" w:cs="Arial" w:eastAsia="Arial" w:hAnsi="Arial"/>
          <w:sz w:val="16"/>
          <w:szCs w:val="16"/>
          <w:color w:val="auto"/>
        </w:rPr>
        <w:t>Total number of imminent danger orders issued under section 107(a) of the Mine Act; and</w:t>
      </w:r>
    </w:p>
    <w:p>
      <w:pPr>
        <w:spacing w:after="0" w:line="198"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61"/>
        </w:numPr>
        <w:rPr>
          <w:rFonts w:ascii="Times New Roman" w:cs="Times New Roman" w:eastAsia="Times New Roman" w:hAnsi="Times New Roman"/>
          <w:sz w:val="18"/>
          <w:szCs w:val="18"/>
          <w:color w:val="auto"/>
        </w:rPr>
      </w:pPr>
      <w:r>
        <w:rPr>
          <w:rFonts w:ascii="Arial" w:cs="Arial" w:eastAsia="Arial" w:hAnsi="Arial"/>
          <w:sz w:val="16"/>
          <w:szCs w:val="16"/>
          <w:color w:val="auto"/>
        </w:rPr>
        <w:t>Total dollar value of proposed assessments from MSHA under the Mine Act.</w:t>
      </w:r>
    </w:p>
    <w:p>
      <w:pPr>
        <w:spacing w:after="0" w:line="185"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The table below sets forth the total number of citations and/or orders issued by MSHA to Wyodak Mine under the indicated provisions of the Mine Act, together with the total dollar value of proposed MSHA assessments received during the three months ended June 30, 2025, and legal actions pending before the Federal Mine Safety and Health Review Commission (FMSHRC), together with the Administrative Law Judges thereof, for Wyodak Mine, our only mining complex. All citations were abated within 24 hours of issue.</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20" w:type="dxa"/>
            <w:vAlign w:val="bottom"/>
          </w:tcPr>
          <w:p>
            <w:pPr>
              <w:spacing w:after="0"/>
              <w:rPr>
                <w:sz w:val="12"/>
                <w:szCs w:val="12"/>
                <w:color w:val="auto"/>
              </w:rPr>
            </w:pPr>
          </w:p>
        </w:tc>
        <w:tc>
          <w:tcPr>
            <w:tcW w:w="1240" w:type="dxa"/>
            <w:vAlign w:val="bottom"/>
          </w:tcPr>
          <w:p>
            <w:pPr>
              <w:jc w:val="center"/>
              <w:ind w:left="16"/>
              <w:spacing w:after="0"/>
              <w:rPr>
                <w:sz w:val="20"/>
                <w:szCs w:val="20"/>
                <w:color w:val="auto"/>
              </w:rPr>
            </w:pPr>
            <w:r>
              <w:rPr>
                <w:rFonts w:ascii="Arial" w:cs="Arial" w:eastAsia="Arial" w:hAnsi="Arial"/>
                <w:sz w:val="13"/>
                <w:szCs w:val="13"/>
                <w:b w:val="1"/>
                <w:bCs w:val="1"/>
                <w:color w:val="auto"/>
                <w:w w:val="95"/>
              </w:rPr>
              <w:t>Mine Act Section</w:t>
            </w: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Mine Act</w:t>
            </w: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Received Notice</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4"/>
              </w:rPr>
              <w:t>Legal</w:t>
            </w:r>
          </w:p>
        </w:tc>
        <w:tc>
          <w:tcPr>
            <w:tcW w:w="740" w:type="dxa"/>
            <w:vAlign w:val="bottom"/>
            <w:vMerge w:val="restart"/>
          </w:tcPr>
          <w:p>
            <w:pPr>
              <w:jc w:val="center"/>
              <w:ind w:right="16"/>
              <w:spacing w:after="0"/>
              <w:rPr>
                <w:sz w:val="20"/>
                <w:szCs w:val="20"/>
                <w:color w:val="auto"/>
              </w:rPr>
            </w:pPr>
            <w:r>
              <w:rPr>
                <w:rFonts w:ascii="Arial" w:cs="Arial" w:eastAsia="Arial" w:hAnsi="Arial"/>
                <w:sz w:val="13"/>
                <w:szCs w:val="13"/>
                <w:b w:val="1"/>
                <w:bCs w:val="1"/>
                <w:color w:val="auto"/>
                <w:w w:val="99"/>
              </w:rPr>
              <w:t>Legal</w:t>
            </w:r>
          </w:p>
        </w:tc>
        <w:tc>
          <w:tcPr>
            <w:tcW w:w="700" w:type="dxa"/>
            <w:vAlign w:val="bottom"/>
            <w:vMerge w:val="restart"/>
          </w:tcPr>
          <w:p>
            <w:pPr>
              <w:jc w:val="center"/>
              <w:ind w:left="16"/>
              <w:spacing w:after="0"/>
              <w:rPr>
                <w:sz w:val="20"/>
                <w:szCs w:val="20"/>
                <w:color w:val="auto"/>
              </w:rPr>
            </w:pPr>
            <w:r>
              <w:rPr>
                <w:rFonts w:ascii="Arial" w:cs="Arial" w:eastAsia="Arial" w:hAnsi="Arial"/>
                <w:sz w:val="13"/>
                <w:szCs w:val="13"/>
                <w:b w:val="1"/>
                <w:bCs w:val="1"/>
                <w:color w:val="auto"/>
                <w:w w:val="99"/>
              </w:rPr>
              <w:t>Legal</w:t>
            </w:r>
          </w:p>
        </w:tc>
        <w:tc>
          <w:tcPr>
            <w:tcW w:w="0" w:type="dxa"/>
            <w:vAlign w:val="bottom"/>
          </w:tcPr>
          <w:p>
            <w:pPr>
              <w:spacing w:after="0"/>
              <w:rPr>
                <w:sz w:val="1"/>
                <w:szCs w:val="1"/>
                <w:color w:val="auto"/>
              </w:rPr>
            </w:pPr>
          </w:p>
        </w:tc>
      </w:tr>
      <w:tr>
        <w:trPr>
          <w:trHeight w:val="135"/>
        </w:trPr>
        <w:tc>
          <w:tcPr>
            <w:tcW w:w="1120" w:type="dxa"/>
            <w:vAlign w:val="bottom"/>
          </w:tcPr>
          <w:p>
            <w:pPr>
              <w:spacing w:after="0"/>
              <w:rPr>
                <w:sz w:val="11"/>
                <w:szCs w:val="11"/>
                <w:color w:val="auto"/>
              </w:rPr>
            </w:pPr>
          </w:p>
        </w:tc>
        <w:tc>
          <w:tcPr>
            <w:tcW w:w="1240" w:type="dxa"/>
            <w:vAlign w:val="bottom"/>
          </w:tcPr>
          <w:p>
            <w:pPr>
              <w:jc w:val="center"/>
              <w:ind w:left="36"/>
              <w:spacing w:after="0" w:line="135" w:lineRule="exact"/>
              <w:rPr>
                <w:sz w:val="20"/>
                <w:szCs w:val="20"/>
                <w:color w:val="auto"/>
              </w:rPr>
            </w:pPr>
            <w:r>
              <w:rPr>
                <w:rFonts w:ascii="Arial" w:cs="Arial" w:eastAsia="Arial" w:hAnsi="Arial"/>
                <w:sz w:val="13"/>
                <w:szCs w:val="13"/>
                <w:b w:val="1"/>
                <w:bCs w:val="1"/>
                <w:color w:val="auto"/>
                <w:w w:val="95"/>
              </w:rPr>
              <w:t>104 S&amp;S Citations</w:t>
            </w:r>
          </w:p>
        </w:tc>
        <w:tc>
          <w:tcPr>
            <w:tcW w:w="6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Mine Act</w:t>
            </w:r>
          </w:p>
        </w:tc>
        <w:tc>
          <w:tcPr>
            <w:tcW w:w="9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Mine Act</w:t>
            </w:r>
          </w:p>
        </w:tc>
        <w:tc>
          <w:tcPr>
            <w:tcW w:w="900" w:type="dxa"/>
            <w:vAlign w:val="bottom"/>
            <w:vMerge w:val="restart"/>
          </w:tcPr>
          <w:p>
            <w:pPr>
              <w:ind w:left="180"/>
              <w:spacing w:after="0"/>
              <w:rPr>
                <w:sz w:val="20"/>
                <w:szCs w:val="20"/>
                <w:color w:val="auto"/>
              </w:rPr>
            </w:pPr>
            <w:r>
              <w:rPr>
                <w:rFonts w:ascii="Arial" w:cs="Arial" w:eastAsia="Arial" w:hAnsi="Arial"/>
                <w:sz w:val="13"/>
                <w:szCs w:val="13"/>
                <w:b w:val="1"/>
                <w:bCs w:val="1"/>
                <w:color w:val="auto"/>
              </w:rPr>
              <w:t>Mine Act</w:t>
            </w:r>
          </w:p>
        </w:tc>
        <w:tc>
          <w:tcPr>
            <w:tcW w:w="8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Total Number</w:t>
            </w:r>
          </w:p>
        </w:tc>
        <w:tc>
          <w:tcPr>
            <w:tcW w:w="1060" w:type="dxa"/>
            <w:vAlign w:val="bottom"/>
            <w:vMerge w:val="continue"/>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Actions</w:t>
            </w:r>
          </w:p>
        </w:tc>
        <w:tc>
          <w:tcPr>
            <w:tcW w:w="74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120" w:type="dxa"/>
            <w:vAlign w:val="bottom"/>
            <w:vMerge w:val="restart"/>
          </w:tcPr>
          <w:p>
            <w:pPr>
              <w:jc w:val="center"/>
              <w:ind w:left="73"/>
              <w:spacing w:after="0"/>
              <w:rPr>
                <w:sz w:val="20"/>
                <w:szCs w:val="20"/>
                <w:color w:val="auto"/>
              </w:rPr>
            </w:pPr>
            <w:r>
              <w:rPr>
                <w:rFonts w:ascii="Arial" w:cs="Arial" w:eastAsia="Arial" w:hAnsi="Arial"/>
                <w:sz w:val="13"/>
                <w:szCs w:val="13"/>
                <w:b w:val="1"/>
                <w:bCs w:val="1"/>
                <w:color w:val="auto"/>
                <w:w w:val="98"/>
              </w:rPr>
              <w:t>Mine/ MSHA</w:t>
            </w:r>
          </w:p>
        </w:tc>
        <w:tc>
          <w:tcPr>
            <w:tcW w:w="1240" w:type="dxa"/>
            <w:vAlign w:val="bottom"/>
          </w:tcPr>
          <w:p>
            <w:pPr>
              <w:jc w:val="center"/>
              <w:ind w:left="16"/>
              <w:spacing w:after="0" w:line="126" w:lineRule="exact"/>
              <w:rPr>
                <w:sz w:val="20"/>
                <w:szCs w:val="20"/>
                <w:color w:val="auto"/>
              </w:rPr>
            </w:pPr>
            <w:r>
              <w:rPr>
                <w:rFonts w:ascii="Arial" w:cs="Arial" w:eastAsia="Arial" w:hAnsi="Arial"/>
                <w:sz w:val="13"/>
                <w:szCs w:val="13"/>
                <w:b w:val="1"/>
                <w:bCs w:val="1"/>
                <w:color w:val="auto"/>
                <w:w w:val="98"/>
              </w:rPr>
              <w:t>issued during</w:t>
            </w:r>
          </w:p>
        </w:tc>
        <w:tc>
          <w:tcPr>
            <w:tcW w:w="64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88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5"/>
              </w:rPr>
              <w:t>Section 107(a)</w:t>
            </w:r>
          </w:p>
        </w:tc>
        <w:tc>
          <w:tcPr>
            <w:tcW w:w="120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6"/>
              </w:rPr>
              <w:t>Total Dollar Value</w:t>
            </w:r>
          </w:p>
        </w:tc>
        <w:tc>
          <w:tcPr>
            <w:tcW w:w="900" w:type="dxa"/>
            <w:vAlign w:val="bottom"/>
            <w:vMerge w:val="continue"/>
          </w:tcPr>
          <w:p>
            <w:pPr>
              <w:spacing w:after="0"/>
              <w:rPr>
                <w:sz w:val="10"/>
                <w:szCs w:val="10"/>
                <w:color w:val="auto"/>
              </w:rPr>
            </w:pPr>
          </w:p>
        </w:tc>
        <w:tc>
          <w:tcPr>
            <w:tcW w:w="106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6"/>
              </w:rPr>
              <w:t>of Potential to</w:t>
            </w:r>
          </w:p>
        </w:tc>
        <w:tc>
          <w:tcPr>
            <w:tcW w:w="84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7"/>
              </w:rPr>
              <w:t>Pending as</w:t>
            </w:r>
          </w:p>
        </w:tc>
        <w:tc>
          <w:tcPr>
            <w:tcW w:w="740" w:type="dxa"/>
            <w:vAlign w:val="bottom"/>
          </w:tcPr>
          <w:p>
            <w:pPr>
              <w:jc w:val="center"/>
              <w:ind w:right="16"/>
              <w:spacing w:after="0" w:line="126" w:lineRule="exact"/>
              <w:rPr>
                <w:sz w:val="20"/>
                <w:szCs w:val="20"/>
                <w:color w:val="auto"/>
              </w:rPr>
            </w:pPr>
            <w:r>
              <w:rPr>
                <w:rFonts w:ascii="Arial" w:cs="Arial" w:eastAsia="Arial" w:hAnsi="Arial"/>
                <w:sz w:val="13"/>
                <w:szCs w:val="13"/>
                <w:b w:val="1"/>
                <w:bCs w:val="1"/>
                <w:color w:val="auto"/>
                <w:w w:val="96"/>
              </w:rPr>
              <w:t>Actions</w:t>
            </w:r>
          </w:p>
        </w:tc>
        <w:tc>
          <w:tcPr>
            <w:tcW w:w="700" w:type="dxa"/>
            <w:vAlign w:val="bottom"/>
          </w:tcPr>
          <w:p>
            <w:pPr>
              <w:jc w:val="center"/>
              <w:ind w:left="16"/>
              <w:spacing w:after="0" w:line="126" w:lineRule="exact"/>
              <w:rPr>
                <w:sz w:val="20"/>
                <w:szCs w:val="20"/>
                <w:color w:val="auto"/>
              </w:rPr>
            </w:pPr>
            <w:r>
              <w:rPr>
                <w:rFonts w:ascii="Arial" w:cs="Arial" w:eastAsia="Arial" w:hAnsi="Arial"/>
                <w:sz w:val="13"/>
                <w:szCs w:val="13"/>
                <w:b w:val="1"/>
                <w:bCs w:val="1"/>
                <w:color w:val="auto"/>
                <w:w w:val="96"/>
              </w:rPr>
              <w:t>Actions</w:t>
            </w:r>
          </w:p>
        </w:tc>
        <w:tc>
          <w:tcPr>
            <w:tcW w:w="0" w:type="dxa"/>
            <w:vAlign w:val="bottom"/>
          </w:tcPr>
          <w:p>
            <w:pPr>
              <w:spacing w:after="0"/>
              <w:rPr>
                <w:sz w:val="1"/>
                <w:szCs w:val="1"/>
                <w:color w:val="auto"/>
              </w:rPr>
            </w:pPr>
          </w:p>
        </w:tc>
      </w:tr>
      <w:tr>
        <w:trPr>
          <w:trHeight w:val="135"/>
        </w:trPr>
        <w:tc>
          <w:tcPr>
            <w:tcW w:w="1120" w:type="dxa"/>
            <w:vAlign w:val="bottom"/>
            <w:vMerge w:val="continue"/>
          </w:tcPr>
          <w:p>
            <w:pPr>
              <w:spacing w:after="0"/>
              <w:rPr>
                <w:sz w:val="11"/>
                <w:szCs w:val="11"/>
                <w:color w:val="auto"/>
              </w:rPr>
            </w:pPr>
          </w:p>
        </w:tc>
        <w:tc>
          <w:tcPr>
            <w:tcW w:w="1240" w:type="dxa"/>
            <w:vAlign w:val="bottom"/>
          </w:tcPr>
          <w:p>
            <w:pPr>
              <w:jc w:val="center"/>
              <w:ind w:left="16"/>
              <w:spacing w:after="0" w:line="135" w:lineRule="exact"/>
              <w:rPr>
                <w:sz w:val="20"/>
                <w:szCs w:val="20"/>
                <w:color w:val="auto"/>
              </w:rPr>
            </w:pPr>
            <w:r>
              <w:rPr>
                <w:rFonts w:ascii="Arial" w:cs="Arial" w:eastAsia="Arial" w:hAnsi="Arial"/>
                <w:sz w:val="13"/>
                <w:szCs w:val="13"/>
                <w:b w:val="1"/>
                <w:bCs w:val="1"/>
                <w:color w:val="auto"/>
                <w:w w:val="97"/>
              </w:rPr>
              <w:t>three months</w:t>
            </w:r>
          </w:p>
        </w:tc>
        <w:tc>
          <w:tcPr>
            <w:tcW w:w="6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Section</w:t>
            </w:r>
          </w:p>
        </w:tc>
        <w:tc>
          <w:tcPr>
            <w:tcW w:w="180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w w:val="97"/>
              </w:rPr>
              <w:t>Section 104(d) Section 110(b)</w:t>
            </w: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Imminent</w:t>
            </w:r>
          </w:p>
        </w:tc>
        <w:tc>
          <w:tcPr>
            <w:tcW w:w="1200" w:type="dxa"/>
            <w:vAlign w:val="bottom"/>
            <w:gridSpan w:val="2"/>
            <w:vMerge w:val="continue"/>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of Mining</w:t>
            </w:r>
          </w:p>
        </w:tc>
        <w:tc>
          <w:tcPr>
            <w:tcW w:w="10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Have Pattern</w:t>
            </w:r>
          </w:p>
        </w:tc>
        <w:tc>
          <w:tcPr>
            <w:tcW w:w="8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of Last Day</w:t>
            </w:r>
          </w:p>
        </w:tc>
        <w:tc>
          <w:tcPr>
            <w:tcW w:w="740" w:type="dxa"/>
            <w:vAlign w:val="bottom"/>
          </w:tcPr>
          <w:p>
            <w:pPr>
              <w:jc w:val="center"/>
              <w:ind w:right="36"/>
              <w:spacing w:after="0" w:line="135" w:lineRule="exact"/>
              <w:rPr>
                <w:sz w:val="20"/>
                <w:szCs w:val="20"/>
                <w:color w:val="auto"/>
              </w:rPr>
            </w:pPr>
            <w:r>
              <w:rPr>
                <w:rFonts w:ascii="Arial" w:cs="Arial" w:eastAsia="Arial" w:hAnsi="Arial"/>
                <w:sz w:val="13"/>
                <w:szCs w:val="13"/>
                <w:b w:val="1"/>
                <w:bCs w:val="1"/>
                <w:color w:val="auto"/>
                <w:w w:val="96"/>
              </w:rPr>
              <w:t>Initiated</w:t>
            </w:r>
          </w:p>
        </w:tc>
        <w:tc>
          <w:tcPr>
            <w:tcW w:w="700" w:type="dxa"/>
            <w:vAlign w:val="bottom"/>
          </w:tcPr>
          <w:p>
            <w:pPr>
              <w:jc w:val="center"/>
              <w:ind w:left="36"/>
              <w:spacing w:after="0" w:line="135" w:lineRule="exact"/>
              <w:rPr>
                <w:sz w:val="20"/>
                <w:szCs w:val="20"/>
                <w:color w:val="auto"/>
              </w:rPr>
            </w:pPr>
            <w:r>
              <w:rPr>
                <w:rFonts w:ascii="Arial" w:cs="Arial" w:eastAsia="Arial" w:hAnsi="Arial"/>
                <w:sz w:val="13"/>
                <w:szCs w:val="13"/>
                <w:b w:val="1"/>
                <w:bCs w:val="1"/>
                <w:color w:val="auto"/>
                <w:w w:val="96"/>
              </w:rPr>
              <w:t>Resolved</w:t>
            </w:r>
          </w:p>
        </w:tc>
        <w:tc>
          <w:tcPr>
            <w:tcW w:w="0" w:type="dxa"/>
            <w:vAlign w:val="bottom"/>
          </w:tcPr>
          <w:p>
            <w:pPr>
              <w:spacing w:after="0"/>
              <w:rPr>
                <w:sz w:val="1"/>
                <w:szCs w:val="1"/>
                <w:color w:val="auto"/>
              </w:rPr>
            </w:pPr>
          </w:p>
        </w:tc>
      </w:tr>
      <w:tr>
        <w:trPr>
          <w:trHeight w:val="135"/>
        </w:trPr>
        <w:tc>
          <w:tcPr>
            <w:tcW w:w="1120" w:type="dxa"/>
            <w:vAlign w:val="bottom"/>
          </w:tcPr>
          <w:p>
            <w:pPr>
              <w:jc w:val="center"/>
              <w:ind w:left="33"/>
              <w:spacing w:after="0" w:line="135" w:lineRule="exact"/>
              <w:rPr>
                <w:sz w:val="20"/>
                <w:szCs w:val="20"/>
                <w:color w:val="auto"/>
              </w:rPr>
            </w:pPr>
            <w:r>
              <w:rPr>
                <w:rFonts w:ascii="Arial" w:cs="Arial" w:eastAsia="Arial" w:hAnsi="Arial"/>
                <w:sz w:val="13"/>
                <w:szCs w:val="13"/>
                <w:b w:val="1"/>
                <w:bCs w:val="1"/>
                <w:color w:val="auto"/>
                <w:w w:val="96"/>
              </w:rPr>
              <w:t>Identification</w:t>
            </w:r>
          </w:p>
        </w:tc>
        <w:tc>
          <w:tcPr>
            <w:tcW w:w="1240" w:type="dxa"/>
            <w:vAlign w:val="bottom"/>
          </w:tcPr>
          <w:p>
            <w:pPr>
              <w:jc w:val="center"/>
              <w:ind w:left="16"/>
              <w:spacing w:after="0" w:line="135" w:lineRule="exact"/>
              <w:rPr>
                <w:sz w:val="20"/>
                <w:szCs w:val="20"/>
                <w:color w:val="auto"/>
              </w:rPr>
            </w:pPr>
            <w:r>
              <w:rPr>
                <w:rFonts w:ascii="Arial" w:cs="Arial" w:eastAsia="Arial" w:hAnsi="Arial"/>
                <w:sz w:val="13"/>
                <w:szCs w:val="13"/>
                <w:b w:val="1"/>
                <w:bCs w:val="1"/>
                <w:color w:val="auto"/>
                <w:w w:val="97"/>
              </w:rPr>
              <w:t>ended June 30,</w:t>
            </w:r>
          </w:p>
        </w:tc>
        <w:tc>
          <w:tcPr>
            <w:tcW w:w="6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104(b)</w:t>
            </w: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Citations and</w:t>
            </w:r>
          </w:p>
        </w:tc>
        <w:tc>
          <w:tcPr>
            <w:tcW w:w="2980" w:type="dxa"/>
            <w:vAlign w:val="bottom"/>
            <w:gridSpan w:val="4"/>
          </w:tcPr>
          <w:p>
            <w:pPr>
              <w:ind w:left="40"/>
              <w:spacing w:after="0" w:line="135" w:lineRule="exact"/>
              <w:rPr>
                <w:sz w:val="20"/>
                <w:szCs w:val="20"/>
                <w:color w:val="auto"/>
              </w:rPr>
            </w:pPr>
            <w:r>
              <w:rPr>
                <w:rFonts w:ascii="Arial" w:cs="Arial" w:eastAsia="Arial" w:hAnsi="Arial"/>
                <w:sz w:val="13"/>
                <w:szCs w:val="13"/>
                <w:b w:val="1"/>
                <w:bCs w:val="1"/>
                <w:color w:val="auto"/>
                <w:w w:val="98"/>
              </w:rPr>
              <w:t>(2) Violations Danger Orders of Proposed MSHA</w:t>
            </w: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Related</w:t>
            </w:r>
          </w:p>
        </w:tc>
        <w:tc>
          <w:tcPr>
            <w:tcW w:w="10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Under Section</w:t>
            </w:r>
          </w:p>
        </w:tc>
        <w:tc>
          <w:tcPr>
            <w:tcW w:w="8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of Period (#)</w:t>
            </w:r>
          </w:p>
        </w:tc>
        <w:tc>
          <w:tcPr>
            <w:tcW w:w="740" w:type="dxa"/>
            <w:vAlign w:val="bottom"/>
          </w:tcPr>
          <w:p>
            <w:pPr>
              <w:jc w:val="center"/>
              <w:ind w:right="16"/>
              <w:spacing w:after="0" w:line="135" w:lineRule="exact"/>
              <w:rPr>
                <w:sz w:val="20"/>
                <w:szCs w:val="20"/>
                <w:color w:val="auto"/>
              </w:rPr>
            </w:pPr>
            <w:r>
              <w:rPr>
                <w:rFonts w:ascii="Arial" w:cs="Arial" w:eastAsia="Arial" w:hAnsi="Arial"/>
                <w:sz w:val="13"/>
                <w:szCs w:val="13"/>
                <w:b w:val="1"/>
                <w:bCs w:val="1"/>
                <w:color w:val="auto"/>
              </w:rPr>
              <w:t>During</w:t>
            </w:r>
          </w:p>
        </w:tc>
        <w:tc>
          <w:tcPr>
            <w:tcW w:w="700" w:type="dxa"/>
            <w:vAlign w:val="bottom"/>
          </w:tcPr>
          <w:p>
            <w:pPr>
              <w:jc w:val="center"/>
              <w:ind w:left="16"/>
              <w:spacing w:after="0" w:line="135" w:lineRule="exact"/>
              <w:rPr>
                <w:sz w:val="20"/>
                <w:szCs w:val="20"/>
                <w:color w:val="auto"/>
              </w:rPr>
            </w:pPr>
            <w:r>
              <w:rPr>
                <w:rFonts w:ascii="Arial" w:cs="Arial" w:eastAsia="Arial" w:hAnsi="Arial"/>
                <w:sz w:val="13"/>
                <w:szCs w:val="13"/>
                <w:b w:val="1"/>
                <w:bCs w:val="1"/>
                <w:color w:val="auto"/>
              </w:rPr>
              <w:t>During</w:t>
            </w:r>
          </w:p>
        </w:tc>
        <w:tc>
          <w:tcPr>
            <w:tcW w:w="0" w:type="dxa"/>
            <w:vAlign w:val="bottom"/>
          </w:tcPr>
          <w:p>
            <w:pPr>
              <w:spacing w:after="0"/>
              <w:rPr>
                <w:sz w:val="1"/>
                <w:szCs w:val="1"/>
                <w:color w:val="auto"/>
              </w:rPr>
            </w:pPr>
          </w:p>
        </w:tc>
      </w:tr>
      <w:tr>
        <w:trPr>
          <w:trHeight w:val="153"/>
        </w:trPr>
        <w:tc>
          <w:tcPr>
            <w:tcW w:w="1120" w:type="dxa"/>
            <w:vAlign w:val="bottom"/>
          </w:tcPr>
          <w:p>
            <w:pPr>
              <w:jc w:val="center"/>
              <w:ind w:left="73"/>
              <w:spacing w:after="0"/>
              <w:rPr>
                <w:sz w:val="20"/>
                <w:szCs w:val="20"/>
                <w:color w:val="auto"/>
              </w:rPr>
            </w:pPr>
            <w:r>
              <w:rPr>
                <w:rFonts w:ascii="Arial" w:cs="Arial" w:eastAsia="Arial" w:hAnsi="Arial"/>
                <w:sz w:val="13"/>
                <w:szCs w:val="13"/>
                <w:b w:val="1"/>
                <w:bCs w:val="1"/>
                <w:color w:val="auto"/>
                <w:w w:val="93"/>
              </w:rPr>
              <w:t>Number</w:t>
            </w:r>
          </w:p>
        </w:tc>
        <w:tc>
          <w:tcPr>
            <w:tcW w:w="1240" w:type="dxa"/>
            <w:vAlign w:val="bottom"/>
          </w:tcPr>
          <w:p>
            <w:pPr>
              <w:jc w:val="center"/>
              <w:ind w:left="56"/>
              <w:spacing w:after="0"/>
              <w:rPr>
                <w:sz w:val="20"/>
                <w:szCs w:val="20"/>
                <w:color w:val="auto"/>
              </w:rPr>
            </w:pPr>
            <w:r>
              <w:rPr>
                <w:rFonts w:ascii="Arial" w:cs="Arial" w:eastAsia="Arial" w:hAnsi="Arial"/>
                <w:sz w:val="13"/>
                <w:szCs w:val="13"/>
                <w:b w:val="1"/>
                <w:bCs w:val="1"/>
                <w:color w:val="auto"/>
                <w:w w:val="96"/>
              </w:rPr>
              <w:t>2025</w:t>
            </w: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96"/>
              </w:rPr>
              <w:t>Orders (#)</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99"/>
              </w:rPr>
              <w:t>Orders (#)</w:t>
            </w:r>
          </w:p>
        </w:tc>
        <w:tc>
          <w:tcPr>
            <w:tcW w:w="900" w:type="dxa"/>
            <w:vAlign w:val="bottom"/>
          </w:tcPr>
          <w:p>
            <w:pPr>
              <w:jc w:val="right"/>
              <w:ind w:right="295"/>
              <w:spacing w:after="0"/>
              <w:rPr>
                <w:sz w:val="20"/>
                <w:szCs w:val="20"/>
                <w:color w:val="auto"/>
              </w:rPr>
            </w:pPr>
            <w:r>
              <w:rPr>
                <w:rFonts w:ascii="Arial" w:cs="Arial" w:eastAsia="Arial" w:hAnsi="Arial"/>
                <w:sz w:val="13"/>
                <w:szCs w:val="13"/>
                <w:b w:val="1"/>
                <w:bCs w:val="1"/>
                <w:color w:val="auto"/>
              </w:rPr>
              <w:t>(#)</w:t>
            </w:r>
          </w:p>
        </w:tc>
        <w:tc>
          <w:tcPr>
            <w:tcW w:w="880" w:type="dxa"/>
            <w:vAlign w:val="bottom"/>
          </w:tcPr>
          <w:p>
            <w:pPr>
              <w:jc w:val="right"/>
              <w:ind w:right="295"/>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3"/>
                <w:szCs w:val="13"/>
                <w:color w:val="auto"/>
              </w:rPr>
            </w:pPr>
          </w:p>
        </w:tc>
        <w:tc>
          <w:tcPr>
            <w:tcW w:w="1100" w:type="dxa"/>
            <w:vAlign w:val="bottom"/>
          </w:tcPr>
          <w:p>
            <w:pPr>
              <w:jc w:val="center"/>
              <w:ind w:right="33"/>
              <w:spacing w:after="0"/>
              <w:rPr>
                <w:sz w:val="20"/>
                <w:szCs w:val="20"/>
                <w:color w:val="auto"/>
              </w:rPr>
            </w:pPr>
            <w:r>
              <w:rPr>
                <w:rFonts w:ascii="Arial" w:cs="Arial" w:eastAsia="Arial" w:hAnsi="Arial"/>
                <w:sz w:val="13"/>
                <w:szCs w:val="13"/>
                <w:b w:val="1"/>
                <w:bCs w:val="1"/>
                <w:color w:val="auto"/>
                <w:w w:val="96"/>
              </w:rPr>
              <w:t>Assessments (a)</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97"/>
              </w:rPr>
              <w:t>Fatalities (#)</w:t>
            </w: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98"/>
              </w:rPr>
              <w:t>104(e) (yes/no)</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6"/>
              </w:rPr>
              <w:t>(b)</w:t>
            </w: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96"/>
              </w:rPr>
              <w:t>Period (#)</w:t>
            </w:r>
          </w:p>
        </w:tc>
        <w:tc>
          <w:tcPr>
            <w:tcW w:w="700" w:type="dxa"/>
            <w:vAlign w:val="bottom"/>
          </w:tcPr>
          <w:p>
            <w:pPr>
              <w:jc w:val="center"/>
              <w:ind w:left="56"/>
              <w:spacing w:after="0"/>
              <w:rPr>
                <w:sz w:val="20"/>
                <w:szCs w:val="20"/>
                <w:color w:val="auto"/>
              </w:rPr>
            </w:pPr>
            <w:r>
              <w:rPr>
                <w:rFonts w:ascii="Arial" w:cs="Arial" w:eastAsia="Arial" w:hAnsi="Arial"/>
                <w:sz w:val="13"/>
                <w:szCs w:val="13"/>
                <w:b w:val="1"/>
                <w:bCs w:val="1"/>
                <w:color w:val="auto"/>
                <w:w w:val="96"/>
              </w:rPr>
              <w:t>Period (#)</w:t>
            </w:r>
          </w:p>
        </w:tc>
        <w:tc>
          <w:tcPr>
            <w:tcW w:w="0" w:type="dxa"/>
            <w:vAlign w:val="bottom"/>
          </w:tcPr>
          <w:p>
            <w:pPr>
              <w:spacing w:after="0"/>
              <w:rPr>
                <w:sz w:val="1"/>
                <w:szCs w:val="1"/>
                <w:color w:val="auto"/>
              </w:rPr>
            </w:pPr>
          </w:p>
        </w:tc>
      </w:tr>
      <w:tr>
        <w:trPr>
          <w:trHeight w:val="162"/>
        </w:trPr>
        <w:tc>
          <w:tcPr>
            <w:tcW w:w="1120" w:type="dxa"/>
            <w:vAlign w:val="bottom"/>
          </w:tcPr>
          <w:p>
            <w:pPr>
              <w:spacing w:after="0"/>
              <w:rPr>
                <w:sz w:val="20"/>
                <w:szCs w:val="20"/>
                <w:color w:val="auto"/>
              </w:rPr>
            </w:pPr>
            <w:r>
              <w:rPr>
                <w:rFonts w:ascii="Arial" w:cs="Arial" w:eastAsia="Arial" w:hAnsi="Arial"/>
                <w:sz w:val="14"/>
                <w:szCs w:val="14"/>
                <w:color w:val="auto"/>
              </w:rPr>
              <w:t>Wyodak Mine -</w:t>
            </w:r>
          </w:p>
        </w:tc>
        <w:tc>
          <w:tcPr>
            <w:tcW w:w="1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120" w:type="dxa"/>
            <w:vAlign w:val="bottom"/>
          </w:tcPr>
          <w:p>
            <w:pPr>
              <w:spacing w:after="0"/>
              <w:rPr>
                <w:sz w:val="20"/>
                <w:szCs w:val="20"/>
                <w:color w:val="auto"/>
              </w:rPr>
            </w:pPr>
            <w:r>
              <w:rPr>
                <w:rFonts w:ascii="Arial" w:cs="Arial" w:eastAsia="Arial" w:hAnsi="Arial"/>
                <w:sz w:val="14"/>
                <w:szCs w:val="14"/>
                <w:color w:val="auto"/>
              </w:rPr>
              <w:t>4800083</w:t>
            </w:r>
          </w:p>
        </w:tc>
        <w:tc>
          <w:tcPr>
            <w:tcW w:w="1240" w:type="dxa"/>
            <w:vAlign w:val="bottom"/>
          </w:tcPr>
          <w:p>
            <w:pPr>
              <w:jc w:val="right"/>
              <w:ind w:right="516"/>
              <w:spacing w:after="0"/>
              <w:rPr>
                <w:sz w:val="20"/>
                <w:szCs w:val="20"/>
                <w:color w:val="auto"/>
              </w:rPr>
            </w:pPr>
            <w:r>
              <w:rPr>
                <w:rFonts w:ascii="Arial" w:cs="Arial" w:eastAsia="Arial" w:hAnsi="Arial"/>
                <w:sz w:val="14"/>
                <w:szCs w:val="14"/>
                <w:color w:val="auto"/>
              </w:rPr>
              <w:t>0</w:t>
            </w:r>
          </w:p>
        </w:tc>
        <w:tc>
          <w:tcPr>
            <w:tcW w:w="640" w:type="dxa"/>
            <w:vAlign w:val="bottom"/>
          </w:tcPr>
          <w:p>
            <w:pPr>
              <w:jc w:val="center"/>
              <w:spacing w:after="0"/>
              <w:rPr>
                <w:sz w:val="20"/>
                <w:szCs w:val="20"/>
                <w:color w:val="auto"/>
              </w:rPr>
            </w:pPr>
            <w:r>
              <w:rPr>
                <w:rFonts w:ascii="Arial" w:cs="Arial" w:eastAsia="Arial" w:hAnsi="Arial"/>
                <w:sz w:val="14"/>
                <w:szCs w:val="14"/>
                <w:color w:val="auto"/>
              </w:rPr>
              <w:t>0</w:t>
            </w:r>
          </w:p>
        </w:tc>
        <w:tc>
          <w:tcPr>
            <w:tcW w:w="900" w:type="dxa"/>
            <w:vAlign w:val="bottom"/>
          </w:tcPr>
          <w:p>
            <w:pPr>
              <w:jc w:val="center"/>
              <w:spacing w:after="0"/>
              <w:rPr>
                <w:sz w:val="20"/>
                <w:szCs w:val="20"/>
                <w:color w:val="auto"/>
              </w:rPr>
            </w:pPr>
            <w:r>
              <w:rPr>
                <w:rFonts w:ascii="Arial" w:cs="Arial" w:eastAsia="Arial" w:hAnsi="Arial"/>
                <w:sz w:val="14"/>
                <w:szCs w:val="14"/>
                <w:color w:val="auto"/>
              </w:rPr>
              <w:t>0</w:t>
            </w:r>
          </w:p>
        </w:tc>
        <w:tc>
          <w:tcPr>
            <w:tcW w:w="900" w:type="dxa"/>
            <w:vAlign w:val="bottom"/>
          </w:tcPr>
          <w:p>
            <w:pPr>
              <w:jc w:val="right"/>
              <w:ind w:right="335"/>
              <w:spacing w:after="0"/>
              <w:rPr>
                <w:sz w:val="20"/>
                <w:szCs w:val="20"/>
                <w:color w:val="auto"/>
              </w:rPr>
            </w:pPr>
            <w:r>
              <w:rPr>
                <w:rFonts w:ascii="Arial" w:cs="Arial" w:eastAsia="Arial" w:hAnsi="Arial"/>
                <w:sz w:val="14"/>
                <w:szCs w:val="14"/>
                <w:color w:val="auto"/>
              </w:rPr>
              <w:t>0</w:t>
            </w:r>
          </w:p>
        </w:tc>
        <w:tc>
          <w:tcPr>
            <w:tcW w:w="880" w:type="dxa"/>
            <w:vAlign w:val="bottom"/>
          </w:tcPr>
          <w:p>
            <w:pPr>
              <w:jc w:val="right"/>
              <w:ind w:right="335"/>
              <w:spacing w:after="0"/>
              <w:rPr>
                <w:sz w:val="20"/>
                <w:szCs w:val="20"/>
                <w:color w:val="auto"/>
              </w:rPr>
            </w:pPr>
            <w:r>
              <w:rPr>
                <w:rFonts w:ascii="Arial" w:cs="Arial" w:eastAsia="Arial" w:hAnsi="Arial"/>
                <w:sz w:val="14"/>
                <w:szCs w:val="14"/>
                <w:color w:val="auto"/>
              </w:rPr>
              <w:t>0</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center"/>
              <w:ind w:right="33"/>
              <w:spacing w:after="0"/>
              <w:rPr>
                <w:sz w:val="20"/>
                <w:szCs w:val="20"/>
                <w:color w:val="auto"/>
              </w:rPr>
            </w:pPr>
            <w:r>
              <w:rPr>
                <w:rFonts w:ascii="Arial" w:cs="Arial" w:eastAsia="Arial" w:hAnsi="Arial"/>
                <w:sz w:val="14"/>
                <w:szCs w:val="14"/>
                <w:color w:val="auto"/>
              </w:rPr>
              <w:t>302</w:t>
            </w:r>
          </w:p>
        </w:tc>
        <w:tc>
          <w:tcPr>
            <w:tcW w:w="900" w:type="dxa"/>
            <w:vAlign w:val="bottom"/>
          </w:tcPr>
          <w:p>
            <w:pPr>
              <w:jc w:val="center"/>
              <w:spacing w:after="0"/>
              <w:rPr>
                <w:sz w:val="20"/>
                <w:szCs w:val="20"/>
                <w:color w:val="auto"/>
              </w:rPr>
            </w:pPr>
            <w:r>
              <w:rPr>
                <w:rFonts w:ascii="Arial" w:cs="Arial" w:eastAsia="Arial" w:hAnsi="Arial"/>
                <w:sz w:val="14"/>
                <w:szCs w:val="14"/>
                <w:color w:val="auto"/>
              </w:rPr>
              <w:t>0</w:t>
            </w:r>
          </w:p>
        </w:tc>
        <w:tc>
          <w:tcPr>
            <w:tcW w:w="1060" w:type="dxa"/>
            <w:vAlign w:val="bottom"/>
          </w:tcPr>
          <w:p>
            <w:pPr>
              <w:jc w:val="center"/>
              <w:spacing w:after="0"/>
              <w:rPr>
                <w:sz w:val="20"/>
                <w:szCs w:val="20"/>
                <w:color w:val="auto"/>
              </w:rPr>
            </w:pPr>
            <w:r>
              <w:rPr>
                <w:rFonts w:ascii="Arial" w:cs="Arial" w:eastAsia="Arial" w:hAnsi="Arial"/>
                <w:sz w:val="14"/>
                <w:szCs w:val="14"/>
                <w:color w:val="auto"/>
              </w:rPr>
              <w:t>No</w:t>
            </w:r>
          </w:p>
        </w:tc>
        <w:tc>
          <w:tcPr>
            <w:tcW w:w="840" w:type="dxa"/>
            <w:vAlign w:val="bottom"/>
          </w:tcPr>
          <w:p>
            <w:pPr>
              <w:jc w:val="right"/>
              <w:ind w:right="376"/>
              <w:spacing w:after="0"/>
              <w:rPr>
                <w:sz w:val="20"/>
                <w:szCs w:val="20"/>
                <w:color w:val="auto"/>
              </w:rPr>
            </w:pPr>
            <w:r>
              <w:rPr>
                <w:rFonts w:ascii="Arial" w:cs="Arial" w:eastAsia="Arial" w:hAnsi="Arial"/>
                <w:sz w:val="14"/>
                <w:szCs w:val="14"/>
                <w:color w:val="auto"/>
              </w:rPr>
              <w:t>0</w:t>
            </w:r>
          </w:p>
        </w:tc>
        <w:tc>
          <w:tcPr>
            <w:tcW w:w="740" w:type="dxa"/>
            <w:vAlign w:val="bottom"/>
          </w:tcPr>
          <w:p>
            <w:pPr>
              <w:jc w:val="right"/>
              <w:ind w:right="356"/>
              <w:spacing w:after="0"/>
              <w:rPr>
                <w:sz w:val="20"/>
                <w:szCs w:val="20"/>
                <w:color w:val="auto"/>
              </w:rPr>
            </w:pPr>
            <w:r>
              <w:rPr>
                <w:rFonts w:ascii="Arial" w:cs="Arial" w:eastAsia="Arial" w:hAnsi="Arial"/>
                <w:sz w:val="14"/>
                <w:szCs w:val="14"/>
                <w:color w:val="auto"/>
              </w:rPr>
              <w:t>0</w:t>
            </w:r>
          </w:p>
        </w:tc>
        <w:tc>
          <w:tcPr>
            <w:tcW w:w="700" w:type="dxa"/>
            <w:vAlign w:val="bottom"/>
          </w:tcPr>
          <w:p>
            <w:pPr>
              <w:jc w:val="right"/>
              <w:ind w:right="256"/>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190309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81" w:lineRule="exact"/>
        <w:rPr>
          <w:sz w:val="20"/>
          <w:szCs w:val="20"/>
          <w:color w:val="auto"/>
        </w:rPr>
      </w:pPr>
    </w:p>
    <w:p>
      <w:pPr>
        <w:ind w:left="520" w:right="80" w:hanging="512"/>
        <w:spacing w:after="0" w:line="262" w:lineRule="auto"/>
        <w:tabs>
          <w:tab w:leader="none" w:pos="520" w:val="left"/>
        </w:tabs>
        <w:numPr>
          <w:ilvl w:val="0"/>
          <w:numId w:val="62"/>
        </w:numPr>
        <w:rPr>
          <w:rFonts w:ascii="Times New Roman" w:cs="Times New Roman" w:eastAsia="Times New Roman" w:hAnsi="Times New Roman"/>
          <w:sz w:val="14"/>
          <w:szCs w:val="14"/>
          <w:color w:val="auto"/>
        </w:rPr>
      </w:pPr>
      <w:r>
        <w:rPr>
          <w:rFonts w:ascii="Arial" w:cs="Arial" w:eastAsia="Arial" w:hAnsi="Arial"/>
          <w:sz w:val="14"/>
          <w:szCs w:val="14"/>
          <w:color w:val="auto"/>
        </w:rPr>
        <w:t>The types of proceedings by class: (1) Contests of citations and orders – none; (2) contests of proposed penalties – none; (3) complaints for compensation – none; (4) complaints of discharge, discrimination or interference under Section 105 of the Mine Act – none; (5) applications for temporary relief – none; and (6) appeals of judges' decisions or orders to the FMSHRC –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815340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4" w:right="339" w:bottom="1440" w:gutter="0" w:footer="0" w:header="0"/>
        </w:sectPr>
      </w:pPr>
    </w:p>
    <w:bookmarkStart w:id="51" w:name="page52"/>
    <w:bookmarkEnd w:id="5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
      <w:numFmt w:val="bullet"/>
      <w:start w:val="1"/>
    </w:lvl>
  </w:abstractNum>
  <w:abstractNum w:abstractNumId="2">
    <w:nsid w:val="22221A70"/>
    <w:multiLevelType w:val="hybridMultilevel"/>
    <w:lvl w:ilvl="0">
      <w:lvlJc w:val="left"/>
      <w:lvlText w:val="•"/>
      <w:numFmt w:val="bullet"/>
      <w:start w:val="1"/>
    </w:lvl>
  </w:abstractNum>
  <w:abstractNum w:abstractNumId="3">
    <w:nsid w:val="4516DDE9"/>
    <w:multiLevelType w:val="hybridMultilevel"/>
    <w:lvl w:ilvl="0">
      <w:lvlJc w:val="left"/>
      <w:lvlText w:val="(%1)"/>
      <w:numFmt w:val="decimal"/>
      <w:start w:val="1"/>
    </w:lvl>
  </w:abstractNum>
  <w:abstractNum w:abstractNumId="4">
    <w:nsid w:val="3006C83E"/>
    <w:multiLevelType w:val="hybridMultilevel"/>
    <w:lvl w:ilvl="0">
      <w:lvlJc w:val="left"/>
      <w:lvlText w:val="(%1)"/>
      <w:numFmt w:val="lowerLetter"/>
      <w:start w:val="1"/>
    </w:lvl>
  </w:abstractNum>
  <w:abstractNum w:abstractNumId="5">
    <w:nsid w:val="614FD4A1"/>
    <w:multiLevelType w:val="hybridMultilevel"/>
    <w:lvl w:ilvl="0">
      <w:lvlJc w:val="left"/>
      <w:lvlText w:val="(%1)"/>
      <w:numFmt w:val="decimal"/>
      <w:start w:val="3"/>
    </w:lvl>
  </w:abstractNum>
  <w:abstractNum w:abstractNumId="6">
    <w:nsid w:val="419AC241"/>
    <w:multiLevelType w:val="hybridMultilevel"/>
    <w:lvl w:ilvl="0">
      <w:lvlJc w:val="left"/>
      <w:lvlText w:val="(%1)"/>
      <w:numFmt w:val="decimal"/>
      <w:start w:val="4"/>
    </w:lvl>
  </w:abstractNum>
  <w:abstractNum w:abstractNumId="7">
    <w:nsid w:val="5577F8E1"/>
    <w:multiLevelType w:val="hybridMultilevel"/>
    <w:lvl w:ilvl="0">
      <w:lvlJc w:val="left"/>
      <w:lvlText w:val="(%1)"/>
      <w:numFmt w:val="lowerLetter"/>
      <w:start w:val="1"/>
    </w:lvl>
  </w:abstractNum>
  <w:abstractNum w:abstractNumId="8">
    <w:nsid w:val="440BADFC"/>
    <w:multiLevelType w:val="hybridMultilevel"/>
    <w:lvl w:ilvl="0">
      <w:lvlJc w:val="left"/>
      <w:lvlText w:val="(%1)"/>
      <w:numFmt w:val="decimal"/>
      <w:start w:val="6"/>
    </w:lvl>
  </w:abstractNum>
  <w:abstractNum w:abstractNumId="9">
    <w:nsid w:val="5072367"/>
    <w:multiLevelType w:val="hybridMultilevel"/>
    <w:lvl w:ilvl="0">
      <w:lvlJc w:val="left"/>
      <w:lvlText w:val="(%1)"/>
      <w:numFmt w:val="decimal"/>
      <w:start w:val="7"/>
    </w:lvl>
  </w:abstractNum>
  <w:abstractNum w:abstractNumId="10">
    <w:nsid w:val="3804823E"/>
    <w:multiLevelType w:val="hybridMultilevel"/>
    <w:lvl w:ilvl="0">
      <w:lvlJc w:val="left"/>
      <w:lvlText w:val="•"/>
      <w:numFmt w:val="bullet"/>
      <w:start w:val="1"/>
    </w:lvl>
  </w:abstractNum>
  <w:abstractNum w:abstractNumId="11">
    <w:nsid w:val="77465F01"/>
    <w:multiLevelType w:val="hybridMultilevel"/>
    <w:lvl w:ilvl="0">
      <w:lvlJc w:val="left"/>
      <w:lvlText w:val="(%1)"/>
      <w:numFmt w:val="lowerLetter"/>
      <w:start w:val="1"/>
    </w:lvl>
  </w:abstractNum>
  <w:abstractNum w:abstractNumId="12">
    <w:nsid w:val="7724C67E"/>
    <w:multiLevelType w:val="hybridMultilevel"/>
    <w:lvl w:ilvl="0">
      <w:lvlJc w:val="left"/>
      <w:lvlText w:val="(%1)"/>
      <w:numFmt w:val="decimal"/>
      <w:start w:val="8"/>
    </w:lvl>
  </w:abstractNum>
  <w:abstractNum w:abstractNumId="13">
    <w:nsid w:val="5C482A97"/>
    <w:multiLevelType w:val="hybridMultilevel"/>
    <w:lvl w:ilvl="0">
      <w:lvlJc w:val="left"/>
      <w:lvlText w:val="(%1)"/>
      <w:numFmt w:val="lowerLetter"/>
      <w:start w:val="1"/>
    </w:lvl>
  </w:abstractNum>
  <w:abstractNum w:abstractNumId="14">
    <w:nsid w:val="2463B9EA"/>
    <w:multiLevelType w:val="hybridMultilevel"/>
    <w:lvl w:ilvl="0">
      <w:lvlJc w:val="left"/>
      <w:lvlText w:val="(%1)"/>
      <w:numFmt w:val="lowerLetter"/>
      <w:start w:val="1"/>
    </w:lvl>
  </w:abstractNum>
  <w:abstractNum w:abstractNumId="15">
    <w:nsid w:val="5E884ADC"/>
    <w:multiLevelType w:val="hybridMultilevel"/>
    <w:lvl w:ilvl="0">
      <w:lvlJc w:val="left"/>
      <w:lvlText w:val="(%1)"/>
      <w:numFmt w:val="lowerLetter"/>
      <w:start w:val="1"/>
    </w:lvl>
  </w:abstractNum>
  <w:abstractNum w:abstractNumId="16">
    <w:nsid w:val="51EAD36B"/>
    <w:multiLevelType w:val="hybridMultilevel"/>
    <w:lvl w:ilvl="0">
      <w:lvlJc w:val="left"/>
      <w:lvlText w:val="(%1)"/>
      <w:numFmt w:val="decimal"/>
      <w:start w:val="9"/>
    </w:lvl>
  </w:abstractNum>
  <w:abstractNum w:abstractNumId="17">
    <w:nsid w:val="2D517796"/>
    <w:multiLevelType w:val="hybridMultilevel"/>
    <w:lvl w:ilvl="0">
      <w:lvlJc w:val="left"/>
      <w:lvlText w:val="(%1)"/>
      <w:numFmt w:val="decimal"/>
      <w:start w:val="11"/>
    </w:lvl>
  </w:abstractNum>
  <w:abstractNum w:abstractNumId="18">
    <w:nsid w:val="580BD78F"/>
    <w:multiLevelType w:val="hybridMultilevel"/>
    <w:lvl w:ilvl="0">
      <w:lvlJc w:val="left"/>
      <w:lvlText w:val="(%1)"/>
      <w:numFmt w:val="decimal"/>
      <w:start w:val="12"/>
    </w:lvl>
  </w:abstractNum>
  <w:abstractNum w:abstractNumId="19">
    <w:nsid w:val="153EA438"/>
    <w:multiLevelType w:val="hybridMultilevel"/>
    <w:lvl w:ilvl="0">
      <w:lvlJc w:val="left"/>
      <w:lvlText w:val="(%1)"/>
      <w:numFmt w:val="lowerLetter"/>
      <w:start w:val="1"/>
    </w:lvl>
  </w:abstractNum>
  <w:abstractNum w:abstractNumId="20">
    <w:nsid w:val="3855585C"/>
    <w:multiLevelType w:val="hybridMultilevel"/>
    <w:lvl w:ilvl="0">
      <w:lvlJc w:val="left"/>
      <w:lvlText w:val="(%1)"/>
      <w:numFmt w:val="lowerLetter"/>
      <w:start w:val="1"/>
    </w:lvl>
  </w:abstractNum>
  <w:abstractNum w:abstractNumId="21">
    <w:nsid w:val="70A64E2A"/>
    <w:multiLevelType w:val="hybridMultilevel"/>
    <w:lvl w:ilvl="0">
      <w:lvlJc w:val="left"/>
      <w:lvlText w:val="(%1)"/>
      <w:numFmt w:val="decimal"/>
      <w:start w:val="13"/>
    </w:lvl>
  </w:abstractNum>
  <w:abstractNum w:abstractNumId="22">
    <w:nsid w:val="6A2342EC"/>
    <w:multiLevelType w:val="hybridMultilevel"/>
    <w:lvl w:ilvl="0">
      <w:lvlJc w:val="left"/>
      <w:lvlText w:val="(%1)"/>
      <w:numFmt w:val="decimal"/>
      <w:start w:val="14"/>
    </w:lvl>
  </w:abstractNum>
  <w:abstractNum w:abstractNumId="23">
    <w:nsid w:val="2A487CB0"/>
    <w:multiLevelType w:val="hybridMultilevel"/>
    <w:lvl w:ilvl="0">
      <w:lvlJc w:val="left"/>
      <w:lvlText w:val="•"/>
      <w:numFmt w:val="bullet"/>
      <w:start w:val="1"/>
    </w:lvl>
  </w:abstractNum>
  <w:abstractNum w:abstractNumId="24">
    <w:nsid w:val="1D4ED43B"/>
    <w:multiLevelType w:val="hybridMultilevel"/>
    <w:lvl w:ilvl="0">
      <w:lvlJc w:val="left"/>
      <w:lvlText w:val="•"/>
      <w:numFmt w:val="bullet"/>
      <w:start w:val="1"/>
    </w:lvl>
  </w:abstractNum>
  <w:abstractNum w:abstractNumId="25">
    <w:nsid w:val="725A06FB"/>
    <w:multiLevelType w:val="hybridMultilevel"/>
    <w:lvl w:ilvl="0">
      <w:lvlJc w:val="left"/>
      <w:lvlText w:val="•"/>
      <w:numFmt w:val="bullet"/>
      <w:start w:val="1"/>
    </w:lvl>
  </w:abstractNum>
  <w:abstractNum w:abstractNumId="26">
    <w:nsid w:val="2CD89A32"/>
    <w:multiLevelType w:val="hybridMultilevel"/>
    <w:lvl w:ilvl="0">
      <w:lvlJc w:val="left"/>
      <w:lvlText w:val="•"/>
      <w:numFmt w:val="bullet"/>
      <w:start w:val="1"/>
    </w:lvl>
  </w:abstractNum>
  <w:abstractNum w:abstractNumId="27">
    <w:nsid w:val="57E4CCAF"/>
    <w:multiLevelType w:val="hybridMultilevel"/>
    <w:lvl w:ilvl="0">
      <w:lvlJc w:val="left"/>
      <w:lvlText w:val="(%1)"/>
      <w:numFmt w:val="lowerLetter"/>
      <w:start w:val="1"/>
    </w:lvl>
  </w:abstractNum>
  <w:abstractNum w:abstractNumId="28">
    <w:nsid w:val="7A6D8D3C"/>
    <w:multiLevelType w:val="hybridMultilevel"/>
    <w:lvl w:ilvl="0">
      <w:lvlJc w:val="left"/>
      <w:lvlText w:val="•"/>
      <w:numFmt w:val="bullet"/>
      <w:start w:val="1"/>
    </w:lvl>
  </w:abstractNum>
  <w:abstractNum w:abstractNumId="29">
    <w:nsid w:val="4B588F54"/>
    <w:multiLevelType w:val="hybridMultilevel"/>
    <w:lvl w:ilvl="0">
      <w:lvlJc w:val="left"/>
      <w:lvlText w:val="•"/>
      <w:numFmt w:val="bullet"/>
      <w:start w:val="1"/>
    </w:lvl>
  </w:abstractNum>
  <w:abstractNum w:abstractNumId="30">
    <w:nsid w:val="542289EC"/>
    <w:multiLevelType w:val="hybridMultilevel"/>
    <w:lvl w:ilvl="0">
      <w:lvlJc w:val="left"/>
      <w:lvlText w:val="(%1)"/>
      <w:numFmt w:val="lowerLetter"/>
      <w:start w:val="1"/>
    </w:lvl>
  </w:abstractNum>
  <w:abstractNum w:abstractNumId="31">
    <w:nsid w:val="6DE91B18"/>
    <w:multiLevelType w:val="hybridMultilevel"/>
    <w:lvl w:ilvl="0">
      <w:lvlJc w:val="left"/>
      <w:lvlText w:val="(%1)"/>
      <w:numFmt w:val="lowerLetter"/>
      <w:start w:val="1"/>
    </w:lvl>
  </w:abstractNum>
  <w:abstractNum w:abstractNumId="32">
    <w:nsid w:val="38437FDB"/>
    <w:multiLevelType w:val="hybridMultilevel"/>
    <w:lvl w:ilvl="0">
      <w:lvlJc w:val="left"/>
      <w:lvlText w:val="$"/>
      <w:numFmt w:val="bullet"/>
      <w:start w:val="1"/>
    </w:lvl>
  </w:abstractNum>
  <w:abstractNum w:abstractNumId="33">
    <w:nsid w:val="7644A45C"/>
    <w:multiLevelType w:val="hybridMultilevel"/>
    <w:lvl w:ilvl="0">
      <w:lvlJc w:val="left"/>
      <w:lvlText w:val="$"/>
      <w:numFmt w:val="bullet"/>
      <w:start w:val="1"/>
    </w:lvl>
  </w:abstractNum>
  <w:abstractNum w:abstractNumId="34">
    <w:nsid w:val="32FFF902"/>
    <w:multiLevelType w:val="hybridMultilevel"/>
    <w:lvl w:ilvl="0">
      <w:lvlJc w:val="left"/>
      <w:lvlText w:val="$"/>
      <w:numFmt w:val="bullet"/>
      <w:start w:val="1"/>
    </w:lvl>
  </w:abstractNum>
  <w:abstractNum w:abstractNumId="35">
    <w:nsid w:val="684A481A"/>
    <w:multiLevelType w:val="hybridMultilevel"/>
    <w:lvl w:ilvl="0">
      <w:lvlJc w:val="left"/>
      <w:lvlText w:val="$"/>
      <w:numFmt w:val="bullet"/>
      <w:start w:val="1"/>
    </w:lvl>
  </w:abstractNum>
  <w:abstractNum w:abstractNumId="36">
    <w:nsid w:val="579478FE"/>
    <w:multiLevelType w:val="hybridMultilevel"/>
    <w:lvl w:ilvl="0">
      <w:lvlJc w:val="left"/>
      <w:lvlText w:val="(%1)"/>
      <w:numFmt w:val="lowerLetter"/>
      <w:start w:val="1"/>
    </w:lvl>
  </w:abstractNum>
  <w:abstractNum w:abstractNumId="37">
    <w:nsid w:val="749ABB43"/>
    <w:multiLevelType w:val="hybridMultilevel"/>
    <w:lvl w:ilvl="0">
      <w:lvlJc w:val="left"/>
      <w:lvlText w:val="(%1)"/>
      <w:numFmt w:val="lowerLetter"/>
      <w:start w:val="1"/>
    </w:lvl>
  </w:abstractNum>
  <w:abstractNum w:abstractNumId="38">
    <w:nsid w:val="3DC240FB"/>
    <w:multiLevelType w:val="hybridMultilevel"/>
    <w:lvl w:ilvl="0">
      <w:lvlJc w:val="left"/>
      <w:lvlText w:val="(%1)"/>
      <w:numFmt w:val="lowerLetter"/>
      <w:start w:val="1"/>
    </w:lvl>
  </w:abstractNum>
  <w:abstractNum w:abstractNumId="39">
    <w:nsid w:val="1BA026FA"/>
    <w:multiLevelType w:val="hybridMultilevel"/>
    <w:lvl w:ilvl="0">
      <w:lvlJc w:val="left"/>
      <w:lvlText w:val="(%1)"/>
      <w:numFmt w:val="lowerLetter"/>
      <w:start w:val="1"/>
    </w:lvl>
  </w:abstractNum>
  <w:abstractNum w:abstractNumId="40">
    <w:nsid w:val="79A1DEAA"/>
    <w:multiLevelType w:val="hybridMultilevel"/>
    <w:lvl w:ilvl="0">
      <w:lvlJc w:val="left"/>
      <w:lvlText w:val="(%1)"/>
      <w:numFmt w:val="lowerLetter"/>
      <w:start w:val="1"/>
    </w:lvl>
  </w:abstractNum>
  <w:abstractNum w:abstractNumId="41">
    <w:nsid w:val="75C6C33A"/>
    <w:multiLevelType w:val="hybridMultilevel"/>
    <w:lvl w:ilvl="0">
      <w:lvlJc w:val="left"/>
      <w:lvlText w:val="(%1)"/>
      <w:numFmt w:val="lowerLetter"/>
      <w:start w:val="1"/>
    </w:lvl>
  </w:abstractNum>
  <w:abstractNum w:abstractNumId="42">
    <w:nsid w:val="12E685FB"/>
    <w:multiLevelType w:val="hybridMultilevel"/>
    <w:lvl w:ilvl="0">
      <w:lvlJc w:val="left"/>
      <w:lvlText w:val="$"/>
      <w:numFmt w:val="bullet"/>
      <w:start w:val="1"/>
    </w:lvl>
  </w:abstractNum>
  <w:abstractNum w:abstractNumId="43">
    <w:nsid w:val="70C6A529"/>
    <w:multiLevelType w:val="hybridMultilevel"/>
    <w:lvl w:ilvl="0">
      <w:lvlJc w:val="left"/>
      <w:lvlText w:val="$"/>
      <w:numFmt w:val="bullet"/>
      <w:start w:val="1"/>
    </w:lvl>
  </w:abstractNum>
  <w:abstractNum w:abstractNumId="44">
    <w:nsid w:val="520EEDD1"/>
    <w:multiLevelType w:val="hybridMultilevel"/>
    <w:lvl w:ilvl="0">
      <w:lvlJc w:val="left"/>
      <w:lvlText w:val="$"/>
      <w:numFmt w:val="bullet"/>
      <w:start w:val="1"/>
    </w:lvl>
  </w:abstractNum>
  <w:abstractNum w:abstractNumId="45">
    <w:nsid w:val="374A3FE6"/>
    <w:multiLevelType w:val="hybridMultilevel"/>
    <w:lvl w:ilvl="0">
      <w:lvlJc w:val="left"/>
      <w:lvlText w:val="$"/>
      <w:numFmt w:val="bullet"/>
      <w:start w:val="1"/>
    </w:lvl>
  </w:abstractNum>
  <w:abstractNum w:abstractNumId="46">
    <w:nsid w:val="4F4EF005"/>
    <w:multiLevelType w:val="hybridMultilevel"/>
    <w:lvl w:ilvl="0">
      <w:lvlJc w:val="left"/>
      <w:lvlText w:val="(%1)"/>
      <w:numFmt w:val="lowerLetter"/>
      <w:start w:val="1"/>
    </w:lvl>
  </w:abstractNum>
  <w:abstractNum w:abstractNumId="47">
    <w:nsid w:val="23F9C13C"/>
    <w:multiLevelType w:val="hybridMultilevel"/>
    <w:lvl w:ilvl="0">
      <w:lvlJc w:val="left"/>
      <w:lvlText w:val="(%1)"/>
      <w:numFmt w:val="lowerLetter"/>
      <w:start w:val="1"/>
    </w:lvl>
  </w:abstractNum>
  <w:abstractNum w:abstractNumId="48">
    <w:nsid w:val="649BB77C"/>
    <w:multiLevelType w:val="hybridMultilevel"/>
    <w:lvl w:ilvl="0">
      <w:lvlJc w:val="left"/>
      <w:lvlText w:val="(%1)"/>
      <w:numFmt w:val="lowerLetter"/>
      <w:start w:val="1"/>
    </w:lvl>
  </w:abstractNum>
  <w:abstractNum w:abstractNumId="49">
    <w:nsid w:val="275AC794"/>
    <w:multiLevelType w:val="hybridMultilevel"/>
    <w:lvl w:ilvl="0">
      <w:lvlJc w:val="left"/>
      <w:lvlText w:val="•"/>
      <w:numFmt w:val="bullet"/>
      <w:start w:val="1"/>
    </w:lvl>
  </w:abstractNum>
  <w:abstractNum w:abstractNumId="50">
    <w:nsid w:val="39386575"/>
    <w:multiLevelType w:val="hybridMultilevel"/>
    <w:lvl w:ilvl="0">
      <w:lvlJc w:val="left"/>
      <w:lvlText w:val="•"/>
      <w:numFmt w:val="bullet"/>
      <w:start w:val="1"/>
    </w:lvl>
  </w:abstractNum>
  <w:abstractNum w:abstractNumId="51">
    <w:nsid w:val="1CF10FD8"/>
    <w:multiLevelType w:val="hybridMultilevel"/>
    <w:lvl w:ilvl="0">
      <w:lvlJc w:val="left"/>
      <w:lvlText w:val="•"/>
      <w:numFmt w:val="bullet"/>
      <w:start w:val="1"/>
    </w:lvl>
  </w:abstractNum>
  <w:abstractNum w:abstractNumId="52">
    <w:nsid w:val="180115BE"/>
    <w:multiLevelType w:val="hybridMultilevel"/>
    <w:lvl w:ilvl="0">
      <w:lvlJc w:val="left"/>
      <w:lvlText w:val="•"/>
      <w:numFmt w:val="bullet"/>
      <w:start w:val="1"/>
    </w:lvl>
  </w:abstractNum>
  <w:abstractNum w:abstractNumId="53">
    <w:nsid w:val="235BA861"/>
    <w:multiLevelType w:val="hybridMultilevel"/>
    <w:lvl w:ilvl="0">
      <w:lvlJc w:val="left"/>
      <w:lvlText w:val="•"/>
      <w:numFmt w:val="bullet"/>
      <w:start w:val="1"/>
    </w:lvl>
  </w:abstractNum>
  <w:abstractNum w:abstractNumId="54">
    <w:nsid w:val="47398C89"/>
    <w:multiLevelType w:val="hybridMultilevel"/>
    <w:lvl w:ilvl="0">
      <w:lvlJc w:val="left"/>
      <w:lvlText w:val="(%1)"/>
      <w:numFmt w:val="lowerLetter"/>
      <w:start w:val="1"/>
    </w:lvl>
  </w:abstractNum>
  <w:abstractNum w:abstractNumId="55">
    <w:nsid w:val="354FE9F9"/>
    <w:multiLevelType w:val="hybridMultilevel"/>
    <w:lvl w:ilvl="0">
      <w:lvlJc w:val="left"/>
      <w:lvlText w:val="(%1)"/>
      <w:numFmt w:val="lowerLetter"/>
      <w:start w:val="1"/>
    </w:lvl>
  </w:abstractNum>
  <w:abstractNum w:abstractNumId="56">
    <w:nsid w:val="15B5AF5C"/>
    <w:multiLevelType w:val="hybridMultilevel"/>
    <w:lvl w:ilvl="0">
      <w:lvlJc w:val="left"/>
      <w:lvlText w:val="%1."/>
      <w:numFmt w:val="decimal"/>
      <w:start w:val="1"/>
    </w:lvl>
    <w:lvl w:ilvl="1">
      <w:lvlJc w:val="left"/>
      <w:lvlText w:val="%2)"/>
      <w:numFmt w:val="lowerLetter"/>
      <w:start w:val="1"/>
    </w:lvl>
  </w:abstractNum>
  <w:abstractNum w:abstractNumId="57">
    <w:nsid w:val="741226BB"/>
    <w:multiLevelType w:val="hybridMultilevel"/>
    <w:lvl w:ilvl="0">
      <w:lvlJc w:val="left"/>
      <w:lvlText w:val="%1."/>
      <w:numFmt w:val="decimal"/>
      <w:start w:val="1"/>
    </w:lvl>
    <w:lvl w:ilvl="1">
      <w:lvlJc w:val="left"/>
      <w:lvlText w:val="%2)"/>
      <w:numFmt w:val="lowerLetter"/>
      <w:start w:val="1"/>
    </w:lvl>
  </w:abstractNum>
  <w:abstractNum w:abstractNumId="58">
    <w:nsid w:val="D34B6A8"/>
    <w:multiLevelType w:val="hybridMultilevel"/>
    <w:lvl w:ilvl="0">
      <w:lvlJc w:val="left"/>
      <w:lvlText w:val="(%1)"/>
      <w:numFmt w:val="decimal"/>
      <w:start w:val="1"/>
    </w:lvl>
  </w:abstractNum>
  <w:abstractNum w:abstractNumId="59">
    <w:nsid w:val="10233C99"/>
    <w:multiLevelType w:val="hybridMultilevel"/>
    <w:lvl w:ilvl="0">
      <w:lvlJc w:val="left"/>
      <w:lvlText w:val="(%1)"/>
      <w:numFmt w:val="decimal"/>
      <w:start w:val="1"/>
    </w:lvl>
  </w:abstractNum>
  <w:abstractNum w:abstractNumId="60">
    <w:nsid w:val="3F6AB60F"/>
    <w:multiLevelType w:val="hybridMultilevel"/>
    <w:lvl w:ilvl="0">
      <w:lvlJc w:val="left"/>
      <w:lvlText w:val="•"/>
      <w:numFmt w:val="bullet"/>
      <w:start w:val="1"/>
    </w:lvl>
  </w:abstractNum>
  <w:abstractNum w:abstractNumId="61">
    <w:nsid w:val="61574095"/>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48" Type="http://schemas.openxmlformats.org/officeDocument/2006/relationships/hyperlink" Target="https://www.sec.gov/Archives/edgar/data/1130464/000110465925046204/tm2514279d1_ex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2025-07-31T10:48:17Z</dcterms:created>
  <dcterms:modified xsi:type="dcterms:W3CDTF">2025-07-31T10:48:17Z</dcterms:modified>
</cp:coreProperties>
</file>